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7FE8" w14:textId="77777777" w:rsidR="003D0C5A" w:rsidRDefault="003D0C5A" w:rsidP="0005110E">
      <w:pPr>
        <w:spacing w:after="0" w:line="240" w:lineRule="auto"/>
        <w:ind w:firstLine="720"/>
        <w:contextualSpacing/>
        <w:rPr>
          <w:rFonts w:ascii="Arial" w:hAnsi="Arial" w:cs="Arial"/>
          <w:b/>
          <w:bCs/>
          <w:sz w:val="24"/>
          <w:szCs w:val="24"/>
          <w:lang w:val="mn-MN"/>
        </w:rPr>
      </w:pPr>
    </w:p>
    <w:p w14:paraId="7EC09B2D" w14:textId="5415D5D7" w:rsidR="0005110E" w:rsidRPr="00227B58" w:rsidRDefault="0005110E" w:rsidP="003D0C5A">
      <w:pPr>
        <w:spacing w:after="0" w:line="240" w:lineRule="auto"/>
        <w:ind w:firstLine="142"/>
        <w:contextualSpacing/>
        <w:rPr>
          <w:rFonts w:ascii="Arial" w:hAnsi="Arial" w:cs="Arial"/>
          <w:b/>
          <w:bCs/>
          <w:sz w:val="24"/>
          <w:szCs w:val="24"/>
          <w:lang w:val="mn-MN"/>
        </w:rPr>
      </w:pPr>
      <w:r w:rsidRPr="00227B58">
        <w:rPr>
          <w:rFonts w:ascii="Arial" w:hAnsi="Arial" w:cs="Arial"/>
          <w:b/>
          <w:bCs/>
          <w:sz w:val="24"/>
          <w:szCs w:val="24"/>
          <w:lang w:val="mn-MN"/>
        </w:rPr>
        <w:t>БАТЛАВ.</w:t>
      </w:r>
    </w:p>
    <w:p w14:paraId="3E249535" w14:textId="4C3F141C" w:rsidR="0005110E" w:rsidRPr="00227B58" w:rsidRDefault="0005110E" w:rsidP="003D0C5A">
      <w:pPr>
        <w:spacing w:after="0" w:line="240" w:lineRule="auto"/>
        <w:ind w:left="142"/>
        <w:contextualSpacing/>
        <w:rPr>
          <w:rFonts w:ascii="Arial" w:hAnsi="Arial" w:cs="Arial"/>
          <w:b/>
          <w:bCs/>
          <w:sz w:val="24"/>
          <w:szCs w:val="24"/>
          <w:lang w:val="mn-MN"/>
        </w:rPr>
      </w:pPr>
      <w:r w:rsidRPr="00227B58">
        <w:rPr>
          <w:rFonts w:ascii="Arial" w:hAnsi="Arial" w:cs="Arial"/>
          <w:b/>
          <w:bCs/>
          <w:sz w:val="24"/>
          <w:szCs w:val="24"/>
          <w:lang w:val="mn-MN"/>
        </w:rPr>
        <w:t>УЛСЫН ИХ ХУРЛЫН ГИШҮҮН</w:t>
      </w:r>
      <w:r w:rsidRPr="00227B58">
        <w:rPr>
          <w:rFonts w:ascii="Arial" w:hAnsi="Arial" w:cs="Arial"/>
          <w:b/>
          <w:bCs/>
          <w:sz w:val="24"/>
          <w:szCs w:val="24"/>
          <w:lang w:val="mn-MN"/>
        </w:rPr>
        <w:tab/>
      </w:r>
      <w:r w:rsidRPr="00227B58">
        <w:rPr>
          <w:rFonts w:ascii="Arial" w:hAnsi="Arial" w:cs="Arial"/>
          <w:b/>
          <w:bCs/>
          <w:sz w:val="24"/>
          <w:szCs w:val="24"/>
          <w:lang w:val="mn-MN"/>
        </w:rPr>
        <w:tab/>
      </w:r>
      <w:r w:rsidR="00F74833">
        <w:rPr>
          <w:rFonts w:ascii="Arial" w:hAnsi="Arial" w:cs="Arial"/>
          <w:b/>
          <w:bCs/>
          <w:sz w:val="24"/>
          <w:szCs w:val="24"/>
          <w:lang w:val="mn-MN"/>
        </w:rPr>
        <w:t xml:space="preserve">          </w:t>
      </w:r>
      <w:r w:rsidR="003D0C5A">
        <w:rPr>
          <w:rFonts w:ascii="Arial" w:hAnsi="Arial" w:cs="Arial"/>
          <w:b/>
          <w:bCs/>
          <w:sz w:val="24"/>
          <w:szCs w:val="24"/>
          <w:lang w:val="mn-MN"/>
        </w:rPr>
        <w:t xml:space="preserve">  </w:t>
      </w:r>
      <w:r w:rsidRPr="00227B58">
        <w:rPr>
          <w:rFonts w:ascii="Arial" w:hAnsi="Arial" w:cs="Arial"/>
          <w:b/>
          <w:bCs/>
          <w:sz w:val="24"/>
          <w:szCs w:val="24"/>
          <w:lang w:val="mn-MN"/>
        </w:rPr>
        <w:t>Р.ЭРДЭНЭБҮРЭН</w:t>
      </w:r>
    </w:p>
    <w:p w14:paraId="1C7CF636" w14:textId="77777777" w:rsidR="0005110E" w:rsidRPr="00227B58" w:rsidRDefault="0005110E" w:rsidP="0005110E">
      <w:pPr>
        <w:spacing w:after="0" w:line="240" w:lineRule="auto"/>
        <w:contextualSpacing/>
        <w:rPr>
          <w:rFonts w:ascii="Arial" w:hAnsi="Arial" w:cs="Arial"/>
          <w:sz w:val="24"/>
          <w:szCs w:val="24"/>
          <w:lang w:val="mn-MN"/>
        </w:rPr>
      </w:pPr>
    </w:p>
    <w:p w14:paraId="00FE34F0" w14:textId="77777777" w:rsidR="0005110E" w:rsidRDefault="0005110E" w:rsidP="0005110E">
      <w:pPr>
        <w:spacing w:after="0" w:line="240" w:lineRule="auto"/>
        <w:contextualSpacing/>
        <w:rPr>
          <w:rFonts w:ascii="Arial" w:hAnsi="Arial" w:cs="Arial"/>
          <w:sz w:val="24"/>
          <w:szCs w:val="24"/>
          <w:lang w:val="mn-MN"/>
        </w:rPr>
      </w:pPr>
    </w:p>
    <w:p w14:paraId="13A3961C" w14:textId="77777777" w:rsidR="003D0C5A" w:rsidRDefault="003D0C5A" w:rsidP="0005110E">
      <w:pPr>
        <w:spacing w:after="0" w:line="240" w:lineRule="auto"/>
        <w:contextualSpacing/>
        <w:rPr>
          <w:rFonts w:ascii="Arial" w:hAnsi="Arial" w:cs="Arial"/>
          <w:sz w:val="24"/>
          <w:szCs w:val="24"/>
          <w:lang w:val="mn-MN"/>
        </w:rPr>
      </w:pPr>
    </w:p>
    <w:p w14:paraId="0F589341" w14:textId="77777777" w:rsidR="003D0C5A" w:rsidRPr="00227B58" w:rsidRDefault="003D0C5A" w:rsidP="003D0C5A">
      <w:pPr>
        <w:spacing w:after="0" w:line="240" w:lineRule="auto"/>
        <w:ind w:left="-426" w:firstLine="426"/>
        <w:contextualSpacing/>
        <w:rPr>
          <w:rFonts w:ascii="Arial" w:hAnsi="Arial" w:cs="Arial"/>
          <w:sz w:val="24"/>
          <w:szCs w:val="24"/>
          <w:lang w:val="mn-MN"/>
        </w:rPr>
      </w:pPr>
    </w:p>
    <w:p w14:paraId="33417AF5" w14:textId="590C5994" w:rsidR="0005110E" w:rsidRPr="00227B58" w:rsidRDefault="003D0C5A" w:rsidP="003D0C5A">
      <w:pPr>
        <w:spacing w:after="0" w:line="240" w:lineRule="auto"/>
        <w:contextualSpacing/>
        <w:rPr>
          <w:rFonts w:ascii="Arial" w:hAnsi="Arial" w:cs="Arial"/>
          <w:sz w:val="24"/>
          <w:szCs w:val="24"/>
          <w:lang w:val="mn-MN"/>
        </w:rPr>
      </w:pPr>
      <w:r>
        <w:rPr>
          <w:rFonts w:ascii="Arial" w:hAnsi="Arial" w:cs="Arial"/>
          <w:sz w:val="24"/>
          <w:szCs w:val="24"/>
          <w:lang w:val="mn-MN"/>
        </w:rPr>
        <w:t xml:space="preserve"> </w:t>
      </w:r>
      <w:r w:rsidR="0005110E" w:rsidRPr="00227B58">
        <w:rPr>
          <w:rFonts w:ascii="Arial" w:hAnsi="Arial" w:cs="Arial"/>
          <w:sz w:val="24"/>
          <w:szCs w:val="24"/>
          <w:lang w:val="mn-MN"/>
        </w:rPr>
        <w:t>2026 оны 06 дугаар сарын 11-ний өдөр</w:t>
      </w:r>
    </w:p>
    <w:p w14:paraId="7216E371" w14:textId="77777777" w:rsidR="0005110E" w:rsidRPr="00227B58" w:rsidRDefault="0005110E" w:rsidP="0005110E">
      <w:pPr>
        <w:spacing w:after="0" w:line="240" w:lineRule="auto"/>
        <w:contextualSpacing/>
        <w:rPr>
          <w:rFonts w:ascii="Arial" w:hAnsi="Arial" w:cs="Arial"/>
          <w:sz w:val="24"/>
          <w:szCs w:val="24"/>
          <w:lang w:val="mn-MN"/>
        </w:rPr>
      </w:pPr>
    </w:p>
    <w:p w14:paraId="7320549B" w14:textId="77777777" w:rsidR="0005110E" w:rsidRPr="00227B58" w:rsidRDefault="0005110E" w:rsidP="0005110E">
      <w:pPr>
        <w:tabs>
          <w:tab w:val="center" w:pos="4680"/>
          <w:tab w:val="left" w:pos="7686"/>
        </w:tabs>
        <w:spacing w:after="0" w:line="240" w:lineRule="auto"/>
        <w:contextualSpacing/>
        <w:rPr>
          <w:rFonts w:ascii="Arial" w:hAnsi="Arial" w:cs="Arial"/>
          <w:b/>
          <w:sz w:val="24"/>
          <w:szCs w:val="24"/>
          <w:lang w:val="mn-MN"/>
        </w:rPr>
      </w:pPr>
      <w:r w:rsidRPr="00227B58">
        <w:rPr>
          <w:rFonts w:ascii="Arial" w:hAnsi="Arial" w:cs="Arial"/>
          <w:sz w:val="24"/>
          <w:szCs w:val="24"/>
          <w:lang w:val="mn-MN"/>
        </w:rPr>
        <w:tab/>
      </w:r>
      <w:r w:rsidRPr="00227B58">
        <w:rPr>
          <w:rFonts w:ascii="Arial" w:hAnsi="Arial" w:cs="Arial"/>
          <w:b/>
          <w:sz w:val="24"/>
          <w:szCs w:val="24"/>
          <w:lang w:val="mn-MN"/>
        </w:rPr>
        <w:t xml:space="preserve">УЛС ТӨРИЙН НАМЫН ТУХАЙ ХУУЛЬД НЭМЭЛТ, ӨӨРЧЛӨЛТ ОРУУЛАХ </w:t>
      </w:r>
    </w:p>
    <w:p w14:paraId="3A5AABC8" w14:textId="77777777" w:rsidR="0005110E" w:rsidRPr="00227B58" w:rsidRDefault="0005110E" w:rsidP="0005110E">
      <w:pPr>
        <w:tabs>
          <w:tab w:val="center" w:pos="4680"/>
          <w:tab w:val="left" w:pos="7686"/>
        </w:tabs>
        <w:spacing w:after="0" w:line="240" w:lineRule="auto"/>
        <w:contextualSpacing/>
        <w:rPr>
          <w:rFonts w:ascii="Arial" w:hAnsi="Arial" w:cs="Arial"/>
          <w:b/>
          <w:sz w:val="24"/>
          <w:szCs w:val="24"/>
          <w:lang w:val="mn-MN"/>
        </w:rPr>
      </w:pPr>
      <w:r w:rsidRPr="00227B58">
        <w:rPr>
          <w:rFonts w:ascii="Arial" w:hAnsi="Arial" w:cs="Arial"/>
          <w:b/>
          <w:sz w:val="24"/>
          <w:szCs w:val="24"/>
          <w:lang w:val="mn-MN"/>
        </w:rPr>
        <w:tab/>
        <w:t>ТУХАЙ ХУУЛИЙН ТӨСЛИЙН ҮЗЭЛ БАРИМТЛАЛ</w:t>
      </w:r>
    </w:p>
    <w:p w14:paraId="437CD9AB" w14:textId="77777777" w:rsidR="0005110E" w:rsidRPr="00227B58" w:rsidRDefault="0005110E" w:rsidP="0005110E">
      <w:pPr>
        <w:tabs>
          <w:tab w:val="center" w:pos="4680"/>
          <w:tab w:val="left" w:pos="7686"/>
        </w:tabs>
        <w:spacing w:after="0" w:line="240" w:lineRule="auto"/>
        <w:contextualSpacing/>
        <w:rPr>
          <w:rFonts w:ascii="Arial" w:hAnsi="Arial" w:cs="Arial"/>
          <w:b/>
          <w:sz w:val="24"/>
          <w:szCs w:val="24"/>
          <w:lang w:val="mn-MN"/>
        </w:rPr>
      </w:pPr>
    </w:p>
    <w:p w14:paraId="27B74FF0" w14:textId="77777777" w:rsidR="0005110E" w:rsidRPr="00227B58" w:rsidRDefault="0005110E" w:rsidP="0005110E">
      <w:pPr>
        <w:tabs>
          <w:tab w:val="left" w:pos="709"/>
          <w:tab w:val="center" w:pos="4680"/>
        </w:tabs>
        <w:snapToGrid w:val="0"/>
        <w:spacing w:after="120" w:line="240" w:lineRule="auto"/>
        <w:jc w:val="both"/>
        <w:rPr>
          <w:rFonts w:ascii="Arial" w:hAnsi="Arial" w:cs="Arial"/>
          <w:b/>
          <w:sz w:val="24"/>
          <w:szCs w:val="24"/>
          <w:lang w:val="mn-MN"/>
        </w:rPr>
      </w:pPr>
      <w:r w:rsidRPr="00227B58">
        <w:rPr>
          <w:rFonts w:ascii="Arial" w:hAnsi="Arial" w:cs="Arial"/>
          <w:b/>
          <w:sz w:val="24"/>
          <w:szCs w:val="24"/>
          <w:lang w:val="mn-MN"/>
        </w:rPr>
        <w:tab/>
        <w:t>Нэг.Хуулийн төсөл боловсруулах үндэслэл, шаардлага</w:t>
      </w:r>
    </w:p>
    <w:p w14:paraId="5C6575AF" w14:textId="0E286161" w:rsidR="00F96383" w:rsidRPr="00227B58" w:rsidRDefault="0005110E" w:rsidP="0005110E">
      <w:pPr>
        <w:tabs>
          <w:tab w:val="left" w:pos="709"/>
          <w:tab w:val="center" w:pos="4680"/>
        </w:tabs>
        <w:snapToGrid w:val="0"/>
        <w:spacing w:after="120" w:line="240" w:lineRule="auto"/>
        <w:jc w:val="both"/>
        <w:rPr>
          <w:rFonts w:ascii="Arial" w:hAnsi="Arial" w:cs="Arial"/>
          <w:sz w:val="24"/>
          <w:szCs w:val="24"/>
          <w:lang w:val="mn-MN"/>
        </w:rPr>
      </w:pPr>
      <w:r w:rsidRPr="00227B58">
        <w:rPr>
          <w:rFonts w:ascii="Arial" w:hAnsi="Arial" w:cs="Arial"/>
          <w:b/>
          <w:sz w:val="24"/>
          <w:szCs w:val="24"/>
          <w:lang w:val="mn-MN"/>
        </w:rPr>
        <w:tab/>
      </w:r>
      <w:r w:rsidR="00F96383" w:rsidRPr="00227B58">
        <w:rPr>
          <w:rFonts w:ascii="Arial" w:hAnsi="Arial" w:cs="Arial"/>
          <w:sz w:val="24"/>
          <w:szCs w:val="24"/>
          <w:lang w:val="mn-MN"/>
        </w:rPr>
        <w:tab/>
        <w:t>Монгол Улсын Үндсэн хуулийн Арван зургаадугаар зүйлийн 10 дахь хэсэгт иргэн эвлэлдэн нэгдэх эрхтэй болохыг, Арван есдүгээр зүйлийн 1 дэх хэсэгт төрөөс хүний эрх, эрх чөлөөг хангахуйц эдийн засаг, нийгэм, хууль зүйн баталгааг бүрдүүлэх үүргийг тус тус хуульчилсан. Түүнчлэн Үндсэн хуулийн Нэгдүгээр зүйлийн 2 дахь хэсэгт ардчилал, шударга ёс, эрх чөлөө, тэгш байдлыг төрийн үйл ажиллагааны үндсэн зарчим болгон тунхагласан байдаг.</w:t>
      </w:r>
    </w:p>
    <w:p w14:paraId="4E0F1E95" w14:textId="4F1539E2" w:rsidR="00F96383" w:rsidRPr="00227B58" w:rsidRDefault="0005110E" w:rsidP="0005110E">
      <w:pPr>
        <w:tabs>
          <w:tab w:val="left" w:pos="709"/>
          <w:tab w:val="center" w:pos="4680"/>
        </w:tabs>
        <w:snapToGrid w:val="0"/>
        <w:spacing w:after="120" w:line="240" w:lineRule="auto"/>
        <w:jc w:val="both"/>
        <w:rPr>
          <w:rFonts w:ascii="Arial" w:hAnsi="Arial" w:cs="Arial"/>
          <w:sz w:val="24"/>
          <w:szCs w:val="24"/>
          <w:lang w:val="mn-MN"/>
        </w:rPr>
      </w:pPr>
      <w:r w:rsidRPr="00227B58">
        <w:rPr>
          <w:rFonts w:ascii="Arial" w:hAnsi="Arial" w:cs="Arial"/>
          <w:sz w:val="24"/>
          <w:szCs w:val="24"/>
          <w:lang w:val="mn-MN"/>
        </w:rPr>
        <w:tab/>
      </w:r>
      <w:r w:rsidR="00F96383" w:rsidRPr="00227B58">
        <w:rPr>
          <w:rFonts w:ascii="Arial" w:hAnsi="Arial" w:cs="Arial"/>
          <w:sz w:val="24"/>
          <w:szCs w:val="24"/>
          <w:lang w:val="mn-MN"/>
        </w:rPr>
        <w:tab/>
        <w:t>Улс төрийн нам нь ардчилсан тогтолцооны үндсэн институ</w:t>
      </w:r>
      <w:r w:rsidR="003D0C5A">
        <w:rPr>
          <w:rFonts w:ascii="Arial" w:hAnsi="Arial" w:cs="Arial"/>
          <w:sz w:val="24"/>
          <w:szCs w:val="24"/>
          <w:lang w:val="mn-MN"/>
        </w:rPr>
        <w:t>т</w:t>
      </w:r>
      <w:r w:rsidR="00F96383" w:rsidRPr="00227B58">
        <w:rPr>
          <w:rFonts w:ascii="Arial" w:hAnsi="Arial" w:cs="Arial"/>
          <w:sz w:val="24"/>
          <w:szCs w:val="24"/>
          <w:lang w:val="mn-MN"/>
        </w:rPr>
        <w:t>ийн нэг бөгөөд иргэдийн улс төрийн оролцоог хангах, нийтийн ашиг сонирхлыг төлөөлөх, төрийн эрх мэдлийг ардчилсан аргаар хэрэгжүүлэх үндсэн нөхцөлийг бүрдүүлдэг. Иймд улс төрийн намын үйл ажиллагаа тасралтгүй, дотоод ардчилалтай, санхүүгийн хувьд ил тод, бодит нөхцөл байдалд нийцсэн эрх зүйн зохицуулалттай байх шаардлагатай.</w:t>
      </w:r>
    </w:p>
    <w:p w14:paraId="1A14090B" w14:textId="6E8B60FC" w:rsidR="0005110E" w:rsidRPr="00227B58" w:rsidRDefault="0005110E" w:rsidP="0005110E">
      <w:pPr>
        <w:tabs>
          <w:tab w:val="left" w:pos="709"/>
          <w:tab w:val="center" w:pos="4680"/>
        </w:tabs>
        <w:spacing w:after="120" w:line="240" w:lineRule="auto"/>
        <w:contextualSpacing/>
        <w:jc w:val="both"/>
        <w:rPr>
          <w:rFonts w:ascii="Arial" w:hAnsi="Arial" w:cs="Arial"/>
          <w:sz w:val="24"/>
          <w:szCs w:val="24"/>
          <w:lang w:val="mn-MN"/>
        </w:rPr>
      </w:pPr>
      <w:r w:rsidRPr="00227B58">
        <w:rPr>
          <w:rFonts w:ascii="Arial" w:hAnsi="Arial" w:cs="Arial"/>
          <w:sz w:val="24"/>
          <w:szCs w:val="24"/>
          <w:lang w:val="mn-MN"/>
        </w:rPr>
        <w:tab/>
        <w:t xml:space="preserve">2023 онд шинэчлэн найруулсан Улс төрийн намын тухай хууль нь улс төрийн санхүүжилтийн ил тод байдлыг нэмэгдүүлэх, авлига, ашиг сонирхлын зөрчлөөс урьдчилан сэргийлэх зорилготой боловч хэрэгжилтийн явцад </w:t>
      </w:r>
      <w:r w:rsidR="00F96383" w:rsidRPr="00227B58">
        <w:rPr>
          <w:rFonts w:ascii="Arial" w:hAnsi="Arial" w:cs="Arial"/>
          <w:sz w:val="24"/>
          <w:szCs w:val="24"/>
          <w:lang w:val="mn-MN"/>
        </w:rPr>
        <w:t>тодорхой</w:t>
      </w:r>
      <w:r w:rsidRPr="00227B58">
        <w:rPr>
          <w:rFonts w:ascii="Arial" w:hAnsi="Arial" w:cs="Arial"/>
          <w:sz w:val="24"/>
          <w:szCs w:val="24"/>
          <w:lang w:val="mn-MN"/>
        </w:rPr>
        <w:t xml:space="preserve"> хүндрэл, эрх зүйн</w:t>
      </w:r>
      <w:r w:rsidR="00F96383" w:rsidRPr="00227B58">
        <w:rPr>
          <w:rFonts w:ascii="Arial" w:hAnsi="Arial" w:cs="Arial"/>
          <w:sz w:val="24"/>
          <w:szCs w:val="24"/>
          <w:lang w:val="mn-MN"/>
        </w:rPr>
        <w:t xml:space="preserve"> зохицуулалтын</w:t>
      </w:r>
      <w:r w:rsidRPr="00227B58">
        <w:rPr>
          <w:rFonts w:ascii="Arial" w:hAnsi="Arial" w:cs="Arial"/>
          <w:sz w:val="24"/>
          <w:szCs w:val="24"/>
          <w:lang w:val="mn-MN"/>
        </w:rPr>
        <w:t xml:space="preserve"> хийдэл үүсээд байна. Үүнд:</w:t>
      </w:r>
    </w:p>
    <w:p w14:paraId="56B2904E" w14:textId="1F351D34" w:rsidR="00F96383" w:rsidRPr="00227B58" w:rsidRDefault="00F96383" w:rsidP="007708D8">
      <w:pPr>
        <w:pStyle w:val="ListParagraph"/>
        <w:numPr>
          <w:ilvl w:val="0"/>
          <w:numId w:val="2"/>
        </w:numPr>
        <w:tabs>
          <w:tab w:val="left" w:pos="709"/>
          <w:tab w:val="center" w:pos="4680"/>
        </w:tabs>
        <w:snapToGrid w:val="0"/>
        <w:spacing w:after="120" w:line="240" w:lineRule="auto"/>
        <w:contextualSpacing w:val="0"/>
        <w:jc w:val="both"/>
        <w:rPr>
          <w:rFonts w:ascii="Arial" w:hAnsi="Arial" w:cs="Arial"/>
          <w:lang w:val="mn-MN"/>
        </w:rPr>
      </w:pPr>
      <w:r w:rsidRPr="00227B58">
        <w:rPr>
          <w:rFonts w:ascii="Arial" w:hAnsi="Arial" w:cs="Arial"/>
          <w:lang w:val="mn-MN"/>
        </w:rPr>
        <w:t>намын санхүүгийн үйл ажиллагааг улсын хэмжээнд нэг дансны тогтолцоогоор хэрэгжүүлэх зохицуулалт нь орон нутгийн намын байгууллагын өдөр тутмын үйл ажиллагааны бие даасан байдал, хэвийн үйл ажиллагаанд хүндрэл учруулж байгаа;</w:t>
      </w:r>
    </w:p>
    <w:p w14:paraId="5AB8D841" w14:textId="544437ED" w:rsidR="007708D8" w:rsidRPr="00227B58" w:rsidRDefault="007708D8" w:rsidP="007708D8">
      <w:pPr>
        <w:pStyle w:val="ListParagraph"/>
        <w:numPr>
          <w:ilvl w:val="0"/>
          <w:numId w:val="2"/>
        </w:numPr>
        <w:tabs>
          <w:tab w:val="left" w:pos="709"/>
          <w:tab w:val="center" w:pos="4680"/>
        </w:tabs>
        <w:snapToGrid w:val="0"/>
        <w:spacing w:after="120" w:line="240" w:lineRule="auto"/>
        <w:contextualSpacing w:val="0"/>
        <w:jc w:val="both"/>
        <w:rPr>
          <w:rFonts w:ascii="Arial" w:hAnsi="Arial" w:cs="Arial"/>
          <w:lang w:val="mn-MN"/>
        </w:rPr>
      </w:pPr>
      <w:r w:rsidRPr="00227B58">
        <w:rPr>
          <w:rFonts w:ascii="Arial" w:hAnsi="Arial" w:cs="Arial"/>
          <w:lang w:val="mn-MN"/>
        </w:rPr>
        <w:t>намын төлөөллийн төв байгууллага болон хяналтын байгууллагын бүрэлдэхүүнд ямар нэгэн өөрчлөлт оруулах</w:t>
      </w:r>
      <w:r w:rsidR="00F96383" w:rsidRPr="00227B58">
        <w:rPr>
          <w:rFonts w:ascii="Arial" w:hAnsi="Arial" w:cs="Arial"/>
          <w:lang w:val="mn-MN"/>
        </w:rPr>
        <w:t xml:space="preserve"> тохиолдол бүрд</w:t>
      </w:r>
      <w:r w:rsidRPr="00227B58">
        <w:rPr>
          <w:rFonts w:ascii="Arial" w:hAnsi="Arial" w:cs="Arial"/>
          <w:lang w:val="mn-MN"/>
        </w:rPr>
        <w:t xml:space="preserve"> Намын Их хурлыг тухай бүр зарлан хуралдуулах шаардлага үүсэж байгаа;</w:t>
      </w:r>
    </w:p>
    <w:p w14:paraId="3A58AE3D" w14:textId="6A3E5A55" w:rsidR="00F96383" w:rsidRPr="00227B58" w:rsidRDefault="00F96383" w:rsidP="00F96383">
      <w:pPr>
        <w:numPr>
          <w:ilvl w:val="0"/>
          <w:numId w:val="2"/>
        </w:numPr>
        <w:snapToGrid w:val="0"/>
        <w:spacing w:after="120" w:line="278" w:lineRule="auto"/>
        <w:jc w:val="both"/>
        <w:rPr>
          <w:rFonts w:ascii="Arial" w:hAnsi="Arial" w:cs="Arial"/>
          <w:sz w:val="24"/>
          <w:szCs w:val="24"/>
          <w:lang w:val="mn-MN"/>
        </w:rPr>
      </w:pPr>
      <w:r w:rsidRPr="00227B58">
        <w:rPr>
          <w:rFonts w:ascii="Arial" w:hAnsi="Arial" w:cs="Arial"/>
          <w:sz w:val="24"/>
          <w:szCs w:val="24"/>
          <w:lang w:val="mn-MN"/>
        </w:rPr>
        <w:t>намд өгөх хандивын дээд хэмжээ нь эдийн засгийн өнөөгийн нөхцөл байдал, инфляцын түвшин болон сонгуулийн үйл ажиллагааны бодит зардлын хэрэгцээтэй нийцэхгүй байгаа;</w:t>
      </w:r>
    </w:p>
    <w:p w14:paraId="7F6F33CA" w14:textId="44F14868" w:rsidR="00A04F0F" w:rsidRPr="00227B58" w:rsidRDefault="00A04F0F" w:rsidP="007708D8">
      <w:pPr>
        <w:numPr>
          <w:ilvl w:val="0"/>
          <w:numId w:val="2"/>
        </w:numPr>
        <w:snapToGrid w:val="0"/>
        <w:spacing w:after="120" w:line="278" w:lineRule="auto"/>
        <w:jc w:val="both"/>
        <w:rPr>
          <w:rFonts w:ascii="Arial" w:hAnsi="Arial" w:cs="Arial"/>
          <w:sz w:val="24"/>
          <w:szCs w:val="24"/>
          <w:lang w:val="mn-MN"/>
        </w:rPr>
      </w:pPr>
      <w:r w:rsidRPr="00227B58">
        <w:rPr>
          <w:rFonts w:ascii="Arial" w:hAnsi="Arial" w:cs="Arial"/>
          <w:sz w:val="24"/>
          <w:szCs w:val="24"/>
          <w:lang w:val="mn-MN"/>
        </w:rPr>
        <w:t>хуулийн этгээдийн бие даасан байдлыг хязгаарлаж</w:t>
      </w:r>
      <w:r w:rsidR="007708D8" w:rsidRPr="00227B58">
        <w:rPr>
          <w:rFonts w:ascii="Arial" w:hAnsi="Arial" w:cs="Arial"/>
          <w:sz w:val="24"/>
          <w:szCs w:val="24"/>
          <w:lang w:val="mn-MN"/>
        </w:rPr>
        <w:t xml:space="preserve">, зарим салбарт ялгавартай хандаж, </w:t>
      </w:r>
      <w:r w:rsidRPr="00227B58">
        <w:rPr>
          <w:rFonts w:ascii="Arial" w:hAnsi="Arial" w:cs="Arial"/>
          <w:sz w:val="24"/>
          <w:szCs w:val="24"/>
          <w:lang w:val="mn-MN"/>
        </w:rPr>
        <w:t>Үндсэн хуулийн эрх тэгш байдлын зарчим</w:t>
      </w:r>
      <w:r w:rsidR="007708D8" w:rsidRPr="00227B58">
        <w:rPr>
          <w:rFonts w:ascii="Arial" w:hAnsi="Arial" w:cs="Arial"/>
          <w:sz w:val="24"/>
          <w:szCs w:val="24"/>
          <w:lang w:val="mn-MN"/>
        </w:rPr>
        <w:t xml:space="preserve"> алдагдах</w:t>
      </w:r>
      <w:r w:rsidRPr="00227B58">
        <w:rPr>
          <w:rFonts w:ascii="Arial" w:hAnsi="Arial" w:cs="Arial"/>
          <w:sz w:val="24"/>
          <w:szCs w:val="24"/>
          <w:lang w:val="mn-MN"/>
        </w:rPr>
        <w:t xml:space="preserve"> нөхцөл үүсгэж байгаа зэрэг болно. </w:t>
      </w:r>
    </w:p>
    <w:p w14:paraId="56AB83DA" w14:textId="7871C823" w:rsidR="00F96383" w:rsidRPr="00227B58" w:rsidRDefault="0005110E" w:rsidP="0005110E">
      <w:pPr>
        <w:tabs>
          <w:tab w:val="left" w:pos="709"/>
          <w:tab w:val="center" w:pos="4680"/>
        </w:tabs>
        <w:spacing w:after="120" w:line="240" w:lineRule="auto"/>
        <w:jc w:val="both"/>
        <w:rPr>
          <w:rFonts w:ascii="Arial" w:hAnsi="Arial" w:cs="Arial"/>
          <w:sz w:val="24"/>
          <w:szCs w:val="24"/>
          <w:lang w:val="mn-MN"/>
        </w:rPr>
      </w:pPr>
      <w:r w:rsidRPr="00227B58">
        <w:rPr>
          <w:rFonts w:ascii="Arial" w:hAnsi="Arial" w:cs="Arial"/>
          <w:sz w:val="24"/>
          <w:szCs w:val="24"/>
          <w:lang w:val="mn-MN"/>
        </w:rPr>
        <w:tab/>
      </w:r>
      <w:r w:rsidR="00F96383" w:rsidRPr="00227B58">
        <w:rPr>
          <w:rFonts w:ascii="Arial" w:hAnsi="Arial" w:cs="Arial"/>
          <w:sz w:val="24"/>
          <w:szCs w:val="24"/>
          <w:lang w:val="mn-MN"/>
        </w:rPr>
        <w:tab/>
        <w:t>Иймд Улс төрийн намын тухай хуульд нэмэлт, өөрчлөлт оруулж, улс төрийн намын үйл ажиллагааны бодит хэрэгцээ, Үндсэн хуулийн суурь зарчим, ардчилсан засаглалын шаардлагад нийцүүлэн эрх зүйн зохицуулалтыг боловсронгуй болгох, хэрэгжилтийн явцад үүссэн хүндрэл, хийдлийг арилгах шаардлага бий болсон болно.</w:t>
      </w:r>
    </w:p>
    <w:p w14:paraId="6EDD060A" w14:textId="77777777" w:rsidR="00077193" w:rsidRDefault="0005110E" w:rsidP="0005110E">
      <w:pPr>
        <w:tabs>
          <w:tab w:val="left" w:pos="709"/>
          <w:tab w:val="center" w:pos="4680"/>
        </w:tabs>
        <w:spacing w:after="120" w:line="240" w:lineRule="auto"/>
        <w:jc w:val="both"/>
        <w:rPr>
          <w:rFonts w:ascii="Arial" w:hAnsi="Arial" w:cs="Arial"/>
          <w:b/>
          <w:bCs/>
          <w:sz w:val="24"/>
          <w:szCs w:val="24"/>
          <w:lang w:val="mn-MN"/>
        </w:rPr>
      </w:pPr>
      <w:r w:rsidRPr="00227B58">
        <w:rPr>
          <w:rFonts w:ascii="Arial" w:hAnsi="Arial" w:cs="Arial"/>
          <w:b/>
          <w:bCs/>
          <w:sz w:val="24"/>
          <w:szCs w:val="24"/>
          <w:lang w:val="mn-MN"/>
        </w:rPr>
        <w:tab/>
      </w:r>
    </w:p>
    <w:p w14:paraId="446BD427" w14:textId="77777777" w:rsidR="00077193" w:rsidRDefault="00077193" w:rsidP="0005110E">
      <w:pPr>
        <w:tabs>
          <w:tab w:val="left" w:pos="709"/>
          <w:tab w:val="center" w:pos="4680"/>
        </w:tabs>
        <w:spacing w:after="120" w:line="240" w:lineRule="auto"/>
        <w:jc w:val="both"/>
        <w:rPr>
          <w:rFonts w:ascii="Arial" w:hAnsi="Arial" w:cs="Arial"/>
          <w:b/>
          <w:bCs/>
          <w:sz w:val="24"/>
          <w:szCs w:val="24"/>
          <w:lang w:val="mn-MN"/>
        </w:rPr>
      </w:pPr>
    </w:p>
    <w:p w14:paraId="4E872B6D" w14:textId="77777777" w:rsidR="008A1559" w:rsidRDefault="008A1559" w:rsidP="0005110E">
      <w:pPr>
        <w:tabs>
          <w:tab w:val="left" w:pos="709"/>
          <w:tab w:val="center" w:pos="4680"/>
        </w:tabs>
        <w:spacing w:after="120" w:line="240" w:lineRule="auto"/>
        <w:jc w:val="both"/>
        <w:rPr>
          <w:rFonts w:ascii="Arial" w:hAnsi="Arial" w:cs="Arial"/>
          <w:b/>
          <w:bCs/>
          <w:sz w:val="24"/>
          <w:szCs w:val="24"/>
          <w:lang w:val="mn-MN"/>
        </w:rPr>
      </w:pPr>
    </w:p>
    <w:p w14:paraId="6071B4D0" w14:textId="303D8D8B" w:rsidR="0005110E" w:rsidRPr="00227B58" w:rsidRDefault="0005110E" w:rsidP="0005110E">
      <w:pPr>
        <w:tabs>
          <w:tab w:val="left" w:pos="709"/>
          <w:tab w:val="center" w:pos="4680"/>
        </w:tabs>
        <w:spacing w:after="120" w:line="240" w:lineRule="auto"/>
        <w:jc w:val="both"/>
        <w:rPr>
          <w:rFonts w:ascii="Arial" w:hAnsi="Arial" w:cs="Arial"/>
          <w:b/>
          <w:bCs/>
          <w:sz w:val="24"/>
          <w:szCs w:val="24"/>
          <w:lang w:val="mn-MN"/>
        </w:rPr>
      </w:pPr>
      <w:r w:rsidRPr="00227B58">
        <w:rPr>
          <w:rFonts w:ascii="Arial" w:hAnsi="Arial" w:cs="Arial"/>
          <w:b/>
          <w:bCs/>
          <w:sz w:val="24"/>
          <w:szCs w:val="24"/>
          <w:lang w:val="mn-MN"/>
        </w:rPr>
        <w:lastRenderedPageBreak/>
        <w:t xml:space="preserve">Хоёр.Хуулийн төслийн зорилго </w:t>
      </w:r>
    </w:p>
    <w:p w14:paraId="05328009" w14:textId="77777777" w:rsidR="0005110E" w:rsidRPr="00227B58" w:rsidRDefault="0005110E" w:rsidP="0005110E">
      <w:pPr>
        <w:tabs>
          <w:tab w:val="left" w:pos="709"/>
          <w:tab w:val="center" w:pos="4680"/>
        </w:tabs>
        <w:snapToGrid w:val="0"/>
        <w:spacing w:after="120" w:line="240" w:lineRule="auto"/>
        <w:jc w:val="both"/>
        <w:rPr>
          <w:rFonts w:ascii="Arial" w:hAnsi="Arial" w:cs="Arial"/>
          <w:sz w:val="24"/>
          <w:szCs w:val="24"/>
          <w:lang w:val="mn-MN"/>
        </w:rPr>
      </w:pPr>
      <w:r w:rsidRPr="00227B58">
        <w:rPr>
          <w:rFonts w:ascii="Arial" w:hAnsi="Arial" w:cs="Arial"/>
          <w:sz w:val="24"/>
          <w:szCs w:val="24"/>
          <w:lang w:val="mn-MN"/>
        </w:rPr>
        <w:tab/>
        <w:t>Хуулийн төслийн зорилго нь улс төрийн намын дотоод зохион байгуулалт, санхүүжилтийн эрх зүйн орчныг боловсронгуй болгож, улс төрийн намын хэвийн, тасралтгүй, ил тод үйл ажиллагааг хангахын зэрэгцээ иргэн, хуулийн этгээдийн улс төрийн оролцооны эрхийг Үндсэн хуульд нийцүүлэн тэнцвэртэйгээр хангахад оршино.</w:t>
      </w:r>
    </w:p>
    <w:p w14:paraId="7D667F08" w14:textId="77777777" w:rsidR="0005110E" w:rsidRPr="00227B58" w:rsidRDefault="0005110E" w:rsidP="0005110E">
      <w:pPr>
        <w:snapToGrid w:val="0"/>
        <w:spacing w:after="120"/>
        <w:ind w:firstLine="720"/>
        <w:rPr>
          <w:rFonts w:ascii="Arial" w:hAnsi="Arial" w:cs="Arial"/>
          <w:b/>
          <w:bCs/>
          <w:sz w:val="24"/>
          <w:szCs w:val="24"/>
          <w:lang w:val="mn-MN"/>
        </w:rPr>
      </w:pPr>
      <w:r w:rsidRPr="00227B58">
        <w:rPr>
          <w:rFonts w:ascii="Arial" w:hAnsi="Arial" w:cs="Arial"/>
          <w:b/>
          <w:bCs/>
          <w:sz w:val="24"/>
          <w:szCs w:val="24"/>
          <w:lang w:val="mn-MN"/>
        </w:rPr>
        <w:t>Гурав.Хуулийн төслийн зохицуулах харилцаа, хамрах хүрээ</w:t>
      </w:r>
    </w:p>
    <w:p w14:paraId="602444B9" w14:textId="77777777" w:rsidR="0005110E" w:rsidRPr="00227B58" w:rsidRDefault="0005110E" w:rsidP="0005110E">
      <w:pPr>
        <w:snapToGrid w:val="0"/>
        <w:spacing w:after="120"/>
        <w:rPr>
          <w:rFonts w:ascii="Arial" w:hAnsi="Arial" w:cs="Arial"/>
          <w:sz w:val="24"/>
          <w:szCs w:val="24"/>
          <w:lang w:val="mn-MN"/>
        </w:rPr>
      </w:pPr>
      <w:r w:rsidRPr="00227B58">
        <w:rPr>
          <w:rFonts w:ascii="Arial" w:hAnsi="Arial" w:cs="Arial"/>
          <w:sz w:val="24"/>
          <w:szCs w:val="24"/>
          <w:lang w:val="mn-MN"/>
        </w:rPr>
        <w:t>Хуулийн төсөл нь дараах үндсэн харилцааг зохицуулна:</w:t>
      </w:r>
    </w:p>
    <w:p w14:paraId="6A6D5FEC" w14:textId="77777777" w:rsidR="0005110E" w:rsidRPr="00227B58" w:rsidRDefault="0005110E" w:rsidP="0005110E">
      <w:pPr>
        <w:ind w:firstLine="720"/>
        <w:jc w:val="both"/>
        <w:rPr>
          <w:rFonts w:ascii="Arial" w:hAnsi="Arial" w:cs="Arial"/>
          <w:b/>
          <w:bCs/>
          <w:sz w:val="24"/>
          <w:szCs w:val="24"/>
          <w:lang w:val="mn-MN"/>
        </w:rPr>
      </w:pPr>
      <w:r w:rsidRPr="00227B58">
        <w:rPr>
          <w:rFonts w:ascii="Arial" w:hAnsi="Arial" w:cs="Arial"/>
          <w:b/>
          <w:sz w:val="24"/>
          <w:szCs w:val="24"/>
          <w:lang w:val="mn-MN"/>
        </w:rPr>
        <w:t>3.1</w:t>
      </w:r>
      <w:r w:rsidRPr="00227B58">
        <w:rPr>
          <w:rFonts w:ascii="Arial" w:hAnsi="Arial" w:cs="Arial"/>
          <w:b/>
          <w:bCs/>
          <w:sz w:val="24"/>
          <w:szCs w:val="24"/>
          <w:lang w:val="mn-MN"/>
        </w:rPr>
        <w:t>.Намын орон нутгийн байгууллагын санхүүгийн үйл ажиллагааны бие даасан байдлыг хангах</w:t>
      </w:r>
    </w:p>
    <w:p w14:paraId="76A484BD" w14:textId="78096642" w:rsidR="00F96383" w:rsidRPr="00F96383" w:rsidRDefault="00F96383" w:rsidP="00F96383">
      <w:pPr>
        <w:ind w:firstLine="720"/>
        <w:jc w:val="both"/>
        <w:rPr>
          <w:rFonts w:ascii="Arial" w:hAnsi="Arial" w:cs="Arial"/>
          <w:sz w:val="24"/>
          <w:szCs w:val="24"/>
          <w:lang w:val="mn-MN"/>
        </w:rPr>
      </w:pPr>
      <w:r w:rsidRPr="00F96383">
        <w:rPr>
          <w:rFonts w:ascii="Arial" w:hAnsi="Arial" w:cs="Arial"/>
          <w:sz w:val="24"/>
          <w:szCs w:val="24"/>
          <w:lang w:val="mn-MN"/>
        </w:rPr>
        <w:t>Аймаг, нийслэл, дүүргийн намын байгууллагад тус бүр нэг банкны данс эзэмших эрх олгож, өдөр тутмын үйл ажиллагааг төвлөрсөн бус, шуурхай байдлаар хэрэгжүүлэх эрх зүйн боломжийг бүрдүүлнэ. Энэхүү зохицуулалтын үр дүнд орон нутгийн намын байгууллагын үйл ажиллагааны бие даасан байдал хангагдаж, төв байгууллагын ачаалал буурахын зэрэгцээ засаг захиргаа, нутаг дэвсгэрийн нэгжийн өөрөө удирдах зарчимтай нийц</w:t>
      </w:r>
      <w:r w:rsidRPr="00227B58">
        <w:rPr>
          <w:rFonts w:ascii="Arial" w:hAnsi="Arial" w:cs="Arial"/>
          <w:sz w:val="24"/>
          <w:szCs w:val="24"/>
          <w:lang w:val="mn-MN"/>
        </w:rPr>
        <w:t>эх</w:t>
      </w:r>
      <w:r w:rsidRPr="00F96383">
        <w:rPr>
          <w:rFonts w:ascii="Arial" w:hAnsi="Arial" w:cs="Arial"/>
          <w:sz w:val="24"/>
          <w:szCs w:val="24"/>
          <w:lang w:val="mn-MN"/>
        </w:rPr>
        <w:t xml:space="preserve"> нөхцөл бүрдэнэ. Мөн санхүүгийн ил тод байдал, хариуцлагыг хадгалан үйл ажиллагааны үр ашгийг дээшлүүлэх ач холбогдолтой.</w:t>
      </w:r>
    </w:p>
    <w:p w14:paraId="245DA25D" w14:textId="4400C99A" w:rsidR="00402E68" w:rsidRPr="00227B58" w:rsidRDefault="0005110E" w:rsidP="00402E68">
      <w:pPr>
        <w:ind w:firstLine="720"/>
        <w:jc w:val="both"/>
        <w:rPr>
          <w:rFonts w:ascii="Arial" w:hAnsi="Arial" w:cs="Arial"/>
          <w:b/>
          <w:bCs/>
          <w:sz w:val="24"/>
          <w:szCs w:val="24"/>
          <w:lang w:val="mn-MN"/>
        </w:rPr>
      </w:pPr>
      <w:r w:rsidRPr="00227B58">
        <w:rPr>
          <w:rFonts w:ascii="Arial" w:hAnsi="Arial" w:cs="Arial"/>
          <w:b/>
          <w:bCs/>
          <w:sz w:val="24"/>
          <w:szCs w:val="24"/>
          <w:lang w:val="mn-MN"/>
        </w:rPr>
        <w:t>3.2.</w:t>
      </w:r>
      <w:r w:rsidR="00402E68" w:rsidRPr="00227B58">
        <w:rPr>
          <w:rFonts w:ascii="Arial" w:hAnsi="Arial" w:cs="Arial"/>
          <w:b/>
          <w:bCs/>
          <w:sz w:val="24"/>
          <w:szCs w:val="24"/>
          <w:lang w:val="mn-MN"/>
        </w:rPr>
        <w:t xml:space="preserve"> Намын шийдвэр гаргах үйл ажиллагааны шуурхай байдлыг нэмэгдүүлэх</w:t>
      </w:r>
    </w:p>
    <w:p w14:paraId="263040FD" w14:textId="16ABFF44" w:rsidR="00F96383" w:rsidRPr="00F96383" w:rsidRDefault="00F96383" w:rsidP="00F96383">
      <w:pPr>
        <w:ind w:firstLine="720"/>
        <w:jc w:val="both"/>
        <w:rPr>
          <w:rFonts w:ascii="Arial" w:hAnsi="Arial" w:cs="Arial"/>
          <w:sz w:val="24"/>
          <w:szCs w:val="24"/>
          <w:lang w:val="mn-MN"/>
        </w:rPr>
      </w:pPr>
      <w:r w:rsidRPr="00F96383">
        <w:rPr>
          <w:rFonts w:ascii="Arial" w:hAnsi="Arial" w:cs="Arial"/>
          <w:sz w:val="24"/>
          <w:szCs w:val="24"/>
          <w:lang w:val="mn-MN"/>
        </w:rPr>
        <w:t>Намын төлөөллийн төв байгууллагад шинээр болон нөхөн сонгогдсон гишүүдийг батламжлах асуудлыг Намын Их Хурлаар тухай бүр хэлэлцүүлэхгүйгээр төлөөллийн төв байгууллагын нийт гишүүдийн дийлэнх олонхын саналаар шийдвэрлэх эрх зүйн нөхцөлийг бүрдүүлнэ. Ингэснээр намын дотоод үйл ажиллагааны тасралтгүй байдал хангагдаж, шийдвэр гаргах ажиллагааны шуурхай</w:t>
      </w:r>
      <w:r w:rsidR="00360B0F" w:rsidRPr="00227B58">
        <w:rPr>
          <w:rFonts w:ascii="Arial" w:hAnsi="Arial" w:cs="Arial"/>
          <w:sz w:val="24"/>
          <w:szCs w:val="24"/>
          <w:lang w:val="mn-MN"/>
        </w:rPr>
        <w:t xml:space="preserve"> байдал</w:t>
      </w:r>
      <w:r w:rsidRPr="00F96383">
        <w:rPr>
          <w:rFonts w:ascii="Arial" w:hAnsi="Arial" w:cs="Arial"/>
          <w:sz w:val="24"/>
          <w:szCs w:val="24"/>
          <w:lang w:val="mn-MN"/>
        </w:rPr>
        <w:t>, үр нөлөө нэмэгдэхийн зэрэгцээ зохион байгуулалтын болон санхүүгийн зардал буурна. Түүнчлэн эвлэлдэн нэгдэх эрхийг хэрэгжүүлэх институ</w:t>
      </w:r>
      <w:r w:rsidR="00077193">
        <w:rPr>
          <w:rFonts w:ascii="Arial" w:hAnsi="Arial" w:cs="Arial"/>
          <w:sz w:val="24"/>
          <w:szCs w:val="24"/>
          <w:lang w:val="mn-MN"/>
        </w:rPr>
        <w:t>т</w:t>
      </w:r>
      <w:r w:rsidRPr="00F96383">
        <w:rPr>
          <w:rFonts w:ascii="Arial" w:hAnsi="Arial" w:cs="Arial"/>
          <w:sz w:val="24"/>
          <w:szCs w:val="24"/>
          <w:lang w:val="mn-MN"/>
        </w:rPr>
        <w:t>ийн үр нөлөөг дээшлүүлж, Үндсэн хуульд заасан ардчилсан ёс, өөрөө удирдах зарчимтай нийцсэн зохицуулалт бүрдэнэ.</w:t>
      </w:r>
    </w:p>
    <w:p w14:paraId="545A84FF" w14:textId="5871F13C" w:rsidR="0005110E" w:rsidRPr="00227B58" w:rsidRDefault="00904F5C" w:rsidP="0005110E">
      <w:pPr>
        <w:ind w:firstLine="720"/>
        <w:rPr>
          <w:rFonts w:ascii="Arial" w:hAnsi="Arial" w:cs="Arial"/>
          <w:b/>
          <w:bCs/>
          <w:sz w:val="24"/>
          <w:szCs w:val="24"/>
          <w:lang w:val="mn-MN"/>
        </w:rPr>
      </w:pPr>
      <w:r w:rsidRPr="00227B58">
        <w:rPr>
          <w:rFonts w:ascii="Arial" w:hAnsi="Arial" w:cs="Arial"/>
          <w:b/>
          <w:bCs/>
          <w:sz w:val="24"/>
          <w:szCs w:val="24"/>
          <w:lang w:val="mn-MN"/>
        </w:rPr>
        <w:t>3.3.</w:t>
      </w:r>
      <w:r w:rsidR="0005110E" w:rsidRPr="00227B58">
        <w:rPr>
          <w:rFonts w:ascii="Arial" w:hAnsi="Arial" w:cs="Arial"/>
          <w:b/>
          <w:bCs/>
          <w:sz w:val="24"/>
          <w:szCs w:val="24"/>
          <w:lang w:val="mn-MN"/>
        </w:rPr>
        <w:t>Намын санхүүжилтийн зохицуулалтыг бодит байдалтай нийцүүлэх</w:t>
      </w:r>
    </w:p>
    <w:p w14:paraId="523FBD3D" w14:textId="3FD3105E" w:rsidR="00360B0F" w:rsidRPr="00360B0F" w:rsidRDefault="00360B0F" w:rsidP="00360B0F">
      <w:pPr>
        <w:ind w:firstLine="720"/>
        <w:jc w:val="both"/>
        <w:rPr>
          <w:rFonts w:ascii="Arial" w:hAnsi="Arial" w:cs="Arial"/>
          <w:sz w:val="24"/>
          <w:szCs w:val="24"/>
          <w:lang w:val="mn-MN"/>
        </w:rPr>
      </w:pPr>
      <w:r w:rsidRPr="00360B0F">
        <w:rPr>
          <w:rFonts w:ascii="Arial" w:hAnsi="Arial" w:cs="Arial"/>
          <w:sz w:val="24"/>
          <w:szCs w:val="24"/>
          <w:lang w:val="mn-MN"/>
        </w:rPr>
        <w:t>Иргэн, хуулийн этгээдээс улс төрийн намд өгөх хандивын хэмжээг эдийн засгийн өнөөгийн нөхцөл байдал, инфляцын түвшин болон сонгуулийн үйл ажиллагааны бодит зардлын хэрэгцээтэй уялдуулан шинэчлэн тогтооно. Мөн</w:t>
      </w:r>
      <w:r w:rsidRPr="00227B58">
        <w:rPr>
          <w:rFonts w:ascii="Arial" w:hAnsi="Arial" w:cs="Arial"/>
          <w:sz w:val="24"/>
          <w:szCs w:val="24"/>
          <w:lang w:val="mn-MN"/>
        </w:rPr>
        <w:t xml:space="preserve"> “Компанийн тухай хууль”-д заасан бие даасан хуулийн этгээдийн зарчимтай нийцүүлнэ.</w:t>
      </w:r>
    </w:p>
    <w:p w14:paraId="2700C652" w14:textId="77777777" w:rsidR="00360B0F" w:rsidRPr="00360B0F" w:rsidRDefault="00360B0F" w:rsidP="00360B0F">
      <w:pPr>
        <w:ind w:firstLine="720"/>
        <w:jc w:val="both"/>
        <w:rPr>
          <w:rFonts w:ascii="Arial" w:hAnsi="Arial" w:cs="Arial"/>
          <w:sz w:val="24"/>
          <w:szCs w:val="24"/>
          <w:lang w:val="mn-MN"/>
        </w:rPr>
      </w:pPr>
      <w:r w:rsidRPr="00360B0F">
        <w:rPr>
          <w:rFonts w:ascii="Arial" w:hAnsi="Arial" w:cs="Arial"/>
          <w:sz w:val="24"/>
          <w:szCs w:val="24"/>
          <w:lang w:val="mn-MN"/>
        </w:rPr>
        <w:t>Энэхүү зохицуулалтын үр дүнд хууль ёсны санхүүжилтийн эх үүсвэрийг дэмжих, санхүүгийн ил тод байдал, тайлагнал, аудит, хяналтын тогтолцоог боловсронгуй болгох, далд болон хууль бус санхүүжилтийн эрсдэлийг бууруулах нөхцөл бүрдэнэ. Түүнчлэн иргэн, хуулийн этгээдийн улс төрийн оролцоог эрх тэгш хангах, компанийн эрх зүйн бие даасан байдлыг хамгаалах, ойлгомжтой бөгөөд хэрэгжих боломжтой эрх зүйн зохицуулалтыг бий болгох ач холбогдолтой.</w:t>
      </w:r>
    </w:p>
    <w:p w14:paraId="6704186D" w14:textId="1A7F20E2" w:rsidR="0005110E" w:rsidRPr="00227B58" w:rsidRDefault="0005110E" w:rsidP="0005110E">
      <w:pPr>
        <w:ind w:firstLine="720"/>
        <w:rPr>
          <w:rFonts w:ascii="Arial" w:hAnsi="Arial" w:cs="Arial"/>
          <w:b/>
          <w:bCs/>
          <w:sz w:val="24"/>
          <w:szCs w:val="24"/>
          <w:lang w:val="mn-MN"/>
        </w:rPr>
      </w:pPr>
      <w:r w:rsidRPr="00227B58">
        <w:rPr>
          <w:rFonts w:ascii="Arial" w:hAnsi="Arial" w:cs="Arial"/>
          <w:b/>
          <w:bCs/>
          <w:sz w:val="24"/>
          <w:szCs w:val="24"/>
          <w:lang w:val="mn-MN"/>
        </w:rPr>
        <w:t>Дөрөв.Хуулийн төсөл батлагдсанаар гарах үр дүн</w:t>
      </w:r>
    </w:p>
    <w:p w14:paraId="232A0AA8" w14:textId="77777777" w:rsidR="0005110E" w:rsidRPr="00227B58" w:rsidRDefault="0005110E" w:rsidP="0005110E">
      <w:pPr>
        <w:snapToGrid w:val="0"/>
        <w:spacing w:after="120"/>
        <w:ind w:firstLine="720"/>
        <w:rPr>
          <w:rFonts w:ascii="Arial" w:hAnsi="Arial" w:cs="Arial"/>
          <w:sz w:val="24"/>
          <w:szCs w:val="24"/>
          <w:lang w:val="mn-MN"/>
        </w:rPr>
      </w:pPr>
      <w:r w:rsidRPr="00227B58">
        <w:rPr>
          <w:rFonts w:ascii="Arial" w:hAnsi="Arial" w:cs="Arial"/>
          <w:sz w:val="24"/>
          <w:szCs w:val="24"/>
          <w:lang w:val="mn-MN"/>
        </w:rPr>
        <w:t>Хуулийн төсөл батлагдсанаар дараах үр дүн гарна: Үүнд:</w:t>
      </w:r>
    </w:p>
    <w:p w14:paraId="24A2AFD5" w14:textId="77777777" w:rsidR="00227B58" w:rsidRPr="00227B58" w:rsidRDefault="00227B58" w:rsidP="00227B58">
      <w:pPr>
        <w:pStyle w:val="ListParagraph"/>
        <w:numPr>
          <w:ilvl w:val="0"/>
          <w:numId w:val="2"/>
        </w:numPr>
        <w:snapToGrid w:val="0"/>
        <w:spacing w:after="120"/>
        <w:contextualSpacing w:val="0"/>
        <w:jc w:val="both"/>
        <w:rPr>
          <w:rFonts w:ascii="Arial" w:hAnsi="Arial" w:cs="Arial"/>
          <w:lang w:val="mn-MN"/>
        </w:rPr>
      </w:pPr>
      <w:r w:rsidRPr="00227B58">
        <w:rPr>
          <w:rFonts w:ascii="Arial" w:hAnsi="Arial" w:cs="Arial"/>
          <w:lang w:val="mn-MN"/>
        </w:rPr>
        <w:t>Орон нутгийн намын байгууллагын санхүүгийн үйл ажиллагааны бие даасан байдал хангагдаж, өдөр тутмын үйл ажиллагааны хэвийн нөхцөл сайжирна;</w:t>
      </w:r>
    </w:p>
    <w:p w14:paraId="07D78221" w14:textId="6B9C7108" w:rsidR="00360B0F" w:rsidRPr="00227B58" w:rsidRDefault="0005110E" w:rsidP="00227B58">
      <w:pPr>
        <w:pStyle w:val="ListParagraph"/>
        <w:numPr>
          <w:ilvl w:val="0"/>
          <w:numId w:val="2"/>
        </w:numPr>
        <w:snapToGrid w:val="0"/>
        <w:spacing w:after="120"/>
        <w:contextualSpacing w:val="0"/>
        <w:jc w:val="both"/>
        <w:rPr>
          <w:rFonts w:ascii="Arial" w:hAnsi="Arial" w:cs="Arial"/>
          <w:lang w:val="mn-MN"/>
        </w:rPr>
      </w:pPr>
      <w:r w:rsidRPr="00227B58">
        <w:rPr>
          <w:rFonts w:ascii="Arial" w:hAnsi="Arial" w:cs="Arial"/>
          <w:lang w:val="mn-MN"/>
        </w:rPr>
        <w:lastRenderedPageBreak/>
        <w:t>У</w:t>
      </w:r>
      <w:r w:rsidR="00360B0F" w:rsidRPr="00227B58">
        <w:rPr>
          <w:rFonts w:ascii="Arial" w:hAnsi="Arial" w:cs="Arial"/>
          <w:lang w:val="mn-MN"/>
        </w:rPr>
        <w:t>лс төрийн намын дотоод зохион байгуулалт боловсронгуй болж, шийдвэр гаргах үйл ажиллагааны шуурхай</w:t>
      </w:r>
      <w:r w:rsidR="00227B58" w:rsidRPr="00227B58">
        <w:rPr>
          <w:rFonts w:ascii="Arial" w:hAnsi="Arial" w:cs="Arial"/>
          <w:lang w:val="mn-MN"/>
        </w:rPr>
        <w:t xml:space="preserve"> байдал</w:t>
      </w:r>
      <w:r w:rsidR="00360B0F" w:rsidRPr="00227B58">
        <w:rPr>
          <w:rFonts w:ascii="Arial" w:hAnsi="Arial" w:cs="Arial"/>
          <w:lang w:val="mn-MN"/>
        </w:rPr>
        <w:t xml:space="preserve"> нэмэгдэнэ;</w:t>
      </w:r>
    </w:p>
    <w:p w14:paraId="3749B8BB" w14:textId="540F3D25" w:rsidR="00227B58" w:rsidRPr="00227B58" w:rsidRDefault="00227B58" w:rsidP="00227B58">
      <w:pPr>
        <w:pStyle w:val="ListParagraph"/>
        <w:numPr>
          <w:ilvl w:val="0"/>
          <w:numId w:val="2"/>
        </w:numPr>
        <w:snapToGrid w:val="0"/>
        <w:spacing w:after="120"/>
        <w:contextualSpacing w:val="0"/>
        <w:rPr>
          <w:rFonts w:ascii="Arial" w:hAnsi="Arial" w:cs="Arial"/>
          <w:lang w:val="mn-MN"/>
        </w:rPr>
      </w:pPr>
      <w:r w:rsidRPr="00227B58">
        <w:rPr>
          <w:rFonts w:ascii="Arial" w:hAnsi="Arial" w:cs="Arial"/>
          <w:lang w:val="mn-MN"/>
        </w:rPr>
        <w:t>Улс төрийн намын с</w:t>
      </w:r>
      <w:r w:rsidRPr="00360B0F">
        <w:rPr>
          <w:rFonts w:ascii="Arial" w:hAnsi="Arial" w:cs="Arial"/>
          <w:lang w:val="mn-MN"/>
        </w:rPr>
        <w:t xml:space="preserve">анхүүгийн </w:t>
      </w:r>
      <w:r w:rsidRPr="00227B58">
        <w:rPr>
          <w:rFonts w:ascii="Arial" w:hAnsi="Arial" w:cs="Arial"/>
          <w:lang w:val="mn-MN"/>
        </w:rPr>
        <w:t xml:space="preserve">ил тод байдал, </w:t>
      </w:r>
      <w:r w:rsidRPr="00360B0F">
        <w:rPr>
          <w:rFonts w:ascii="Arial" w:hAnsi="Arial" w:cs="Arial"/>
          <w:lang w:val="mn-MN"/>
        </w:rPr>
        <w:t>тайлагнал,</w:t>
      </w:r>
      <w:r w:rsidRPr="00227B58">
        <w:rPr>
          <w:rFonts w:ascii="Arial" w:hAnsi="Arial" w:cs="Arial"/>
          <w:lang w:val="mn-MN"/>
        </w:rPr>
        <w:t xml:space="preserve"> </w:t>
      </w:r>
      <w:r w:rsidRPr="00360B0F">
        <w:rPr>
          <w:rFonts w:ascii="Arial" w:hAnsi="Arial" w:cs="Arial"/>
          <w:lang w:val="mn-MN"/>
        </w:rPr>
        <w:t>хяналт, аудитын үр нөлөө дээшилж, далд болон хууль бус санхүүжилтийн эрсдэлийг бууруул</w:t>
      </w:r>
      <w:r w:rsidRPr="00227B58">
        <w:rPr>
          <w:rFonts w:ascii="Arial" w:hAnsi="Arial" w:cs="Arial"/>
          <w:lang w:val="mn-MN"/>
        </w:rPr>
        <w:t>на</w:t>
      </w:r>
      <w:r w:rsidRPr="00360B0F">
        <w:rPr>
          <w:rFonts w:ascii="Arial" w:hAnsi="Arial" w:cs="Arial"/>
          <w:lang w:val="mn-MN"/>
        </w:rPr>
        <w:t>;</w:t>
      </w:r>
    </w:p>
    <w:p w14:paraId="5AFC4DB8" w14:textId="77777777" w:rsidR="0005110E" w:rsidRPr="00227B58" w:rsidRDefault="0005110E" w:rsidP="00227B58">
      <w:pPr>
        <w:pStyle w:val="ListParagraph"/>
        <w:numPr>
          <w:ilvl w:val="0"/>
          <w:numId w:val="2"/>
        </w:numPr>
        <w:snapToGrid w:val="0"/>
        <w:spacing w:after="120"/>
        <w:ind w:left="-90" w:firstLine="450"/>
        <w:contextualSpacing w:val="0"/>
        <w:jc w:val="both"/>
        <w:rPr>
          <w:rFonts w:ascii="Arial" w:hAnsi="Arial" w:cs="Arial"/>
          <w:lang w:val="mn-MN"/>
        </w:rPr>
      </w:pPr>
      <w:r w:rsidRPr="00227B58">
        <w:rPr>
          <w:rFonts w:ascii="Arial" w:hAnsi="Arial" w:cs="Arial"/>
          <w:lang w:val="mn-MN"/>
        </w:rPr>
        <w:t>Иргэн, хуулийн этгээдийн улс төрийн оролцооны эрхийн хэрэгжилт сайжрахаас гадна Үндсэн хуулийн эрх тэгш байдал, эвлэлдэн нэгдэх эрх, шударга ёсны зарчим илүү хангагдана.</w:t>
      </w:r>
    </w:p>
    <w:p w14:paraId="1C3E6AC8" w14:textId="77777777" w:rsidR="0005110E" w:rsidRPr="00227B58" w:rsidRDefault="0005110E" w:rsidP="0005110E">
      <w:pPr>
        <w:ind w:left="-90" w:firstLine="720"/>
        <w:jc w:val="both"/>
        <w:rPr>
          <w:rFonts w:ascii="Arial" w:hAnsi="Arial" w:cs="Arial"/>
          <w:b/>
          <w:bCs/>
          <w:sz w:val="24"/>
          <w:szCs w:val="24"/>
          <w:lang w:val="mn-MN"/>
        </w:rPr>
      </w:pPr>
      <w:r w:rsidRPr="00227B58">
        <w:rPr>
          <w:rFonts w:ascii="Arial" w:hAnsi="Arial" w:cs="Arial"/>
          <w:b/>
          <w:bCs/>
          <w:sz w:val="24"/>
          <w:szCs w:val="24"/>
          <w:lang w:val="mn-MN"/>
        </w:rPr>
        <w:t>Тав.Хуулийн төсөл Монгол Улсын Үндсэн хууль болон бусад хуультай нийцэх байдал</w:t>
      </w:r>
    </w:p>
    <w:p w14:paraId="21934A75" w14:textId="77777777" w:rsidR="0005110E" w:rsidRPr="00227B58" w:rsidRDefault="0005110E" w:rsidP="0005110E">
      <w:pPr>
        <w:snapToGrid w:val="0"/>
        <w:spacing w:after="120"/>
        <w:rPr>
          <w:rFonts w:ascii="Arial" w:hAnsi="Arial" w:cs="Arial"/>
          <w:sz w:val="24"/>
          <w:szCs w:val="24"/>
          <w:lang w:val="mn-MN"/>
        </w:rPr>
      </w:pPr>
      <w:r w:rsidRPr="00227B58">
        <w:rPr>
          <w:rFonts w:ascii="Arial" w:hAnsi="Arial" w:cs="Arial"/>
          <w:sz w:val="24"/>
          <w:szCs w:val="24"/>
          <w:lang w:val="mn-MN"/>
        </w:rPr>
        <w:t>Энэхүү хуулийн төсөл нь Монгол Улсын Үндсэн хуулийн:</w:t>
      </w:r>
    </w:p>
    <w:p w14:paraId="2A9C2F24" w14:textId="77777777" w:rsidR="0005110E" w:rsidRPr="00227B58" w:rsidRDefault="0005110E" w:rsidP="0005110E">
      <w:pPr>
        <w:pStyle w:val="ListParagraph"/>
        <w:numPr>
          <w:ilvl w:val="0"/>
          <w:numId w:val="2"/>
        </w:numPr>
        <w:snapToGrid w:val="0"/>
        <w:spacing w:after="120"/>
        <w:contextualSpacing w:val="0"/>
        <w:jc w:val="both"/>
        <w:rPr>
          <w:rFonts w:ascii="Arial" w:hAnsi="Arial" w:cs="Arial"/>
          <w:lang w:val="mn-MN"/>
        </w:rPr>
      </w:pPr>
      <w:r w:rsidRPr="00227B58">
        <w:rPr>
          <w:rFonts w:ascii="Arial" w:hAnsi="Arial" w:cs="Arial"/>
          <w:lang w:val="mn-MN"/>
        </w:rPr>
        <w:t xml:space="preserve">Нэгдүгээр зүйлийн 2 дахь хэсэгт заасан ардчилал, шударга ёс, тэгш байдлын зарчим; </w:t>
      </w:r>
    </w:p>
    <w:p w14:paraId="44C93A3D" w14:textId="77777777" w:rsidR="0005110E" w:rsidRPr="00227B58" w:rsidRDefault="0005110E" w:rsidP="0005110E">
      <w:pPr>
        <w:pStyle w:val="ListParagraph"/>
        <w:numPr>
          <w:ilvl w:val="0"/>
          <w:numId w:val="2"/>
        </w:numPr>
        <w:snapToGrid w:val="0"/>
        <w:spacing w:after="120"/>
        <w:contextualSpacing w:val="0"/>
        <w:rPr>
          <w:rFonts w:ascii="Arial" w:hAnsi="Arial" w:cs="Arial"/>
          <w:lang w:val="mn-MN"/>
        </w:rPr>
      </w:pPr>
      <w:r w:rsidRPr="00227B58">
        <w:rPr>
          <w:rFonts w:ascii="Arial" w:hAnsi="Arial" w:cs="Arial"/>
          <w:lang w:val="mn-MN"/>
        </w:rPr>
        <w:t xml:space="preserve">Арван дөрөвдүгээр зүйлд заасан эрх тэгш байдлын зарчим; </w:t>
      </w:r>
    </w:p>
    <w:p w14:paraId="76CC1EE8" w14:textId="77777777" w:rsidR="0005110E" w:rsidRPr="00227B58" w:rsidRDefault="0005110E" w:rsidP="0005110E">
      <w:pPr>
        <w:pStyle w:val="ListParagraph"/>
        <w:numPr>
          <w:ilvl w:val="0"/>
          <w:numId w:val="2"/>
        </w:numPr>
        <w:snapToGrid w:val="0"/>
        <w:spacing w:after="120"/>
        <w:contextualSpacing w:val="0"/>
        <w:rPr>
          <w:rFonts w:ascii="Arial" w:hAnsi="Arial" w:cs="Arial"/>
          <w:lang w:val="mn-MN"/>
        </w:rPr>
      </w:pPr>
      <w:r w:rsidRPr="00227B58">
        <w:rPr>
          <w:rFonts w:ascii="Arial" w:hAnsi="Arial" w:cs="Arial"/>
          <w:lang w:val="mn-MN"/>
        </w:rPr>
        <w:t xml:space="preserve">Арван зургаадугаар зүйлийн 10 дахь хэсэгт заасан эвлэлдэн нэгдэх эрх; </w:t>
      </w:r>
    </w:p>
    <w:p w14:paraId="0FCAA7F0" w14:textId="77777777" w:rsidR="0005110E" w:rsidRPr="00227B58" w:rsidRDefault="0005110E" w:rsidP="0005110E">
      <w:pPr>
        <w:pStyle w:val="ListParagraph"/>
        <w:numPr>
          <w:ilvl w:val="0"/>
          <w:numId w:val="2"/>
        </w:numPr>
        <w:snapToGrid w:val="0"/>
        <w:spacing w:after="120"/>
        <w:ind w:left="0" w:firstLine="360"/>
        <w:contextualSpacing w:val="0"/>
        <w:jc w:val="both"/>
        <w:rPr>
          <w:rFonts w:ascii="Arial" w:hAnsi="Arial" w:cs="Arial"/>
          <w:lang w:val="mn-MN"/>
        </w:rPr>
      </w:pPr>
      <w:r w:rsidRPr="00227B58">
        <w:rPr>
          <w:rFonts w:ascii="Arial" w:hAnsi="Arial" w:cs="Arial"/>
          <w:lang w:val="mn-MN"/>
        </w:rPr>
        <w:t>Арван есдүгээр зүйлд заасан хүний эрх, эрх чөлөөг хангах төрийн үүрэг зэрэг суурь зарчимтай нийцнэ. Мөн Монгол Улсын засаг захиргаа, нутаг дэвсгэрийн нэгж, түүний удирдлагын тухай хууль болон Компанийн тухай хуулийн үзэл баримтлалтай харшлахгүй болно.</w:t>
      </w:r>
    </w:p>
    <w:p w14:paraId="205674E5" w14:textId="23D61EE3" w:rsidR="00227B58" w:rsidRPr="00227B58" w:rsidRDefault="00227B58" w:rsidP="00227B58">
      <w:pPr>
        <w:snapToGrid w:val="0"/>
        <w:spacing w:after="120"/>
        <w:ind w:firstLine="720"/>
        <w:jc w:val="both"/>
        <w:rPr>
          <w:rFonts w:ascii="Arial" w:hAnsi="Arial" w:cs="Arial"/>
          <w:sz w:val="24"/>
          <w:szCs w:val="24"/>
          <w:lang w:val="mn-MN"/>
        </w:rPr>
      </w:pPr>
      <w:r w:rsidRPr="00227B58">
        <w:rPr>
          <w:rFonts w:ascii="Arial" w:hAnsi="Arial" w:cs="Arial"/>
          <w:sz w:val="24"/>
          <w:szCs w:val="24"/>
          <w:lang w:val="mn-MN"/>
        </w:rPr>
        <w:t>Иймд хуулийн төсөл нь Монгол Улсын Үндсэн хууль болон холбогдох бусад хууль тогтоомжтой нийцсэн гэж үзэж байна.</w:t>
      </w:r>
    </w:p>
    <w:p w14:paraId="6C996D30" w14:textId="77777777" w:rsidR="0005110E" w:rsidRPr="00227B58" w:rsidRDefault="0005110E" w:rsidP="0005110E">
      <w:pPr>
        <w:pStyle w:val="ListParagraph"/>
        <w:snapToGrid w:val="0"/>
        <w:spacing w:after="120"/>
        <w:ind w:left="360"/>
        <w:contextualSpacing w:val="0"/>
        <w:jc w:val="both"/>
        <w:rPr>
          <w:rFonts w:ascii="Arial" w:hAnsi="Arial" w:cs="Arial"/>
          <w:lang w:val="mn-MN"/>
        </w:rPr>
      </w:pPr>
    </w:p>
    <w:p w14:paraId="4C86D685" w14:textId="77777777" w:rsidR="00227B58" w:rsidRPr="00227B58" w:rsidRDefault="00227B58" w:rsidP="0005110E">
      <w:pPr>
        <w:pStyle w:val="ListParagraph"/>
        <w:snapToGrid w:val="0"/>
        <w:spacing w:after="120"/>
        <w:ind w:left="360"/>
        <w:contextualSpacing w:val="0"/>
        <w:jc w:val="both"/>
        <w:rPr>
          <w:rFonts w:ascii="Arial" w:hAnsi="Arial" w:cs="Arial"/>
          <w:lang w:val="mn-MN"/>
        </w:rPr>
      </w:pPr>
    </w:p>
    <w:p w14:paraId="54FEC3D2" w14:textId="77777777" w:rsidR="0005110E" w:rsidRPr="00227B58" w:rsidRDefault="0005110E" w:rsidP="0005110E">
      <w:pPr>
        <w:tabs>
          <w:tab w:val="left" w:pos="709"/>
          <w:tab w:val="center" w:pos="4680"/>
        </w:tabs>
        <w:spacing w:after="0" w:line="240" w:lineRule="auto"/>
        <w:contextualSpacing/>
        <w:jc w:val="center"/>
        <w:rPr>
          <w:rFonts w:ascii="Arial" w:hAnsi="Arial" w:cs="Arial"/>
          <w:bCs/>
          <w:sz w:val="24"/>
          <w:szCs w:val="24"/>
          <w:lang w:val="mn-MN"/>
        </w:rPr>
      </w:pPr>
      <w:r w:rsidRPr="00227B58">
        <w:rPr>
          <w:rFonts w:ascii="Arial" w:hAnsi="Arial" w:cs="Arial"/>
          <w:bCs/>
          <w:sz w:val="24"/>
          <w:szCs w:val="24"/>
          <w:lang w:val="mn-MN"/>
        </w:rPr>
        <w:t>-о0о-</w:t>
      </w:r>
    </w:p>
    <w:p w14:paraId="60AB6438" w14:textId="5B964718" w:rsidR="00710D0E" w:rsidRPr="00077193" w:rsidRDefault="00710D0E" w:rsidP="00077193">
      <w:pPr>
        <w:spacing w:after="100" w:afterAutospacing="1" w:line="240" w:lineRule="auto"/>
        <w:contextualSpacing/>
        <w:rPr>
          <w:rFonts w:ascii="Arial" w:hAnsi="Arial" w:cs="Arial"/>
          <w:bCs/>
          <w:noProof/>
          <w:color w:val="000000" w:themeColor="text1"/>
          <w:sz w:val="24"/>
          <w:szCs w:val="24"/>
          <w:lang w:val="mn-MN"/>
        </w:rPr>
      </w:pPr>
    </w:p>
    <w:sectPr w:rsidR="00710D0E" w:rsidRPr="00077193" w:rsidSect="00077193">
      <w:pgSz w:w="11906" w:h="16838"/>
      <w:pgMar w:top="854" w:right="851" w:bottom="80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95E"/>
    <w:multiLevelType w:val="multilevel"/>
    <w:tmpl w:val="0528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E0038"/>
    <w:multiLevelType w:val="multilevel"/>
    <w:tmpl w:val="146C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87457"/>
    <w:multiLevelType w:val="multilevel"/>
    <w:tmpl w:val="12B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4699A"/>
    <w:multiLevelType w:val="hybridMultilevel"/>
    <w:tmpl w:val="4B92A3C2"/>
    <w:lvl w:ilvl="0" w:tplc="98DEFCF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202F1"/>
    <w:multiLevelType w:val="hybridMultilevel"/>
    <w:tmpl w:val="F7FE4D1C"/>
    <w:lvl w:ilvl="0" w:tplc="E3B8C01E">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81D1C"/>
    <w:multiLevelType w:val="multilevel"/>
    <w:tmpl w:val="010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781851">
    <w:abstractNumId w:val="3"/>
  </w:num>
  <w:num w:numId="2" w16cid:durableId="490100844">
    <w:abstractNumId w:val="4"/>
  </w:num>
  <w:num w:numId="3" w16cid:durableId="397869612">
    <w:abstractNumId w:val="2"/>
  </w:num>
  <w:num w:numId="4" w16cid:durableId="2018002124">
    <w:abstractNumId w:val="5"/>
  </w:num>
  <w:num w:numId="5" w16cid:durableId="2104914822">
    <w:abstractNumId w:val="1"/>
  </w:num>
  <w:num w:numId="6" w16cid:durableId="201178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FE"/>
    <w:rsid w:val="000058A9"/>
    <w:rsid w:val="00011E86"/>
    <w:rsid w:val="000348B4"/>
    <w:rsid w:val="00036260"/>
    <w:rsid w:val="000429D4"/>
    <w:rsid w:val="0005110E"/>
    <w:rsid w:val="00056C75"/>
    <w:rsid w:val="00061CDF"/>
    <w:rsid w:val="00063FAD"/>
    <w:rsid w:val="000671D3"/>
    <w:rsid w:val="000720C7"/>
    <w:rsid w:val="00077193"/>
    <w:rsid w:val="00087A1B"/>
    <w:rsid w:val="000B1962"/>
    <w:rsid w:val="000B3723"/>
    <w:rsid w:val="000C4B30"/>
    <w:rsid w:val="000C76CE"/>
    <w:rsid w:val="000D1DD5"/>
    <w:rsid w:val="000D20A5"/>
    <w:rsid w:val="000E73AA"/>
    <w:rsid w:val="000F05F0"/>
    <w:rsid w:val="001019C4"/>
    <w:rsid w:val="001019C9"/>
    <w:rsid w:val="0011255A"/>
    <w:rsid w:val="0011547C"/>
    <w:rsid w:val="0012285F"/>
    <w:rsid w:val="00123D39"/>
    <w:rsid w:val="00135918"/>
    <w:rsid w:val="001473AE"/>
    <w:rsid w:val="00162E6C"/>
    <w:rsid w:val="001652D3"/>
    <w:rsid w:val="00177D76"/>
    <w:rsid w:val="00191139"/>
    <w:rsid w:val="001B68C1"/>
    <w:rsid w:val="001C47D9"/>
    <w:rsid w:val="001D50A3"/>
    <w:rsid w:val="001E3AA2"/>
    <w:rsid w:val="001F007F"/>
    <w:rsid w:val="002140D6"/>
    <w:rsid w:val="0021628A"/>
    <w:rsid w:val="0022025A"/>
    <w:rsid w:val="00221696"/>
    <w:rsid w:val="00227B58"/>
    <w:rsid w:val="00244B91"/>
    <w:rsid w:val="002468A2"/>
    <w:rsid w:val="002516AC"/>
    <w:rsid w:val="002653BB"/>
    <w:rsid w:val="00270EF9"/>
    <w:rsid w:val="00293C3B"/>
    <w:rsid w:val="002A13FE"/>
    <w:rsid w:val="002A3589"/>
    <w:rsid w:val="002C2E6C"/>
    <w:rsid w:val="002C2FDC"/>
    <w:rsid w:val="002C416A"/>
    <w:rsid w:val="002D0667"/>
    <w:rsid w:val="0030491F"/>
    <w:rsid w:val="00313478"/>
    <w:rsid w:val="00345467"/>
    <w:rsid w:val="00350EC6"/>
    <w:rsid w:val="00360418"/>
    <w:rsid w:val="0036080B"/>
    <w:rsid w:val="00360B0F"/>
    <w:rsid w:val="003647C5"/>
    <w:rsid w:val="003719C3"/>
    <w:rsid w:val="00373BF9"/>
    <w:rsid w:val="00391ADB"/>
    <w:rsid w:val="00394C5E"/>
    <w:rsid w:val="003A3F22"/>
    <w:rsid w:val="003A5EF7"/>
    <w:rsid w:val="003A6BD2"/>
    <w:rsid w:val="003D0B7E"/>
    <w:rsid w:val="003D0C5A"/>
    <w:rsid w:val="003F31D0"/>
    <w:rsid w:val="00402E68"/>
    <w:rsid w:val="00404D5E"/>
    <w:rsid w:val="00422B28"/>
    <w:rsid w:val="00430960"/>
    <w:rsid w:val="00435271"/>
    <w:rsid w:val="00473505"/>
    <w:rsid w:val="004816B0"/>
    <w:rsid w:val="0048787F"/>
    <w:rsid w:val="004A4344"/>
    <w:rsid w:val="004A4BE6"/>
    <w:rsid w:val="004A5666"/>
    <w:rsid w:val="004B070A"/>
    <w:rsid w:val="004B4E9B"/>
    <w:rsid w:val="004E5A54"/>
    <w:rsid w:val="004F6B66"/>
    <w:rsid w:val="004F7B30"/>
    <w:rsid w:val="00511D62"/>
    <w:rsid w:val="00511FDA"/>
    <w:rsid w:val="00524105"/>
    <w:rsid w:val="0054142A"/>
    <w:rsid w:val="00544959"/>
    <w:rsid w:val="00551795"/>
    <w:rsid w:val="0056698C"/>
    <w:rsid w:val="00571C31"/>
    <w:rsid w:val="005864BF"/>
    <w:rsid w:val="005867DC"/>
    <w:rsid w:val="00592D44"/>
    <w:rsid w:val="005A3114"/>
    <w:rsid w:val="005C0776"/>
    <w:rsid w:val="005C0FD4"/>
    <w:rsid w:val="005C187A"/>
    <w:rsid w:val="005C61B5"/>
    <w:rsid w:val="005C7736"/>
    <w:rsid w:val="005D065B"/>
    <w:rsid w:val="005E3B94"/>
    <w:rsid w:val="005F18E5"/>
    <w:rsid w:val="005F2C8A"/>
    <w:rsid w:val="006009C6"/>
    <w:rsid w:val="006107AE"/>
    <w:rsid w:val="006175EB"/>
    <w:rsid w:val="0066242D"/>
    <w:rsid w:val="0067357F"/>
    <w:rsid w:val="006809FE"/>
    <w:rsid w:val="00680B0B"/>
    <w:rsid w:val="00686684"/>
    <w:rsid w:val="00690328"/>
    <w:rsid w:val="006A7DA7"/>
    <w:rsid w:val="006B434A"/>
    <w:rsid w:val="006B7877"/>
    <w:rsid w:val="006D343F"/>
    <w:rsid w:val="006E0AAE"/>
    <w:rsid w:val="006E0C13"/>
    <w:rsid w:val="00700621"/>
    <w:rsid w:val="00710D0E"/>
    <w:rsid w:val="00714772"/>
    <w:rsid w:val="00721B6E"/>
    <w:rsid w:val="00740F7F"/>
    <w:rsid w:val="00763AEE"/>
    <w:rsid w:val="007708D8"/>
    <w:rsid w:val="00781D8E"/>
    <w:rsid w:val="007B25C3"/>
    <w:rsid w:val="007B2C36"/>
    <w:rsid w:val="007B6E0A"/>
    <w:rsid w:val="007C20DD"/>
    <w:rsid w:val="007C67D9"/>
    <w:rsid w:val="007E00D8"/>
    <w:rsid w:val="007E7A85"/>
    <w:rsid w:val="008055B0"/>
    <w:rsid w:val="00812EC6"/>
    <w:rsid w:val="00816AC4"/>
    <w:rsid w:val="00821463"/>
    <w:rsid w:val="008234F9"/>
    <w:rsid w:val="008272CB"/>
    <w:rsid w:val="00840D63"/>
    <w:rsid w:val="00894C3D"/>
    <w:rsid w:val="0089759E"/>
    <w:rsid w:val="00897FBA"/>
    <w:rsid w:val="008A1559"/>
    <w:rsid w:val="008A4A58"/>
    <w:rsid w:val="008C5C7D"/>
    <w:rsid w:val="008C648A"/>
    <w:rsid w:val="008D15B9"/>
    <w:rsid w:val="008D2D4E"/>
    <w:rsid w:val="008D31D5"/>
    <w:rsid w:val="008D3B8E"/>
    <w:rsid w:val="008E0BC7"/>
    <w:rsid w:val="0090261F"/>
    <w:rsid w:val="00904F5C"/>
    <w:rsid w:val="009251FA"/>
    <w:rsid w:val="00925274"/>
    <w:rsid w:val="00925643"/>
    <w:rsid w:val="00931F14"/>
    <w:rsid w:val="00946E1E"/>
    <w:rsid w:val="009739D8"/>
    <w:rsid w:val="009763B4"/>
    <w:rsid w:val="009A20E9"/>
    <w:rsid w:val="009B331D"/>
    <w:rsid w:val="009D1AD9"/>
    <w:rsid w:val="009D3E6E"/>
    <w:rsid w:val="009D6B1A"/>
    <w:rsid w:val="009E3514"/>
    <w:rsid w:val="00A02666"/>
    <w:rsid w:val="00A03EA9"/>
    <w:rsid w:val="00A04F0F"/>
    <w:rsid w:val="00A06893"/>
    <w:rsid w:val="00A436DC"/>
    <w:rsid w:val="00A7746E"/>
    <w:rsid w:val="00A81A7F"/>
    <w:rsid w:val="00A91554"/>
    <w:rsid w:val="00A93204"/>
    <w:rsid w:val="00A95251"/>
    <w:rsid w:val="00A96A3D"/>
    <w:rsid w:val="00AB2444"/>
    <w:rsid w:val="00AB6BE9"/>
    <w:rsid w:val="00AC30FD"/>
    <w:rsid w:val="00AC3B3C"/>
    <w:rsid w:val="00AC5C47"/>
    <w:rsid w:val="00AD734E"/>
    <w:rsid w:val="00B10379"/>
    <w:rsid w:val="00B22FA2"/>
    <w:rsid w:val="00B2736B"/>
    <w:rsid w:val="00B32171"/>
    <w:rsid w:val="00B3387C"/>
    <w:rsid w:val="00B33BD4"/>
    <w:rsid w:val="00B449B5"/>
    <w:rsid w:val="00B45005"/>
    <w:rsid w:val="00B761B6"/>
    <w:rsid w:val="00B7685E"/>
    <w:rsid w:val="00B82A0B"/>
    <w:rsid w:val="00B879AD"/>
    <w:rsid w:val="00B96EB8"/>
    <w:rsid w:val="00B97627"/>
    <w:rsid w:val="00BA14ED"/>
    <w:rsid w:val="00BA4550"/>
    <w:rsid w:val="00BA56BC"/>
    <w:rsid w:val="00BA67FC"/>
    <w:rsid w:val="00BB494A"/>
    <w:rsid w:val="00BB77AC"/>
    <w:rsid w:val="00BC1E5D"/>
    <w:rsid w:val="00BC7073"/>
    <w:rsid w:val="00BE2A62"/>
    <w:rsid w:val="00BE4673"/>
    <w:rsid w:val="00BF64C1"/>
    <w:rsid w:val="00C16478"/>
    <w:rsid w:val="00C205C0"/>
    <w:rsid w:val="00C22B05"/>
    <w:rsid w:val="00C34228"/>
    <w:rsid w:val="00C4246C"/>
    <w:rsid w:val="00C4670B"/>
    <w:rsid w:val="00C508FE"/>
    <w:rsid w:val="00C513A3"/>
    <w:rsid w:val="00C6383B"/>
    <w:rsid w:val="00C672B6"/>
    <w:rsid w:val="00C742E3"/>
    <w:rsid w:val="00C80E65"/>
    <w:rsid w:val="00C900A1"/>
    <w:rsid w:val="00C92763"/>
    <w:rsid w:val="00CC2485"/>
    <w:rsid w:val="00CD4AF6"/>
    <w:rsid w:val="00CE074E"/>
    <w:rsid w:val="00CF48D9"/>
    <w:rsid w:val="00D2540B"/>
    <w:rsid w:val="00D314F7"/>
    <w:rsid w:val="00D361EC"/>
    <w:rsid w:val="00D557AC"/>
    <w:rsid w:val="00D57D04"/>
    <w:rsid w:val="00D6511F"/>
    <w:rsid w:val="00D67D71"/>
    <w:rsid w:val="00D82CBA"/>
    <w:rsid w:val="00D8486B"/>
    <w:rsid w:val="00D91D9E"/>
    <w:rsid w:val="00DA18E8"/>
    <w:rsid w:val="00DB0EBF"/>
    <w:rsid w:val="00DB2B62"/>
    <w:rsid w:val="00DC3548"/>
    <w:rsid w:val="00DE5644"/>
    <w:rsid w:val="00DF6205"/>
    <w:rsid w:val="00E25614"/>
    <w:rsid w:val="00E32AB5"/>
    <w:rsid w:val="00E43F82"/>
    <w:rsid w:val="00E46472"/>
    <w:rsid w:val="00E47201"/>
    <w:rsid w:val="00E5522E"/>
    <w:rsid w:val="00E567EE"/>
    <w:rsid w:val="00E740B8"/>
    <w:rsid w:val="00EA0D83"/>
    <w:rsid w:val="00EA10EB"/>
    <w:rsid w:val="00EA465C"/>
    <w:rsid w:val="00EB0BCF"/>
    <w:rsid w:val="00EB1B68"/>
    <w:rsid w:val="00EB550C"/>
    <w:rsid w:val="00EC44E1"/>
    <w:rsid w:val="00ED5CDC"/>
    <w:rsid w:val="00EE28BE"/>
    <w:rsid w:val="00EE47CC"/>
    <w:rsid w:val="00EE4E1A"/>
    <w:rsid w:val="00F02DBE"/>
    <w:rsid w:val="00F26539"/>
    <w:rsid w:val="00F34029"/>
    <w:rsid w:val="00F67B97"/>
    <w:rsid w:val="00F7148A"/>
    <w:rsid w:val="00F74833"/>
    <w:rsid w:val="00F75BA5"/>
    <w:rsid w:val="00F767F3"/>
    <w:rsid w:val="00F7771A"/>
    <w:rsid w:val="00F96383"/>
    <w:rsid w:val="00F96CCA"/>
    <w:rsid w:val="00FA736F"/>
    <w:rsid w:val="00FB14A7"/>
    <w:rsid w:val="00FB1851"/>
    <w:rsid w:val="00FB6069"/>
    <w:rsid w:val="00FC0CA0"/>
    <w:rsid w:val="00FC1157"/>
    <w:rsid w:val="00FC3FE1"/>
    <w:rsid w:val="00FD0C02"/>
    <w:rsid w:val="00FD631D"/>
    <w:rsid w:val="00FE1CBE"/>
    <w:rsid w:val="00FE6355"/>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3529"/>
  <w15:chartTrackingRefBased/>
  <w15:docId w15:val="{B9965ECA-C573-430B-BC57-19B78970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FE"/>
    <w:pPr>
      <w:spacing w:line="259"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680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80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6809F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809FE"/>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809FE"/>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809F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809F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809F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809F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FE"/>
    <w:rPr>
      <w:rFonts w:eastAsiaTheme="majorEastAsia" w:cstheme="majorBidi"/>
      <w:color w:val="272727" w:themeColor="text1" w:themeTint="D8"/>
    </w:rPr>
  </w:style>
  <w:style w:type="paragraph" w:styleId="Title">
    <w:name w:val="Title"/>
    <w:basedOn w:val="Normal"/>
    <w:next w:val="Normal"/>
    <w:link w:val="TitleChar"/>
    <w:uiPriority w:val="10"/>
    <w:qFormat/>
    <w:rsid w:val="006809F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8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F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8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FE"/>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809FE"/>
    <w:rPr>
      <w:i/>
      <w:iCs/>
      <w:color w:val="404040" w:themeColor="text1" w:themeTint="BF"/>
    </w:rPr>
  </w:style>
  <w:style w:type="paragraph" w:styleId="ListParagraph">
    <w:name w:val="List Paragraph"/>
    <w:basedOn w:val="Normal"/>
    <w:uiPriority w:val="34"/>
    <w:qFormat/>
    <w:rsid w:val="006809FE"/>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809FE"/>
    <w:rPr>
      <w:i/>
      <w:iCs/>
      <w:color w:val="0F4761" w:themeColor="accent1" w:themeShade="BF"/>
    </w:rPr>
  </w:style>
  <w:style w:type="paragraph" w:styleId="IntenseQuote">
    <w:name w:val="Intense Quote"/>
    <w:basedOn w:val="Normal"/>
    <w:next w:val="Normal"/>
    <w:link w:val="IntenseQuoteChar"/>
    <w:uiPriority w:val="30"/>
    <w:qFormat/>
    <w:rsid w:val="006809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809FE"/>
    <w:rPr>
      <w:i/>
      <w:iCs/>
      <w:color w:val="0F4761" w:themeColor="accent1" w:themeShade="BF"/>
    </w:rPr>
  </w:style>
  <w:style w:type="character" w:styleId="IntenseReference">
    <w:name w:val="Intense Reference"/>
    <w:basedOn w:val="DefaultParagraphFont"/>
    <w:uiPriority w:val="32"/>
    <w:qFormat/>
    <w:rsid w:val="006809FE"/>
    <w:rPr>
      <w:b/>
      <w:bCs/>
      <w:smallCaps/>
      <w:color w:val="0F4761" w:themeColor="accent1" w:themeShade="BF"/>
      <w:spacing w:val="5"/>
    </w:rPr>
  </w:style>
  <w:style w:type="paragraph" w:styleId="NormalWeb">
    <w:name w:val="Normal (Web)"/>
    <w:basedOn w:val="Normal"/>
    <w:uiPriority w:val="99"/>
    <w:unhideWhenUsed/>
    <w:rsid w:val="00473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8483">
      <w:bodyDiv w:val="1"/>
      <w:marLeft w:val="0"/>
      <w:marRight w:val="0"/>
      <w:marTop w:val="0"/>
      <w:marBottom w:val="0"/>
      <w:divBdr>
        <w:top w:val="none" w:sz="0" w:space="0" w:color="auto"/>
        <w:left w:val="none" w:sz="0" w:space="0" w:color="auto"/>
        <w:bottom w:val="none" w:sz="0" w:space="0" w:color="auto"/>
        <w:right w:val="none" w:sz="0" w:space="0" w:color="auto"/>
      </w:divBdr>
    </w:div>
    <w:div w:id="281039141">
      <w:bodyDiv w:val="1"/>
      <w:marLeft w:val="0"/>
      <w:marRight w:val="0"/>
      <w:marTop w:val="0"/>
      <w:marBottom w:val="0"/>
      <w:divBdr>
        <w:top w:val="none" w:sz="0" w:space="0" w:color="auto"/>
        <w:left w:val="none" w:sz="0" w:space="0" w:color="auto"/>
        <w:bottom w:val="none" w:sz="0" w:space="0" w:color="auto"/>
        <w:right w:val="none" w:sz="0" w:space="0" w:color="auto"/>
      </w:divBdr>
    </w:div>
    <w:div w:id="341510388">
      <w:bodyDiv w:val="1"/>
      <w:marLeft w:val="0"/>
      <w:marRight w:val="0"/>
      <w:marTop w:val="0"/>
      <w:marBottom w:val="0"/>
      <w:divBdr>
        <w:top w:val="none" w:sz="0" w:space="0" w:color="auto"/>
        <w:left w:val="none" w:sz="0" w:space="0" w:color="auto"/>
        <w:bottom w:val="none" w:sz="0" w:space="0" w:color="auto"/>
        <w:right w:val="none" w:sz="0" w:space="0" w:color="auto"/>
      </w:divBdr>
    </w:div>
    <w:div w:id="371612946">
      <w:bodyDiv w:val="1"/>
      <w:marLeft w:val="0"/>
      <w:marRight w:val="0"/>
      <w:marTop w:val="0"/>
      <w:marBottom w:val="0"/>
      <w:divBdr>
        <w:top w:val="none" w:sz="0" w:space="0" w:color="auto"/>
        <w:left w:val="none" w:sz="0" w:space="0" w:color="auto"/>
        <w:bottom w:val="none" w:sz="0" w:space="0" w:color="auto"/>
        <w:right w:val="none" w:sz="0" w:space="0" w:color="auto"/>
      </w:divBdr>
    </w:div>
    <w:div w:id="640621462">
      <w:bodyDiv w:val="1"/>
      <w:marLeft w:val="0"/>
      <w:marRight w:val="0"/>
      <w:marTop w:val="0"/>
      <w:marBottom w:val="0"/>
      <w:divBdr>
        <w:top w:val="none" w:sz="0" w:space="0" w:color="auto"/>
        <w:left w:val="none" w:sz="0" w:space="0" w:color="auto"/>
        <w:bottom w:val="none" w:sz="0" w:space="0" w:color="auto"/>
        <w:right w:val="none" w:sz="0" w:space="0" w:color="auto"/>
      </w:divBdr>
    </w:div>
    <w:div w:id="818496153">
      <w:bodyDiv w:val="1"/>
      <w:marLeft w:val="0"/>
      <w:marRight w:val="0"/>
      <w:marTop w:val="0"/>
      <w:marBottom w:val="0"/>
      <w:divBdr>
        <w:top w:val="none" w:sz="0" w:space="0" w:color="auto"/>
        <w:left w:val="none" w:sz="0" w:space="0" w:color="auto"/>
        <w:bottom w:val="none" w:sz="0" w:space="0" w:color="auto"/>
        <w:right w:val="none" w:sz="0" w:space="0" w:color="auto"/>
      </w:divBdr>
    </w:div>
    <w:div w:id="838620761">
      <w:bodyDiv w:val="1"/>
      <w:marLeft w:val="0"/>
      <w:marRight w:val="0"/>
      <w:marTop w:val="0"/>
      <w:marBottom w:val="0"/>
      <w:divBdr>
        <w:top w:val="none" w:sz="0" w:space="0" w:color="auto"/>
        <w:left w:val="none" w:sz="0" w:space="0" w:color="auto"/>
        <w:bottom w:val="none" w:sz="0" w:space="0" w:color="auto"/>
        <w:right w:val="none" w:sz="0" w:space="0" w:color="auto"/>
      </w:divBdr>
    </w:div>
    <w:div w:id="897202181">
      <w:bodyDiv w:val="1"/>
      <w:marLeft w:val="0"/>
      <w:marRight w:val="0"/>
      <w:marTop w:val="0"/>
      <w:marBottom w:val="0"/>
      <w:divBdr>
        <w:top w:val="none" w:sz="0" w:space="0" w:color="auto"/>
        <w:left w:val="none" w:sz="0" w:space="0" w:color="auto"/>
        <w:bottom w:val="none" w:sz="0" w:space="0" w:color="auto"/>
        <w:right w:val="none" w:sz="0" w:space="0" w:color="auto"/>
      </w:divBdr>
    </w:div>
    <w:div w:id="948587833">
      <w:bodyDiv w:val="1"/>
      <w:marLeft w:val="0"/>
      <w:marRight w:val="0"/>
      <w:marTop w:val="0"/>
      <w:marBottom w:val="0"/>
      <w:divBdr>
        <w:top w:val="none" w:sz="0" w:space="0" w:color="auto"/>
        <w:left w:val="none" w:sz="0" w:space="0" w:color="auto"/>
        <w:bottom w:val="none" w:sz="0" w:space="0" w:color="auto"/>
        <w:right w:val="none" w:sz="0" w:space="0" w:color="auto"/>
      </w:divBdr>
    </w:div>
    <w:div w:id="1138767745">
      <w:bodyDiv w:val="1"/>
      <w:marLeft w:val="0"/>
      <w:marRight w:val="0"/>
      <w:marTop w:val="0"/>
      <w:marBottom w:val="0"/>
      <w:divBdr>
        <w:top w:val="none" w:sz="0" w:space="0" w:color="auto"/>
        <w:left w:val="none" w:sz="0" w:space="0" w:color="auto"/>
        <w:bottom w:val="none" w:sz="0" w:space="0" w:color="auto"/>
        <w:right w:val="none" w:sz="0" w:space="0" w:color="auto"/>
      </w:divBdr>
    </w:div>
    <w:div w:id="1181168370">
      <w:bodyDiv w:val="1"/>
      <w:marLeft w:val="0"/>
      <w:marRight w:val="0"/>
      <w:marTop w:val="0"/>
      <w:marBottom w:val="0"/>
      <w:divBdr>
        <w:top w:val="none" w:sz="0" w:space="0" w:color="auto"/>
        <w:left w:val="none" w:sz="0" w:space="0" w:color="auto"/>
        <w:bottom w:val="none" w:sz="0" w:space="0" w:color="auto"/>
        <w:right w:val="none" w:sz="0" w:space="0" w:color="auto"/>
      </w:divBdr>
    </w:div>
    <w:div w:id="1508449120">
      <w:bodyDiv w:val="1"/>
      <w:marLeft w:val="0"/>
      <w:marRight w:val="0"/>
      <w:marTop w:val="0"/>
      <w:marBottom w:val="0"/>
      <w:divBdr>
        <w:top w:val="none" w:sz="0" w:space="0" w:color="auto"/>
        <w:left w:val="none" w:sz="0" w:space="0" w:color="auto"/>
        <w:bottom w:val="none" w:sz="0" w:space="0" w:color="auto"/>
        <w:right w:val="none" w:sz="0" w:space="0" w:color="auto"/>
      </w:divBdr>
    </w:div>
    <w:div w:id="1606693957">
      <w:bodyDiv w:val="1"/>
      <w:marLeft w:val="0"/>
      <w:marRight w:val="0"/>
      <w:marTop w:val="0"/>
      <w:marBottom w:val="0"/>
      <w:divBdr>
        <w:top w:val="none" w:sz="0" w:space="0" w:color="auto"/>
        <w:left w:val="none" w:sz="0" w:space="0" w:color="auto"/>
        <w:bottom w:val="none" w:sz="0" w:space="0" w:color="auto"/>
        <w:right w:val="none" w:sz="0" w:space="0" w:color="auto"/>
      </w:divBdr>
    </w:div>
    <w:div w:id="1851292095">
      <w:bodyDiv w:val="1"/>
      <w:marLeft w:val="0"/>
      <w:marRight w:val="0"/>
      <w:marTop w:val="0"/>
      <w:marBottom w:val="0"/>
      <w:divBdr>
        <w:top w:val="none" w:sz="0" w:space="0" w:color="auto"/>
        <w:left w:val="none" w:sz="0" w:space="0" w:color="auto"/>
        <w:bottom w:val="none" w:sz="0" w:space="0" w:color="auto"/>
        <w:right w:val="none" w:sz="0" w:space="0" w:color="auto"/>
      </w:divBdr>
    </w:div>
    <w:div w:id="19193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C0D9-228B-E34D-BD2F-04E51974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 sainzorig</dc:creator>
  <cp:keywords/>
  <dc:description/>
  <cp:lastModifiedBy>Erdeneburen</cp:lastModifiedBy>
  <cp:revision>10</cp:revision>
  <cp:lastPrinted>2026-06-10T14:51:00Z</cp:lastPrinted>
  <dcterms:created xsi:type="dcterms:W3CDTF">2026-06-11T05:50:00Z</dcterms:created>
  <dcterms:modified xsi:type="dcterms:W3CDTF">2026-06-12T04:12:00Z</dcterms:modified>
</cp:coreProperties>
</file>