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F426" w14:textId="77777777" w:rsidR="00024BEC" w:rsidRPr="00024BEC" w:rsidRDefault="00024BEC" w:rsidP="00024BEC">
      <w:pPr>
        <w:jc w:val="center"/>
        <w:rPr>
          <w:rFonts w:ascii="Arial" w:hAnsi="Arial" w:cs="Arial"/>
          <w:b/>
          <w:bCs/>
        </w:rPr>
      </w:pPr>
      <w:r w:rsidRPr="00024BEC">
        <w:rPr>
          <w:rFonts w:ascii="Arial" w:hAnsi="Arial" w:cs="Arial"/>
          <w:b/>
          <w:bCs/>
        </w:rPr>
        <w:t>ХУУЛИЙН ТӨСЛИЙН ЗАРДЛЫН ТООЦОО</w:t>
      </w:r>
    </w:p>
    <w:p w14:paraId="6B1FFFB0" w14:textId="77777777" w:rsidR="00024BEC" w:rsidRPr="00024BEC" w:rsidRDefault="00024BEC" w:rsidP="00024BEC">
      <w:pPr>
        <w:rPr>
          <w:rFonts w:ascii="Arial" w:hAnsi="Arial" w:cs="Arial"/>
        </w:rPr>
      </w:pPr>
    </w:p>
    <w:p w14:paraId="45A0F162" w14:textId="27E0FEAE" w:rsidR="00024BEC" w:rsidRPr="00E07184" w:rsidRDefault="00024BEC" w:rsidP="00024BEC">
      <w:pPr>
        <w:jc w:val="center"/>
        <w:rPr>
          <w:rFonts w:ascii="Arial" w:hAnsi="Arial" w:cs="Arial"/>
          <w:sz w:val="22"/>
          <w:szCs w:val="22"/>
        </w:rPr>
      </w:pPr>
      <w:r w:rsidRPr="00E07184">
        <w:rPr>
          <w:rFonts w:ascii="Arial" w:hAnsi="Arial" w:cs="Arial"/>
          <w:sz w:val="22"/>
          <w:szCs w:val="22"/>
        </w:rPr>
        <w:t xml:space="preserve">“УЛС ТӨРИЙН НАМЫН ТУХАЙ ХУУЛЬД НЭМЭЛТ, ӨӨРЧЛӨЛТ ОРУУЛАХ ТУХАЙ </w:t>
      </w:r>
      <w:r w:rsidR="00E07184">
        <w:rPr>
          <w:rFonts w:ascii="Arial" w:hAnsi="Arial" w:cs="Arial"/>
          <w:sz w:val="22"/>
          <w:szCs w:val="22"/>
        </w:rPr>
        <w:br/>
      </w:r>
      <w:r w:rsidRPr="00E07184">
        <w:rPr>
          <w:rFonts w:ascii="Arial" w:hAnsi="Arial" w:cs="Arial"/>
          <w:sz w:val="22"/>
          <w:szCs w:val="22"/>
        </w:rPr>
        <w:t>ХУУЛЬ”-ИЙН ТӨСӨЛ</w:t>
      </w:r>
    </w:p>
    <w:p w14:paraId="4A590C66" w14:textId="77777777" w:rsidR="00024BEC" w:rsidRPr="00024BEC" w:rsidRDefault="00024BEC" w:rsidP="00024BEC">
      <w:pPr>
        <w:rPr>
          <w:rFonts w:ascii="Arial" w:hAnsi="Arial" w:cs="Arial"/>
        </w:rPr>
      </w:pPr>
    </w:p>
    <w:p w14:paraId="35CC2B40" w14:textId="0A120C7E" w:rsidR="00024BEC" w:rsidRPr="00024BEC" w:rsidRDefault="00024BEC" w:rsidP="00024BEC">
      <w:pPr>
        <w:rPr>
          <w:rFonts w:ascii="Arial" w:hAnsi="Arial" w:cs="Arial"/>
        </w:rPr>
      </w:pPr>
      <w:r w:rsidRPr="00024BEC">
        <w:rPr>
          <w:rFonts w:ascii="Arial" w:hAnsi="Arial" w:cs="Arial"/>
        </w:rPr>
        <w:t>Нэг. Ерөнхий үндэслэл</w:t>
      </w:r>
    </w:p>
    <w:p w14:paraId="51865C81" w14:textId="28F9CD50" w:rsidR="00024BEC" w:rsidRPr="00024BEC" w:rsidRDefault="00024BEC" w:rsidP="00024BEC">
      <w:pPr>
        <w:spacing w:line="276" w:lineRule="auto"/>
        <w:jc w:val="both"/>
        <w:rPr>
          <w:rFonts w:ascii="Arial" w:hAnsi="Arial" w:cs="Arial"/>
        </w:rPr>
      </w:pPr>
      <w:r w:rsidRPr="00024BEC">
        <w:rPr>
          <w:rFonts w:ascii="Arial" w:hAnsi="Arial" w:cs="Arial"/>
        </w:rPr>
        <w:t>Хууль тогтоомжийн тухай хуулийн 21 дүгээр зүйлд заасны дагуу “Улс төрийн намын тухай хуульд нэмэлт, өөрчлөлт оруулах тухай” хуулийн төслийг хэрэгжүүлэхтэй холбоотойгоор улсын болон орон нутгийн төсөв, төрийн байгууллагын үйл ажиллагаанд нэмэлт зардал үүсэх эсэхийг тооцон энэхүү зардлын тооцоог боловсруулав.</w:t>
      </w:r>
    </w:p>
    <w:p w14:paraId="3E342E99" w14:textId="61AC453E" w:rsidR="00024BEC" w:rsidRPr="00024BEC" w:rsidRDefault="00024BEC" w:rsidP="00024BEC">
      <w:pPr>
        <w:spacing w:line="276" w:lineRule="auto"/>
        <w:jc w:val="both"/>
        <w:rPr>
          <w:rFonts w:ascii="Arial" w:hAnsi="Arial" w:cs="Arial"/>
        </w:rPr>
      </w:pPr>
      <w:r w:rsidRPr="00024BEC">
        <w:rPr>
          <w:rFonts w:ascii="Arial" w:hAnsi="Arial" w:cs="Arial"/>
        </w:rPr>
        <w:t>Хуулийн төсөл нь: Намын орон нутгийн байгууллагад банкны данс эзэмших эрхийг тодорхой болгох;</w:t>
      </w:r>
      <w:r w:rsidRPr="00024BEC">
        <w:rPr>
          <w:rFonts w:ascii="MS Gothic" w:eastAsia="MS Gothic" w:hAnsi="MS Gothic" w:cs="MS Gothic" w:hint="eastAsia"/>
        </w:rPr>
        <w:t> </w:t>
      </w:r>
      <w:r>
        <w:rPr>
          <w:rFonts w:ascii="Arial" w:hAnsi="Arial" w:cs="Arial"/>
        </w:rPr>
        <w:t>н</w:t>
      </w:r>
      <w:r w:rsidRPr="00024BEC">
        <w:rPr>
          <w:rFonts w:ascii="Arial" w:hAnsi="Arial" w:cs="Arial"/>
        </w:rPr>
        <w:t xml:space="preserve">амын төлөөллийн төв байгууллагын бүрэлдэхүүний зарим өөрчлөлтийг </w:t>
      </w:r>
      <w:r>
        <w:rPr>
          <w:rFonts w:ascii="Arial" w:hAnsi="Arial" w:cs="Arial"/>
        </w:rPr>
        <w:t xml:space="preserve">Намын </w:t>
      </w:r>
      <w:r w:rsidRPr="00024BEC">
        <w:rPr>
          <w:rFonts w:ascii="Arial" w:hAnsi="Arial" w:cs="Arial"/>
        </w:rPr>
        <w:t>Их Хурал хуралдуулахгүйгээр шийдвэрлэх боломж бүрдүүлэх;</w:t>
      </w:r>
      <w:r w:rsidRPr="00024BEC">
        <w:rPr>
          <w:rFonts w:ascii="MS Gothic" w:eastAsia="MS Gothic" w:hAnsi="MS Gothic" w:cs="MS Gothic" w:hint="eastAsia"/>
        </w:rPr>
        <w:t> </w:t>
      </w:r>
      <w:r w:rsidRPr="00024BEC">
        <w:rPr>
          <w:rFonts w:ascii="Arial" w:hAnsi="Arial" w:cs="Arial"/>
        </w:rPr>
        <w:t>Намд өгөх хандивын дээд хэмжээг эдийн засгийн нөхцөлтэй уялдуулан шинэчлэх;</w:t>
      </w:r>
      <w:r w:rsidRPr="00024BEC">
        <w:rPr>
          <w:rFonts w:ascii="MS Gothic" w:eastAsia="MS Gothic" w:hAnsi="MS Gothic" w:cs="MS Gothic" w:hint="eastAsia"/>
        </w:rPr>
        <w:t> </w:t>
      </w:r>
      <w:r w:rsidRPr="00024BEC">
        <w:rPr>
          <w:rFonts w:ascii="Arial" w:hAnsi="Arial" w:cs="Arial"/>
        </w:rPr>
        <w:t>Хуулийн этгээдийн хандивтай холбоотой зарим хязгаарлалтыг өөрчлөх;</w:t>
      </w:r>
      <w:r>
        <w:rPr>
          <w:rFonts w:ascii="MS Gothic" w:eastAsia="MS Gothic" w:hAnsi="MS Gothic" w:cs="MS Gothic"/>
        </w:rPr>
        <w:t xml:space="preserve"> </w:t>
      </w:r>
      <w:r w:rsidRPr="00024BEC">
        <w:rPr>
          <w:rFonts w:ascii="Arial" w:hAnsi="Arial" w:cs="Arial"/>
        </w:rPr>
        <w:t>зэрэг зохицуулалтыг тусгаж байгаа болно.</w:t>
      </w:r>
    </w:p>
    <w:p w14:paraId="16BC566F" w14:textId="77777777" w:rsidR="00024BEC" w:rsidRPr="00024BEC" w:rsidRDefault="00024BEC" w:rsidP="00024BEC">
      <w:pPr>
        <w:spacing w:line="276" w:lineRule="auto"/>
        <w:jc w:val="both"/>
        <w:rPr>
          <w:rFonts w:ascii="Arial" w:hAnsi="Arial" w:cs="Arial"/>
          <w:sz w:val="8"/>
          <w:szCs w:val="8"/>
        </w:rPr>
      </w:pPr>
    </w:p>
    <w:p w14:paraId="73CB5E77" w14:textId="28E93C55" w:rsidR="00024BEC" w:rsidRPr="00024BEC" w:rsidRDefault="00024BEC" w:rsidP="00024BEC">
      <w:pPr>
        <w:spacing w:line="276" w:lineRule="auto"/>
        <w:jc w:val="both"/>
        <w:rPr>
          <w:rFonts w:ascii="Arial" w:hAnsi="Arial" w:cs="Arial"/>
        </w:rPr>
      </w:pPr>
      <w:r w:rsidRPr="00024BEC">
        <w:rPr>
          <w:rFonts w:ascii="Arial" w:hAnsi="Arial" w:cs="Arial"/>
        </w:rPr>
        <w:t>Хоёр. Улсын төсөвт үзүүлэх нөлөөлөл</w:t>
      </w:r>
    </w:p>
    <w:p w14:paraId="63746FA7" w14:textId="69D0CA8D" w:rsidR="00024BEC" w:rsidRPr="00024BEC" w:rsidRDefault="00024BEC" w:rsidP="00024BEC">
      <w:pPr>
        <w:spacing w:line="276" w:lineRule="auto"/>
        <w:jc w:val="both"/>
        <w:rPr>
          <w:rFonts w:ascii="Arial" w:hAnsi="Arial" w:cs="Arial"/>
        </w:rPr>
      </w:pPr>
      <w:r w:rsidRPr="00024BEC">
        <w:rPr>
          <w:rFonts w:ascii="Arial" w:hAnsi="Arial" w:cs="Arial"/>
        </w:rPr>
        <w:t>Хуулийн төсөл батлагдсанаар улсын төсвөөс санхүүжүүлэх шинэ байгууллага байгуулах, орон тоо нэмэгдүүлэх, шинэ бүтэц бий болгох, тусгай сан байгуулах, хөрөнгө оруулалт хийх шаардлага үүсэхгүй.</w:t>
      </w:r>
      <w:r>
        <w:rPr>
          <w:rFonts w:ascii="Arial" w:hAnsi="Arial" w:cs="Arial"/>
        </w:rPr>
        <w:t xml:space="preserve"> </w:t>
      </w:r>
      <w:r w:rsidRPr="00024BEC">
        <w:rPr>
          <w:rFonts w:ascii="Arial" w:hAnsi="Arial" w:cs="Arial"/>
        </w:rPr>
        <w:t>Иймд улсын төсвөөс нэмэлт зардал гарахгүй.</w:t>
      </w:r>
    </w:p>
    <w:p w14:paraId="04EC3E60" w14:textId="77777777" w:rsidR="00024BEC" w:rsidRPr="00024BEC" w:rsidRDefault="00024BEC" w:rsidP="00024BEC">
      <w:pPr>
        <w:spacing w:line="276" w:lineRule="auto"/>
        <w:jc w:val="both"/>
        <w:rPr>
          <w:rFonts w:ascii="Arial" w:hAnsi="Arial" w:cs="Arial"/>
          <w:sz w:val="8"/>
          <w:szCs w:val="8"/>
        </w:rPr>
      </w:pPr>
    </w:p>
    <w:p w14:paraId="032FF218" w14:textId="09F76B4D" w:rsidR="00024BEC" w:rsidRPr="00024BEC" w:rsidRDefault="00024BEC" w:rsidP="00024BEC">
      <w:pPr>
        <w:spacing w:line="276" w:lineRule="auto"/>
        <w:jc w:val="both"/>
        <w:rPr>
          <w:rFonts w:ascii="Arial" w:hAnsi="Arial" w:cs="Arial"/>
        </w:rPr>
      </w:pPr>
      <w:r w:rsidRPr="00024BEC">
        <w:rPr>
          <w:rFonts w:ascii="Arial" w:hAnsi="Arial" w:cs="Arial"/>
        </w:rPr>
        <w:t>Гурав. Орон нутгийн төсөвт үзүүлэх нөлөөлөл</w:t>
      </w:r>
    </w:p>
    <w:p w14:paraId="682318CA" w14:textId="708249C3" w:rsidR="00024BEC" w:rsidRPr="00024BEC" w:rsidRDefault="00024BEC" w:rsidP="00024BEC">
      <w:pPr>
        <w:spacing w:line="276" w:lineRule="auto"/>
        <w:jc w:val="both"/>
        <w:rPr>
          <w:rFonts w:ascii="Arial" w:hAnsi="Arial" w:cs="Arial"/>
        </w:rPr>
      </w:pPr>
      <w:r w:rsidRPr="00024BEC">
        <w:rPr>
          <w:rFonts w:ascii="Arial" w:hAnsi="Arial" w:cs="Arial"/>
        </w:rPr>
        <w:t>Хуулийн төсөл нь орон нутгийн төсвөөс нэмэлт санхүүжилт шаардахгүй бөгөөд аймаг, нийслэл,</w:t>
      </w:r>
      <w:r w:rsidR="00522044">
        <w:rPr>
          <w:rFonts w:ascii="Arial" w:hAnsi="Arial" w:cs="Arial"/>
        </w:rPr>
        <w:t xml:space="preserve"> </w:t>
      </w:r>
      <w:r w:rsidRPr="00024BEC">
        <w:rPr>
          <w:rFonts w:ascii="Arial" w:hAnsi="Arial" w:cs="Arial"/>
        </w:rPr>
        <w:t>дүүргийн намын байгууллагын банкны дансны зохицуулалтыг тодорхой болгож байгаа болно.</w:t>
      </w:r>
      <w:r>
        <w:rPr>
          <w:rFonts w:ascii="Arial" w:hAnsi="Arial" w:cs="Arial"/>
        </w:rPr>
        <w:t xml:space="preserve"> </w:t>
      </w:r>
      <w:r w:rsidRPr="00024BEC">
        <w:rPr>
          <w:rFonts w:ascii="Arial" w:hAnsi="Arial" w:cs="Arial"/>
        </w:rPr>
        <w:t>Иймд орон нутгийн төсөвт нэмэлт зардал үүсэхгүй.</w:t>
      </w:r>
    </w:p>
    <w:p w14:paraId="257AFEA3" w14:textId="77777777" w:rsidR="00024BEC" w:rsidRPr="00024BEC" w:rsidRDefault="00024BEC" w:rsidP="00024BEC">
      <w:pPr>
        <w:spacing w:line="276" w:lineRule="auto"/>
        <w:jc w:val="both"/>
        <w:rPr>
          <w:rFonts w:ascii="Arial" w:hAnsi="Arial" w:cs="Arial"/>
          <w:sz w:val="2"/>
          <w:szCs w:val="2"/>
        </w:rPr>
      </w:pPr>
    </w:p>
    <w:p w14:paraId="3961301E" w14:textId="5EFD59F7" w:rsidR="00024BEC" w:rsidRPr="00024BEC" w:rsidRDefault="00024BEC" w:rsidP="00024BEC">
      <w:pPr>
        <w:spacing w:line="276" w:lineRule="auto"/>
        <w:jc w:val="both"/>
        <w:rPr>
          <w:rFonts w:ascii="Arial" w:hAnsi="Arial" w:cs="Arial"/>
        </w:rPr>
      </w:pPr>
      <w:r w:rsidRPr="00024BEC">
        <w:rPr>
          <w:rFonts w:ascii="Arial" w:hAnsi="Arial" w:cs="Arial"/>
        </w:rPr>
        <w:t>Дөрөв. Улс төрийн намд үзүүлэх нөлөөлөл</w:t>
      </w:r>
    </w:p>
    <w:p w14:paraId="5FC1EFA3" w14:textId="0A004766" w:rsidR="00024BEC" w:rsidRPr="00024BEC" w:rsidRDefault="00024BEC" w:rsidP="00024BEC">
      <w:pPr>
        <w:spacing w:line="276" w:lineRule="auto"/>
        <w:jc w:val="both"/>
        <w:rPr>
          <w:rFonts w:ascii="Arial" w:hAnsi="Arial" w:cs="Arial"/>
        </w:rPr>
      </w:pPr>
      <w:r w:rsidRPr="00024BEC">
        <w:rPr>
          <w:rFonts w:ascii="Arial" w:hAnsi="Arial" w:cs="Arial"/>
        </w:rPr>
        <w:t>Хуулийн төсөл хэрэгжсэнээр намын дотоод зохион байгуулалттай холбоотой зарим шийдвэрийг Намын Их Хурал хуралдуулахгүйгээр төлөөллийн төв байгууллагаар шийдвэрлэх боломж бүрдэнэ.</w:t>
      </w:r>
      <w:r>
        <w:rPr>
          <w:rFonts w:ascii="Arial" w:hAnsi="Arial" w:cs="Arial"/>
        </w:rPr>
        <w:t xml:space="preserve"> </w:t>
      </w:r>
      <w:r w:rsidRPr="00024BEC">
        <w:rPr>
          <w:rFonts w:ascii="Arial" w:hAnsi="Arial" w:cs="Arial"/>
        </w:rPr>
        <w:t>Үүний үр дүнд:</w:t>
      </w:r>
    </w:p>
    <w:p w14:paraId="32DD6314" w14:textId="253F2818" w:rsidR="00024BEC" w:rsidRPr="00024BEC" w:rsidRDefault="00024BEC" w:rsidP="00024BEC">
      <w:pPr>
        <w:spacing w:line="276" w:lineRule="auto"/>
        <w:jc w:val="both"/>
        <w:rPr>
          <w:rFonts w:ascii="Arial" w:hAnsi="Arial" w:cs="Arial"/>
        </w:rPr>
      </w:pPr>
      <w:r w:rsidRPr="00024BEC">
        <w:rPr>
          <w:rFonts w:ascii="Arial" w:hAnsi="Arial" w:cs="Arial"/>
        </w:rPr>
        <w:t>Намын Их Хурал зохион байгуулахтай холбоотой танхим түрээс;</w:t>
      </w:r>
      <w:r w:rsidRPr="00024BEC">
        <w:rPr>
          <w:rFonts w:ascii="MS Gothic" w:eastAsia="MS Gothic" w:hAnsi="MS Gothic" w:cs="MS Gothic" w:hint="eastAsia"/>
        </w:rPr>
        <w:t> </w:t>
      </w:r>
      <w:r w:rsidRPr="00024BEC">
        <w:rPr>
          <w:rFonts w:ascii="Arial" w:hAnsi="Arial" w:cs="Arial"/>
        </w:rPr>
        <w:t>орон нутгаас төлөөлөгч тээвэрлэх;</w:t>
      </w:r>
      <w:r w:rsidRPr="00024BEC">
        <w:rPr>
          <w:rFonts w:ascii="MS Gothic" w:eastAsia="MS Gothic" w:hAnsi="MS Gothic" w:cs="MS Gothic" w:hint="eastAsia"/>
        </w:rPr>
        <w:t> </w:t>
      </w:r>
      <w:r w:rsidRPr="00024BEC">
        <w:rPr>
          <w:rFonts w:ascii="Arial" w:hAnsi="Arial" w:cs="Arial"/>
        </w:rPr>
        <w:t>байр, хоол, зохион байгуулалтын үйлчилгээ;</w:t>
      </w:r>
      <w:r w:rsidRPr="00024BEC">
        <w:rPr>
          <w:rFonts w:ascii="MS Gothic" w:eastAsia="MS Gothic" w:hAnsi="MS Gothic" w:cs="MS Gothic" w:hint="eastAsia"/>
        </w:rPr>
        <w:t> </w:t>
      </w:r>
      <w:r w:rsidRPr="00024BEC">
        <w:rPr>
          <w:rFonts w:ascii="Arial" w:hAnsi="Arial" w:cs="Arial"/>
        </w:rPr>
        <w:t>хэвлэл, мэдээлэл, бичиг хэргийн зардал;</w:t>
      </w:r>
      <w:r w:rsidRPr="00024BEC">
        <w:rPr>
          <w:rFonts w:ascii="MS Gothic" w:eastAsia="MS Gothic" w:hAnsi="MS Gothic" w:cs="MS Gothic" w:hint="eastAsia"/>
        </w:rPr>
        <w:t> </w:t>
      </w:r>
      <w:r w:rsidRPr="00024BEC">
        <w:rPr>
          <w:rFonts w:ascii="Arial" w:hAnsi="Arial" w:cs="Arial"/>
        </w:rPr>
        <w:t>зэрэг зардлыг бууруулах боломж бүрдэнэ.</w:t>
      </w:r>
    </w:p>
    <w:p w14:paraId="38FCF176" w14:textId="77777777" w:rsidR="00024BEC" w:rsidRDefault="00024BEC" w:rsidP="00024BEC">
      <w:pPr>
        <w:spacing w:line="276" w:lineRule="auto"/>
        <w:jc w:val="both"/>
        <w:rPr>
          <w:rFonts w:ascii="Arial" w:hAnsi="Arial" w:cs="Arial"/>
        </w:rPr>
      </w:pPr>
      <w:r w:rsidRPr="00024BEC">
        <w:rPr>
          <w:rFonts w:ascii="Arial" w:hAnsi="Arial" w:cs="Arial"/>
        </w:rPr>
        <w:t>Иймээс улс төрийн намуудын үйл ажиллагааны зардал тодорхой хэмжээгээр буурах эерэг нөлөөтэй.</w:t>
      </w:r>
    </w:p>
    <w:p w14:paraId="5048B880" w14:textId="5AC81302" w:rsidR="00024BEC" w:rsidRPr="00024BEC" w:rsidRDefault="00024BEC" w:rsidP="00024BEC">
      <w:pPr>
        <w:spacing w:line="276" w:lineRule="auto"/>
        <w:jc w:val="both"/>
        <w:rPr>
          <w:rFonts w:ascii="Arial" w:hAnsi="Arial" w:cs="Arial"/>
        </w:rPr>
      </w:pPr>
      <w:r w:rsidRPr="00024BEC">
        <w:rPr>
          <w:rFonts w:ascii="Arial" w:hAnsi="Arial" w:cs="Arial"/>
        </w:rPr>
        <w:lastRenderedPageBreak/>
        <w:t>Тав. Төрийн байгууллагын үйл ажиллагаанд үзүүлэх нөлөөлөл</w:t>
      </w:r>
    </w:p>
    <w:p w14:paraId="38C330EF" w14:textId="488E1715" w:rsidR="00024BEC" w:rsidRPr="00024BEC" w:rsidRDefault="00024BEC" w:rsidP="00024BEC">
      <w:pPr>
        <w:spacing w:line="276" w:lineRule="auto"/>
        <w:jc w:val="both"/>
        <w:rPr>
          <w:rFonts w:ascii="Arial" w:hAnsi="Arial" w:cs="Arial"/>
        </w:rPr>
      </w:pPr>
      <w:r w:rsidRPr="00024BEC">
        <w:rPr>
          <w:rFonts w:ascii="Arial" w:hAnsi="Arial" w:cs="Arial"/>
        </w:rPr>
        <w:t>Улсын Дээд Шүүх, Сонгуулийн ерөнхий хороо, Үндэсний аудитын газар болон бусад байгууллагын эрх хэмжээ, бүтэц, орон тоонд өөрчлөлт орохгүй.</w:t>
      </w:r>
    </w:p>
    <w:p w14:paraId="44BC639D" w14:textId="0E1854ED" w:rsidR="00024BEC" w:rsidRPr="00024BEC" w:rsidRDefault="00024BEC" w:rsidP="00024BEC">
      <w:pPr>
        <w:spacing w:line="276" w:lineRule="auto"/>
        <w:jc w:val="both"/>
        <w:rPr>
          <w:rFonts w:ascii="Arial" w:hAnsi="Arial" w:cs="Arial"/>
        </w:rPr>
      </w:pPr>
      <w:r w:rsidRPr="00024BEC">
        <w:rPr>
          <w:rFonts w:ascii="Arial" w:hAnsi="Arial" w:cs="Arial"/>
        </w:rPr>
        <w:t>Хуулийн хэрэгжилтийг одоо мөрдөгдөж буй төсөв, орон тооны хүрээнд хэрэгжүүлэх боломжтой.</w:t>
      </w:r>
      <w:r w:rsidRPr="00024BEC">
        <w:rPr>
          <w:rFonts w:ascii="Arial" w:hAnsi="Arial" w:cs="Arial"/>
        </w:rPr>
        <w:br/>
      </w:r>
      <w:r w:rsidRPr="00024BEC">
        <w:rPr>
          <w:rFonts w:ascii="Arial" w:hAnsi="Arial" w:cs="Arial"/>
        </w:rPr>
        <w:br/>
        <w:t>Зургаа. Дүгнэлт</w:t>
      </w:r>
    </w:p>
    <w:p w14:paraId="0A466A16" w14:textId="77777777" w:rsidR="00024BEC" w:rsidRPr="00024BEC" w:rsidRDefault="00024BEC" w:rsidP="00024BEC">
      <w:pPr>
        <w:spacing w:line="276" w:lineRule="auto"/>
        <w:jc w:val="both"/>
        <w:rPr>
          <w:rFonts w:ascii="Arial" w:hAnsi="Arial" w:cs="Arial"/>
        </w:rPr>
      </w:pPr>
      <w:r w:rsidRPr="00024BEC">
        <w:rPr>
          <w:rFonts w:ascii="Arial" w:hAnsi="Arial" w:cs="Arial"/>
        </w:rPr>
        <w:t>“Улс төрийн намын тухай хуульд нэмэлт, өөрчлөлт оруулах тухай” хуулийн төсөл батлагдсанаар:</w:t>
      </w:r>
    </w:p>
    <w:p w14:paraId="4A607E9F" w14:textId="488E7CDB" w:rsidR="00024BEC" w:rsidRPr="00024BEC" w:rsidRDefault="00024BEC" w:rsidP="00024BEC">
      <w:pPr>
        <w:spacing w:line="276" w:lineRule="auto"/>
        <w:jc w:val="both"/>
        <w:rPr>
          <w:rFonts w:ascii="Arial" w:hAnsi="Arial" w:cs="Arial"/>
        </w:rPr>
      </w:pPr>
      <w:r>
        <w:rPr>
          <w:rFonts w:ascii="MS Gothic" w:eastAsia="MS Gothic" w:hAnsi="MS Gothic" w:cs="MS Gothic"/>
        </w:rPr>
        <w:t xml:space="preserve"> </w:t>
      </w:r>
      <w:r w:rsidRPr="00024BEC">
        <w:rPr>
          <w:rFonts w:ascii="Arial" w:hAnsi="Arial" w:cs="Arial"/>
        </w:rPr>
        <w:t>Улсын төсөвт нэмэлт зардал үүсэхгүй;</w:t>
      </w:r>
      <w:r w:rsidRPr="00024BEC">
        <w:rPr>
          <w:rFonts w:ascii="MS Gothic" w:eastAsia="MS Gothic" w:hAnsi="MS Gothic" w:cs="MS Gothic" w:hint="eastAsia"/>
        </w:rPr>
        <w:t> </w:t>
      </w:r>
      <w:r>
        <w:rPr>
          <w:rFonts w:ascii="Arial" w:hAnsi="Arial" w:cs="Arial"/>
        </w:rPr>
        <w:t>О</w:t>
      </w:r>
      <w:r w:rsidRPr="00024BEC">
        <w:rPr>
          <w:rFonts w:ascii="Arial" w:hAnsi="Arial" w:cs="Arial"/>
        </w:rPr>
        <w:t>рон нутгийн төсөвт нэмэлт зардал үүсэхгүй;</w:t>
      </w:r>
      <w:r w:rsidRPr="00024BEC">
        <w:rPr>
          <w:rFonts w:ascii="MS Gothic" w:eastAsia="MS Gothic" w:hAnsi="MS Gothic" w:cs="MS Gothic" w:hint="eastAsia"/>
        </w:rPr>
        <w:t> </w:t>
      </w:r>
      <w:r w:rsidRPr="00024BEC">
        <w:rPr>
          <w:rFonts w:ascii="Arial" w:hAnsi="Arial" w:cs="Arial"/>
        </w:rPr>
        <w:t>Төрийн байгууллагын орон тоо нэмэгдэхгүй;</w:t>
      </w:r>
      <w:r w:rsidRPr="00024BEC">
        <w:rPr>
          <w:rFonts w:ascii="MS Gothic" w:eastAsia="MS Gothic" w:hAnsi="MS Gothic" w:cs="MS Gothic" w:hint="eastAsia"/>
        </w:rPr>
        <w:t> </w:t>
      </w:r>
      <w:r w:rsidRPr="00024BEC">
        <w:rPr>
          <w:rFonts w:ascii="Arial" w:hAnsi="Arial" w:cs="Arial"/>
        </w:rPr>
        <w:t>Шинэ бүтэц, байгууллага байгуулах шаардлагагүй;</w:t>
      </w:r>
      <w:r w:rsidRPr="00024BEC">
        <w:rPr>
          <w:rFonts w:ascii="MS Gothic" w:eastAsia="MS Gothic" w:hAnsi="MS Gothic" w:cs="MS Gothic" w:hint="eastAsia"/>
        </w:rPr>
        <w:t> </w:t>
      </w:r>
      <w:r w:rsidRPr="00024BEC">
        <w:rPr>
          <w:rFonts w:ascii="Arial" w:hAnsi="Arial" w:cs="Arial"/>
        </w:rPr>
        <w:t>Улс төрийн намуудын зохион байгуулалтын зардлыг бууруулах эерэг үр нөлөөтэй.</w:t>
      </w:r>
      <w:r w:rsidRPr="00024BEC">
        <w:rPr>
          <w:rFonts w:ascii="MS Gothic" w:eastAsia="MS Gothic" w:hAnsi="MS Gothic" w:cs="MS Gothic" w:hint="eastAsia"/>
        </w:rPr>
        <w:t> </w:t>
      </w:r>
    </w:p>
    <w:p w14:paraId="72E66F2D" w14:textId="77777777" w:rsidR="00024BEC" w:rsidRPr="00024BEC" w:rsidRDefault="00024BEC" w:rsidP="00024BEC">
      <w:pPr>
        <w:spacing w:line="276" w:lineRule="auto"/>
        <w:jc w:val="both"/>
        <w:rPr>
          <w:rFonts w:ascii="Arial" w:hAnsi="Arial" w:cs="Arial"/>
        </w:rPr>
      </w:pPr>
      <w:r w:rsidRPr="00024BEC">
        <w:rPr>
          <w:rFonts w:ascii="Arial" w:hAnsi="Arial" w:cs="Arial"/>
        </w:rPr>
        <w:t>Иймд уг хуулийн төслийг хэрэгжүүлэхэд улсын болон орон нутгийн төсвөөс нэмэлт санхүүжилт шаардагдахгүй болно.</w:t>
      </w:r>
    </w:p>
    <w:p w14:paraId="2C7E1E28" w14:textId="77777777" w:rsidR="00024BEC" w:rsidRDefault="00024BEC" w:rsidP="00024BEC">
      <w:pPr>
        <w:spacing w:line="276" w:lineRule="auto"/>
        <w:jc w:val="center"/>
        <w:rPr>
          <w:rFonts w:ascii="Arial" w:hAnsi="Arial" w:cs="Arial"/>
          <w:lang w:val="en-US"/>
        </w:rPr>
      </w:pPr>
    </w:p>
    <w:p w14:paraId="29D31853" w14:textId="77777777" w:rsidR="00024BEC" w:rsidRDefault="00024BEC" w:rsidP="00024BEC">
      <w:pPr>
        <w:spacing w:line="276" w:lineRule="auto"/>
        <w:jc w:val="center"/>
        <w:rPr>
          <w:rFonts w:ascii="Arial" w:hAnsi="Arial" w:cs="Arial"/>
          <w:lang w:val="en-US"/>
        </w:rPr>
      </w:pPr>
    </w:p>
    <w:p w14:paraId="486124F8" w14:textId="77777777" w:rsidR="00024BEC" w:rsidRDefault="00024BEC" w:rsidP="00024BEC">
      <w:pPr>
        <w:spacing w:line="276" w:lineRule="auto"/>
        <w:jc w:val="center"/>
        <w:rPr>
          <w:rFonts w:ascii="Arial" w:hAnsi="Arial" w:cs="Arial"/>
          <w:lang w:val="en-US"/>
        </w:rPr>
      </w:pPr>
    </w:p>
    <w:p w14:paraId="70AD8967" w14:textId="2258EBF7" w:rsidR="00024BEC" w:rsidRPr="00024BEC" w:rsidRDefault="00024BEC" w:rsidP="00024BEC">
      <w:pPr>
        <w:spacing w:line="276" w:lineRule="auto"/>
        <w:jc w:val="center"/>
        <w:rPr>
          <w:rFonts w:ascii="Arial" w:hAnsi="Arial" w:cs="Arial"/>
          <w:lang w:val="en-US"/>
        </w:rPr>
      </w:pPr>
      <w:r>
        <w:rPr>
          <w:rFonts w:ascii="Arial" w:hAnsi="Arial" w:cs="Arial"/>
          <w:lang w:val="en-US"/>
        </w:rPr>
        <w:t>---0o0---</w:t>
      </w:r>
    </w:p>
    <w:p w14:paraId="7B2D3FEF" w14:textId="77777777" w:rsidR="00024BEC" w:rsidRPr="00024BEC" w:rsidRDefault="00024BEC" w:rsidP="00024BEC">
      <w:pPr>
        <w:spacing w:line="276" w:lineRule="auto"/>
        <w:jc w:val="center"/>
        <w:rPr>
          <w:rFonts w:ascii="Arial" w:hAnsi="Arial" w:cs="Arial"/>
        </w:rPr>
      </w:pPr>
    </w:p>
    <w:sectPr w:rsidR="00024BEC" w:rsidRPr="00024BEC" w:rsidSect="00E07184">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EC"/>
    <w:rsid w:val="00024BEC"/>
    <w:rsid w:val="0003084C"/>
    <w:rsid w:val="001E675D"/>
    <w:rsid w:val="00522044"/>
    <w:rsid w:val="008661DF"/>
    <w:rsid w:val="00D96115"/>
    <w:rsid w:val="00E07184"/>
    <w:rsid w:val="00E862BA"/>
    <w:rsid w:val="00ED4F5E"/>
    <w:rsid w:val="00F44F6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9B60D2E"/>
  <w15:chartTrackingRefBased/>
  <w15:docId w15:val="{4C185AEF-0DCA-2547-8211-F272B3BD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BEC"/>
    <w:rPr>
      <w:rFonts w:eastAsiaTheme="majorEastAsia" w:cstheme="majorBidi"/>
      <w:color w:val="272727" w:themeColor="text1" w:themeTint="D8"/>
    </w:rPr>
  </w:style>
  <w:style w:type="paragraph" w:styleId="Title">
    <w:name w:val="Title"/>
    <w:basedOn w:val="Normal"/>
    <w:next w:val="Normal"/>
    <w:link w:val="TitleChar"/>
    <w:uiPriority w:val="10"/>
    <w:qFormat/>
    <w:rsid w:val="00024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BEC"/>
    <w:pPr>
      <w:spacing w:before="160"/>
      <w:jc w:val="center"/>
    </w:pPr>
    <w:rPr>
      <w:i/>
      <w:iCs/>
      <w:color w:val="404040" w:themeColor="text1" w:themeTint="BF"/>
    </w:rPr>
  </w:style>
  <w:style w:type="character" w:customStyle="1" w:styleId="QuoteChar">
    <w:name w:val="Quote Char"/>
    <w:basedOn w:val="DefaultParagraphFont"/>
    <w:link w:val="Quote"/>
    <w:uiPriority w:val="29"/>
    <w:rsid w:val="00024BEC"/>
    <w:rPr>
      <w:i/>
      <w:iCs/>
      <w:color w:val="404040" w:themeColor="text1" w:themeTint="BF"/>
    </w:rPr>
  </w:style>
  <w:style w:type="paragraph" w:styleId="ListParagraph">
    <w:name w:val="List Paragraph"/>
    <w:basedOn w:val="Normal"/>
    <w:uiPriority w:val="34"/>
    <w:qFormat/>
    <w:rsid w:val="00024BEC"/>
    <w:pPr>
      <w:ind w:left="720"/>
      <w:contextualSpacing/>
    </w:pPr>
  </w:style>
  <w:style w:type="character" w:styleId="IntenseEmphasis">
    <w:name w:val="Intense Emphasis"/>
    <w:basedOn w:val="DefaultParagraphFont"/>
    <w:uiPriority w:val="21"/>
    <w:qFormat/>
    <w:rsid w:val="00024BEC"/>
    <w:rPr>
      <w:i/>
      <w:iCs/>
      <w:color w:val="2F5496" w:themeColor="accent1" w:themeShade="BF"/>
    </w:rPr>
  </w:style>
  <w:style w:type="paragraph" w:styleId="IntenseQuote">
    <w:name w:val="Intense Quote"/>
    <w:basedOn w:val="Normal"/>
    <w:next w:val="Normal"/>
    <w:link w:val="IntenseQuoteChar"/>
    <w:uiPriority w:val="30"/>
    <w:qFormat/>
    <w:rsid w:val="00024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BEC"/>
    <w:rPr>
      <w:i/>
      <w:iCs/>
      <w:color w:val="2F5496" w:themeColor="accent1" w:themeShade="BF"/>
    </w:rPr>
  </w:style>
  <w:style w:type="character" w:styleId="IntenseReference">
    <w:name w:val="Intense Reference"/>
    <w:basedOn w:val="DefaultParagraphFont"/>
    <w:uiPriority w:val="32"/>
    <w:qFormat/>
    <w:rsid w:val="00024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F903-AFBA-F64D-86FB-53E2444F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Erdeneburen</dc:creator>
  <cp:keywords/>
  <dc:description/>
  <cp:lastModifiedBy>Erdeneburen</cp:lastModifiedBy>
  <cp:revision>3</cp:revision>
  <dcterms:created xsi:type="dcterms:W3CDTF">2026-06-16T06:11:00Z</dcterms:created>
  <dcterms:modified xsi:type="dcterms:W3CDTF">2026-06-18T06:40:00Z</dcterms:modified>
</cp:coreProperties>
</file>