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E32D0" w14:textId="77777777" w:rsidR="007D657E" w:rsidRPr="003320FC" w:rsidRDefault="007D657E" w:rsidP="007D657E">
      <w:pPr>
        <w:spacing w:line="180" w:lineRule="atLeast"/>
        <w:jc w:val="center"/>
        <w:rPr>
          <w:rFonts w:ascii="Arial" w:hAnsi="Arial" w:cs="Arial"/>
          <w:noProof/>
          <w:color w:val="000000"/>
          <w:sz w:val="22"/>
          <w:szCs w:val="22"/>
          <w:lang w:val="mn-MN"/>
        </w:rPr>
      </w:pPr>
      <w:r w:rsidRPr="003320FC">
        <w:rPr>
          <w:rFonts w:ascii="Arial" w:hAnsi="Arial" w:cs="Arial"/>
          <w:b/>
          <w:bCs/>
          <w:noProof/>
          <w:sz w:val="22"/>
          <w:szCs w:val="22"/>
          <w:lang w:val="mn-MN"/>
        </w:rPr>
        <w:t>ТОВЧ ТАНИЛЦУУЛГА</w:t>
      </w:r>
    </w:p>
    <w:p w14:paraId="47C04BE0" w14:textId="77777777" w:rsidR="007D657E" w:rsidRPr="003320FC" w:rsidRDefault="007D657E" w:rsidP="007D657E">
      <w:pPr>
        <w:pStyle w:val="NoSpacing"/>
        <w:jc w:val="right"/>
        <w:rPr>
          <w:rFonts w:ascii="Arial" w:hAnsi="Arial" w:cs="Arial"/>
          <w:noProof/>
          <w:sz w:val="22"/>
          <w:szCs w:val="22"/>
          <w:lang w:val="mn-MN"/>
        </w:rPr>
      </w:pPr>
    </w:p>
    <w:p w14:paraId="372BA306" w14:textId="77777777" w:rsidR="007D657E" w:rsidRPr="003320FC" w:rsidRDefault="007D657E" w:rsidP="007D657E">
      <w:pPr>
        <w:pStyle w:val="NoSpacing"/>
        <w:jc w:val="right"/>
        <w:rPr>
          <w:rFonts w:ascii="Arial" w:hAnsi="Arial" w:cs="Arial"/>
          <w:b/>
          <w:bCs/>
          <w:noProof/>
          <w:sz w:val="22"/>
          <w:szCs w:val="22"/>
          <w:lang w:val="mn-MN"/>
        </w:rPr>
      </w:pPr>
      <w:r w:rsidRPr="003320FC">
        <w:rPr>
          <w:rFonts w:ascii="Arial" w:hAnsi="Arial" w:cs="Arial"/>
          <w:b/>
          <w:bCs/>
          <w:noProof/>
          <w:sz w:val="22"/>
          <w:szCs w:val="22"/>
          <w:lang w:val="mn-MN"/>
        </w:rPr>
        <w:t>Төв банк /Монголбанк/-ны тухай хуульд нэмэлт, өөрчлөлт</w:t>
      </w:r>
    </w:p>
    <w:p w14:paraId="2019DE12" w14:textId="77777777" w:rsidR="007D657E" w:rsidRPr="003320FC" w:rsidRDefault="007D657E" w:rsidP="007D657E">
      <w:pPr>
        <w:pStyle w:val="NoSpacing"/>
        <w:jc w:val="right"/>
        <w:rPr>
          <w:rFonts w:ascii="Arial" w:hAnsi="Arial" w:cs="Arial"/>
          <w:b/>
          <w:bCs/>
          <w:noProof/>
          <w:sz w:val="22"/>
          <w:szCs w:val="22"/>
          <w:lang w:val="mn-MN"/>
        </w:rPr>
      </w:pPr>
      <w:r w:rsidRPr="003320FC">
        <w:rPr>
          <w:rFonts w:ascii="Arial" w:hAnsi="Arial" w:cs="Arial"/>
          <w:b/>
          <w:bCs/>
          <w:noProof/>
          <w:sz w:val="22"/>
          <w:szCs w:val="22"/>
          <w:lang w:val="mn-MN"/>
        </w:rPr>
        <w:t xml:space="preserve"> оруулах тухай хуулийн төслийн тухай</w:t>
      </w:r>
    </w:p>
    <w:p w14:paraId="1B69178E" w14:textId="77777777" w:rsidR="007D657E" w:rsidRPr="003320FC" w:rsidRDefault="007D657E" w:rsidP="007D657E">
      <w:pPr>
        <w:pStyle w:val="NoSpacing"/>
        <w:jc w:val="right"/>
        <w:rPr>
          <w:rFonts w:ascii="Arial" w:hAnsi="Arial" w:cs="Arial"/>
          <w:noProof/>
          <w:sz w:val="22"/>
          <w:szCs w:val="22"/>
          <w:lang w:val="mn-MN"/>
        </w:rPr>
      </w:pPr>
    </w:p>
    <w:p w14:paraId="29B97336" w14:textId="77777777" w:rsidR="007D657E" w:rsidRPr="003320FC" w:rsidRDefault="007D657E" w:rsidP="007D657E">
      <w:pPr>
        <w:ind w:right="-472" w:firstLine="720"/>
        <w:jc w:val="both"/>
        <w:rPr>
          <w:rFonts w:ascii="Arial" w:hAnsi="Arial" w:cs="Arial"/>
          <w:noProof/>
          <w:sz w:val="22"/>
          <w:szCs w:val="22"/>
          <w:lang w:val="mn-MN"/>
        </w:rPr>
      </w:pPr>
      <w:r w:rsidRPr="003320FC">
        <w:rPr>
          <w:rFonts w:ascii="Arial" w:hAnsi="Arial" w:cs="Arial"/>
          <w:noProof/>
          <w:sz w:val="22"/>
          <w:szCs w:val="22"/>
          <w:lang w:val="mn-MN"/>
        </w:rPr>
        <w:t>Төв банк /Монголбанк/-ны тухай хуульд нэмэлт, өөрчлөлт оруулах тухай хуулийн төсөл нь Монголбанкны үндсэн зорилтыг үнийн тогтвортой байдлаар тодорхойлох, мөнгөний бодлого болон төсвийн бодлогын уялдааг хангах, төв банк төсвийн шинжтэй үйл ажиллагааг явуулахыг хориглох, төв банкны өөрийн хөрөнгийг дутагдалыг нөхөх эрх зүйн зохицуулалтыг сайжруулах зорилготой байна.</w:t>
      </w:r>
    </w:p>
    <w:p w14:paraId="4A85A32D" w14:textId="77777777" w:rsidR="007D657E" w:rsidRPr="003320FC" w:rsidRDefault="007D657E" w:rsidP="007D657E">
      <w:pPr>
        <w:ind w:right="-472" w:firstLine="720"/>
        <w:jc w:val="both"/>
        <w:rPr>
          <w:rFonts w:ascii="Arial" w:hAnsi="Arial" w:cs="Arial"/>
          <w:noProof/>
          <w:sz w:val="22"/>
          <w:szCs w:val="22"/>
          <w:lang w:val="mn-MN"/>
        </w:rPr>
      </w:pPr>
      <w:r w:rsidRPr="003320FC">
        <w:rPr>
          <w:rFonts w:ascii="Arial" w:hAnsi="Arial" w:cs="Arial"/>
          <w:noProof/>
          <w:sz w:val="22"/>
          <w:szCs w:val="22"/>
          <w:lang w:val="mn-MN"/>
        </w:rPr>
        <w:t>Хуулийн төсөлд дараах зарчмын шинжтэй зохицуулалтыг тусгасан болно:</w:t>
      </w:r>
    </w:p>
    <w:p w14:paraId="03D1D6E9" w14:textId="77777777" w:rsidR="007D657E" w:rsidRPr="003320FC" w:rsidRDefault="007D657E" w:rsidP="007D657E">
      <w:pPr>
        <w:ind w:right="-472" w:firstLine="720"/>
        <w:jc w:val="both"/>
        <w:rPr>
          <w:rFonts w:ascii="Arial" w:hAnsi="Arial" w:cs="Arial"/>
          <w:noProof/>
          <w:sz w:val="22"/>
          <w:szCs w:val="22"/>
          <w:lang w:val="mn-MN"/>
        </w:rPr>
      </w:pPr>
      <w:r w:rsidRPr="003320FC">
        <w:rPr>
          <w:rFonts w:ascii="Arial" w:hAnsi="Arial" w:cs="Arial"/>
          <w:noProof/>
          <w:sz w:val="22"/>
          <w:szCs w:val="22"/>
          <w:lang w:val="mn-MN"/>
        </w:rPr>
        <w:t xml:space="preserve">Нэгдүгээрт,Монголбанкны үндсэн зорилтыг хэрэглээний үнийн индексээр илэрхийлэгдэх инфляцын нам, тогтвортой түвшнийг хангах гэж тодорхойлж, зорилтын хоёрдмол утгыг арилгасан. </w:t>
      </w:r>
    </w:p>
    <w:p w14:paraId="242E48CA" w14:textId="77777777" w:rsidR="007D657E" w:rsidRPr="003320FC" w:rsidRDefault="007D657E" w:rsidP="007D657E">
      <w:pPr>
        <w:ind w:right="-472" w:firstLine="720"/>
        <w:jc w:val="both"/>
        <w:rPr>
          <w:rFonts w:ascii="Arial" w:hAnsi="Arial" w:cs="Arial"/>
          <w:noProof/>
          <w:sz w:val="22"/>
          <w:szCs w:val="22"/>
          <w:lang w:val="mn-MN"/>
        </w:rPr>
      </w:pPr>
      <w:r w:rsidRPr="003320FC">
        <w:rPr>
          <w:rFonts w:ascii="Arial" w:hAnsi="Arial" w:cs="Arial"/>
          <w:noProof/>
          <w:sz w:val="22"/>
          <w:szCs w:val="22"/>
          <w:lang w:val="mn-MN"/>
        </w:rPr>
        <w:t xml:space="preserve">Хоёрдугаарт,Монголбанк “төсвийн шинжтэй үйл ажиллагаа”-г эрхлэх, санхүүжүүлэхийг хориглож, зөвхөн Төв банк /Монголбанк/-ны тухай хуулиар аливаа үйл ажиллагааг эрхлэхээр хязгаарласан. </w:t>
      </w:r>
    </w:p>
    <w:p w14:paraId="1EAB444D" w14:textId="77777777" w:rsidR="007D657E" w:rsidRPr="003320FC" w:rsidRDefault="007D657E" w:rsidP="007D657E">
      <w:pPr>
        <w:ind w:right="-472" w:firstLine="720"/>
        <w:jc w:val="both"/>
        <w:rPr>
          <w:rFonts w:ascii="Arial" w:hAnsi="Arial" w:cs="Arial"/>
          <w:noProof/>
          <w:sz w:val="22"/>
          <w:szCs w:val="22"/>
          <w:lang w:val="mn-MN"/>
        </w:rPr>
      </w:pPr>
      <w:r w:rsidRPr="003320FC">
        <w:rPr>
          <w:rFonts w:ascii="Arial" w:hAnsi="Arial" w:cs="Arial"/>
          <w:noProof/>
          <w:sz w:val="22"/>
          <w:szCs w:val="22"/>
          <w:lang w:val="mn-MN"/>
        </w:rPr>
        <w:t xml:space="preserve">Гуравдугаарт, Монголбанк мөнгөний бодлогын төслийг жил бүрийн 6 дугаар сарын 10-ны өдрийн дотор Улсын Их Хуралд өргөн мэдүүлэх бөгөөд Улсын Их Хурал мөнгөний бодлогын талаар баримтлах үндсэн чиглэлийг батлахдаа инфляцын зорилт, төсвийн тусгай шаардлага болох төсвийн зардлын хязгаарлалт, төв банкны өөрийн хөрөнгийг сэргээхэд шаардлагатай Засгийн газрын тусгай үнэт цаасны хэмжээг тогтоох зохицуулалтыг тусгасан. </w:t>
      </w:r>
    </w:p>
    <w:p w14:paraId="2B680C6D" w14:textId="77777777" w:rsidR="007D657E" w:rsidRPr="003320FC" w:rsidRDefault="007D657E" w:rsidP="007D657E">
      <w:pPr>
        <w:ind w:right="-472" w:firstLine="720"/>
        <w:jc w:val="both"/>
        <w:rPr>
          <w:rFonts w:ascii="Arial" w:hAnsi="Arial" w:cs="Arial"/>
          <w:noProof/>
          <w:sz w:val="22"/>
          <w:szCs w:val="22"/>
          <w:lang w:val="mn-MN"/>
        </w:rPr>
      </w:pPr>
      <w:r w:rsidRPr="003320FC">
        <w:rPr>
          <w:rFonts w:ascii="Arial" w:hAnsi="Arial" w:cs="Arial"/>
          <w:noProof/>
          <w:sz w:val="22"/>
          <w:szCs w:val="22"/>
          <w:lang w:val="mn-MN"/>
        </w:rPr>
        <w:t>Дөрөвдүгээрт, төв банкны өөрийн хөрөнгийн дутагдлыг тодорхойлж, дутагдлыг нөхөхөд шаардлагатай мөнгөн хөрөнгө шилжүүлэх, эсхүл тусгай нөхцөлтэй, хүүтэй, хугацаатай Засгийн газрын үнэт цаасыг Монголбанканд эзэмшүүлэх журмыг хуульчилж, үүнтэй уялдуулан Төсвийн тухай хууль, Төсвийн тогтвортой байдлын тухай, Өрийн удирдлагын тухай хуульд холбогдох нэмэлт, өөрчлөлтийг тусгасан.</w:t>
      </w:r>
    </w:p>
    <w:p w14:paraId="51B16BE4" w14:textId="77777777" w:rsidR="007D657E" w:rsidRPr="003320FC" w:rsidRDefault="007D657E" w:rsidP="007D657E">
      <w:pPr>
        <w:ind w:right="-472" w:firstLine="720"/>
        <w:jc w:val="both"/>
        <w:rPr>
          <w:rFonts w:ascii="Arial" w:hAnsi="Arial" w:cs="Arial"/>
          <w:noProof/>
          <w:sz w:val="22"/>
          <w:szCs w:val="22"/>
          <w:lang w:val="mn-MN"/>
        </w:rPr>
      </w:pPr>
      <w:r w:rsidRPr="003320FC">
        <w:rPr>
          <w:rFonts w:ascii="Arial" w:hAnsi="Arial" w:cs="Arial"/>
          <w:noProof/>
          <w:sz w:val="22"/>
          <w:szCs w:val="22"/>
          <w:lang w:val="mn-MN"/>
        </w:rPr>
        <w:t xml:space="preserve">1996 онд батлан мөрдөж буй Төв банк /Монголбанк/-ны тухай хуульд Монголбанкны үндсэн зорилтыг төгрөгийн тогтвортой байдлыг хангах гэж заасан нь төгрөгийн гадаад валюттай харьцах ханшийг тогтвортой байлгах Монголбанкны 1991 оны Банкны тухай хууль дахь инфляци болон гадаад валюттай харьцах ханшйг тогтворжуулах үүргээс улбаатай үлджээ. Үүнээс шалтгаалан төв банкны зорилтыг инфляцын бодлогоос илүү ханшийн тогтвортой байдалд төвлөрүүлж буруу тайлбарлах, бодлогын тууштай байдал алдагдах, гадаад валютын ханшийг тогтвортой байлгах чиглэл өгөх зохисгүй практик гарч байв. Мөн Монголбанк төсвийн бодлогыг мөнгөний бодлогын зорилттой нийцүүлэх хуульд заасан бүрэн эрхгүй, зохицуулалтгүйгээс төсвийн давамгайлал нэмэгдэж, мөнгөний бодлогын орон зай хумигдсан байна. Төв банкны өөрийн хөрөнгийн дутагдлыг Улсын Их Хурал шийдвэрлэхээр заасан боловч төв банкны өөрийн хөрөнгийн дутагдалыг нөхөх Засгийн газрын үүрэг, хэрэгжүүлэх хугацаа, арга хэмжээ тодорхойгүй, хуулийн зохицуулалтгүйгээс эрх зүйн хийдэл үүссэн байна.  </w:t>
      </w:r>
    </w:p>
    <w:p w14:paraId="1E84EFCF" w14:textId="77777777" w:rsidR="007D657E" w:rsidRPr="003320FC" w:rsidRDefault="007D657E" w:rsidP="007D657E">
      <w:pPr>
        <w:ind w:right="-472" w:firstLine="720"/>
        <w:jc w:val="both"/>
        <w:rPr>
          <w:rFonts w:ascii="Arial" w:hAnsi="Arial" w:cs="Arial"/>
          <w:noProof/>
          <w:sz w:val="22"/>
          <w:szCs w:val="22"/>
          <w:lang w:val="mn-MN"/>
        </w:rPr>
      </w:pPr>
      <w:r w:rsidRPr="003320FC">
        <w:rPr>
          <w:rFonts w:ascii="Arial" w:hAnsi="Arial" w:cs="Arial"/>
          <w:noProof/>
          <w:sz w:val="22"/>
          <w:szCs w:val="22"/>
          <w:lang w:val="mn-MN"/>
        </w:rPr>
        <w:t xml:space="preserve">Хууль санаачлагч нь хуулийн төслийг боловсруулахдаа төв банкны бодлого, үйл ажиллагаатай холбоотой Улсын Их Хурал, Засгийн газраас баталсан бодлогын баримт бичгүүдийг судалж, Монголбанкны алдагдлын шалтгаан, бүтцийг шинжилсэн. </w:t>
      </w:r>
    </w:p>
    <w:p w14:paraId="6CF093D7" w14:textId="77777777" w:rsidR="007D657E" w:rsidRPr="003320FC" w:rsidRDefault="007D657E" w:rsidP="007D657E">
      <w:pPr>
        <w:ind w:right="-472" w:firstLine="720"/>
        <w:jc w:val="both"/>
        <w:rPr>
          <w:rFonts w:ascii="Arial" w:hAnsi="Arial" w:cs="Arial"/>
          <w:noProof/>
          <w:sz w:val="22"/>
          <w:szCs w:val="22"/>
          <w:lang w:val="mn-MN"/>
        </w:rPr>
      </w:pPr>
      <w:r w:rsidRPr="003320FC">
        <w:rPr>
          <w:rFonts w:ascii="Arial" w:hAnsi="Arial" w:cs="Arial"/>
          <w:noProof/>
          <w:sz w:val="22"/>
          <w:szCs w:val="22"/>
          <w:lang w:val="mn-MN"/>
        </w:rPr>
        <w:t xml:space="preserve">Дараагийн таван жилийн хугацаанд төв банкны санхүүгийн байдалд хийсэн стресс тестийн дүн шинжилгээг судалж, дотоод, гадаадын эрдэмтэн, судлаачдын төв банкны бие даасан байдлын үнэлгээ, зөвлөмжийг харьцуулан авч үзсэн болно. Мөн Засгийн газрын өрийн удирдлагын стратеги, дунд хугацааны төсвийн хүрээний мэдэгдэл, төсвийн төсөөлөл болон төсөв, өрийн хууль тогтоомжид төв банкны өөрийн хөрөнгийг сэргээх зохицуулалтыг хэрэгжүүлэх боломж, эрх зүйн үндэслэлийг шинжлэв. Энэхүү судалгааны үр дүнд одоогийн эрх зүйн орчин, Монголбанканд нэгэнт үүсээд байгаа 6.9 их наяд төгрөгийн хуримтлагдсан алдагдал, өөрийн хөрөнгийн 4.8 их наяд төгрөгийн дутагдлыг Монголбанк өөрийн үйл ажиллагаагаараа нөхөх боломжгүй нөхцөл байдалтай байгааг тодорхойллоо. </w:t>
      </w:r>
    </w:p>
    <w:p w14:paraId="64648F6C" w14:textId="77777777" w:rsidR="007D657E" w:rsidRPr="003320FC" w:rsidRDefault="007D657E" w:rsidP="007D657E">
      <w:pPr>
        <w:ind w:right="-472" w:firstLine="720"/>
        <w:jc w:val="both"/>
        <w:rPr>
          <w:rFonts w:ascii="Arial" w:hAnsi="Arial" w:cs="Arial"/>
          <w:noProof/>
          <w:sz w:val="22"/>
          <w:szCs w:val="22"/>
          <w:lang w:val="mn-MN"/>
        </w:rPr>
      </w:pPr>
      <w:r w:rsidRPr="003320FC">
        <w:rPr>
          <w:rFonts w:ascii="Arial" w:hAnsi="Arial" w:cs="Arial"/>
          <w:noProof/>
          <w:sz w:val="22"/>
          <w:szCs w:val="22"/>
          <w:lang w:val="mn-MN"/>
        </w:rPr>
        <w:lastRenderedPageBreak/>
        <w:t xml:space="preserve">Хуулийн төсөл, түүний үзэл баримтлалыг Монголбанкны холбогдох нэгжүүд, санхүү, эдийн засгийн салбарын ажилтан, мэргэжилтэн, эрдэмтэн судлаачид, төрийн холбогдох байгууллагуудын төлөөлөл оролцуулан хэлэлцүүлсэн болно. Хэлэлцүүлгээр төв банкны бие даасан байдлыг бэхжүүлж, бодлого боловсруулагч, хэрэгжүүлэгч нар түүнд тууштай байх, Төв банкны үндсэн зорилт нь инфляцыг нам дор түвшинд тогтворжуулах болохыг эрх зүйн хувьд баталгаажуулах, төв банкны өөрийн хөрөнгийг дутагдалыг нөхөж санхүүгийн бие даасан байдлыг сэргээх, төсвийн сахилга батыг хангаж, өрийн тогтвортой байдлыг алдагдуулахгүй байх шаардлагатай гэсэн саналууд гарсныг хуулийн төсөлд тусгалаа. </w:t>
      </w:r>
    </w:p>
    <w:p w14:paraId="00DF06DE" w14:textId="77777777" w:rsidR="007D657E" w:rsidRPr="003320FC" w:rsidRDefault="007D657E" w:rsidP="007D657E">
      <w:pPr>
        <w:ind w:right="-472" w:firstLine="720"/>
        <w:jc w:val="both"/>
        <w:rPr>
          <w:rFonts w:ascii="Arial" w:hAnsi="Arial" w:cs="Arial"/>
          <w:noProof/>
          <w:sz w:val="22"/>
          <w:szCs w:val="22"/>
          <w:lang w:val="mn-MN"/>
        </w:rPr>
      </w:pPr>
      <w:r w:rsidRPr="003320FC">
        <w:rPr>
          <w:rFonts w:ascii="Arial" w:hAnsi="Arial" w:cs="Arial"/>
          <w:noProof/>
          <w:sz w:val="22"/>
          <w:szCs w:val="22"/>
          <w:lang w:val="mn-MN"/>
        </w:rPr>
        <w:t>1970-аад оноос хойш үүсч, өдгөө дэлхийн даяар хүлээн зөвшөөрөгдөөд буй эдийн засгийн онолоор төв банкны бие даасан, хараат бус байдал өндөр байх тусам инфляцын түвшин нам, тогтвортой байдаг урвуу хамааралтайг нотолсон байдаг. Монгол Улсын эдийн засгийн бүтэц болон төв банкны үйл ажиллагаа нь төстэй гадаад улсуудын төв банкны зорилтыг инфляцын нам дор, тогтвортой түвшинд байхаар тодорхойлж, мөнгө болон төсвийн бодлогын уялдааг эрх зүйн хувьд баталгаажуулж, төв банкны санхүүгийн бие даасан байдлыг хангах замаар урт хугацааны тогтвортой өсөлтийн суурийг бүрдүүлсэн сайн туршлага бусад улсуудад байна. Энэхүү шинжлэх ухааны ололт болон олон улсын туршлагыг харгалзан уг хуулийн төслийг Монгол Улсын Үндсэн хууль болон бусад хуульд нийцүүлэн боловсрууллаа.</w:t>
      </w:r>
    </w:p>
    <w:p w14:paraId="071723F4" w14:textId="77777777" w:rsidR="007D657E" w:rsidRPr="003320FC" w:rsidRDefault="007D657E" w:rsidP="007D657E">
      <w:pPr>
        <w:ind w:right="-472"/>
        <w:rPr>
          <w:rFonts w:ascii="Arial" w:hAnsi="Arial" w:cs="Arial"/>
          <w:noProof/>
          <w:sz w:val="22"/>
          <w:szCs w:val="22"/>
          <w:lang w:val="mn-MN"/>
        </w:rPr>
      </w:pPr>
    </w:p>
    <w:p w14:paraId="1DCB0F0D" w14:textId="77777777" w:rsidR="007D657E" w:rsidRPr="003320FC" w:rsidRDefault="007D657E" w:rsidP="007D657E">
      <w:pPr>
        <w:ind w:right="-472"/>
        <w:jc w:val="center"/>
        <w:rPr>
          <w:rFonts w:ascii="Arial" w:hAnsi="Arial" w:cs="Arial"/>
          <w:noProof/>
          <w:sz w:val="22"/>
          <w:szCs w:val="22"/>
          <w:lang w:val="mn-MN"/>
        </w:rPr>
      </w:pPr>
      <w:r>
        <w:rPr>
          <w:rFonts w:ascii="Arial" w:hAnsi="Arial" w:cs="Arial"/>
          <w:noProof/>
          <w:sz w:val="22"/>
          <w:szCs w:val="22"/>
          <w:lang w:val="mn-MN"/>
        </w:rPr>
        <w:t>________o0o_________</w:t>
      </w:r>
    </w:p>
    <w:p w14:paraId="120D28AD" w14:textId="77777777" w:rsidR="007D657E" w:rsidRDefault="007D657E" w:rsidP="007D657E">
      <w:pPr>
        <w:spacing w:line="276" w:lineRule="auto"/>
        <w:ind w:left="720" w:right="-421"/>
        <w:jc w:val="center"/>
        <w:rPr>
          <w:rFonts w:ascii="Arial" w:eastAsia="Times New Roman" w:hAnsi="Arial" w:cs="Arial"/>
          <w:b/>
          <w:bCs/>
          <w:noProof/>
          <w:sz w:val="22"/>
          <w:szCs w:val="22"/>
          <w:lang w:val="mn-MN"/>
        </w:rPr>
      </w:pPr>
    </w:p>
    <w:p w14:paraId="583078C3" w14:textId="77777777"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7E"/>
    <w:rsid w:val="003E6615"/>
    <w:rsid w:val="00782283"/>
    <w:rsid w:val="007D657E"/>
    <w:rsid w:val="00950B97"/>
    <w:rsid w:val="00B435B3"/>
    <w:rsid w:val="00C85E2D"/>
    <w:rsid w:val="00CC2BCD"/>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D932F5F"/>
  <w15:chartTrackingRefBased/>
  <w15:docId w15:val="{0021F01A-A3A2-5744-8CDD-ED979B43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7E"/>
    <w:rPr>
      <w:rFonts w:ascii="Times New Roman" w:eastAsiaTheme="minorEastAsia" w:hAnsi="Times New Roman" w:cs="Times New Roman"/>
      <w:kern w:val="0"/>
      <w:lang w:val="en-US"/>
      <w14:ligatures w14:val="none"/>
    </w:rPr>
  </w:style>
  <w:style w:type="paragraph" w:styleId="Heading1">
    <w:name w:val="heading 1"/>
    <w:basedOn w:val="Normal"/>
    <w:next w:val="Normal"/>
    <w:link w:val="Heading1Char"/>
    <w:uiPriority w:val="9"/>
    <w:qFormat/>
    <w:rsid w:val="007D657E"/>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MN"/>
      <w14:ligatures w14:val="standardContextual"/>
    </w:rPr>
  </w:style>
  <w:style w:type="paragraph" w:styleId="Heading2">
    <w:name w:val="heading 2"/>
    <w:basedOn w:val="Normal"/>
    <w:next w:val="Normal"/>
    <w:link w:val="Heading2Char"/>
    <w:uiPriority w:val="9"/>
    <w:semiHidden/>
    <w:unhideWhenUsed/>
    <w:qFormat/>
    <w:rsid w:val="007D657E"/>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MN"/>
      <w14:ligatures w14:val="standardContextual"/>
    </w:rPr>
  </w:style>
  <w:style w:type="paragraph" w:styleId="Heading3">
    <w:name w:val="heading 3"/>
    <w:basedOn w:val="Normal"/>
    <w:next w:val="Normal"/>
    <w:link w:val="Heading3Char"/>
    <w:uiPriority w:val="9"/>
    <w:semiHidden/>
    <w:unhideWhenUsed/>
    <w:qFormat/>
    <w:rsid w:val="007D657E"/>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MN"/>
      <w14:ligatures w14:val="standardContextual"/>
    </w:rPr>
  </w:style>
  <w:style w:type="paragraph" w:styleId="Heading4">
    <w:name w:val="heading 4"/>
    <w:basedOn w:val="Normal"/>
    <w:next w:val="Normal"/>
    <w:link w:val="Heading4Char"/>
    <w:uiPriority w:val="9"/>
    <w:semiHidden/>
    <w:unhideWhenUsed/>
    <w:qFormat/>
    <w:rsid w:val="007D657E"/>
    <w:pPr>
      <w:keepNext/>
      <w:keepLines/>
      <w:spacing w:before="80" w:after="40"/>
      <w:outlineLvl w:val="3"/>
    </w:pPr>
    <w:rPr>
      <w:rFonts w:asciiTheme="minorHAnsi" w:eastAsiaTheme="majorEastAsia" w:hAnsiTheme="minorHAnsi" w:cstheme="majorBidi"/>
      <w:i/>
      <w:iCs/>
      <w:color w:val="0F4761" w:themeColor="accent1" w:themeShade="BF"/>
      <w:kern w:val="2"/>
      <w:lang w:val="en-MN"/>
      <w14:ligatures w14:val="standardContextual"/>
    </w:rPr>
  </w:style>
  <w:style w:type="paragraph" w:styleId="Heading5">
    <w:name w:val="heading 5"/>
    <w:basedOn w:val="Normal"/>
    <w:next w:val="Normal"/>
    <w:link w:val="Heading5Char"/>
    <w:uiPriority w:val="9"/>
    <w:semiHidden/>
    <w:unhideWhenUsed/>
    <w:qFormat/>
    <w:rsid w:val="007D657E"/>
    <w:pPr>
      <w:keepNext/>
      <w:keepLines/>
      <w:spacing w:before="80" w:after="40"/>
      <w:outlineLvl w:val="4"/>
    </w:pPr>
    <w:rPr>
      <w:rFonts w:asciiTheme="minorHAnsi" w:eastAsiaTheme="majorEastAsia" w:hAnsiTheme="minorHAnsi" w:cstheme="majorBidi"/>
      <w:color w:val="0F4761" w:themeColor="accent1" w:themeShade="BF"/>
      <w:kern w:val="2"/>
      <w:lang w:val="en-MN"/>
      <w14:ligatures w14:val="standardContextual"/>
    </w:rPr>
  </w:style>
  <w:style w:type="paragraph" w:styleId="Heading6">
    <w:name w:val="heading 6"/>
    <w:basedOn w:val="Normal"/>
    <w:next w:val="Normal"/>
    <w:link w:val="Heading6Char"/>
    <w:uiPriority w:val="9"/>
    <w:semiHidden/>
    <w:unhideWhenUsed/>
    <w:qFormat/>
    <w:rsid w:val="007D657E"/>
    <w:pPr>
      <w:keepNext/>
      <w:keepLines/>
      <w:spacing w:before="40"/>
      <w:outlineLvl w:val="5"/>
    </w:pPr>
    <w:rPr>
      <w:rFonts w:asciiTheme="minorHAnsi" w:eastAsiaTheme="majorEastAsia" w:hAnsiTheme="minorHAnsi" w:cstheme="majorBidi"/>
      <w:i/>
      <w:iCs/>
      <w:color w:val="595959" w:themeColor="text1" w:themeTint="A6"/>
      <w:kern w:val="2"/>
      <w:lang w:val="en-MN"/>
      <w14:ligatures w14:val="standardContextual"/>
    </w:rPr>
  </w:style>
  <w:style w:type="paragraph" w:styleId="Heading7">
    <w:name w:val="heading 7"/>
    <w:basedOn w:val="Normal"/>
    <w:next w:val="Normal"/>
    <w:link w:val="Heading7Char"/>
    <w:uiPriority w:val="9"/>
    <w:semiHidden/>
    <w:unhideWhenUsed/>
    <w:qFormat/>
    <w:rsid w:val="007D657E"/>
    <w:pPr>
      <w:keepNext/>
      <w:keepLines/>
      <w:spacing w:before="40"/>
      <w:outlineLvl w:val="6"/>
    </w:pPr>
    <w:rPr>
      <w:rFonts w:asciiTheme="minorHAnsi" w:eastAsiaTheme="majorEastAsia" w:hAnsiTheme="minorHAnsi" w:cstheme="majorBidi"/>
      <w:color w:val="595959" w:themeColor="text1" w:themeTint="A6"/>
      <w:kern w:val="2"/>
      <w:lang w:val="en-MN"/>
      <w14:ligatures w14:val="standardContextual"/>
    </w:rPr>
  </w:style>
  <w:style w:type="paragraph" w:styleId="Heading8">
    <w:name w:val="heading 8"/>
    <w:basedOn w:val="Normal"/>
    <w:next w:val="Normal"/>
    <w:link w:val="Heading8Char"/>
    <w:uiPriority w:val="9"/>
    <w:semiHidden/>
    <w:unhideWhenUsed/>
    <w:qFormat/>
    <w:rsid w:val="007D657E"/>
    <w:pPr>
      <w:keepNext/>
      <w:keepLines/>
      <w:outlineLvl w:val="7"/>
    </w:pPr>
    <w:rPr>
      <w:rFonts w:asciiTheme="minorHAnsi" w:eastAsiaTheme="majorEastAsia" w:hAnsiTheme="minorHAnsi" w:cstheme="majorBidi"/>
      <w:i/>
      <w:iCs/>
      <w:color w:val="272727" w:themeColor="text1" w:themeTint="D8"/>
      <w:kern w:val="2"/>
      <w:lang w:val="en-MN"/>
      <w14:ligatures w14:val="standardContextual"/>
    </w:rPr>
  </w:style>
  <w:style w:type="paragraph" w:styleId="Heading9">
    <w:name w:val="heading 9"/>
    <w:basedOn w:val="Normal"/>
    <w:next w:val="Normal"/>
    <w:link w:val="Heading9Char"/>
    <w:uiPriority w:val="9"/>
    <w:semiHidden/>
    <w:unhideWhenUsed/>
    <w:qFormat/>
    <w:rsid w:val="007D657E"/>
    <w:pPr>
      <w:keepNext/>
      <w:keepLines/>
      <w:outlineLvl w:val="8"/>
    </w:pPr>
    <w:rPr>
      <w:rFonts w:asciiTheme="minorHAnsi" w:eastAsiaTheme="majorEastAsia" w:hAnsiTheme="minorHAnsi" w:cstheme="majorBidi"/>
      <w:color w:val="272727" w:themeColor="text1" w:themeTint="D8"/>
      <w:kern w:val="2"/>
      <w:lang w:val="en-M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57E"/>
    <w:rPr>
      <w:rFonts w:eastAsiaTheme="majorEastAsia" w:cstheme="majorBidi"/>
      <w:color w:val="272727" w:themeColor="text1" w:themeTint="D8"/>
    </w:rPr>
  </w:style>
  <w:style w:type="paragraph" w:styleId="Title">
    <w:name w:val="Title"/>
    <w:basedOn w:val="Normal"/>
    <w:next w:val="Normal"/>
    <w:link w:val="TitleChar"/>
    <w:uiPriority w:val="10"/>
    <w:qFormat/>
    <w:rsid w:val="007D657E"/>
    <w:pPr>
      <w:spacing w:after="80"/>
      <w:contextualSpacing/>
    </w:pPr>
    <w:rPr>
      <w:rFonts w:asciiTheme="majorHAnsi" w:eastAsiaTheme="majorEastAsia" w:hAnsiTheme="majorHAnsi" w:cstheme="majorBidi"/>
      <w:spacing w:val="-10"/>
      <w:kern w:val="28"/>
      <w:sz w:val="56"/>
      <w:szCs w:val="56"/>
      <w:lang w:val="en-MN"/>
      <w14:ligatures w14:val="standardContextual"/>
    </w:rPr>
  </w:style>
  <w:style w:type="character" w:customStyle="1" w:styleId="TitleChar">
    <w:name w:val="Title Char"/>
    <w:basedOn w:val="DefaultParagraphFont"/>
    <w:link w:val="Title"/>
    <w:uiPriority w:val="10"/>
    <w:rsid w:val="007D6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57E"/>
    <w:pPr>
      <w:numPr>
        <w:ilvl w:val="1"/>
      </w:numPr>
      <w:spacing w:after="160"/>
    </w:pPr>
    <w:rPr>
      <w:rFonts w:asciiTheme="minorHAnsi" w:eastAsiaTheme="majorEastAsia" w:hAnsiTheme="minorHAnsi" w:cstheme="majorBidi"/>
      <w:color w:val="595959" w:themeColor="text1" w:themeTint="A6"/>
      <w:spacing w:val="15"/>
      <w:kern w:val="2"/>
      <w:sz w:val="28"/>
      <w:szCs w:val="28"/>
      <w:lang w:val="en-MN"/>
      <w14:ligatures w14:val="standardContextual"/>
    </w:rPr>
  </w:style>
  <w:style w:type="character" w:customStyle="1" w:styleId="SubtitleChar">
    <w:name w:val="Subtitle Char"/>
    <w:basedOn w:val="DefaultParagraphFont"/>
    <w:link w:val="Subtitle"/>
    <w:uiPriority w:val="11"/>
    <w:rsid w:val="007D6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57E"/>
    <w:pPr>
      <w:spacing w:before="160" w:after="160"/>
      <w:jc w:val="center"/>
    </w:pPr>
    <w:rPr>
      <w:rFonts w:asciiTheme="minorHAnsi" w:eastAsiaTheme="minorHAnsi" w:hAnsiTheme="minorHAnsi" w:cstheme="minorBidi"/>
      <w:i/>
      <w:iCs/>
      <w:color w:val="404040" w:themeColor="text1" w:themeTint="BF"/>
      <w:kern w:val="2"/>
      <w:lang w:val="en-MN"/>
      <w14:ligatures w14:val="standardContextual"/>
    </w:rPr>
  </w:style>
  <w:style w:type="character" w:customStyle="1" w:styleId="QuoteChar">
    <w:name w:val="Quote Char"/>
    <w:basedOn w:val="DefaultParagraphFont"/>
    <w:link w:val="Quote"/>
    <w:uiPriority w:val="29"/>
    <w:rsid w:val="007D657E"/>
    <w:rPr>
      <w:i/>
      <w:iCs/>
      <w:color w:val="404040" w:themeColor="text1" w:themeTint="BF"/>
    </w:rPr>
  </w:style>
  <w:style w:type="paragraph" w:styleId="ListParagraph">
    <w:name w:val="List Paragraph"/>
    <w:basedOn w:val="Normal"/>
    <w:uiPriority w:val="34"/>
    <w:qFormat/>
    <w:rsid w:val="007D657E"/>
    <w:pPr>
      <w:ind w:left="720"/>
      <w:contextualSpacing/>
    </w:pPr>
    <w:rPr>
      <w:rFonts w:asciiTheme="minorHAnsi" w:eastAsiaTheme="minorHAnsi" w:hAnsiTheme="minorHAnsi" w:cstheme="minorBidi"/>
      <w:kern w:val="2"/>
      <w:lang w:val="en-MN"/>
      <w14:ligatures w14:val="standardContextual"/>
    </w:rPr>
  </w:style>
  <w:style w:type="character" w:styleId="IntenseEmphasis">
    <w:name w:val="Intense Emphasis"/>
    <w:basedOn w:val="DefaultParagraphFont"/>
    <w:uiPriority w:val="21"/>
    <w:qFormat/>
    <w:rsid w:val="007D657E"/>
    <w:rPr>
      <w:i/>
      <w:iCs/>
      <w:color w:val="0F4761" w:themeColor="accent1" w:themeShade="BF"/>
    </w:rPr>
  </w:style>
  <w:style w:type="paragraph" w:styleId="IntenseQuote">
    <w:name w:val="Intense Quote"/>
    <w:basedOn w:val="Normal"/>
    <w:next w:val="Normal"/>
    <w:link w:val="IntenseQuoteChar"/>
    <w:uiPriority w:val="30"/>
    <w:qFormat/>
    <w:rsid w:val="007D657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MN"/>
      <w14:ligatures w14:val="standardContextual"/>
    </w:rPr>
  </w:style>
  <w:style w:type="character" w:customStyle="1" w:styleId="IntenseQuoteChar">
    <w:name w:val="Intense Quote Char"/>
    <w:basedOn w:val="DefaultParagraphFont"/>
    <w:link w:val="IntenseQuote"/>
    <w:uiPriority w:val="30"/>
    <w:rsid w:val="007D657E"/>
    <w:rPr>
      <w:i/>
      <w:iCs/>
      <w:color w:val="0F4761" w:themeColor="accent1" w:themeShade="BF"/>
    </w:rPr>
  </w:style>
  <w:style w:type="character" w:styleId="IntenseReference">
    <w:name w:val="Intense Reference"/>
    <w:basedOn w:val="DefaultParagraphFont"/>
    <w:uiPriority w:val="32"/>
    <w:qFormat/>
    <w:rsid w:val="007D657E"/>
    <w:rPr>
      <w:b/>
      <w:bCs/>
      <w:smallCaps/>
      <w:color w:val="0F4761" w:themeColor="accent1" w:themeShade="BF"/>
      <w:spacing w:val="5"/>
    </w:rPr>
  </w:style>
  <w:style w:type="paragraph" w:styleId="NoSpacing">
    <w:name w:val="No Spacing"/>
    <w:uiPriority w:val="1"/>
    <w:qFormat/>
    <w:rsid w:val="007D657E"/>
    <w:rPr>
      <w:rFonts w:ascii="Times New Roman" w:eastAsiaTheme="minorEastAsia"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4353</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2026-06-18T07:39:00Z</dcterms:created>
  <dcterms:modified xsi:type="dcterms:W3CDTF">2026-06-18T07:39:00Z</dcterms:modified>
</cp:coreProperties>
</file>