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7C8E0" w14:textId="77777777" w:rsidR="008C3D1C" w:rsidRPr="003320FC" w:rsidRDefault="008C3D1C" w:rsidP="008C3D1C">
      <w:pPr>
        <w:pStyle w:val="NoSpacing"/>
        <w:rPr>
          <w:rFonts w:ascii="Arial" w:eastAsia="Times New Roman" w:hAnsi="Arial" w:cs="Arial"/>
          <w:sz w:val="22"/>
          <w:szCs w:val="22"/>
          <w:lang w:val="mn-MN"/>
        </w:rPr>
      </w:pPr>
    </w:p>
    <w:p w14:paraId="1BA218FC" w14:textId="77777777" w:rsidR="008C3D1C" w:rsidRPr="003320FC" w:rsidRDefault="008C3D1C" w:rsidP="008C3D1C">
      <w:pPr>
        <w:pStyle w:val="NoSpacing"/>
        <w:jc w:val="center"/>
        <w:rPr>
          <w:rFonts w:ascii="Arial" w:eastAsia="Times New Roman" w:hAnsi="Arial" w:cs="Arial"/>
          <w:sz w:val="22"/>
          <w:szCs w:val="22"/>
          <w:lang w:val="mn-MN"/>
        </w:rPr>
      </w:pPr>
    </w:p>
    <w:p w14:paraId="34A54CB2" w14:textId="77777777" w:rsidR="008C3D1C" w:rsidRPr="003320FC" w:rsidRDefault="008C3D1C" w:rsidP="008C3D1C">
      <w:pPr>
        <w:jc w:val="center"/>
        <w:rPr>
          <w:rFonts w:ascii="Arial" w:eastAsia="Times New Roman" w:hAnsi="Arial" w:cs="Arial"/>
          <w:b/>
          <w:bCs/>
          <w:sz w:val="22"/>
          <w:szCs w:val="22"/>
          <w:lang w:val="mn-MN"/>
        </w:rPr>
      </w:pPr>
      <w:r w:rsidRPr="003320FC">
        <w:rPr>
          <w:rFonts w:ascii="Arial" w:eastAsia="Times New Roman" w:hAnsi="Arial" w:cs="Arial"/>
          <w:b/>
          <w:bCs/>
          <w:sz w:val="22"/>
          <w:szCs w:val="22"/>
          <w:lang w:val="mn-MN"/>
        </w:rPr>
        <w:t>ТӨВ БАНК (МОНГОЛБАНК)-НЫ ТУХАЙ ХУУЛЬД НЭМЭЛТ, ӨӨРЧЛӨЛТ ОРУУЛАХ ТУХАЙ ХУУЛИЙН ТӨСӨЛД ХИЙСЭН ЗАРДЛЫН ТООЦОО</w:t>
      </w:r>
    </w:p>
    <w:p w14:paraId="447C17A3" w14:textId="77777777" w:rsidR="008C3D1C" w:rsidRPr="003320FC" w:rsidRDefault="008C3D1C" w:rsidP="008C3D1C">
      <w:pPr>
        <w:jc w:val="both"/>
        <w:rPr>
          <w:rFonts w:ascii="Arial" w:eastAsia="Times New Roman" w:hAnsi="Arial" w:cs="Arial"/>
          <w:b/>
          <w:bCs/>
          <w:sz w:val="22"/>
          <w:szCs w:val="22"/>
          <w:lang w:val="mn"/>
        </w:rPr>
      </w:pPr>
      <w:r w:rsidRPr="003320FC">
        <w:rPr>
          <w:rFonts w:ascii="Arial" w:eastAsia="Times New Roman" w:hAnsi="Arial" w:cs="Arial"/>
          <w:b/>
          <w:bCs/>
          <w:sz w:val="22"/>
          <w:szCs w:val="22"/>
          <w:lang w:val="mn"/>
        </w:rPr>
        <w:t>Нэг. Ерөнхий мэдээлэл</w:t>
      </w:r>
    </w:p>
    <w:p w14:paraId="67A3B349" w14:textId="77777777" w:rsidR="008C3D1C" w:rsidRPr="003320FC" w:rsidRDefault="008C3D1C" w:rsidP="008C3D1C">
      <w:pPr>
        <w:jc w:val="both"/>
        <w:rPr>
          <w:rFonts w:ascii="Arial" w:eastAsia="Times New Roman" w:hAnsi="Arial" w:cs="Arial"/>
          <w:b/>
          <w:bCs/>
          <w:sz w:val="22"/>
          <w:szCs w:val="22"/>
          <w:lang w:val="mn"/>
        </w:rPr>
      </w:pPr>
    </w:p>
    <w:p w14:paraId="0E21E704" w14:textId="77777777" w:rsidR="008C3D1C" w:rsidRPr="003320FC" w:rsidRDefault="008C3D1C" w:rsidP="008C3D1C">
      <w:pPr>
        <w:spacing w:after="160" w:line="257" w:lineRule="auto"/>
        <w:ind w:firstLine="720"/>
        <w:jc w:val="both"/>
        <w:rPr>
          <w:rFonts w:ascii="Arial" w:eastAsia="Times New Roman" w:hAnsi="Arial" w:cs="Arial"/>
          <w:sz w:val="22"/>
          <w:szCs w:val="22"/>
          <w:lang w:val="mn"/>
        </w:rPr>
      </w:pPr>
      <w:r w:rsidRPr="003320FC">
        <w:rPr>
          <w:rFonts w:ascii="Arial" w:eastAsia="Times New Roman" w:hAnsi="Arial" w:cs="Arial"/>
          <w:sz w:val="22"/>
          <w:szCs w:val="22"/>
          <w:lang w:val="mn"/>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Pr="003320FC">
        <w:rPr>
          <w:rFonts w:ascii="Arial" w:eastAsia="Times New Roman" w:hAnsi="Arial" w:cs="Arial"/>
          <w:sz w:val="22"/>
          <w:szCs w:val="22"/>
          <w:lang w:val="mn-MN"/>
        </w:rPr>
        <w:t>Төв банк (Монголбанк)-ны тухай хуульд нэмэлт, өөрчлөлт оруулах тухай хуулийн төсөл</w:t>
      </w:r>
      <w:r w:rsidRPr="003320FC">
        <w:rPr>
          <w:rFonts w:ascii="Arial" w:eastAsia="Times New Roman" w:hAnsi="Arial" w:cs="Arial"/>
          <w:sz w:val="22"/>
          <w:szCs w:val="22"/>
          <w:lang w:val="mn"/>
        </w:rPr>
        <w:t xml:space="preserve"> (цаашид “хуулийн төсөл” гэх) батлагдсан нөхцөлд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45A842B8" w14:textId="77777777" w:rsidR="008C3D1C" w:rsidRPr="003320FC" w:rsidRDefault="008C3D1C" w:rsidP="008C3D1C">
      <w:pPr>
        <w:spacing w:line="257" w:lineRule="auto"/>
        <w:ind w:firstLine="720"/>
        <w:jc w:val="both"/>
        <w:rPr>
          <w:rFonts w:ascii="Arial" w:eastAsia="Times New Roman" w:hAnsi="Arial" w:cs="Arial"/>
          <w:sz w:val="22"/>
          <w:szCs w:val="22"/>
          <w:lang w:val="mn"/>
        </w:rPr>
      </w:pPr>
      <w:r w:rsidRPr="003320FC">
        <w:rPr>
          <w:rFonts w:ascii="Arial" w:eastAsia="Times New Roman" w:hAnsi="Arial" w:cs="Arial"/>
          <w:sz w:val="22"/>
          <w:szCs w:val="22"/>
          <w:lang w:val="mn"/>
        </w:rPr>
        <w:t xml:space="preserve">Хууль тогтоомжийг хэрэгжүүлэхтэй холбогдон гарах зардлын тооцоог хуулийн төслийн үр нөлөөг урьдчилан тандан судлах явцад гүйцэтгэх нь тухайн эрх зүйн зохицуулалтын үр нөлөөгөөр хүрэхийг хүссэн үр дүн, түүнийг хэрэгжүүлэх тогтолцоог бий болгоход зарцуулах зардлын харьцааг тогтооход чухал үүрэг гүйцэтгэдэг. Энэхүү үнэлгээний зорилго нь хуулийн төсөл батлагдсанаар иргэн, хуулийн этгээд, төрийн байгууллагад шинээр үүсэх зардлын ачааллыг урьдчилан тооцож, цаашид гарах зардлыг багасгах санал боловсруулахад оршино. </w:t>
      </w:r>
    </w:p>
    <w:p w14:paraId="63146482" w14:textId="77777777" w:rsidR="008C3D1C" w:rsidRPr="003320FC" w:rsidRDefault="008C3D1C" w:rsidP="008C3D1C">
      <w:pPr>
        <w:spacing w:line="257" w:lineRule="auto"/>
        <w:ind w:firstLine="720"/>
        <w:jc w:val="both"/>
        <w:rPr>
          <w:rFonts w:ascii="Arial" w:eastAsia="Times New Roman" w:hAnsi="Arial" w:cs="Arial"/>
          <w:sz w:val="22"/>
          <w:szCs w:val="22"/>
          <w:lang w:val="mn"/>
        </w:rPr>
      </w:pPr>
      <w:r w:rsidRPr="003320FC">
        <w:rPr>
          <w:rFonts w:ascii="Arial" w:eastAsia="Times New Roman" w:hAnsi="Arial" w:cs="Arial"/>
          <w:sz w:val="22"/>
          <w:szCs w:val="22"/>
          <w:lang w:val="mn"/>
        </w:rPr>
        <w:t xml:space="preserve"> </w:t>
      </w:r>
    </w:p>
    <w:p w14:paraId="2060BD00" w14:textId="77777777" w:rsidR="008C3D1C" w:rsidRPr="003320FC" w:rsidRDefault="008C3D1C" w:rsidP="008C3D1C">
      <w:pPr>
        <w:spacing w:line="257" w:lineRule="auto"/>
        <w:ind w:firstLine="720"/>
        <w:jc w:val="both"/>
        <w:rPr>
          <w:rFonts w:ascii="Arial" w:eastAsia="Times New Roman" w:hAnsi="Arial" w:cs="Arial"/>
          <w:sz w:val="22"/>
          <w:szCs w:val="22"/>
          <w:lang w:val="mn"/>
        </w:rPr>
      </w:pPr>
      <w:r w:rsidRPr="003320FC">
        <w:rPr>
          <w:rFonts w:ascii="Arial" w:eastAsia="Times New Roman" w:hAnsi="Arial" w:cs="Arial"/>
          <w:sz w:val="22"/>
          <w:szCs w:val="22"/>
          <w:lang w:val="mn"/>
        </w:rPr>
        <w:t>Хуулийн төслийг хэрэгжүүлэхтэй холбогдон гарах зардлыг тооцоход доор дурдсан нийтлэг зарчмыг баримтлан ажилласан:</w:t>
      </w:r>
    </w:p>
    <w:p w14:paraId="3A3F6073" w14:textId="77777777" w:rsidR="008C3D1C" w:rsidRPr="003320FC" w:rsidRDefault="008C3D1C" w:rsidP="008C3D1C">
      <w:pPr>
        <w:spacing w:line="257" w:lineRule="auto"/>
        <w:ind w:firstLine="720"/>
        <w:jc w:val="both"/>
        <w:rPr>
          <w:rFonts w:ascii="Arial" w:eastAsia="Times New Roman" w:hAnsi="Arial" w:cs="Arial"/>
          <w:sz w:val="22"/>
          <w:szCs w:val="22"/>
          <w:lang w:val="mn"/>
        </w:rPr>
      </w:pPr>
      <w:r w:rsidRPr="003320FC">
        <w:rPr>
          <w:rFonts w:ascii="Arial" w:eastAsia="Times New Roman" w:hAnsi="Arial" w:cs="Arial"/>
          <w:sz w:val="22"/>
          <w:szCs w:val="22"/>
          <w:lang w:val="mn"/>
        </w:rPr>
        <w:t xml:space="preserve"> </w:t>
      </w:r>
    </w:p>
    <w:p w14:paraId="2C63DF24" w14:textId="77777777" w:rsidR="008C3D1C" w:rsidRPr="003320FC" w:rsidRDefault="008C3D1C" w:rsidP="008C3D1C">
      <w:pPr>
        <w:pStyle w:val="ListParagraph"/>
        <w:numPr>
          <w:ilvl w:val="0"/>
          <w:numId w:val="2"/>
        </w:numPr>
        <w:spacing w:line="257" w:lineRule="auto"/>
        <w:jc w:val="both"/>
        <w:rPr>
          <w:rFonts w:ascii="Arial" w:eastAsia="Times New Roman" w:hAnsi="Arial" w:cs="Arial"/>
          <w:sz w:val="22"/>
          <w:vertAlign w:val="superscript"/>
          <w:lang w:val="mn"/>
        </w:rPr>
      </w:pPr>
      <w:r w:rsidRPr="003320FC">
        <w:rPr>
          <w:rFonts w:ascii="Arial" w:eastAsia="Times New Roman" w:hAnsi="Arial" w:cs="Arial"/>
          <w:sz w:val="22"/>
          <w:lang w:val="mn"/>
        </w:rPr>
        <w:t>иргэн, төрийн байгууллагын гүйцэтгэх үүрэг нэг бүрийг оновчтой тодорхойлох;</w:t>
      </w:r>
    </w:p>
    <w:p w14:paraId="0E7426DF" w14:textId="77777777" w:rsidR="008C3D1C" w:rsidRPr="003320FC" w:rsidRDefault="008C3D1C" w:rsidP="008C3D1C">
      <w:pPr>
        <w:pStyle w:val="ListParagraph"/>
        <w:numPr>
          <w:ilvl w:val="0"/>
          <w:numId w:val="2"/>
        </w:numPr>
        <w:spacing w:line="257" w:lineRule="auto"/>
        <w:jc w:val="both"/>
        <w:rPr>
          <w:rFonts w:ascii="Arial" w:eastAsia="Times New Roman" w:hAnsi="Arial" w:cs="Arial"/>
          <w:sz w:val="22"/>
          <w:vertAlign w:val="superscript"/>
          <w:lang w:val="mn"/>
        </w:rPr>
      </w:pPr>
      <w:r w:rsidRPr="003320FC">
        <w:rPr>
          <w:rFonts w:ascii="Arial" w:eastAsia="Times New Roman" w:hAnsi="Arial" w:cs="Arial"/>
          <w:sz w:val="22"/>
          <w:lang w:val="mn"/>
        </w:rPr>
        <w:t>үүрэг гүйцэтгэхэд зарцуулах хугацааг тогтооход бодитой хандах;</w:t>
      </w:r>
    </w:p>
    <w:p w14:paraId="1903F4BB" w14:textId="77777777" w:rsidR="008C3D1C" w:rsidRPr="003320FC" w:rsidRDefault="008C3D1C" w:rsidP="008C3D1C">
      <w:pPr>
        <w:pStyle w:val="ListParagraph"/>
        <w:numPr>
          <w:ilvl w:val="0"/>
          <w:numId w:val="2"/>
        </w:numPr>
        <w:spacing w:line="257" w:lineRule="auto"/>
        <w:jc w:val="both"/>
        <w:rPr>
          <w:rFonts w:ascii="Arial" w:eastAsia="Times New Roman" w:hAnsi="Arial" w:cs="Arial"/>
          <w:sz w:val="22"/>
          <w:vertAlign w:val="superscript"/>
          <w:lang w:val="mn"/>
        </w:rPr>
      </w:pPr>
      <w:r w:rsidRPr="003320FC">
        <w:rPr>
          <w:rFonts w:ascii="Arial" w:eastAsia="Times New Roman" w:hAnsi="Arial" w:cs="Arial"/>
          <w:sz w:val="22"/>
          <w:lang w:val="mn"/>
        </w:rPr>
        <w:t>бодит тоо баримт, мэдээлэлд тулгуурлах;</w:t>
      </w:r>
    </w:p>
    <w:p w14:paraId="47D07ADB" w14:textId="77777777" w:rsidR="008C3D1C" w:rsidRPr="003320FC" w:rsidRDefault="008C3D1C" w:rsidP="008C3D1C">
      <w:pPr>
        <w:pStyle w:val="ListParagraph"/>
        <w:numPr>
          <w:ilvl w:val="0"/>
          <w:numId w:val="2"/>
        </w:numPr>
        <w:spacing w:line="257" w:lineRule="auto"/>
        <w:jc w:val="both"/>
        <w:rPr>
          <w:rFonts w:ascii="Arial" w:eastAsia="Times New Roman" w:hAnsi="Arial" w:cs="Arial"/>
          <w:sz w:val="22"/>
          <w:vertAlign w:val="superscript"/>
          <w:lang w:val="mn"/>
        </w:rPr>
      </w:pPr>
      <w:r w:rsidRPr="003320FC">
        <w:rPr>
          <w:rFonts w:ascii="Arial" w:eastAsia="Times New Roman" w:hAnsi="Arial" w:cs="Arial"/>
          <w:sz w:val="22"/>
          <w:lang w:val="mn"/>
        </w:rPr>
        <w:t>аргачлалд заасан тооцоо хийх үе шатыг баримтлах.</w:t>
      </w:r>
    </w:p>
    <w:p w14:paraId="240603FE" w14:textId="77777777" w:rsidR="008C3D1C" w:rsidRPr="003320FC" w:rsidRDefault="008C3D1C" w:rsidP="008C3D1C">
      <w:pPr>
        <w:spacing w:line="257" w:lineRule="auto"/>
        <w:jc w:val="both"/>
        <w:rPr>
          <w:rFonts w:ascii="Arial" w:eastAsia="Times New Roman" w:hAnsi="Arial" w:cs="Arial"/>
          <w:sz w:val="22"/>
          <w:szCs w:val="22"/>
          <w:lang w:val="mn"/>
        </w:rPr>
      </w:pPr>
      <w:r w:rsidRPr="003320FC">
        <w:rPr>
          <w:rFonts w:ascii="Arial" w:eastAsia="Times New Roman" w:hAnsi="Arial" w:cs="Arial"/>
          <w:sz w:val="22"/>
          <w:szCs w:val="22"/>
          <w:lang w:val="mn"/>
        </w:rPr>
        <w:t xml:space="preserve"> </w:t>
      </w:r>
    </w:p>
    <w:p w14:paraId="15D3F859" w14:textId="77777777" w:rsidR="008C3D1C" w:rsidRPr="003320FC" w:rsidRDefault="008C3D1C" w:rsidP="008C3D1C">
      <w:pPr>
        <w:spacing w:line="257" w:lineRule="auto"/>
        <w:ind w:firstLine="720"/>
        <w:jc w:val="both"/>
        <w:rPr>
          <w:rFonts w:ascii="Arial" w:eastAsia="Times New Roman" w:hAnsi="Arial" w:cs="Arial"/>
          <w:sz w:val="22"/>
          <w:szCs w:val="22"/>
          <w:lang w:val="mn"/>
        </w:rPr>
      </w:pPr>
      <w:r w:rsidRPr="003320FC">
        <w:rPr>
          <w:rFonts w:ascii="Arial" w:eastAsia="Times New Roman" w:hAnsi="Arial" w:cs="Arial"/>
          <w:sz w:val="22"/>
          <w:szCs w:val="22"/>
          <w:lang w:val="mn"/>
        </w:rPr>
        <w:t>Аргачлалын Ерөнхий зүйлийн 1.5-д заасан журмын дагуу зардлыг (1) төрийн байгууллагын зардал, (2) хуулийн этгээдийн зардал, (3) иргэнд үүсэх зардал гэсэн гурван төрлөөр тооцдог. Харин энэ тохиолдолд төрийн байгууллагад зардал үүсэх бол тус хуулийн төсөл батлагдсанаар иргэн, хуулийн этгээдэд зардал үүсгэх зохицуулалт тусгагдаагүй байна.</w:t>
      </w:r>
    </w:p>
    <w:p w14:paraId="7FEB3656" w14:textId="77777777" w:rsidR="008C3D1C" w:rsidRPr="003320FC" w:rsidRDefault="008C3D1C" w:rsidP="008C3D1C">
      <w:pPr>
        <w:spacing w:line="257" w:lineRule="auto"/>
        <w:ind w:firstLine="720"/>
        <w:jc w:val="both"/>
        <w:rPr>
          <w:rFonts w:ascii="Arial" w:eastAsia="Times New Roman" w:hAnsi="Arial" w:cs="Arial"/>
          <w:sz w:val="22"/>
          <w:szCs w:val="22"/>
          <w:lang w:val="mn"/>
        </w:rPr>
      </w:pPr>
    </w:p>
    <w:p w14:paraId="7D90706F" w14:textId="77777777" w:rsidR="008C3D1C" w:rsidRPr="003320FC" w:rsidRDefault="008C3D1C" w:rsidP="008C3D1C">
      <w:pPr>
        <w:spacing w:line="257" w:lineRule="auto"/>
        <w:jc w:val="both"/>
        <w:rPr>
          <w:rFonts w:ascii="Arial" w:eastAsia="Times New Roman" w:hAnsi="Arial" w:cs="Arial"/>
          <w:b/>
          <w:sz w:val="22"/>
          <w:szCs w:val="22"/>
        </w:rPr>
      </w:pPr>
      <w:proofErr w:type="spellStart"/>
      <w:r w:rsidRPr="003320FC">
        <w:rPr>
          <w:rFonts w:ascii="Arial" w:eastAsia="Times New Roman" w:hAnsi="Arial" w:cs="Arial"/>
          <w:b/>
          <w:sz w:val="22"/>
          <w:szCs w:val="22"/>
        </w:rPr>
        <w:t>Хоёр</w:t>
      </w:r>
      <w:proofErr w:type="spellEnd"/>
      <w:r w:rsidRPr="003320FC">
        <w:rPr>
          <w:rFonts w:ascii="Arial" w:eastAsia="Times New Roman" w:hAnsi="Arial" w:cs="Arial"/>
          <w:b/>
          <w:sz w:val="22"/>
          <w:szCs w:val="22"/>
        </w:rPr>
        <w:t>.</w:t>
      </w:r>
      <w:r w:rsidRPr="003320FC">
        <w:rPr>
          <w:rFonts w:ascii="Arial" w:eastAsia="Times New Roman" w:hAnsi="Arial" w:cs="Arial"/>
          <w:b/>
          <w:sz w:val="22"/>
          <w:szCs w:val="22"/>
          <w:lang w:val="mn-MN"/>
        </w:rPr>
        <w:t>Төв банк (Монголбанк)-ны тухай хуульд нэмэлт, өөрчлөлт оруулах тухай хуулийн</w:t>
      </w:r>
      <w:r w:rsidRPr="003320FC">
        <w:rPr>
          <w:rFonts w:ascii="Arial" w:eastAsia="Times New Roman" w:hAnsi="Arial" w:cs="Arial"/>
          <w:b/>
          <w:sz w:val="22"/>
          <w:szCs w:val="22"/>
        </w:rPr>
        <w:t xml:space="preserve"> </w:t>
      </w:r>
      <w:proofErr w:type="spellStart"/>
      <w:r w:rsidRPr="003320FC">
        <w:rPr>
          <w:rFonts w:ascii="Arial" w:eastAsia="Times New Roman" w:hAnsi="Arial" w:cs="Arial"/>
          <w:b/>
          <w:sz w:val="22"/>
          <w:szCs w:val="22"/>
        </w:rPr>
        <w:t>төсөл</w:t>
      </w:r>
      <w:proofErr w:type="spellEnd"/>
      <w:r w:rsidRPr="003320FC">
        <w:rPr>
          <w:rFonts w:ascii="Arial" w:eastAsia="Times New Roman" w:hAnsi="Arial" w:cs="Arial"/>
          <w:b/>
          <w:sz w:val="22"/>
          <w:szCs w:val="22"/>
        </w:rPr>
        <w:t xml:space="preserve"> </w:t>
      </w:r>
      <w:r w:rsidRPr="003320FC">
        <w:rPr>
          <w:rFonts w:ascii="Arial" w:eastAsia="Times New Roman" w:hAnsi="Arial" w:cs="Arial"/>
          <w:b/>
          <w:sz w:val="22"/>
          <w:szCs w:val="22"/>
          <w:lang w:val="mn"/>
        </w:rPr>
        <w:t>батлагдсанаар хуулийн этгээдэд үүсэх зардлын тооцоо</w:t>
      </w:r>
    </w:p>
    <w:p w14:paraId="29364172" w14:textId="77777777" w:rsidR="008C3D1C" w:rsidRPr="003320FC" w:rsidRDefault="008C3D1C" w:rsidP="008C3D1C">
      <w:pPr>
        <w:spacing w:line="257" w:lineRule="auto"/>
        <w:ind w:firstLine="720"/>
        <w:jc w:val="both"/>
        <w:rPr>
          <w:rFonts w:ascii="Arial" w:eastAsia="Times New Roman" w:hAnsi="Arial" w:cs="Arial"/>
          <w:b/>
          <w:sz w:val="22"/>
          <w:szCs w:val="22"/>
          <w:lang w:val="mn"/>
        </w:rPr>
      </w:pPr>
      <w:r w:rsidRPr="003320FC">
        <w:rPr>
          <w:rFonts w:ascii="Arial" w:eastAsia="Times New Roman" w:hAnsi="Arial" w:cs="Arial"/>
          <w:b/>
          <w:sz w:val="22"/>
          <w:szCs w:val="22"/>
          <w:lang w:val="mn"/>
        </w:rPr>
        <w:t xml:space="preserve"> </w:t>
      </w:r>
    </w:p>
    <w:p w14:paraId="21797447" w14:textId="77777777" w:rsidR="008C3D1C" w:rsidRPr="003320FC" w:rsidRDefault="008C3D1C" w:rsidP="008C3D1C">
      <w:pPr>
        <w:spacing w:line="257" w:lineRule="auto"/>
        <w:ind w:firstLine="720"/>
        <w:jc w:val="both"/>
        <w:rPr>
          <w:rFonts w:ascii="Arial" w:eastAsia="Times New Roman" w:hAnsi="Arial" w:cs="Arial"/>
          <w:sz w:val="22"/>
          <w:szCs w:val="22"/>
          <w:highlight w:val="yellow"/>
          <w:lang w:val="mn"/>
        </w:rPr>
      </w:pPr>
      <w:r w:rsidRPr="003320FC">
        <w:rPr>
          <w:rFonts w:ascii="Arial" w:eastAsia="Times New Roman" w:hAnsi="Arial" w:cs="Arial"/>
          <w:sz w:val="22"/>
          <w:szCs w:val="22"/>
          <w:lang w:val="mn"/>
        </w:rPr>
        <w:t xml:space="preserve">Хуулийн төсөл батлагдсанаар хуулийн этгээдийн эрхлэх үйл ажиллагаатай холбоотой гүйцэтгэх үүргийн улмаас ямар нэг нэмэлт ажиллагаа хийгдэхгүй бөгөөд аливаа зардал үүсэхгүй болно. </w:t>
      </w:r>
    </w:p>
    <w:p w14:paraId="4B6E94AB" w14:textId="77777777" w:rsidR="008C3D1C" w:rsidRPr="003320FC" w:rsidRDefault="008C3D1C" w:rsidP="008C3D1C">
      <w:pPr>
        <w:spacing w:line="257" w:lineRule="auto"/>
        <w:ind w:firstLine="720"/>
        <w:jc w:val="both"/>
        <w:rPr>
          <w:rFonts w:ascii="Arial" w:eastAsia="Times New Roman" w:hAnsi="Arial" w:cs="Arial"/>
          <w:sz w:val="22"/>
          <w:szCs w:val="22"/>
          <w:lang w:val="mn"/>
        </w:rPr>
      </w:pPr>
    </w:p>
    <w:p w14:paraId="6C4A4BE5" w14:textId="77777777" w:rsidR="008C3D1C" w:rsidRPr="003320FC" w:rsidRDefault="008C3D1C" w:rsidP="008C3D1C">
      <w:pPr>
        <w:pStyle w:val="Heading1"/>
        <w:spacing w:before="0" w:line="257" w:lineRule="auto"/>
        <w:jc w:val="both"/>
        <w:rPr>
          <w:rFonts w:ascii="Arial" w:eastAsia="Times New Roman" w:hAnsi="Arial" w:cs="Arial"/>
          <w:b/>
          <w:bCs/>
          <w:color w:val="auto"/>
          <w:sz w:val="22"/>
          <w:szCs w:val="22"/>
          <w:lang w:val="mn"/>
        </w:rPr>
      </w:pPr>
      <w:r w:rsidRPr="003320FC">
        <w:rPr>
          <w:rFonts w:ascii="Arial" w:eastAsia="Times New Roman" w:hAnsi="Arial" w:cs="Arial"/>
          <w:b/>
          <w:bCs/>
          <w:color w:val="auto"/>
          <w:sz w:val="22"/>
          <w:szCs w:val="22"/>
          <w:lang w:val="mn"/>
        </w:rPr>
        <w:t>Гурав.</w:t>
      </w:r>
      <w:r w:rsidRPr="003320FC">
        <w:rPr>
          <w:rFonts w:ascii="Arial" w:eastAsia="Times New Roman" w:hAnsi="Arial" w:cs="Arial"/>
          <w:b/>
          <w:bCs/>
          <w:color w:val="auto"/>
          <w:sz w:val="22"/>
          <w:szCs w:val="22"/>
          <w:lang w:val="mn-MN"/>
        </w:rPr>
        <w:t xml:space="preserve">Төв банк (Монголбанк)-ны тухай хуульд нэмэлт, өөрчлөлт оруулах тухай хуулийн </w:t>
      </w:r>
      <w:proofErr w:type="spellStart"/>
      <w:r w:rsidRPr="003320FC">
        <w:rPr>
          <w:rFonts w:ascii="Arial" w:eastAsia="Times New Roman" w:hAnsi="Arial" w:cs="Arial"/>
          <w:b/>
          <w:bCs/>
          <w:color w:val="auto"/>
          <w:sz w:val="22"/>
          <w:szCs w:val="22"/>
        </w:rPr>
        <w:t>төсөл</w:t>
      </w:r>
      <w:proofErr w:type="spellEnd"/>
      <w:r w:rsidRPr="003320FC">
        <w:rPr>
          <w:rFonts w:ascii="Arial" w:eastAsia="Times New Roman" w:hAnsi="Arial" w:cs="Arial"/>
          <w:b/>
          <w:bCs/>
          <w:color w:val="auto"/>
          <w:sz w:val="22"/>
          <w:szCs w:val="22"/>
        </w:rPr>
        <w:t xml:space="preserve"> </w:t>
      </w:r>
      <w:r w:rsidRPr="003320FC">
        <w:rPr>
          <w:rFonts w:ascii="Arial" w:eastAsia="Times New Roman" w:hAnsi="Arial" w:cs="Arial"/>
          <w:b/>
          <w:bCs/>
          <w:color w:val="auto"/>
          <w:sz w:val="22"/>
          <w:szCs w:val="22"/>
          <w:lang w:val="mn"/>
        </w:rPr>
        <w:t>батлагдсанаар иргэнд үүсэх зардлын тооцоо</w:t>
      </w:r>
    </w:p>
    <w:p w14:paraId="794E7FFB" w14:textId="77777777" w:rsidR="008C3D1C" w:rsidRPr="003320FC" w:rsidRDefault="008C3D1C" w:rsidP="008C3D1C">
      <w:pPr>
        <w:spacing w:line="257" w:lineRule="auto"/>
        <w:ind w:firstLine="720"/>
        <w:jc w:val="both"/>
        <w:rPr>
          <w:rFonts w:ascii="Arial" w:eastAsia="Times New Roman" w:hAnsi="Arial" w:cs="Arial"/>
          <w:sz w:val="22"/>
          <w:szCs w:val="22"/>
        </w:rPr>
      </w:pPr>
    </w:p>
    <w:p w14:paraId="5390C0AF" w14:textId="77777777" w:rsidR="008C3D1C" w:rsidRPr="003320FC" w:rsidRDefault="008C3D1C" w:rsidP="008C3D1C">
      <w:pPr>
        <w:spacing w:line="257" w:lineRule="auto"/>
        <w:ind w:firstLine="720"/>
        <w:jc w:val="both"/>
        <w:rPr>
          <w:rFonts w:ascii="Arial" w:eastAsia="Times New Roman" w:hAnsi="Arial" w:cs="Arial"/>
          <w:sz w:val="22"/>
          <w:szCs w:val="22"/>
          <w:lang w:val="mn"/>
        </w:rPr>
      </w:pPr>
      <w:r w:rsidRPr="003320FC">
        <w:rPr>
          <w:rFonts w:ascii="Arial" w:eastAsia="Times New Roman" w:hAnsi="Arial" w:cs="Arial"/>
          <w:sz w:val="22"/>
          <w:szCs w:val="22"/>
          <w:lang w:val="mn-MN"/>
        </w:rPr>
        <w:lastRenderedPageBreak/>
        <w:t>Төв банк (Монголбанк)-ны тухай хуульд нэмэлт, өөрчлөлт оруулах тухай хуулийн</w:t>
      </w:r>
      <w:r w:rsidRPr="003320FC">
        <w:rPr>
          <w:rFonts w:ascii="Arial" w:eastAsia="Times New Roman" w:hAnsi="Arial" w:cs="Arial"/>
          <w:sz w:val="22"/>
          <w:szCs w:val="22"/>
        </w:rPr>
        <w:t xml:space="preserve"> </w:t>
      </w:r>
      <w:proofErr w:type="spellStart"/>
      <w:r w:rsidRPr="003320FC">
        <w:rPr>
          <w:rFonts w:ascii="Arial" w:eastAsia="Times New Roman" w:hAnsi="Arial" w:cs="Arial"/>
          <w:sz w:val="22"/>
          <w:szCs w:val="22"/>
        </w:rPr>
        <w:t>төсөлд</w:t>
      </w:r>
      <w:proofErr w:type="spellEnd"/>
      <w:r w:rsidRPr="003320FC">
        <w:rPr>
          <w:rFonts w:ascii="Arial" w:eastAsia="Times New Roman" w:hAnsi="Arial" w:cs="Arial"/>
          <w:sz w:val="22"/>
          <w:szCs w:val="22"/>
          <w:lang w:val="mn"/>
        </w:rPr>
        <w:t xml:space="preserve"> иргэнд шинээр гүйцэтгэх үүрэг хүлээлгэсэн, зардал бий болгох зохицуулалт байхгүй байна.</w:t>
      </w:r>
    </w:p>
    <w:p w14:paraId="733CE731" w14:textId="77777777" w:rsidR="008C3D1C" w:rsidRPr="003320FC" w:rsidRDefault="008C3D1C" w:rsidP="008C3D1C">
      <w:pPr>
        <w:jc w:val="both"/>
        <w:rPr>
          <w:rFonts w:ascii="Arial" w:eastAsia="Times New Roman" w:hAnsi="Arial" w:cs="Arial"/>
          <w:sz w:val="22"/>
          <w:szCs w:val="22"/>
        </w:rPr>
      </w:pPr>
    </w:p>
    <w:p w14:paraId="027E390B" w14:textId="77777777" w:rsidR="008C3D1C" w:rsidRPr="003320FC" w:rsidRDefault="008C3D1C" w:rsidP="008C3D1C">
      <w:pPr>
        <w:spacing w:before="240" w:after="240"/>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Хуулийн төсөлд “М</w:t>
      </w:r>
      <w:r w:rsidRPr="003320FC">
        <w:rPr>
          <w:rFonts w:ascii="Arial" w:eastAsia="Times New Roman" w:hAnsi="Arial" w:cs="Arial"/>
          <w:color w:val="000000" w:themeColor="text1"/>
          <w:sz w:val="22"/>
          <w:szCs w:val="22"/>
          <w:lang w:val="mn"/>
        </w:rPr>
        <w:t xml:space="preserve">онголбанкны тухайн жилийн санхүүгийн тайлангаар нийт өр төлбөрийн хэмжээ нь нийт хөрөнгийн хэмжээнээс хэтэрсэн тохиолдолд өөрийн хөрөнгө дутсанд тооцож, </w:t>
      </w:r>
      <w:r w:rsidRPr="003320FC">
        <w:rPr>
          <w:rFonts w:ascii="Arial" w:eastAsia="Times New Roman" w:hAnsi="Arial" w:cs="Arial"/>
          <w:sz w:val="22"/>
          <w:szCs w:val="22"/>
          <w:lang w:val="mn"/>
        </w:rPr>
        <w:t xml:space="preserve">Засгийн газар үнэт цаас гаргаж Монголбанкинд эзэмшүүлэх” агуулга бүхий зохицуулалт тусгасан нь Засгийн газраас улсын төсвөөр Төв банкны алдагдлыг шийдвэрлэх үр дагаврыг үүсгэж байгаа тул энэхүү тооцоололд төрийн байгууллага буюу Монголбанк болон Засгийн газарт үүсэх зардлыг </w:t>
      </w:r>
      <w:r w:rsidRPr="003320FC">
        <w:rPr>
          <w:rFonts w:ascii="Arial" w:eastAsia="Times New Roman" w:hAnsi="Arial" w:cs="Arial"/>
          <w:sz w:val="22"/>
          <w:szCs w:val="22"/>
          <w:lang w:val="mn-MN"/>
        </w:rPr>
        <w:t>тооцсон болно.</w:t>
      </w:r>
    </w:p>
    <w:p w14:paraId="3F5F003C" w14:textId="77777777" w:rsidR="008C3D1C" w:rsidRPr="003320FC" w:rsidRDefault="008C3D1C" w:rsidP="008C3D1C">
      <w:pPr>
        <w:pStyle w:val="Heading1"/>
        <w:spacing w:before="0" w:line="257" w:lineRule="auto"/>
        <w:jc w:val="both"/>
        <w:rPr>
          <w:rFonts w:ascii="Arial" w:eastAsia="Times New Roman" w:hAnsi="Arial" w:cs="Arial"/>
          <w:b/>
          <w:bCs/>
          <w:color w:val="auto"/>
          <w:sz w:val="22"/>
          <w:szCs w:val="22"/>
          <w:lang w:val="mn-MN"/>
        </w:rPr>
      </w:pPr>
      <w:r w:rsidRPr="003320FC">
        <w:rPr>
          <w:rFonts w:ascii="Arial" w:eastAsia="Times New Roman" w:hAnsi="Arial" w:cs="Arial"/>
          <w:b/>
          <w:bCs/>
          <w:color w:val="auto"/>
          <w:sz w:val="22"/>
          <w:szCs w:val="22"/>
          <w:lang w:val="mn"/>
        </w:rPr>
        <w:t>Дөрөв.</w:t>
      </w:r>
      <w:r w:rsidRPr="003320FC">
        <w:rPr>
          <w:rFonts w:ascii="Arial" w:eastAsia="Times New Roman" w:hAnsi="Arial" w:cs="Arial"/>
          <w:b/>
          <w:bCs/>
          <w:color w:val="auto"/>
          <w:sz w:val="22"/>
          <w:szCs w:val="22"/>
          <w:lang w:val="mn-MN"/>
        </w:rPr>
        <w:t xml:space="preserve">Төв банк (Монголбанк)-ны тухай хуульд нэмэлт, өөрчлөлт оруулах тухай хуулийн төсөл </w:t>
      </w:r>
      <w:r w:rsidRPr="003320FC">
        <w:rPr>
          <w:rFonts w:ascii="Arial" w:eastAsia="Times New Roman" w:hAnsi="Arial" w:cs="Arial"/>
          <w:b/>
          <w:bCs/>
          <w:color w:val="auto"/>
          <w:sz w:val="22"/>
          <w:szCs w:val="22"/>
          <w:lang w:val="mn"/>
        </w:rPr>
        <w:t>батлагдсанаар улсын төсөвт үүсэх зардлын тооцоо</w:t>
      </w:r>
    </w:p>
    <w:p w14:paraId="3A98E234" w14:textId="77777777" w:rsidR="008C3D1C" w:rsidRPr="003320FC" w:rsidRDefault="008C3D1C" w:rsidP="008C3D1C">
      <w:pPr>
        <w:rPr>
          <w:rFonts w:ascii="Arial" w:hAnsi="Arial" w:cs="Arial"/>
          <w:sz w:val="22"/>
          <w:szCs w:val="22"/>
          <w:lang w:val="mn"/>
        </w:rPr>
      </w:pPr>
    </w:p>
    <w:p w14:paraId="162ABEA8" w14:textId="77777777" w:rsidR="008C3D1C" w:rsidRPr="003320FC" w:rsidRDefault="008C3D1C" w:rsidP="008C3D1C">
      <w:pPr>
        <w:jc w:val="both"/>
        <w:rPr>
          <w:rFonts w:ascii="Arial" w:eastAsia="Times New Roman" w:hAnsi="Arial" w:cs="Arial"/>
          <w:sz w:val="22"/>
          <w:szCs w:val="22"/>
          <w:lang w:val="mn-MN"/>
        </w:rPr>
      </w:pPr>
      <w:r w:rsidRPr="003320FC">
        <w:rPr>
          <w:rFonts w:ascii="Arial" w:eastAsia="Times New Roman" w:hAnsi="Arial" w:cs="Arial"/>
          <w:sz w:val="22"/>
          <w:szCs w:val="22"/>
          <w:lang w:val="mn-MN"/>
        </w:rPr>
        <w:t xml:space="preserve">Зардал тооцсон субъект: </w:t>
      </w:r>
    </w:p>
    <w:p w14:paraId="00E0FDBD" w14:textId="77777777" w:rsidR="008C3D1C" w:rsidRPr="003320FC" w:rsidRDefault="008C3D1C" w:rsidP="008C3D1C">
      <w:pPr>
        <w:pStyle w:val="ListParagraph"/>
        <w:numPr>
          <w:ilvl w:val="0"/>
          <w:numId w:val="1"/>
        </w:numPr>
        <w:spacing w:before="240" w:after="240" w:line="276" w:lineRule="auto"/>
        <w:jc w:val="both"/>
        <w:rPr>
          <w:rFonts w:ascii="Arial" w:eastAsia="Times New Roman" w:hAnsi="Arial" w:cs="Arial"/>
          <w:sz w:val="22"/>
          <w:lang w:val="mn-MN"/>
        </w:rPr>
      </w:pPr>
      <w:r w:rsidRPr="003320FC">
        <w:rPr>
          <w:rFonts w:ascii="Arial" w:eastAsia="Times New Roman" w:hAnsi="Arial" w:cs="Arial"/>
          <w:sz w:val="22"/>
          <w:lang w:val="mn-MN"/>
        </w:rPr>
        <w:t>Төв банк (Монголбанк)-ны тухай хуульд нэмэлт, өөрчлөлт оруулах тухай хуулийг хэрэгжүүлэхтэй холбогдон Засгийн газарт үүсэх зардал;</w:t>
      </w:r>
    </w:p>
    <w:p w14:paraId="5272F2CE" w14:textId="77777777" w:rsidR="008C3D1C" w:rsidRPr="003320FC" w:rsidRDefault="008C3D1C" w:rsidP="008C3D1C">
      <w:pPr>
        <w:pStyle w:val="ListParagraph"/>
        <w:numPr>
          <w:ilvl w:val="0"/>
          <w:numId w:val="1"/>
        </w:numPr>
        <w:spacing w:before="240" w:after="240" w:line="276" w:lineRule="auto"/>
        <w:jc w:val="both"/>
        <w:rPr>
          <w:rFonts w:ascii="Arial" w:eastAsia="Times New Roman" w:hAnsi="Arial" w:cs="Arial"/>
          <w:sz w:val="22"/>
          <w:lang w:val="mn-MN"/>
        </w:rPr>
      </w:pPr>
      <w:r w:rsidRPr="003320FC">
        <w:rPr>
          <w:rFonts w:ascii="Arial" w:eastAsia="Times New Roman" w:hAnsi="Arial" w:cs="Arial"/>
          <w:sz w:val="22"/>
          <w:lang w:val="mn-MN"/>
        </w:rPr>
        <w:t>Төв банк (Монголбанк)-ны хуульд тухай нэмэлт, өөрчлөлт оруулах тухай хуулийн төслийн хүрээнд Монголбанкинд үүсэх зардал.</w:t>
      </w:r>
    </w:p>
    <w:p w14:paraId="1ED9BD0E" w14:textId="77777777" w:rsidR="008C3D1C" w:rsidRPr="003320FC" w:rsidRDefault="008C3D1C" w:rsidP="008C3D1C">
      <w:pPr>
        <w:jc w:val="both"/>
        <w:rPr>
          <w:rFonts w:ascii="Arial" w:eastAsia="Times New Roman" w:hAnsi="Arial" w:cs="Arial"/>
          <w:sz w:val="22"/>
          <w:szCs w:val="22"/>
          <w:lang w:val="mn-MN"/>
        </w:rPr>
      </w:pPr>
      <w:r w:rsidRPr="003320FC">
        <w:rPr>
          <w:rFonts w:ascii="Arial" w:eastAsia="Times New Roman" w:hAnsi="Arial" w:cs="Arial"/>
          <w:sz w:val="22"/>
          <w:szCs w:val="22"/>
          <w:lang w:val="mn-MN"/>
        </w:rPr>
        <w:t>Зардлыг тооцоход дараах зарчмыг баримталсан болно:</w:t>
      </w:r>
    </w:p>
    <w:p w14:paraId="22367677" w14:textId="77777777" w:rsidR="008C3D1C" w:rsidRPr="003320FC" w:rsidRDefault="008C3D1C" w:rsidP="008C3D1C">
      <w:pPr>
        <w:pStyle w:val="ListParagraph"/>
        <w:numPr>
          <w:ilvl w:val="0"/>
          <w:numId w:val="3"/>
        </w:numPr>
        <w:spacing w:after="200" w:line="276" w:lineRule="auto"/>
        <w:jc w:val="both"/>
        <w:rPr>
          <w:rFonts w:ascii="Arial" w:eastAsia="Times New Roman" w:hAnsi="Arial" w:cs="Arial"/>
          <w:sz w:val="22"/>
          <w:lang w:val="mn-MN"/>
        </w:rPr>
      </w:pPr>
      <w:r w:rsidRPr="003320FC">
        <w:rPr>
          <w:rFonts w:ascii="Arial" w:eastAsia="Times New Roman" w:hAnsi="Arial" w:cs="Arial"/>
          <w:sz w:val="22"/>
          <w:lang w:val="mn-MN"/>
        </w:rPr>
        <w:t>Засгийн газар болон Монголбанкны гүйцэтгэх үүрэг, оролцоог оновчтой тодорхойлох</w:t>
      </w:r>
    </w:p>
    <w:p w14:paraId="1E6B656F" w14:textId="77777777" w:rsidR="008C3D1C" w:rsidRPr="003320FC" w:rsidRDefault="008C3D1C" w:rsidP="008C3D1C">
      <w:pPr>
        <w:pStyle w:val="ListParagraph"/>
        <w:numPr>
          <w:ilvl w:val="0"/>
          <w:numId w:val="3"/>
        </w:numPr>
        <w:spacing w:after="200" w:line="276" w:lineRule="auto"/>
        <w:jc w:val="both"/>
        <w:rPr>
          <w:rFonts w:ascii="Arial" w:eastAsia="Times New Roman" w:hAnsi="Arial" w:cs="Arial"/>
          <w:sz w:val="22"/>
          <w:lang w:val="mn-MN"/>
        </w:rPr>
      </w:pPr>
      <w:r w:rsidRPr="003320FC">
        <w:rPr>
          <w:rFonts w:ascii="Arial" w:eastAsia="Times New Roman" w:hAnsi="Arial" w:cs="Arial"/>
          <w:sz w:val="22"/>
          <w:lang w:val="mn-MN"/>
        </w:rPr>
        <w:t>Бодит тоо баримт, мэдээлэлд тулгуурлах</w:t>
      </w:r>
    </w:p>
    <w:p w14:paraId="191F21A1" w14:textId="77777777" w:rsidR="008C3D1C" w:rsidRPr="003320FC" w:rsidRDefault="008C3D1C" w:rsidP="008C3D1C">
      <w:pPr>
        <w:pStyle w:val="ListParagraph"/>
        <w:numPr>
          <w:ilvl w:val="0"/>
          <w:numId w:val="3"/>
        </w:numPr>
        <w:spacing w:after="200" w:line="276" w:lineRule="auto"/>
        <w:jc w:val="both"/>
        <w:rPr>
          <w:rFonts w:ascii="Arial" w:eastAsia="Times New Roman" w:hAnsi="Arial" w:cs="Arial"/>
          <w:sz w:val="22"/>
          <w:lang w:val="mn-MN"/>
        </w:rPr>
      </w:pPr>
      <w:r w:rsidRPr="003320FC">
        <w:rPr>
          <w:rFonts w:ascii="Arial" w:eastAsia="Times New Roman" w:hAnsi="Arial" w:cs="Arial"/>
          <w:sz w:val="22"/>
          <w:lang w:val="mn-MN"/>
        </w:rPr>
        <w:t>Аргачлалд заасан тооцоо хийх үе шатыг баримтлах</w:t>
      </w:r>
    </w:p>
    <w:p w14:paraId="5A59C9D8" w14:textId="77777777" w:rsidR="008C3D1C" w:rsidRPr="003320FC" w:rsidRDefault="008C3D1C" w:rsidP="008C3D1C">
      <w:pPr>
        <w:spacing w:before="240" w:after="240"/>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 xml:space="preserve">Төв банк (Монголбанк)-ны тухай хуульд нэмэлт, өөрчлөлт оруулах төсөл нь Засгийн газар, Монголбанкны гүйцэтгэх үүргийг тусгаж, түүнийг хэрэгжүүлэхтэй холбогдуулан тодорхой зардал үүсгэсэн. Монголбанкны хуримтлагдсан алдагдал 2025 оны байдлаар 6.9 их наяд төгрөгт хүрч, өөрийн хөрөнгө -4.8 их наяд төгрөг болсон. </w:t>
      </w:r>
      <w:r w:rsidRPr="003320FC">
        <w:rPr>
          <w:rFonts w:ascii="Arial" w:hAnsi="Arial" w:cs="Arial"/>
          <w:sz w:val="22"/>
          <w:szCs w:val="22"/>
          <w:lang w:val="mn-MN"/>
        </w:rPr>
        <w:t>Монголбанкны өөрийн хөрөнгө 2026–2030 оны хугацаанд эерэг болохгүй төлөв давамгай байгаа бөгөөд 2030 онд өөрийн хөрөнгө: тогтмол балансын хувилбарт -6.4 их наяд төгрөг, суурь төсөөллийн хувилбарт -6.6 их наяд төгрөг байхаар байна.</w:t>
      </w:r>
    </w:p>
    <w:p w14:paraId="41A151B0" w14:textId="77777777" w:rsidR="008C3D1C" w:rsidRPr="003320FC" w:rsidRDefault="008C3D1C" w:rsidP="008C3D1C">
      <w:pPr>
        <w:spacing w:before="240" w:after="240"/>
        <w:jc w:val="both"/>
        <w:rPr>
          <w:rFonts w:ascii="Arial" w:eastAsia="Times New Roman" w:hAnsi="Arial" w:cs="Arial"/>
          <w:b/>
          <w:bCs/>
          <w:sz w:val="22"/>
          <w:szCs w:val="22"/>
          <w:lang w:val="mn-MN"/>
        </w:rPr>
      </w:pPr>
      <w:r w:rsidRPr="003320FC">
        <w:rPr>
          <w:rFonts w:ascii="Arial" w:eastAsia="Times New Roman" w:hAnsi="Arial" w:cs="Arial"/>
          <w:b/>
          <w:bCs/>
          <w:sz w:val="22"/>
          <w:szCs w:val="22"/>
          <w:lang w:val="mn-MN"/>
        </w:rPr>
        <w:t>Төв банк (Монголбанк)-ны хуульд тухай нэмэлт, өөрчлөлт оруулах тухай хуулийн төслийн хүрээнд Монголбанканд үүсэх зардлын тооцоо</w:t>
      </w:r>
    </w:p>
    <w:p w14:paraId="64C7AE31" w14:textId="77777777" w:rsidR="008C3D1C" w:rsidRPr="003320FC" w:rsidRDefault="008C3D1C" w:rsidP="008C3D1C">
      <w:pPr>
        <w:spacing w:before="240" w:after="240"/>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 xml:space="preserve">Төв банк (Монголбанк)-ны тухай хуулийн 28 дугаар зүйлийн 28.1 дэх хэсгийн  6 дахь заалтад “Монголбанкны зохион байгуулалтын бүтцийг тогтоох;” бүрэн эрхтэй гэж заасны дагуу Монголбанкны Ерөнхийлөгчийн 2026 оны А-7 дугаар “Монголбанкны зохион байгуулалтын газар, нэгжийн чиг үүрэг”-ийг баталсан. Үүний дагуу </w:t>
      </w:r>
      <w:r w:rsidRPr="003320FC">
        <w:rPr>
          <w:rFonts w:ascii="Arial" w:eastAsia="Times New Roman" w:hAnsi="Arial" w:cs="Arial"/>
          <w:color w:val="000000" w:themeColor="text1"/>
          <w:sz w:val="22"/>
          <w:szCs w:val="22"/>
          <w:lang w:val="mn-MN"/>
        </w:rPr>
        <w:t xml:space="preserve">Төв банк нь бодлогын институцын хуульд заасан чиг үүргээ хэрэгжүүлэх бүтэц, нэгжтэй бөгөөд хуулийн төсөлд заасан </w:t>
      </w:r>
      <w:r w:rsidRPr="003320FC">
        <w:rPr>
          <w:rFonts w:ascii="Arial" w:eastAsia="Times New Roman" w:hAnsi="Arial" w:cs="Arial"/>
          <w:sz w:val="22"/>
          <w:szCs w:val="22"/>
          <w:lang w:val="mn"/>
        </w:rPr>
        <w:t xml:space="preserve">Монголбанкны алдагдлыг </w:t>
      </w:r>
      <w:r w:rsidRPr="003320FC">
        <w:rPr>
          <w:rFonts w:ascii="Arial" w:eastAsia="Times New Roman" w:hAnsi="Arial" w:cs="Arial"/>
          <w:sz w:val="22"/>
          <w:szCs w:val="22"/>
          <w:lang w:val="mn-MN"/>
        </w:rPr>
        <w:t>шийдвэрлэх</w:t>
      </w:r>
      <w:r w:rsidRPr="003320FC">
        <w:rPr>
          <w:rFonts w:ascii="Arial" w:eastAsia="Times New Roman" w:hAnsi="Arial" w:cs="Arial"/>
          <w:sz w:val="22"/>
          <w:szCs w:val="22"/>
          <w:lang w:val="mn"/>
        </w:rPr>
        <w:t xml:space="preserve"> зорилгоор Засгийн газар үнэт цаас гаргаж Монголбанк</w:t>
      </w:r>
      <w:r w:rsidRPr="003320FC">
        <w:rPr>
          <w:rFonts w:ascii="Arial" w:eastAsia="Times New Roman" w:hAnsi="Arial" w:cs="Arial"/>
          <w:sz w:val="22"/>
          <w:szCs w:val="22"/>
          <w:lang w:val="mn-MN"/>
        </w:rPr>
        <w:t>а</w:t>
      </w:r>
      <w:r w:rsidRPr="003320FC">
        <w:rPr>
          <w:rFonts w:ascii="Arial" w:eastAsia="Times New Roman" w:hAnsi="Arial" w:cs="Arial"/>
          <w:sz w:val="22"/>
          <w:szCs w:val="22"/>
          <w:lang w:val="mn"/>
        </w:rPr>
        <w:t>нд эзэмшүүлэх</w:t>
      </w:r>
      <w:r w:rsidRPr="003320FC">
        <w:rPr>
          <w:rFonts w:ascii="Arial" w:eastAsia="Times New Roman" w:hAnsi="Arial" w:cs="Arial"/>
          <w:sz w:val="22"/>
          <w:szCs w:val="22"/>
          <w:lang w:val="mn-MN"/>
        </w:rPr>
        <w:t xml:space="preserve"> зохицуулалтыг хэрэгжүүлэх ажлыг Мөнгөний бодлого, судалгаа, санхүүгийн зах зээл, валют, санхүү удирдлага, эрсдэлийн удирдлага, дотоод аудитын чиг үүрэг бүхий газар, нэгжүүд өөр өөрсдийн чиг үүргийн хүрээнд тухайн газрын хүний нөөцөөр гүйцэтгэх боломжтой гэж үзэж байна. Иймд, Монголбанкнаас хүний нөөцийн болон бусад нэмэлт зардал гарахгүй гэж дүгнэв. </w:t>
      </w:r>
    </w:p>
    <w:p w14:paraId="5B728529" w14:textId="77777777" w:rsidR="008C3D1C" w:rsidRPr="003320FC" w:rsidRDefault="008C3D1C" w:rsidP="008C3D1C">
      <w:pPr>
        <w:spacing w:before="240" w:after="240"/>
        <w:jc w:val="both"/>
        <w:rPr>
          <w:rFonts w:ascii="Arial" w:eastAsia="Times New Roman" w:hAnsi="Arial" w:cs="Arial"/>
          <w:b/>
          <w:bCs/>
          <w:sz w:val="22"/>
          <w:szCs w:val="22"/>
          <w:lang w:val="mn-MN"/>
        </w:rPr>
      </w:pPr>
      <w:r w:rsidRPr="003320FC">
        <w:rPr>
          <w:rFonts w:ascii="Arial" w:eastAsia="Times New Roman" w:hAnsi="Arial" w:cs="Arial"/>
          <w:b/>
          <w:bCs/>
          <w:sz w:val="22"/>
          <w:szCs w:val="22"/>
          <w:lang w:val="mn-MN"/>
        </w:rPr>
        <w:lastRenderedPageBreak/>
        <w:t>Төв банк (Монголбанк)-ны тухай хуульд нэмэлт, өөрчлөлт оруулах тухай хуулийг хэрэгжүүлэхтэй холбогдон Засгийн газарт үүсэх зардлын тооцоо</w:t>
      </w:r>
    </w:p>
    <w:p w14:paraId="536B5D4B" w14:textId="77777777" w:rsidR="008C3D1C" w:rsidRPr="003320FC" w:rsidRDefault="008C3D1C" w:rsidP="008C3D1C">
      <w:pPr>
        <w:spacing w:before="240" w:after="240"/>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Хуулийн төслийн хүрээнд Монголбанкны өөрийн хөрөнгийн дутагдлыг Засгийн газрын өрийн хэрэгслээр нөхөх зохицуулалтыг хэрэгжүүлэхэд Засгийн газарт буюу улсын төсөвт дараах зардал үүсэхээр байна.</w:t>
      </w:r>
    </w:p>
    <w:p w14:paraId="58E6F98F" w14:textId="77777777" w:rsidR="008C3D1C" w:rsidRPr="003320FC" w:rsidRDefault="008C3D1C" w:rsidP="008C3D1C">
      <w:pPr>
        <w:spacing w:before="240"/>
        <w:jc w:val="both"/>
        <w:rPr>
          <w:rFonts w:ascii="Arial" w:eastAsia="Times New Roman" w:hAnsi="Arial" w:cs="Arial"/>
          <w:color w:val="000000" w:themeColor="text1"/>
          <w:sz w:val="22"/>
          <w:szCs w:val="22"/>
          <w:lang w:val="mn-MN"/>
        </w:rPr>
      </w:pPr>
      <w:r w:rsidRPr="003320FC">
        <w:rPr>
          <w:rFonts w:ascii="Arial" w:eastAsia="Times New Roman" w:hAnsi="Arial" w:cs="Arial"/>
          <w:color w:val="000000" w:themeColor="text1"/>
          <w:sz w:val="22"/>
          <w:szCs w:val="22"/>
          <w:lang w:val="mn-MN"/>
        </w:rPr>
        <w:t>Монголбанкны тайлан тэнцлийн таамаглалын дагуу 2027 оноос 2031 оны хооронд Монголбанкны өөрийн хөрөнгийг 6.5 их наяд төгрөгөөр нэмэгдүүлж, дахин хөрөнгөжүүлэх шаардлага үүсэж байна. Олон улсын туршлага, Монгол Улсын эдийн засгийн байдал, улсын төсвийн гүйцэтгэл, Засгийн газрын өрийн түвшин зэргийг харгалзан Төв банк /Монголбанк/-ны тухай хуулийн 38</w:t>
      </w:r>
      <w:r w:rsidRPr="003320FC">
        <w:rPr>
          <w:rFonts w:ascii="Arial" w:eastAsia="Times New Roman" w:hAnsi="Arial" w:cs="Arial"/>
          <w:color w:val="000000" w:themeColor="text1"/>
          <w:sz w:val="22"/>
          <w:szCs w:val="22"/>
          <w:vertAlign w:val="superscript"/>
          <w:lang w:val="mn-MN"/>
        </w:rPr>
        <w:t xml:space="preserve">1 </w:t>
      </w:r>
      <w:r w:rsidRPr="003320FC">
        <w:rPr>
          <w:rFonts w:ascii="Arial" w:eastAsia="Times New Roman" w:hAnsi="Arial" w:cs="Arial"/>
          <w:color w:val="000000" w:themeColor="text1"/>
          <w:sz w:val="22"/>
          <w:szCs w:val="22"/>
          <w:lang w:val="mn-MN"/>
        </w:rPr>
        <w:t>дүгээр зүйлийн 1-т заасны дагуу хоёрдогч зах зээлд арилжаалагдах боломжтой Засгийн газраас үнэт цаасыг дор дурдсанаар гаргаж Монголбанканд эзэмшүүлэх замаар  Төв банкны өөрийн хөрөнгийг нэмэгдүүлэх нь оновчтой гэж тооцоолов.</w:t>
      </w:r>
    </w:p>
    <w:p w14:paraId="3000D1B2" w14:textId="77777777" w:rsidR="008C3D1C" w:rsidRPr="003320FC" w:rsidRDefault="008C3D1C" w:rsidP="008C3D1C">
      <w:pPr>
        <w:spacing w:before="240"/>
        <w:jc w:val="both"/>
        <w:rPr>
          <w:rFonts w:ascii="Arial" w:eastAsia="Times New Roman" w:hAnsi="Arial" w:cs="Arial"/>
          <w:sz w:val="22"/>
          <w:szCs w:val="22"/>
          <w:lang w:val="mn-MN"/>
        </w:rPr>
      </w:pPr>
      <w:r w:rsidRPr="003320FC">
        <w:rPr>
          <w:rFonts w:ascii="Arial" w:eastAsia="Times New Roman" w:hAnsi="Arial" w:cs="Arial"/>
          <w:i/>
          <w:iCs/>
          <w:color w:val="0F4761"/>
          <w:sz w:val="22"/>
          <w:szCs w:val="22"/>
          <w:lang w:val="mn-MN"/>
        </w:rPr>
        <w:t>ЗГҮЦ гаргах хуваарь, купоны зардал</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720"/>
        <w:gridCol w:w="1035"/>
        <w:gridCol w:w="1035"/>
        <w:gridCol w:w="1035"/>
        <w:gridCol w:w="1035"/>
        <w:gridCol w:w="1035"/>
      </w:tblGrid>
      <w:tr w:rsidR="008C3D1C" w:rsidRPr="003320FC" w14:paraId="11577586" w14:textId="77777777" w:rsidTr="00CC4289">
        <w:trPr>
          <w:trHeight w:val="300"/>
        </w:trPr>
        <w:tc>
          <w:tcPr>
            <w:tcW w:w="3720" w:type="dxa"/>
            <w:tcBorders>
              <w:top w:val="single" w:sz="6" w:space="0" w:color="auto"/>
              <w:bottom w:val="single" w:sz="6" w:space="0" w:color="auto"/>
            </w:tcBorders>
            <w:shd w:val="clear" w:color="auto" w:fill="C1E4F5"/>
            <w:tcMar>
              <w:left w:w="105" w:type="dxa"/>
              <w:right w:w="105" w:type="dxa"/>
            </w:tcMar>
            <w:vAlign w:val="bottom"/>
          </w:tcPr>
          <w:p w14:paraId="2A795EF9" w14:textId="77777777" w:rsidR="008C3D1C" w:rsidRPr="003320FC" w:rsidRDefault="008C3D1C" w:rsidP="00CC4289">
            <w:pPr>
              <w:rPr>
                <w:rFonts w:ascii="Arial" w:eastAsia="Times New Roman" w:hAnsi="Arial" w:cs="Arial"/>
                <w:color w:val="000000" w:themeColor="text1"/>
                <w:sz w:val="22"/>
                <w:szCs w:val="22"/>
              </w:rPr>
            </w:pPr>
            <w:r w:rsidRPr="003320FC">
              <w:rPr>
                <w:rFonts w:ascii="Arial" w:eastAsia="Times New Roman" w:hAnsi="Arial" w:cs="Arial"/>
                <w:b/>
                <w:bCs/>
                <w:i/>
                <w:iCs/>
                <w:color w:val="000000" w:themeColor="text1"/>
                <w:sz w:val="22"/>
                <w:szCs w:val="22"/>
                <w:lang w:val="mn-MN"/>
              </w:rPr>
              <w:t>Тэрбум төгрөгөөр</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0D3D50F9"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b/>
                <w:bCs/>
                <w:color w:val="000000" w:themeColor="text1"/>
                <w:sz w:val="22"/>
                <w:szCs w:val="22"/>
                <w:lang w:val="mn-MN"/>
              </w:rPr>
              <w:t>2027</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0458241F"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b/>
                <w:bCs/>
                <w:color w:val="000000" w:themeColor="text1"/>
                <w:sz w:val="22"/>
                <w:szCs w:val="22"/>
                <w:lang w:val="mn-MN"/>
              </w:rPr>
              <w:t>2028</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446E6D90"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b/>
                <w:bCs/>
                <w:color w:val="000000" w:themeColor="text1"/>
                <w:sz w:val="22"/>
                <w:szCs w:val="22"/>
                <w:lang w:val="mn-MN"/>
              </w:rPr>
              <w:t>2029</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5B6DFEE8"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b/>
                <w:bCs/>
                <w:color w:val="000000" w:themeColor="text1"/>
                <w:sz w:val="22"/>
                <w:szCs w:val="22"/>
                <w:lang w:val="mn-MN"/>
              </w:rPr>
              <w:t>2030</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25D90311"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b/>
                <w:bCs/>
                <w:color w:val="000000" w:themeColor="text1"/>
                <w:sz w:val="22"/>
                <w:szCs w:val="22"/>
                <w:lang w:val="mn-MN"/>
              </w:rPr>
              <w:t>2031</w:t>
            </w:r>
          </w:p>
        </w:tc>
      </w:tr>
      <w:tr w:rsidR="008C3D1C" w:rsidRPr="003320FC" w14:paraId="07D88851" w14:textId="77777777" w:rsidTr="00CC4289">
        <w:trPr>
          <w:trHeight w:val="300"/>
        </w:trPr>
        <w:tc>
          <w:tcPr>
            <w:tcW w:w="3720" w:type="dxa"/>
            <w:tcBorders>
              <w:top w:val="single" w:sz="6" w:space="0" w:color="auto"/>
              <w:bottom w:val="single" w:sz="6" w:space="0" w:color="auto"/>
            </w:tcBorders>
            <w:tcMar>
              <w:left w:w="105" w:type="dxa"/>
              <w:right w:w="105" w:type="dxa"/>
            </w:tcMar>
            <w:vAlign w:val="bottom"/>
          </w:tcPr>
          <w:p w14:paraId="6344610E" w14:textId="77777777" w:rsidR="008C3D1C" w:rsidRPr="003320FC" w:rsidRDefault="008C3D1C" w:rsidP="00CC4289">
            <w:pPr>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Тухайн жилд гаргах ЗГҮЦ</w:t>
            </w:r>
          </w:p>
        </w:tc>
        <w:tc>
          <w:tcPr>
            <w:tcW w:w="1035" w:type="dxa"/>
            <w:tcBorders>
              <w:top w:val="single" w:sz="6" w:space="0" w:color="auto"/>
              <w:bottom w:val="single" w:sz="6" w:space="0" w:color="auto"/>
            </w:tcBorders>
            <w:tcMar>
              <w:left w:w="105" w:type="dxa"/>
              <w:right w:w="105" w:type="dxa"/>
            </w:tcMar>
            <w:vAlign w:val="bottom"/>
          </w:tcPr>
          <w:p w14:paraId="514C4BF3"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1300</w:t>
            </w:r>
          </w:p>
        </w:tc>
        <w:tc>
          <w:tcPr>
            <w:tcW w:w="1035" w:type="dxa"/>
            <w:tcBorders>
              <w:top w:val="single" w:sz="6" w:space="0" w:color="auto"/>
              <w:bottom w:val="single" w:sz="6" w:space="0" w:color="auto"/>
            </w:tcBorders>
            <w:tcMar>
              <w:left w:w="105" w:type="dxa"/>
              <w:right w:w="105" w:type="dxa"/>
            </w:tcMar>
            <w:vAlign w:val="bottom"/>
          </w:tcPr>
          <w:p w14:paraId="770A7866"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1300</w:t>
            </w:r>
          </w:p>
        </w:tc>
        <w:tc>
          <w:tcPr>
            <w:tcW w:w="1035" w:type="dxa"/>
            <w:tcBorders>
              <w:top w:val="single" w:sz="6" w:space="0" w:color="auto"/>
              <w:bottom w:val="single" w:sz="6" w:space="0" w:color="auto"/>
            </w:tcBorders>
            <w:tcMar>
              <w:left w:w="105" w:type="dxa"/>
              <w:right w:w="105" w:type="dxa"/>
            </w:tcMar>
            <w:vAlign w:val="bottom"/>
          </w:tcPr>
          <w:p w14:paraId="67B9DA10"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1300</w:t>
            </w:r>
          </w:p>
        </w:tc>
        <w:tc>
          <w:tcPr>
            <w:tcW w:w="1035" w:type="dxa"/>
            <w:tcBorders>
              <w:top w:val="single" w:sz="6" w:space="0" w:color="auto"/>
              <w:bottom w:val="single" w:sz="6" w:space="0" w:color="auto"/>
            </w:tcBorders>
            <w:tcMar>
              <w:left w:w="105" w:type="dxa"/>
              <w:right w:w="105" w:type="dxa"/>
            </w:tcMar>
            <w:vAlign w:val="bottom"/>
          </w:tcPr>
          <w:p w14:paraId="5FEF7F23"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1300</w:t>
            </w:r>
          </w:p>
        </w:tc>
        <w:tc>
          <w:tcPr>
            <w:tcW w:w="1035" w:type="dxa"/>
            <w:tcBorders>
              <w:top w:val="single" w:sz="6" w:space="0" w:color="auto"/>
              <w:bottom w:val="single" w:sz="6" w:space="0" w:color="auto"/>
            </w:tcBorders>
            <w:tcMar>
              <w:left w:w="105" w:type="dxa"/>
              <w:right w:w="105" w:type="dxa"/>
            </w:tcMar>
            <w:vAlign w:val="bottom"/>
          </w:tcPr>
          <w:p w14:paraId="01ED4E11"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1300</w:t>
            </w:r>
          </w:p>
        </w:tc>
      </w:tr>
      <w:tr w:rsidR="008C3D1C" w:rsidRPr="003320FC" w14:paraId="40E7BF90" w14:textId="77777777" w:rsidTr="00CC4289">
        <w:trPr>
          <w:trHeight w:val="300"/>
        </w:trPr>
        <w:tc>
          <w:tcPr>
            <w:tcW w:w="3720" w:type="dxa"/>
            <w:tcBorders>
              <w:top w:val="single" w:sz="6" w:space="0" w:color="auto"/>
              <w:bottom w:val="single" w:sz="6" w:space="0" w:color="auto"/>
            </w:tcBorders>
            <w:tcMar>
              <w:left w:w="105" w:type="dxa"/>
              <w:right w:w="105" w:type="dxa"/>
            </w:tcMar>
            <w:vAlign w:val="bottom"/>
          </w:tcPr>
          <w:p w14:paraId="18F2505D" w14:textId="77777777" w:rsidR="008C3D1C" w:rsidRPr="003320FC" w:rsidRDefault="008C3D1C" w:rsidP="00CC4289">
            <w:pPr>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ЗГҮЦ-ны үлдэгдэл</w:t>
            </w:r>
          </w:p>
        </w:tc>
        <w:tc>
          <w:tcPr>
            <w:tcW w:w="1035" w:type="dxa"/>
            <w:tcBorders>
              <w:top w:val="single" w:sz="6" w:space="0" w:color="auto"/>
              <w:bottom w:val="single" w:sz="6" w:space="0" w:color="auto"/>
            </w:tcBorders>
            <w:tcMar>
              <w:left w:w="105" w:type="dxa"/>
              <w:right w:w="105" w:type="dxa"/>
            </w:tcMar>
            <w:vAlign w:val="bottom"/>
          </w:tcPr>
          <w:p w14:paraId="2301CE74"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1300</w:t>
            </w:r>
          </w:p>
        </w:tc>
        <w:tc>
          <w:tcPr>
            <w:tcW w:w="1035" w:type="dxa"/>
            <w:tcBorders>
              <w:top w:val="single" w:sz="6" w:space="0" w:color="auto"/>
              <w:bottom w:val="single" w:sz="6" w:space="0" w:color="auto"/>
            </w:tcBorders>
            <w:tcMar>
              <w:left w:w="105" w:type="dxa"/>
              <w:right w:w="105" w:type="dxa"/>
            </w:tcMar>
            <w:vAlign w:val="bottom"/>
          </w:tcPr>
          <w:p w14:paraId="1759F818"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2600</w:t>
            </w:r>
          </w:p>
        </w:tc>
        <w:tc>
          <w:tcPr>
            <w:tcW w:w="1035" w:type="dxa"/>
            <w:tcBorders>
              <w:top w:val="single" w:sz="6" w:space="0" w:color="auto"/>
              <w:bottom w:val="single" w:sz="6" w:space="0" w:color="auto"/>
            </w:tcBorders>
            <w:tcMar>
              <w:left w:w="105" w:type="dxa"/>
              <w:right w:w="105" w:type="dxa"/>
            </w:tcMar>
            <w:vAlign w:val="bottom"/>
          </w:tcPr>
          <w:p w14:paraId="718F7889"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3900</w:t>
            </w:r>
          </w:p>
        </w:tc>
        <w:tc>
          <w:tcPr>
            <w:tcW w:w="1035" w:type="dxa"/>
            <w:tcBorders>
              <w:top w:val="single" w:sz="6" w:space="0" w:color="auto"/>
              <w:bottom w:val="single" w:sz="6" w:space="0" w:color="auto"/>
            </w:tcBorders>
            <w:tcMar>
              <w:left w:w="105" w:type="dxa"/>
              <w:right w:w="105" w:type="dxa"/>
            </w:tcMar>
            <w:vAlign w:val="bottom"/>
          </w:tcPr>
          <w:p w14:paraId="281010BA"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5200</w:t>
            </w:r>
          </w:p>
        </w:tc>
        <w:tc>
          <w:tcPr>
            <w:tcW w:w="1035" w:type="dxa"/>
            <w:tcBorders>
              <w:top w:val="single" w:sz="6" w:space="0" w:color="auto"/>
              <w:bottom w:val="single" w:sz="6" w:space="0" w:color="auto"/>
            </w:tcBorders>
            <w:tcMar>
              <w:left w:w="105" w:type="dxa"/>
              <w:right w:w="105" w:type="dxa"/>
            </w:tcMar>
            <w:vAlign w:val="bottom"/>
          </w:tcPr>
          <w:p w14:paraId="0B5E6F7D"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6500</w:t>
            </w:r>
          </w:p>
        </w:tc>
      </w:tr>
      <w:tr w:rsidR="008C3D1C" w:rsidRPr="003320FC" w14:paraId="3D0E6874" w14:textId="77777777" w:rsidTr="00CC4289">
        <w:trPr>
          <w:trHeight w:val="600"/>
        </w:trPr>
        <w:tc>
          <w:tcPr>
            <w:tcW w:w="3720" w:type="dxa"/>
            <w:tcBorders>
              <w:top w:val="single" w:sz="6" w:space="0" w:color="auto"/>
              <w:bottom w:val="single" w:sz="6" w:space="0" w:color="auto"/>
            </w:tcBorders>
            <w:tcMar>
              <w:left w:w="105" w:type="dxa"/>
              <w:right w:w="105" w:type="dxa"/>
            </w:tcMar>
            <w:vAlign w:val="bottom"/>
          </w:tcPr>
          <w:p w14:paraId="15ACD726" w14:textId="77777777" w:rsidR="008C3D1C" w:rsidRPr="003320FC" w:rsidRDefault="008C3D1C" w:rsidP="00CC4289">
            <w:pPr>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ЗГҮЦ-ны үлдэгдлийн</w:t>
            </w:r>
          </w:p>
          <w:p w14:paraId="22C68C7F" w14:textId="77777777" w:rsidR="008C3D1C" w:rsidRPr="003320FC" w:rsidRDefault="008C3D1C" w:rsidP="00CC4289">
            <w:pPr>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 xml:space="preserve"> НДНБ-д эзлэх хувь</w:t>
            </w:r>
          </w:p>
        </w:tc>
        <w:tc>
          <w:tcPr>
            <w:tcW w:w="1035" w:type="dxa"/>
            <w:tcBorders>
              <w:top w:val="single" w:sz="6" w:space="0" w:color="auto"/>
              <w:bottom w:val="single" w:sz="6" w:space="0" w:color="auto"/>
            </w:tcBorders>
            <w:tcMar>
              <w:left w:w="105" w:type="dxa"/>
              <w:right w:w="105" w:type="dxa"/>
            </w:tcMar>
            <w:vAlign w:val="bottom"/>
          </w:tcPr>
          <w:p w14:paraId="3608A6C0"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1.3%</w:t>
            </w:r>
          </w:p>
        </w:tc>
        <w:tc>
          <w:tcPr>
            <w:tcW w:w="1035" w:type="dxa"/>
            <w:tcBorders>
              <w:top w:val="single" w:sz="6" w:space="0" w:color="auto"/>
              <w:bottom w:val="single" w:sz="6" w:space="0" w:color="auto"/>
            </w:tcBorders>
            <w:tcMar>
              <w:left w:w="105" w:type="dxa"/>
              <w:right w:w="105" w:type="dxa"/>
            </w:tcMar>
            <w:vAlign w:val="bottom"/>
          </w:tcPr>
          <w:p w14:paraId="04F1D996"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2.3%</w:t>
            </w:r>
          </w:p>
        </w:tc>
        <w:tc>
          <w:tcPr>
            <w:tcW w:w="1035" w:type="dxa"/>
            <w:tcBorders>
              <w:top w:val="single" w:sz="6" w:space="0" w:color="auto"/>
              <w:bottom w:val="single" w:sz="6" w:space="0" w:color="auto"/>
            </w:tcBorders>
            <w:tcMar>
              <w:left w:w="105" w:type="dxa"/>
              <w:right w:w="105" w:type="dxa"/>
            </w:tcMar>
            <w:vAlign w:val="bottom"/>
          </w:tcPr>
          <w:p w14:paraId="4D350E0F"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3.2%</w:t>
            </w:r>
          </w:p>
        </w:tc>
        <w:tc>
          <w:tcPr>
            <w:tcW w:w="1035" w:type="dxa"/>
            <w:tcBorders>
              <w:top w:val="single" w:sz="6" w:space="0" w:color="auto"/>
              <w:bottom w:val="single" w:sz="6" w:space="0" w:color="auto"/>
            </w:tcBorders>
            <w:tcMar>
              <w:left w:w="105" w:type="dxa"/>
              <w:right w:w="105" w:type="dxa"/>
            </w:tcMar>
            <w:vAlign w:val="bottom"/>
          </w:tcPr>
          <w:p w14:paraId="076922A1"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4.0%</w:t>
            </w:r>
          </w:p>
        </w:tc>
        <w:tc>
          <w:tcPr>
            <w:tcW w:w="1035" w:type="dxa"/>
            <w:tcBorders>
              <w:top w:val="single" w:sz="6" w:space="0" w:color="auto"/>
              <w:bottom w:val="single" w:sz="6" w:space="0" w:color="auto"/>
            </w:tcBorders>
            <w:tcMar>
              <w:left w:w="105" w:type="dxa"/>
              <w:right w:w="105" w:type="dxa"/>
            </w:tcMar>
            <w:vAlign w:val="bottom"/>
          </w:tcPr>
          <w:p w14:paraId="67623169"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4.2%</w:t>
            </w:r>
          </w:p>
        </w:tc>
      </w:tr>
      <w:tr w:rsidR="008C3D1C" w:rsidRPr="003320FC" w14:paraId="0E225F78" w14:textId="77777777" w:rsidTr="00CC4289">
        <w:trPr>
          <w:trHeight w:val="300"/>
        </w:trPr>
        <w:tc>
          <w:tcPr>
            <w:tcW w:w="3720" w:type="dxa"/>
            <w:tcBorders>
              <w:top w:val="single" w:sz="6" w:space="0" w:color="auto"/>
              <w:bottom w:val="single" w:sz="6" w:space="0" w:color="auto"/>
            </w:tcBorders>
            <w:shd w:val="clear" w:color="auto" w:fill="C1E4F5"/>
            <w:tcMar>
              <w:left w:w="105" w:type="dxa"/>
              <w:right w:w="105" w:type="dxa"/>
            </w:tcMar>
            <w:vAlign w:val="bottom"/>
          </w:tcPr>
          <w:p w14:paraId="6CCA05C7" w14:textId="77777777" w:rsidR="008C3D1C" w:rsidRPr="003320FC" w:rsidRDefault="008C3D1C" w:rsidP="00CC4289">
            <w:pPr>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Купоны зардал (6%)</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1D4C82C1"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78</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1B40E954"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156</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2443EC5F"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234</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5CCFBC78"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312</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287E3E22"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390</w:t>
            </w:r>
          </w:p>
        </w:tc>
      </w:tr>
      <w:tr w:rsidR="008C3D1C" w:rsidRPr="003320FC" w14:paraId="55263FCD" w14:textId="77777777" w:rsidTr="00CC4289">
        <w:trPr>
          <w:trHeight w:val="300"/>
        </w:trPr>
        <w:tc>
          <w:tcPr>
            <w:tcW w:w="3720" w:type="dxa"/>
            <w:tcBorders>
              <w:top w:val="single" w:sz="6" w:space="0" w:color="auto"/>
              <w:bottom w:val="single" w:sz="6" w:space="0" w:color="auto"/>
            </w:tcBorders>
            <w:tcMar>
              <w:left w:w="105" w:type="dxa"/>
              <w:right w:w="105" w:type="dxa"/>
            </w:tcMar>
            <w:vAlign w:val="bottom"/>
          </w:tcPr>
          <w:p w14:paraId="57B52C26" w14:textId="77777777" w:rsidR="008C3D1C" w:rsidRPr="003320FC" w:rsidRDefault="008C3D1C" w:rsidP="00CC4289">
            <w:pPr>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Купоны зардал (3%)</w:t>
            </w:r>
          </w:p>
        </w:tc>
        <w:tc>
          <w:tcPr>
            <w:tcW w:w="1035" w:type="dxa"/>
            <w:tcBorders>
              <w:top w:val="single" w:sz="6" w:space="0" w:color="auto"/>
              <w:bottom w:val="single" w:sz="6" w:space="0" w:color="auto"/>
            </w:tcBorders>
            <w:tcMar>
              <w:left w:w="105" w:type="dxa"/>
              <w:right w:w="105" w:type="dxa"/>
            </w:tcMar>
            <w:vAlign w:val="bottom"/>
          </w:tcPr>
          <w:p w14:paraId="5C6B986D"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39</w:t>
            </w:r>
          </w:p>
        </w:tc>
        <w:tc>
          <w:tcPr>
            <w:tcW w:w="1035" w:type="dxa"/>
            <w:tcBorders>
              <w:top w:val="single" w:sz="6" w:space="0" w:color="auto"/>
              <w:bottom w:val="single" w:sz="6" w:space="0" w:color="auto"/>
            </w:tcBorders>
            <w:tcMar>
              <w:left w:w="105" w:type="dxa"/>
              <w:right w:w="105" w:type="dxa"/>
            </w:tcMar>
            <w:vAlign w:val="bottom"/>
          </w:tcPr>
          <w:p w14:paraId="26C379A5"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78</w:t>
            </w:r>
          </w:p>
        </w:tc>
        <w:tc>
          <w:tcPr>
            <w:tcW w:w="1035" w:type="dxa"/>
            <w:tcBorders>
              <w:top w:val="single" w:sz="6" w:space="0" w:color="auto"/>
              <w:bottom w:val="single" w:sz="6" w:space="0" w:color="auto"/>
            </w:tcBorders>
            <w:tcMar>
              <w:left w:w="105" w:type="dxa"/>
              <w:right w:w="105" w:type="dxa"/>
            </w:tcMar>
            <w:vAlign w:val="bottom"/>
          </w:tcPr>
          <w:p w14:paraId="341E85EF"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117</w:t>
            </w:r>
          </w:p>
        </w:tc>
        <w:tc>
          <w:tcPr>
            <w:tcW w:w="1035" w:type="dxa"/>
            <w:tcBorders>
              <w:top w:val="single" w:sz="6" w:space="0" w:color="auto"/>
              <w:bottom w:val="single" w:sz="6" w:space="0" w:color="auto"/>
            </w:tcBorders>
            <w:tcMar>
              <w:left w:w="105" w:type="dxa"/>
              <w:right w:w="105" w:type="dxa"/>
            </w:tcMar>
            <w:vAlign w:val="bottom"/>
          </w:tcPr>
          <w:p w14:paraId="1204F73F"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156</w:t>
            </w:r>
          </w:p>
        </w:tc>
        <w:tc>
          <w:tcPr>
            <w:tcW w:w="1035" w:type="dxa"/>
            <w:tcBorders>
              <w:top w:val="single" w:sz="6" w:space="0" w:color="auto"/>
              <w:bottom w:val="single" w:sz="6" w:space="0" w:color="auto"/>
            </w:tcBorders>
            <w:tcMar>
              <w:left w:w="105" w:type="dxa"/>
              <w:right w:w="105" w:type="dxa"/>
            </w:tcMar>
            <w:vAlign w:val="bottom"/>
          </w:tcPr>
          <w:p w14:paraId="638DE20F"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195</w:t>
            </w:r>
          </w:p>
        </w:tc>
      </w:tr>
      <w:tr w:rsidR="008C3D1C" w:rsidRPr="003320FC" w14:paraId="162006A3" w14:textId="77777777" w:rsidTr="00CC4289">
        <w:trPr>
          <w:trHeight w:val="300"/>
        </w:trPr>
        <w:tc>
          <w:tcPr>
            <w:tcW w:w="3720" w:type="dxa"/>
            <w:tcBorders>
              <w:top w:val="single" w:sz="6" w:space="0" w:color="auto"/>
              <w:bottom w:val="single" w:sz="6" w:space="0" w:color="auto"/>
            </w:tcBorders>
            <w:tcMar>
              <w:left w:w="105" w:type="dxa"/>
              <w:right w:w="105" w:type="dxa"/>
            </w:tcMar>
            <w:vAlign w:val="bottom"/>
          </w:tcPr>
          <w:p w14:paraId="376A79F5" w14:textId="77777777" w:rsidR="008C3D1C" w:rsidRPr="003320FC" w:rsidRDefault="008C3D1C" w:rsidP="00CC4289">
            <w:pPr>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Купоны зардал (9%)</w:t>
            </w:r>
          </w:p>
        </w:tc>
        <w:tc>
          <w:tcPr>
            <w:tcW w:w="1035" w:type="dxa"/>
            <w:tcBorders>
              <w:top w:val="single" w:sz="6" w:space="0" w:color="auto"/>
              <w:bottom w:val="single" w:sz="6" w:space="0" w:color="auto"/>
            </w:tcBorders>
            <w:tcMar>
              <w:left w:w="105" w:type="dxa"/>
              <w:right w:w="105" w:type="dxa"/>
            </w:tcMar>
            <w:vAlign w:val="bottom"/>
          </w:tcPr>
          <w:p w14:paraId="0AD587B8"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117</w:t>
            </w:r>
          </w:p>
        </w:tc>
        <w:tc>
          <w:tcPr>
            <w:tcW w:w="1035" w:type="dxa"/>
            <w:tcBorders>
              <w:top w:val="single" w:sz="6" w:space="0" w:color="auto"/>
              <w:bottom w:val="single" w:sz="6" w:space="0" w:color="auto"/>
            </w:tcBorders>
            <w:tcMar>
              <w:left w:w="105" w:type="dxa"/>
              <w:right w:w="105" w:type="dxa"/>
            </w:tcMar>
            <w:vAlign w:val="bottom"/>
          </w:tcPr>
          <w:p w14:paraId="3CC45DE8"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234</w:t>
            </w:r>
          </w:p>
        </w:tc>
        <w:tc>
          <w:tcPr>
            <w:tcW w:w="1035" w:type="dxa"/>
            <w:tcBorders>
              <w:top w:val="single" w:sz="6" w:space="0" w:color="auto"/>
              <w:bottom w:val="single" w:sz="6" w:space="0" w:color="auto"/>
            </w:tcBorders>
            <w:tcMar>
              <w:left w:w="105" w:type="dxa"/>
              <w:right w:w="105" w:type="dxa"/>
            </w:tcMar>
            <w:vAlign w:val="bottom"/>
          </w:tcPr>
          <w:p w14:paraId="545372BC"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351</w:t>
            </w:r>
          </w:p>
        </w:tc>
        <w:tc>
          <w:tcPr>
            <w:tcW w:w="1035" w:type="dxa"/>
            <w:tcBorders>
              <w:top w:val="single" w:sz="6" w:space="0" w:color="auto"/>
              <w:bottom w:val="single" w:sz="6" w:space="0" w:color="auto"/>
            </w:tcBorders>
            <w:tcMar>
              <w:left w:w="105" w:type="dxa"/>
              <w:right w:w="105" w:type="dxa"/>
            </w:tcMar>
            <w:vAlign w:val="bottom"/>
          </w:tcPr>
          <w:p w14:paraId="20656DE4"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468</w:t>
            </w:r>
          </w:p>
        </w:tc>
        <w:tc>
          <w:tcPr>
            <w:tcW w:w="1035" w:type="dxa"/>
            <w:tcBorders>
              <w:top w:val="single" w:sz="6" w:space="0" w:color="auto"/>
              <w:bottom w:val="single" w:sz="6" w:space="0" w:color="auto"/>
            </w:tcBorders>
            <w:tcMar>
              <w:left w:w="105" w:type="dxa"/>
              <w:right w:w="105" w:type="dxa"/>
            </w:tcMar>
            <w:vAlign w:val="bottom"/>
          </w:tcPr>
          <w:p w14:paraId="6E358444"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585</w:t>
            </w:r>
          </w:p>
        </w:tc>
      </w:tr>
      <w:tr w:rsidR="008C3D1C" w:rsidRPr="003320FC" w14:paraId="7A4C9312" w14:textId="77777777" w:rsidTr="00CC4289">
        <w:trPr>
          <w:trHeight w:val="300"/>
        </w:trPr>
        <w:tc>
          <w:tcPr>
            <w:tcW w:w="8895" w:type="dxa"/>
            <w:gridSpan w:val="6"/>
            <w:tcBorders>
              <w:top w:val="single" w:sz="6" w:space="0" w:color="auto"/>
              <w:bottom w:val="single" w:sz="6" w:space="0" w:color="auto"/>
            </w:tcBorders>
            <w:tcMar>
              <w:left w:w="105" w:type="dxa"/>
              <w:right w:w="105" w:type="dxa"/>
            </w:tcMar>
            <w:vAlign w:val="bottom"/>
          </w:tcPr>
          <w:p w14:paraId="65AB5E46" w14:textId="77777777" w:rsidR="008C3D1C" w:rsidRPr="003320FC" w:rsidRDefault="008C3D1C" w:rsidP="00CC4289">
            <w:pPr>
              <w:jc w:val="center"/>
              <w:rPr>
                <w:rFonts w:ascii="Arial" w:eastAsia="Times New Roman" w:hAnsi="Arial" w:cs="Arial"/>
                <w:color w:val="000000" w:themeColor="text1"/>
                <w:sz w:val="22"/>
                <w:szCs w:val="22"/>
              </w:rPr>
            </w:pPr>
            <w:r w:rsidRPr="003320FC">
              <w:rPr>
                <w:rFonts w:ascii="Arial" w:eastAsia="Times New Roman" w:hAnsi="Arial" w:cs="Arial"/>
                <w:b/>
                <w:bCs/>
                <w:i/>
                <w:iCs/>
                <w:color w:val="000000" w:themeColor="text1"/>
                <w:sz w:val="22"/>
                <w:szCs w:val="22"/>
                <w:lang w:val="mn-MN"/>
              </w:rPr>
              <w:t>2025 оны нийт төсвийн зардал (31289 тэрбум₮)-д эзлэх хувь</w:t>
            </w:r>
          </w:p>
        </w:tc>
      </w:tr>
      <w:tr w:rsidR="008C3D1C" w:rsidRPr="003320FC" w14:paraId="47969298" w14:textId="77777777" w:rsidTr="00CC4289">
        <w:trPr>
          <w:trHeight w:val="300"/>
        </w:trPr>
        <w:tc>
          <w:tcPr>
            <w:tcW w:w="3720" w:type="dxa"/>
            <w:tcBorders>
              <w:top w:val="single" w:sz="6" w:space="0" w:color="auto"/>
              <w:bottom w:val="single" w:sz="6" w:space="0" w:color="auto"/>
            </w:tcBorders>
            <w:shd w:val="clear" w:color="auto" w:fill="C1E4F5"/>
            <w:tcMar>
              <w:left w:w="105" w:type="dxa"/>
              <w:right w:w="105" w:type="dxa"/>
            </w:tcMar>
            <w:vAlign w:val="bottom"/>
          </w:tcPr>
          <w:p w14:paraId="66B30C1A" w14:textId="77777777" w:rsidR="008C3D1C" w:rsidRPr="003320FC" w:rsidRDefault="008C3D1C" w:rsidP="00CC4289">
            <w:pPr>
              <w:ind w:firstLineChars="100" w:firstLine="220"/>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Купоны зардал (6%)</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7DE4374E"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0.2%</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372AA0D3"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0.5%</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7968914C"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0.7%</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3B9AF7DC"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1.0%</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4323984D"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1.2%</w:t>
            </w:r>
          </w:p>
        </w:tc>
      </w:tr>
      <w:tr w:rsidR="008C3D1C" w:rsidRPr="003320FC" w14:paraId="5AD80FED" w14:textId="77777777" w:rsidTr="00CC4289">
        <w:trPr>
          <w:trHeight w:val="300"/>
        </w:trPr>
        <w:tc>
          <w:tcPr>
            <w:tcW w:w="3720" w:type="dxa"/>
            <w:tcBorders>
              <w:top w:val="single" w:sz="6" w:space="0" w:color="auto"/>
              <w:bottom w:val="single" w:sz="6" w:space="0" w:color="auto"/>
            </w:tcBorders>
            <w:tcMar>
              <w:left w:w="105" w:type="dxa"/>
              <w:right w:w="105" w:type="dxa"/>
            </w:tcMar>
            <w:vAlign w:val="bottom"/>
          </w:tcPr>
          <w:p w14:paraId="7682BC23" w14:textId="77777777" w:rsidR="008C3D1C" w:rsidRPr="003320FC" w:rsidRDefault="008C3D1C" w:rsidP="00CC4289">
            <w:pPr>
              <w:ind w:firstLineChars="100" w:firstLine="220"/>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Купоны зардал (3%)</w:t>
            </w:r>
          </w:p>
        </w:tc>
        <w:tc>
          <w:tcPr>
            <w:tcW w:w="1035" w:type="dxa"/>
            <w:tcBorders>
              <w:top w:val="single" w:sz="6" w:space="0" w:color="auto"/>
              <w:bottom w:val="single" w:sz="6" w:space="0" w:color="auto"/>
            </w:tcBorders>
            <w:tcMar>
              <w:left w:w="105" w:type="dxa"/>
              <w:right w:w="105" w:type="dxa"/>
            </w:tcMar>
            <w:vAlign w:val="bottom"/>
          </w:tcPr>
          <w:p w14:paraId="107892A3"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0.1%</w:t>
            </w:r>
          </w:p>
        </w:tc>
        <w:tc>
          <w:tcPr>
            <w:tcW w:w="1035" w:type="dxa"/>
            <w:tcBorders>
              <w:top w:val="single" w:sz="6" w:space="0" w:color="auto"/>
              <w:bottom w:val="single" w:sz="6" w:space="0" w:color="auto"/>
            </w:tcBorders>
            <w:tcMar>
              <w:left w:w="105" w:type="dxa"/>
              <w:right w:w="105" w:type="dxa"/>
            </w:tcMar>
            <w:vAlign w:val="bottom"/>
          </w:tcPr>
          <w:p w14:paraId="7C9E3DB8"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0.2%</w:t>
            </w:r>
          </w:p>
        </w:tc>
        <w:tc>
          <w:tcPr>
            <w:tcW w:w="1035" w:type="dxa"/>
            <w:tcBorders>
              <w:top w:val="single" w:sz="6" w:space="0" w:color="auto"/>
              <w:bottom w:val="single" w:sz="6" w:space="0" w:color="auto"/>
            </w:tcBorders>
            <w:tcMar>
              <w:left w:w="105" w:type="dxa"/>
              <w:right w:w="105" w:type="dxa"/>
            </w:tcMar>
            <w:vAlign w:val="bottom"/>
          </w:tcPr>
          <w:p w14:paraId="5DB2B91F"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0.4%</w:t>
            </w:r>
          </w:p>
        </w:tc>
        <w:tc>
          <w:tcPr>
            <w:tcW w:w="1035" w:type="dxa"/>
            <w:tcBorders>
              <w:top w:val="single" w:sz="6" w:space="0" w:color="auto"/>
              <w:bottom w:val="single" w:sz="6" w:space="0" w:color="auto"/>
            </w:tcBorders>
            <w:tcMar>
              <w:left w:w="105" w:type="dxa"/>
              <w:right w:w="105" w:type="dxa"/>
            </w:tcMar>
            <w:vAlign w:val="bottom"/>
          </w:tcPr>
          <w:p w14:paraId="2C74CF14"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0.5%</w:t>
            </w:r>
          </w:p>
        </w:tc>
        <w:tc>
          <w:tcPr>
            <w:tcW w:w="1035" w:type="dxa"/>
            <w:tcBorders>
              <w:top w:val="single" w:sz="6" w:space="0" w:color="auto"/>
              <w:bottom w:val="single" w:sz="6" w:space="0" w:color="auto"/>
            </w:tcBorders>
            <w:tcMar>
              <w:left w:w="105" w:type="dxa"/>
              <w:right w:w="105" w:type="dxa"/>
            </w:tcMar>
            <w:vAlign w:val="bottom"/>
          </w:tcPr>
          <w:p w14:paraId="1838EC90"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0.6%</w:t>
            </w:r>
          </w:p>
        </w:tc>
      </w:tr>
      <w:tr w:rsidR="008C3D1C" w:rsidRPr="003320FC" w14:paraId="35BF4085" w14:textId="77777777" w:rsidTr="00CC4289">
        <w:trPr>
          <w:trHeight w:val="300"/>
        </w:trPr>
        <w:tc>
          <w:tcPr>
            <w:tcW w:w="3720" w:type="dxa"/>
            <w:tcBorders>
              <w:top w:val="single" w:sz="6" w:space="0" w:color="auto"/>
              <w:bottom w:val="single" w:sz="6" w:space="0" w:color="auto"/>
            </w:tcBorders>
            <w:tcMar>
              <w:left w:w="105" w:type="dxa"/>
              <w:right w:w="105" w:type="dxa"/>
            </w:tcMar>
            <w:vAlign w:val="bottom"/>
          </w:tcPr>
          <w:p w14:paraId="2DE7D91B" w14:textId="77777777" w:rsidR="008C3D1C" w:rsidRPr="003320FC" w:rsidRDefault="008C3D1C" w:rsidP="00CC4289">
            <w:pPr>
              <w:ind w:firstLineChars="100" w:firstLine="220"/>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Купоны зардал (9%)</w:t>
            </w:r>
          </w:p>
        </w:tc>
        <w:tc>
          <w:tcPr>
            <w:tcW w:w="1035" w:type="dxa"/>
            <w:tcBorders>
              <w:top w:val="single" w:sz="6" w:space="0" w:color="auto"/>
              <w:bottom w:val="single" w:sz="6" w:space="0" w:color="auto"/>
            </w:tcBorders>
            <w:tcMar>
              <w:left w:w="105" w:type="dxa"/>
              <w:right w:w="105" w:type="dxa"/>
            </w:tcMar>
            <w:vAlign w:val="bottom"/>
          </w:tcPr>
          <w:p w14:paraId="3280AAC4"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0.4%</w:t>
            </w:r>
          </w:p>
        </w:tc>
        <w:tc>
          <w:tcPr>
            <w:tcW w:w="1035" w:type="dxa"/>
            <w:tcBorders>
              <w:top w:val="single" w:sz="6" w:space="0" w:color="auto"/>
              <w:bottom w:val="single" w:sz="6" w:space="0" w:color="auto"/>
            </w:tcBorders>
            <w:tcMar>
              <w:left w:w="105" w:type="dxa"/>
              <w:right w:w="105" w:type="dxa"/>
            </w:tcMar>
            <w:vAlign w:val="bottom"/>
          </w:tcPr>
          <w:p w14:paraId="0D23DF66"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0.7%</w:t>
            </w:r>
          </w:p>
        </w:tc>
        <w:tc>
          <w:tcPr>
            <w:tcW w:w="1035" w:type="dxa"/>
            <w:tcBorders>
              <w:top w:val="single" w:sz="6" w:space="0" w:color="auto"/>
              <w:bottom w:val="single" w:sz="6" w:space="0" w:color="auto"/>
            </w:tcBorders>
            <w:tcMar>
              <w:left w:w="105" w:type="dxa"/>
              <w:right w:w="105" w:type="dxa"/>
            </w:tcMar>
            <w:vAlign w:val="bottom"/>
          </w:tcPr>
          <w:p w14:paraId="343DF664"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1.1%</w:t>
            </w:r>
          </w:p>
        </w:tc>
        <w:tc>
          <w:tcPr>
            <w:tcW w:w="1035" w:type="dxa"/>
            <w:tcBorders>
              <w:top w:val="single" w:sz="6" w:space="0" w:color="auto"/>
              <w:bottom w:val="single" w:sz="6" w:space="0" w:color="auto"/>
            </w:tcBorders>
            <w:tcMar>
              <w:left w:w="105" w:type="dxa"/>
              <w:right w:w="105" w:type="dxa"/>
            </w:tcMar>
            <w:vAlign w:val="bottom"/>
          </w:tcPr>
          <w:p w14:paraId="482225DB"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1.5%</w:t>
            </w:r>
          </w:p>
        </w:tc>
        <w:tc>
          <w:tcPr>
            <w:tcW w:w="1035" w:type="dxa"/>
            <w:tcBorders>
              <w:top w:val="single" w:sz="6" w:space="0" w:color="auto"/>
              <w:bottom w:val="single" w:sz="6" w:space="0" w:color="auto"/>
            </w:tcBorders>
            <w:tcMar>
              <w:left w:w="105" w:type="dxa"/>
              <w:right w:w="105" w:type="dxa"/>
            </w:tcMar>
            <w:vAlign w:val="bottom"/>
          </w:tcPr>
          <w:p w14:paraId="61131FFE"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1.9%</w:t>
            </w:r>
          </w:p>
        </w:tc>
      </w:tr>
      <w:tr w:rsidR="008C3D1C" w:rsidRPr="003320FC" w14:paraId="781D8352" w14:textId="77777777" w:rsidTr="00CC4289">
        <w:trPr>
          <w:trHeight w:val="300"/>
        </w:trPr>
        <w:tc>
          <w:tcPr>
            <w:tcW w:w="8895" w:type="dxa"/>
            <w:gridSpan w:val="6"/>
            <w:tcBorders>
              <w:top w:val="single" w:sz="6" w:space="0" w:color="auto"/>
              <w:bottom w:val="single" w:sz="6" w:space="0" w:color="auto"/>
            </w:tcBorders>
            <w:tcMar>
              <w:left w:w="105" w:type="dxa"/>
              <w:right w:w="105" w:type="dxa"/>
            </w:tcMar>
            <w:vAlign w:val="bottom"/>
          </w:tcPr>
          <w:p w14:paraId="051B01B7" w14:textId="77777777" w:rsidR="008C3D1C" w:rsidRPr="003320FC" w:rsidRDefault="008C3D1C" w:rsidP="00CC4289">
            <w:pPr>
              <w:jc w:val="center"/>
              <w:rPr>
                <w:rFonts w:ascii="Arial" w:eastAsia="Times New Roman" w:hAnsi="Arial" w:cs="Arial"/>
                <w:color w:val="000000" w:themeColor="text1"/>
                <w:sz w:val="22"/>
                <w:szCs w:val="22"/>
              </w:rPr>
            </w:pPr>
            <w:r w:rsidRPr="003320FC">
              <w:rPr>
                <w:rFonts w:ascii="Arial" w:eastAsia="Times New Roman" w:hAnsi="Arial" w:cs="Arial"/>
                <w:b/>
                <w:bCs/>
                <w:i/>
                <w:iCs/>
                <w:color w:val="000000" w:themeColor="text1"/>
                <w:sz w:val="22"/>
                <w:szCs w:val="22"/>
                <w:lang w:val="mn-MN"/>
              </w:rPr>
              <w:t>2025 оны нийт зээлийн үйлчилгээний зардал (1557</w:t>
            </w:r>
            <w:r w:rsidRPr="003320FC">
              <w:rPr>
                <w:rFonts w:ascii="Arial" w:eastAsia="Times New Roman" w:hAnsi="Arial" w:cs="Arial"/>
                <w:color w:val="000000" w:themeColor="text1"/>
                <w:sz w:val="22"/>
                <w:szCs w:val="22"/>
              </w:rPr>
              <w:t xml:space="preserve"> </w:t>
            </w:r>
            <w:r w:rsidRPr="003320FC">
              <w:rPr>
                <w:rFonts w:ascii="Arial" w:eastAsia="Times New Roman" w:hAnsi="Arial" w:cs="Arial"/>
                <w:b/>
                <w:bCs/>
                <w:i/>
                <w:iCs/>
                <w:color w:val="000000" w:themeColor="text1"/>
                <w:sz w:val="22"/>
                <w:szCs w:val="22"/>
                <w:lang w:val="mn-MN"/>
              </w:rPr>
              <w:t>тэрбум₮)-д эзлэх хувь</w:t>
            </w:r>
          </w:p>
        </w:tc>
      </w:tr>
      <w:tr w:rsidR="008C3D1C" w:rsidRPr="003320FC" w14:paraId="3A05B5E0" w14:textId="77777777" w:rsidTr="00CC4289">
        <w:trPr>
          <w:trHeight w:val="300"/>
        </w:trPr>
        <w:tc>
          <w:tcPr>
            <w:tcW w:w="3720" w:type="dxa"/>
            <w:tcBorders>
              <w:top w:val="single" w:sz="6" w:space="0" w:color="auto"/>
              <w:bottom w:val="single" w:sz="6" w:space="0" w:color="auto"/>
            </w:tcBorders>
            <w:shd w:val="clear" w:color="auto" w:fill="C1E4F5"/>
            <w:tcMar>
              <w:left w:w="105" w:type="dxa"/>
              <w:right w:w="105" w:type="dxa"/>
            </w:tcMar>
            <w:vAlign w:val="bottom"/>
          </w:tcPr>
          <w:p w14:paraId="1F43E9AF" w14:textId="77777777" w:rsidR="008C3D1C" w:rsidRPr="003320FC" w:rsidRDefault="008C3D1C" w:rsidP="00CC4289">
            <w:pPr>
              <w:ind w:firstLineChars="100" w:firstLine="220"/>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Купоны зардал (6%)</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0B68B306"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5.0%</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4AA8957E"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10.0%</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407BD1F9"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15.0%</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69331712"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20.0%</w:t>
            </w:r>
          </w:p>
        </w:tc>
        <w:tc>
          <w:tcPr>
            <w:tcW w:w="1035" w:type="dxa"/>
            <w:tcBorders>
              <w:top w:val="single" w:sz="6" w:space="0" w:color="auto"/>
              <w:bottom w:val="single" w:sz="6" w:space="0" w:color="auto"/>
            </w:tcBorders>
            <w:shd w:val="clear" w:color="auto" w:fill="C1E4F5"/>
            <w:tcMar>
              <w:left w:w="105" w:type="dxa"/>
              <w:right w:w="105" w:type="dxa"/>
            </w:tcMar>
            <w:vAlign w:val="bottom"/>
          </w:tcPr>
          <w:p w14:paraId="6808F0AB"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25.0%</w:t>
            </w:r>
          </w:p>
        </w:tc>
      </w:tr>
      <w:tr w:rsidR="008C3D1C" w:rsidRPr="003320FC" w14:paraId="5B966F5C" w14:textId="77777777" w:rsidTr="00CC4289">
        <w:trPr>
          <w:trHeight w:val="300"/>
        </w:trPr>
        <w:tc>
          <w:tcPr>
            <w:tcW w:w="3720" w:type="dxa"/>
            <w:tcBorders>
              <w:top w:val="single" w:sz="6" w:space="0" w:color="auto"/>
              <w:bottom w:val="single" w:sz="6" w:space="0" w:color="auto"/>
            </w:tcBorders>
            <w:tcMar>
              <w:left w:w="105" w:type="dxa"/>
              <w:right w:w="105" w:type="dxa"/>
            </w:tcMar>
            <w:vAlign w:val="bottom"/>
          </w:tcPr>
          <w:p w14:paraId="081F1F7B" w14:textId="77777777" w:rsidR="008C3D1C" w:rsidRPr="003320FC" w:rsidRDefault="008C3D1C" w:rsidP="00CC4289">
            <w:pPr>
              <w:ind w:firstLineChars="100" w:firstLine="220"/>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Купоны зардал (3%)</w:t>
            </w:r>
          </w:p>
        </w:tc>
        <w:tc>
          <w:tcPr>
            <w:tcW w:w="1035" w:type="dxa"/>
            <w:tcBorders>
              <w:top w:val="single" w:sz="6" w:space="0" w:color="auto"/>
              <w:bottom w:val="single" w:sz="6" w:space="0" w:color="auto"/>
            </w:tcBorders>
            <w:tcMar>
              <w:left w:w="105" w:type="dxa"/>
              <w:right w:w="105" w:type="dxa"/>
            </w:tcMar>
            <w:vAlign w:val="bottom"/>
          </w:tcPr>
          <w:p w14:paraId="2D0761A4"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2.5%</w:t>
            </w:r>
          </w:p>
        </w:tc>
        <w:tc>
          <w:tcPr>
            <w:tcW w:w="1035" w:type="dxa"/>
            <w:tcBorders>
              <w:top w:val="single" w:sz="6" w:space="0" w:color="auto"/>
              <w:bottom w:val="single" w:sz="6" w:space="0" w:color="auto"/>
            </w:tcBorders>
            <w:tcMar>
              <w:left w:w="105" w:type="dxa"/>
              <w:right w:w="105" w:type="dxa"/>
            </w:tcMar>
            <w:vAlign w:val="bottom"/>
          </w:tcPr>
          <w:p w14:paraId="0F398DA6"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5.0%</w:t>
            </w:r>
          </w:p>
        </w:tc>
        <w:tc>
          <w:tcPr>
            <w:tcW w:w="1035" w:type="dxa"/>
            <w:tcBorders>
              <w:top w:val="single" w:sz="6" w:space="0" w:color="auto"/>
              <w:bottom w:val="single" w:sz="6" w:space="0" w:color="auto"/>
            </w:tcBorders>
            <w:tcMar>
              <w:left w:w="105" w:type="dxa"/>
              <w:right w:w="105" w:type="dxa"/>
            </w:tcMar>
            <w:vAlign w:val="bottom"/>
          </w:tcPr>
          <w:p w14:paraId="2DFBCE35"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7.5%</w:t>
            </w:r>
          </w:p>
        </w:tc>
        <w:tc>
          <w:tcPr>
            <w:tcW w:w="1035" w:type="dxa"/>
            <w:tcBorders>
              <w:top w:val="single" w:sz="6" w:space="0" w:color="auto"/>
              <w:bottom w:val="single" w:sz="6" w:space="0" w:color="auto"/>
            </w:tcBorders>
            <w:tcMar>
              <w:left w:w="105" w:type="dxa"/>
              <w:right w:w="105" w:type="dxa"/>
            </w:tcMar>
            <w:vAlign w:val="bottom"/>
          </w:tcPr>
          <w:p w14:paraId="302283DF"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10.0%</w:t>
            </w:r>
          </w:p>
        </w:tc>
        <w:tc>
          <w:tcPr>
            <w:tcW w:w="1035" w:type="dxa"/>
            <w:tcBorders>
              <w:top w:val="single" w:sz="6" w:space="0" w:color="auto"/>
              <w:bottom w:val="single" w:sz="6" w:space="0" w:color="auto"/>
            </w:tcBorders>
            <w:tcMar>
              <w:left w:w="105" w:type="dxa"/>
              <w:right w:w="105" w:type="dxa"/>
            </w:tcMar>
            <w:vAlign w:val="bottom"/>
          </w:tcPr>
          <w:p w14:paraId="3729D9D4"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12.5%</w:t>
            </w:r>
          </w:p>
        </w:tc>
      </w:tr>
      <w:tr w:rsidR="008C3D1C" w:rsidRPr="003320FC" w14:paraId="33DBBBFC" w14:textId="77777777" w:rsidTr="00CC4289">
        <w:trPr>
          <w:trHeight w:val="300"/>
        </w:trPr>
        <w:tc>
          <w:tcPr>
            <w:tcW w:w="3720" w:type="dxa"/>
            <w:tcBorders>
              <w:top w:val="single" w:sz="6" w:space="0" w:color="auto"/>
              <w:bottom w:val="single" w:sz="6" w:space="0" w:color="auto"/>
            </w:tcBorders>
            <w:tcMar>
              <w:left w:w="105" w:type="dxa"/>
              <w:right w:w="105" w:type="dxa"/>
            </w:tcMar>
            <w:vAlign w:val="bottom"/>
          </w:tcPr>
          <w:p w14:paraId="353AF1FE" w14:textId="77777777" w:rsidR="008C3D1C" w:rsidRPr="003320FC" w:rsidRDefault="008C3D1C" w:rsidP="00CC4289">
            <w:pPr>
              <w:ind w:firstLineChars="100" w:firstLine="220"/>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Купоны зардал (9%)</w:t>
            </w:r>
          </w:p>
        </w:tc>
        <w:tc>
          <w:tcPr>
            <w:tcW w:w="1035" w:type="dxa"/>
            <w:tcBorders>
              <w:top w:val="single" w:sz="6" w:space="0" w:color="auto"/>
              <w:bottom w:val="single" w:sz="6" w:space="0" w:color="auto"/>
            </w:tcBorders>
            <w:tcMar>
              <w:left w:w="105" w:type="dxa"/>
              <w:right w:w="105" w:type="dxa"/>
            </w:tcMar>
            <w:vAlign w:val="bottom"/>
          </w:tcPr>
          <w:p w14:paraId="31626162"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7.5%</w:t>
            </w:r>
          </w:p>
        </w:tc>
        <w:tc>
          <w:tcPr>
            <w:tcW w:w="1035" w:type="dxa"/>
            <w:tcBorders>
              <w:top w:val="single" w:sz="6" w:space="0" w:color="auto"/>
              <w:bottom w:val="single" w:sz="6" w:space="0" w:color="auto"/>
            </w:tcBorders>
            <w:tcMar>
              <w:left w:w="105" w:type="dxa"/>
              <w:right w:w="105" w:type="dxa"/>
            </w:tcMar>
            <w:vAlign w:val="bottom"/>
          </w:tcPr>
          <w:p w14:paraId="263ECAB7"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15.0%</w:t>
            </w:r>
          </w:p>
        </w:tc>
        <w:tc>
          <w:tcPr>
            <w:tcW w:w="1035" w:type="dxa"/>
            <w:tcBorders>
              <w:top w:val="single" w:sz="6" w:space="0" w:color="auto"/>
              <w:bottom w:val="single" w:sz="6" w:space="0" w:color="auto"/>
            </w:tcBorders>
            <w:tcMar>
              <w:left w:w="105" w:type="dxa"/>
              <w:right w:w="105" w:type="dxa"/>
            </w:tcMar>
            <w:vAlign w:val="bottom"/>
          </w:tcPr>
          <w:p w14:paraId="51F3875A"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22.5%</w:t>
            </w:r>
          </w:p>
        </w:tc>
        <w:tc>
          <w:tcPr>
            <w:tcW w:w="1035" w:type="dxa"/>
            <w:tcBorders>
              <w:top w:val="single" w:sz="6" w:space="0" w:color="auto"/>
              <w:bottom w:val="single" w:sz="6" w:space="0" w:color="auto"/>
            </w:tcBorders>
            <w:tcMar>
              <w:left w:w="105" w:type="dxa"/>
              <w:right w:w="105" w:type="dxa"/>
            </w:tcMar>
            <w:vAlign w:val="bottom"/>
          </w:tcPr>
          <w:p w14:paraId="069C5C5E"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30.0%</w:t>
            </w:r>
          </w:p>
        </w:tc>
        <w:tc>
          <w:tcPr>
            <w:tcW w:w="1035" w:type="dxa"/>
            <w:tcBorders>
              <w:top w:val="single" w:sz="6" w:space="0" w:color="auto"/>
              <w:bottom w:val="single" w:sz="6" w:space="0" w:color="auto"/>
            </w:tcBorders>
            <w:tcMar>
              <w:left w:w="105" w:type="dxa"/>
              <w:right w:w="105" w:type="dxa"/>
            </w:tcMar>
            <w:vAlign w:val="bottom"/>
          </w:tcPr>
          <w:p w14:paraId="37903F5E" w14:textId="77777777" w:rsidR="008C3D1C" w:rsidRPr="003320FC" w:rsidRDefault="008C3D1C" w:rsidP="00CC4289">
            <w:pPr>
              <w:jc w:val="right"/>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lang w:val="mn-MN"/>
              </w:rPr>
              <w:t>37.6%</w:t>
            </w:r>
          </w:p>
        </w:tc>
      </w:tr>
    </w:tbl>
    <w:p w14:paraId="0FC78D4A" w14:textId="77777777" w:rsidR="008C3D1C" w:rsidRPr="003320FC" w:rsidRDefault="008C3D1C" w:rsidP="008C3D1C">
      <w:pPr>
        <w:spacing w:before="240" w:after="240"/>
        <w:ind w:firstLine="720"/>
        <w:jc w:val="both"/>
        <w:rPr>
          <w:rFonts w:ascii="Arial" w:eastAsia="Times New Roman" w:hAnsi="Arial" w:cs="Arial"/>
          <w:sz w:val="22"/>
          <w:szCs w:val="22"/>
          <w:lang w:val="mn-MN"/>
        </w:rPr>
      </w:pPr>
      <w:r w:rsidRPr="003320FC">
        <w:rPr>
          <w:rFonts w:ascii="Arial" w:eastAsia="Times New Roman" w:hAnsi="Arial" w:cs="Arial"/>
          <w:color w:val="000000" w:themeColor="text1"/>
          <w:sz w:val="22"/>
          <w:szCs w:val="22"/>
          <w:lang w:val="mn-MN"/>
        </w:rPr>
        <w:t>Засгийн газрын өрийн хэмжээ 2025 оны байдлаар НДНБ-ий 40 орчим хувьтай тэнцэж байгаа бөгөөд 2027-2031 онд Монголбанкны өөрийн хөрөнгийн дахин санхүүжүүлэх зорилгоор гаргах 6.5 их наяд төгрөгийн Засгийн газрын үнэт цаас, түүний купоны зардал нь Засгийн газрын өрийг НДНБ-ий 5 орчим хувьтай дүйцэх дүнгээр өсгөх тооцоололтой байна.</w:t>
      </w:r>
    </w:p>
    <w:p w14:paraId="75840215" w14:textId="77777777" w:rsidR="008C3D1C" w:rsidRPr="003320FC" w:rsidRDefault="008C3D1C" w:rsidP="008C3D1C">
      <w:pPr>
        <w:spacing w:before="240" w:after="240"/>
        <w:ind w:firstLine="720"/>
        <w:jc w:val="both"/>
        <w:rPr>
          <w:rFonts w:ascii="Arial" w:eastAsia="Times New Roman" w:hAnsi="Arial" w:cs="Arial"/>
          <w:sz w:val="22"/>
          <w:szCs w:val="22"/>
          <w:lang w:val="mn-MN"/>
        </w:rPr>
      </w:pPr>
      <w:r w:rsidRPr="003320FC">
        <w:rPr>
          <w:rFonts w:ascii="Arial" w:eastAsia="Times New Roman" w:hAnsi="Arial" w:cs="Arial"/>
          <w:color w:val="000000" w:themeColor="text1"/>
          <w:sz w:val="22"/>
          <w:szCs w:val="22"/>
          <w:lang w:val="mn-MN"/>
        </w:rPr>
        <w:t>Засгийн газраас 2027 оны төсвийн жилээс эхлэн жил бүр 1.3 их наяд төгрөгийн Засгийн газрын үнэт цаасыг 6 хувийн дундаж купонтой, 1-10 жилийн хугацаатай гаргах тохиолдолд жил бүр гаргах үнэт цаасны хүү болон дүнг урьдчилсан байдлаар тооцоолж дор хүснэгтээр  харууллаа.</w:t>
      </w:r>
    </w:p>
    <w:p w14:paraId="6450D44A" w14:textId="77777777" w:rsidR="008C3D1C" w:rsidRPr="003320FC" w:rsidRDefault="008C3D1C" w:rsidP="008C3D1C">
      <w:pPr>
        <w:pStyle w:val="GraphicTabletitle"/>
        <w:rPr>
          <w:rFonts w:ascii="Arial" w:eastAsia="Times New Roman" w:hAnsi="Arial" w:cs="Arial"/>
          <w:noProof w:val="0"/>
          <w:color w:val="0F4761"/>
          <w:lang w:val="mn-MN"/>
        </w:rPr>
      </w:pPr>
      <w:r w:rsidRPr="003320FC">
        <w:rPr>
          <w:rFonts w:ascii="Arial" w:eastAsia="Times New Roman" w:hAnsi="Arial" w:cs="Arial"/>
          <w:noProof w:val="0"/>
          <w:color w:val="0F4761"/>
          <w:lang w:val="mn-MN"/>
        </w:rPr>
        <w:t>Жил бүр гаргах ЗГҮЦ-ны төрөл</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15"/>
        <w:gridCol w:w="3015"/>
        <w:gridCol w:w="3015"/>
      </w:tblGrid>
      <w:tr w:rsidR="008C3D1C" w:rsidRPr="003320FC" w14:paraId="74147FF8" w14:textId="77777777" w:rsidTr="00CC4289">
        <w:trPr>
          <w:trHeight w:val="300"/>
        </w:trPr>
        <w:tc>
          <w:tcPr>
            <w:tcW w:w="3015" w:type="dxa"/>
            <w:tcBorders>
              <w:left w:val="nil"/>
              <w:right w:val="nil"/>
            </w:tcBorders>
            <w:shd w:val="clear" w:color="auto" w:fill="C1E4F5"/>
            <w:tcMar>
              <w:left w:w="105" w:type="dxa"/>
              <w:right w:w="105" w:type="dxa"/>
            </w:tcMar>
          </w:tcPr>
          <w:p w14:paraId="0BED140C"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b/>
                <w:bCs/>
                <w:lang w:val="mn-MN"/>
              </w:rPr>
              <w:t>ЗГҮЦ-ны хугацаа</w:t>
            </w:r>
          </w:p>
        </w:tc>
        <w:tc>
          <w:tcPr>
            <w:tcW w:w="3015" w:type="dxa"/>
            <w:tcBorders>
              <w:left w:val="nil"/>
              <w:right w:val="nil"/>
            </w:tcBorders>
            <w:shd w:val="clear" w:color="auto" w:fill="C1E4F5"/>
            <w:tcMar>
              <w:left w:w="105" w:type="dxa"/>
              <w:right w:w="105" w:type="dxa"/>
            </w:tcMar>
          </w:tcPr>
          <w:p w14:paraId="2126B8D3"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b/>
                <w:bCs/>
                <w:lang w:val="mn-MN"/>
              </w:rPr>
              <w:t>Купон</w:t>
            </w:r>
          </w:p>
        </w:tc>
        <w:tc>
          <w:tcPr>
            <w:tcW w:w="3015" w:type="dxa"/>
            <w:tcBorders>
              <w:left w:val="nil"/>
              <w:right w:val="nil"/>
            </w:tcBorders>
            <w:shd w:val="clear" w:color="auto" w:fill="C1E4F5"/>
            <w:tcMar>
              <w:left w:w="105" w:type="dxa"/>
              <w:right w:w="105" w:type="dxa"/>
            </w:tcMar>
          </w:tcPr>
          <w:p w14:paraId="658D2D6C"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b/>
                <w:bCs/>
                <w:lang w:val="mn-MN"/>
              </w:rPr>
              <w:t>Хэмжээ</w:t>
            </w:r>
          </w:p>
        </w:tc>
      </w:tr>
      <w:tr w:rsidR="008C3D1C" w:rsidRPr="003320FC" w14:paraId="6F441B54" w14:textId="77777777" w:rsidTr="00CC4289">
        <w:trPr>
          <w:trHeight w:val="300"/>
        </w:trPr>
        <w:tc>
          <w:tcPr>
            <w:tcW w:w="3015" w:type="dxa"/>
            <w:tcBorders>
              <w:left w:val="nil"/>
              <w:right w:val="nil"/>
            </w:tcBorders>
            <w:tcMar>
              <w:left w:w="105" w:type="dxa"/>
              <w:right w:w="105" w:type="dxa"/>
            </w:tcMar>
          </w:tcPr>
          <w:p w14:paraId="517E30F9"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lang w:val="mn-MN"/>
              </w:rPr>
              <w:t>1 жил</w:t>
            </w:r>
          </w:p>
        </w:tc>
        <w:tc>
          <w:tcPr>
            <w:tcW w:w="3015" w:type="dxa"/>
            <w:tcBorders>
              <w:left w:val="nil"/>
              <w:right w:val="nil"/>
            </w:tcBorders>
            <w:tcMar>
              <w:left w:w="105" w:type="dxa"/>
              <w:right w:w="105" w:type="dxa"/>
            </w:tcMar>
            <w:vAlign w:val="center"/>
          </w:tcPr>
          <w:p w14:paraId="71299F3D" w14:textId="77777777" w:rsidR="008C3D1C" w:rsidRPr="003320FC" w:rsidRDefault="008C3D1C" w:rsidP="00CC4289">
            <w:pPr>
              <w:spacing w:line="276" w:lineRule="auto"/>
              <w:jc w:val="both"/>
              <w:rPr>
                <w:rFonts w:ascii="Arial" w:eastAsia="Times New Roman" w:hAnsi="Arial" w:cs="Arial"/>
                <w:color w:val="000000" w:themeColor="text1"/>
              </w:rPr>
            </w:pPr>
            <w:r w:rsidRPr="003320FC">
              <w:rPr>
                <w:rFonts w:ascii="Arial" w:eastAsia="Times New Roman" w:hAnsi="Arial" w:cs="Arial"/>
                <w:color w:val="000000" w:themeColor="text1"/>
                <w:lang w:val="mn-MN"/>
              </w:rPr>
              <w:t>5.00%</w:t>
            </w:r>
          </w:p>
        </w:tc>
        <w:tc>
          <w:tcPr>
            <w:tcW w:w="3015" w:type="dxa"/>
            <w:tcBorders>
              <w:left w:val="nil"/>
              <w:right w:val="nil"/>
            </w:tcBorders>
            <w:tcMar>
              <w:left w:w="105" w:type="dxa"/>
              <w:right w:w="105" w:type="dxa"/>
            </w:tcMar>
          </w:tcPr>
          <w:p w14:paraId="64CEDEBE"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lang w:val="mn-MN"/>
              </w:rPr>
              <w:t>220 тэрбум төгрөг</w:t>
            </w:r>
          </w:p>
        </w:tc>
      </w:tr>
      <w:tr w:rsidR="008C3D1C" w:rsidRPr="003320FC" w14:paraId="7B1663DC" w14:textId="77777777" w:rsidTr="00CC4289">
        <w:trPr>
          <w:trHeight w:val="300"/>
        </w:trPr>
        <w:tc>
          <w:tcPr>
            <w:tcW w:w="3015" w:type="dxa"/>
            <w:tcBorders>
              <w:left w:val="nil"/>
              <w:right w:val="nil"/>
            </w:tcBorders>
            <w:tcMar>
              <w:left w:w="105" w:type="dxa"/>
              <w:right w:w="105" w:type="dxa"/>
            </w:tcMar>
          </w:tcPr>
          <w:p w14:paraId="22D94C78"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lang w:val="mn-MN"/>
              </w:rPr>
              <w:lastRenderedPageBreak/>
              <w:t>2 жил</w:t>
            </w:r>
          </w:p>
        </w:tc>
        <w:tc>
          <w:tcPr>
            <w:tcW w:w="3015" w:type="dxa"/>
            <w:tcBorders>
              <w:left w:val="nil"/>
              <w:right w:val="nil"/>
            </w:tcBorders>
            <w:tcMar>
              <w:left w:w="105" w:type="dxa"/>
              <w:right w:w="105" w:type="dxa"/>
            </w:tcMar>
            <w:vAlign w:val="center"/>
          </w:tcPr>
          <w:p w14:paraId="0557611A" w14:textId="77777777" w:rsidR="008C3D1C" w:rsidRPr="003320FC" w:rsidRDefault="008C3D1C" w:rsidP="00CC4289">
            <w:pPr>
              <w:spacing w:line="276" w:lineRule="auto"/>
              <w:jc w:val="both"/>
              <w:rPr>
                <w:rFonts w:ascii="Arial" w:eastAsia="Times New Roman" w:hAnsi="Arial" w:cs="Arial"/>
                <w:color w:val="000000" w:themeColor="text1"/>
              </w:rPr>
            </w:pPr>
            <w:r w:rsidRPr="003320FC">
              <w:rPr>
                <w:rFonts w:ascii="Arial" w:eastAsia="Times New Roman" w:hAnsi="Arial" w:cs="Arial"/>
                <w:color w:val="000000" w:themeColor="text1"/>
                <w:lang w:val="mn-MN"/>
              </w:rPr>
              <w:t>5.50%</w:t>
            </w:r>
          </w:p>
        </w:tc>
        <w:tc>
          <w:tcPr>
            <w:tcW w:w="3015" w:type="dxa"/>
            <w:tcBorders>
              <w:left w:val="nil"/>
              <w:right w:val="nil"/>
            </w:tcBorders>
            <w:tcMar>
              <w:left w:w="105" w:type="dxa"/>
              <w:right w:w="105" w:type="dxa"/>
            </w:tcMar>
          </w:tcPr>
          <w:p w14:paraId="0434DD31"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lang w:val="mn-MN"/>
              </w:rPr>
              <w:t>220 тэрбум төгрөг</w:t>
            </w:r>
          </w:p>
        </w:tc>
      </w:tr>
      <w:tr w:rsidR="008C3D1C" w:rsidRPr="003320FC" w14:paraId="5086AA6A" w14:textId="77777777" w:rsidTr="00CC4289">
        <w:trPr>
          <w:trHeight w:val="300"/>
        </w:trPr>
        <w:tc>
          <w:tcPr>
            <w:tcW w:w="3015" w:type="dxa"/>
            <w:tcBorders>
              <w:left w:val="nil"/>
              <w:right w:val="nil"/>
            </w:tcBorders>
            <w:tcMar>
              <w:left w:w="105" w:type="dxa"/>
              <w:right w:w="105" w:type="dxa"/>
            </w:tcMar>
          </w:tcPr>
          <w:p w14:paraId="2501DE91"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lang w:val="mn-MN"/>
              </w:rPr>
              <w:t>3 жил</w:t>
            </w:r>
          </w:p>
        </w:tc>
        <w:tc>
          <w:tcPr>
            <w:tcW w:w="3015" w:type="dxa"/>
            <w:tcBorders>
              <w:left w:val="nil"/>
              <w:right w:val="nil"/>
            </w:tcBorders>
            <w:tcMar>
              <w:left w:w="105" w:type="dxa"/>
              <w:right w:w="105" w:type="dxa"/>
            </w:tcMar>
            <w:vAlign w:val="center"/>
          </w:tcPr>
          <w:p w14:paraId="53C42CE1" w14:textId="77777777" w:rsidR="008C3D1C" w:rsidRPr="003320FC" w:rsidRDefault="008C3D1C" w:rsidP="00CC4289">
            <w:pPr>
              <w:spacing w:line="276" w:lineRule="auto"/>
              <w:jc w:val="both"/>
              <w:rPr>
                <w:rFonts w:ascii="Arial" w:eastAsia="Times New Roman" w:hAnsi="Arial" w:cs="Arial"/>
                <w:color w:val="000000" w:themeColor="text1"/>
              </w:rPr>
            </w:pPr>
            <w:r w:rsidRPr="003320FC">
              <w:rPr>
                <w:rFonts w:ascii="Arial" w:eastAsia="Times New Roman" w:hAnsi="Arial" w:cs="Arial"/>
                <w:color w:val="000000" w:themeColor="text1"/>
                <w:lang w:val="mn-MN"/>
              </w:rPr>
              <w:t>6.00%</w:t>
            </w:r>
          </w:p>
        </w:tc>
        <w:tc>
          <w:tcPr>
            <w:tcW w:w="3015" w:type="dxa"/>
            <w:tcBorders>
              <w:left w:val="nil"/>
              <w:right w:val="nil"/>
            </w:tcBorders>
            <w:tcMar>
              <w:left w:w="105" w:type="dxa"/>
              <w:right w:w="105" w:type="dxa"/>
            </w:tcMar>
          </w:tcPr>
          <w:p w14:paraId="27FA832A"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lang w:val="mn-MN"/>
              </w:rPr>
              <w:t>220 тэрбум төгрөг</w:t>
            </w:r>
          </w:p>
        </w:tc>
      </w:tr>
      <w:tr w:rsidR="008C3D1C" w:rsidRPr="003320FC" w14:paraId="5F5B6306" w14:textId="77777777" w:rsidTr="00CC4289">
        <w:trPr>
          <w:trHeight w:val="300"/>
        </w:trPr>
        <w:tc>
          <w:tcPr>
            <w:tcW w:w="3015" w:type="dxa"/>
            <w:tcBorders>
              <w:left w:val="nil"/>
              <w:right w:val="nil"/>
            </w:tcBorders>
            <w:tcMar>
              <w:left w:w="105" w:type="dxa"/>
              <w:right w:w="105" w:type="dxa"/>
            </w:tcMar>
          </w:tcPr>
          <w:p w14:paraId="59447B46"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lang w:val="mn-MN"/>
              </w:rPr>
              <w:t>5 жил</w:t>
            </w:r>
          </w:p>
        </w:tc>
        <w:tc>
          <w:tcPr>
            <w:tcW w:w="3015" w:type="dxa"/>
            <w:tcBorders>
              <w:left w:val="nil"/>
              <w:right w:val="nil"/>
            </w:tcBorders>
            <w:tcMar>
              <w:left w:w="105" w:type="dxa"/>
              <w:right w:w="105" w:type="dxa"/>
            </w:tcMar>
            <w:vAlign w:val="center"/>
          </w:tcPr>
          <w:p w14:paraId="333A134F" w14:textId="77777777" w:rsidR="008C3D1C" w:rsidRPr="003320FC" w:rsidRDefault="008C3D1C" w:rsidP="00CC4289">
            <w:pPr>
              <w:spacing w:line="276" w:lineRule="auto"/>
              <w:jc w:val="both"/>
              <w:rPr>
                <w:rFonts w:ascii="Arial" w:eastAsia="Times New Roman" w:hAnsi="Arial" w:cs="Arial"/>
                <w:color w:val="000000" w:themeColor="text1"/>
              </w:rPr>
            </w:pPr>
            <w:r w:rsidRPr="003320FC">
              <w:rPr>
                <w:rFonts w:ascii="Arial" w:eastAsia="Times New Roman" w:hAnsi="Arial" w:cs="Arial"/>
                <w:color w:val="000000" w:themeColor="text1"/>
                <w:lang w:val="mn-MN"/>
              </w:rPr>
              <w:t>6.30%</w:t>
            </w:r>
          </w:p>
        </w:tc>
        <w:tc>
          <w:tcPr>
            <w:tcW w:w="3015" w:type="dxa"/>
            <w:tcBorders>
              <w:left w:val="nil"/>
              <w:right w:val="nil"/>
            </w:tcBorders>
            <w:tcMar>
              <w:left w:w="105" w:type="dxa"/>
              <w:right w:w="105" w:type="dxa"/>
            </w:tcMar>
          </w:tcPr>
          <w:p w14:paraId="5603803C"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lang w:val="mn-MN"/>
              </w:rPr>
              <w:t>220 тэрбум төгрөг</w:t>
            </w:r>
          </w:p>
        </w:tc>
      </w:tr>
      <w:tr w:rsidR="008C3D1C" w:rsidRPr="003320FC" w14:paraId="37894FDC" w14:textId="77777777" w:rsidTr="00CC4289">
        <w:trPr>
          <w:trHeight w:val="300"/>
        </w:trPr>
        <w:tc>
          <w:tcPr>
            <w:tcW w:w="3015" w:type="dxa"/>
            <w:tcBorders>
              <w:left w:val="nil"/>
              <w:right w:val="nil"/>
            </w:tcBorders>
            <w:tcMar>
              <w:left w:w="105" w:type="dxa"/>
              <w:right w:w="105" w:type="dxa"/>
            </w:tcMar>
          </w:tcPr>
          <w:p w14:paraId="4FF2C63A"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lang w:val="mn-MN"/>
              </w:rPr>
              <w:t>7 жил</w:t>
            </w:r>
          </w:p>
        </w:tc>
        <w:tc>
          <w:tcPr>
            <w:tcW w:w="3015" w:type="dxa"/>
            <w:tcBorders>
              <w:left w:val="nil"/>
              <w:right w:val="nil"/>
            </w:tcBorders>
            <w:tcMar>
              <w:left w:w="105" w:type="dxa"/>
              <w:right w:w="105" w:type="dxa"/>
            </w:tcMar>
            <w:vAlign w:val="center"/>
          </w:tcPr>
          <w:p w14:paraId="2FAB923D" w14:textId="77777777" w:rsidR="008C3D1C" w:rsidRPr="003320FC" w:rsidRDefault="008C3D1C" w:rsidP="00CC4289">
            <w:pPr>
              <w:spacing w:line="276" w:lineRule="auto"/>
              <w:jc w:val="both"/>
              <w:rPr>
                <w:rFonts w:ascii="Arial" w:eastAsia="Times New Roman" w:hAnsi="Arial" w:cs="Arial"/>
                <w:color w:val="000000" w:themeColor="text1"/>
              </w:rPr>
            </w:pPr>
            <w:r w:rsidRPr="003320FC">
              <w:rPr>
                <w:rFonts w:ascii="Arial" w:eastAsia="Times New Roman" w:hAnsi="Arial" w:cs="Arial"/>
                <w:color w:val="000000" w:themeColor="text1"/>
                <w:lang w:val="mn-MN"/>
              </w:rPr>
              <w:t>6.50%</w:t>
            </w:r>
          </w:p>
        </w:tc>
        <w:tc>
          <w:tcPr>
            <w:tcW w:w="3015" w:type="dxa"/>
            <w:tcBorders>
              <w:left w:val="nil"/>
              <w:right w:val="nil"/>
            </w:tcBorders>
            <w:tcMar>
              <w:left w:w="105" w:type="dxa"/>
              <w:right w:w="105" w:type="dxa"/>
            </w:tcMar>
          </w:tcPr>
          <w:p w14:paraId="6415E89A"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lang w:val="mn-MN"/>
              </w:rPr>
              <w:t>220 тэрбум төгрөг</w:t>
            </w:r>
          </w:p>
        </w:tc>
      </w:tr>
      <w:tr w:rsidR="008C3D1C" w:rsidRPr="003320FC" w14:paraId="2441DB35" w14:textId="77777777" w:rsidTr="00CC4289">
        <w:trPr>
          <w:trHeight w:val="300"/>
        </w:trPr>
        <w:tc>
          <w:tcPr>
            <w:tcW w:w="3015" w:type="dxa"/>
            <w:tcBorders>
              <w:left w:val="nil"/>
              <w:right w:val="nil"/>
            </w:tcBorders>
            <w:tcMar>
              <w:left w:w="105" w:type="dxa"/>
              <w:right w:w="105" w:type="dxa"/>
            </w:tcMar>
          </w:tcPr>
          <w:p w14:paraId="29C984B0"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lang w:val="mn-MN"/>
              </w:rPr>
              <w:t>10 жил</w:t>
            </w:r>
          </w:p>
        </w:tc>
        <w:tc>
          <w:tcPr>
            <w:tcW w:w="3015" w:type="dxa"/>
            <w:tcBorders>
              <w:left w:val="nil"/>
              <w:right w:val="nil"/>
            </w:tcBorders>
            <w:tcMar>
              <w:left w:w="105" w:type="dxa"/>
              <w:right w:w="105" w:type="dxa"/>
            </w:tcMar>
            <w:vAlign w:val="center"/>
          </w:tcPr>
          <w:p w14:paraId="32F41EA4" w14:textId="77777777" w:rsidR="008C3D1C" w:rsidRPr="003320FC" w:rsidRDefault="008C3D1C" w:rsidP="00CC4289">
            <w:pPr>
              <w:spacing w:line="276" w:lineRule="auto"/>
              <w:jc w:val="both"/>
              <w:rPr>
                <w:rFonts w:ascii="Arial" w:eastAsia="Times New Roman" w:hAnsi="Arial" w:cs="Arial"/>
                <w:color w:val="000000" w:themeColor="text1"/>
              </w:rPr>
            </w:pPr>
            <w:r w:rsidRPr="003320FC">
              <w:rPr>
                <w:rFonts w:ascii="Arial" w:eastAsia="Times New Roman" w:hAnsi="Arial" w:cs="Arial"/>
                <w:color w:val="000000" w:themeColor="text1"/>
                <w:lang w:val="mn-MN"/>
              </w:rPr>
              <w:t>6.75%</w:t>
            </w:r>
          </w:p>
        </w:tc>
        <w:tc>
          <w:tcPr>
            <w:tcW w:w="3015" w:type="dxa"/>
            <w:tcBorders>
              <w:left w:val="nil"/>
              <w:right w:val="nil"/>
            </w:tcBorders>
            <w:tcMar>
              <w:left w:w="105" w:type="dxa"/>
              <w:right w:w="105" w:type="dxa"/>
            </w:tcMar>
          </w:tcPr>
          <w:p w14:paraId="5A485716"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lang w:val="mn-MN"/>
              </w:rPr>
              <w:t>200 тэрбум төгрөг</w:t>
            </w:r>
          </w:p>
        </w:tc>
      </w:tr>
      <w:tr w:rsidR="008C3D1C" w:rsidRPr="003320FC" w14:paraId="48E0917B" w14:textId="77777777" w:rsidTr="00CC4289">
        <w:trPr>
          <w:trHeight w:val="300"/>
        </w:trPr>
        <w:tc>
          <w:tcPr>
            <w:tcW w:w="3015" w:type="dxa"/>
            <w:tcBorders>
              <w:left w:val="nil"/>
              <w:right w:val="nil"/>
            </w:tcBorders>
            <w:tcMar>
              <w:left w:w="105" w:type="dxa"/>
              <w:right w:w="105" w:type="dxa"/>
            </w:tcMar>
          </w:tcPr>
          <w:p w14:paraId="0D834F88"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b/>
                <w:bCs/>
                <w:lang w:val="mn-MN"/>
              </w:rPr>
              <w:t>Нийт</w:t>
            </w:r>
          </w:p>
        </w:tc>
        <w:tc>
          <w:tcPr>
            <w:tcW w:w="3015" w:type="dxa"/>
            <w:tcBorders>
              <w:left w:val="nil"/>
              <w:right w:val="nil"/>
            </w:tcBorders>
            <w:tcMar>
              <w:left w:w="105" w:type="dxa"/>
              <w:right w:w="105" w:type="dxa"/>
            </w:tcMar>
          </w:tcPr>
          <w:p w14:paraId="018ECEA1"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b/>
                <w:bCs/>
                <w:lang w:val="mn-MN"/>
              </w:rPr>
              <w:t>6.00% (жигнэсэн дундаж)</w:t>
            </w:r>
          </w:p>
        </w:tc>
        <w:tc>
          <w:tcPr>
            <w:tcW w:w="3015" w:type="dxa"/>
            <w:tcBorders>
              <w:left w:val="nil"/>
              <w:right w:val="nil"/>
            </w:tcBorders>
            <w:tcMar>
              <w:left w:w="105" w:type="dxa"/>
              <w:right w:w="105" w:type="dxa"/>
            </w:tcMar>
          </w:tcPr>
          <w:p w14:paraId="5E99AF22" w14:textId="77777777" w:rsidR="008C3D1C" w:rsidRPr="003320FC" w:rsidRDefault="008C3D1C" w:rsidP="00CC4289">
            <w:pPr>
              <w:spacing w:line="276" w:lineRule="auto"/>
              <w:jc w:val="both"/>
              <w:rPr>
                <w:rFonts w:ascii="Arial" w:eastAsia="Times New Roman" w:hAnsi="Arial" w:cs="Arial"/>
              </w:rPr>
            </w:pPr>
            <w:r w:rsidRPr="003320FC">
              <w:rPr>
                <w:rFonts w:ascii="Arial" w:eastAsia="Times New Roman" w:hAnsi="Arial" w:cs="Arial"/>
                <w:b/>
                <w:bCs/>
                <w:lang w:val="mn-MN"/>
              </w:rPr>
              <w:t>1300 тэрбум төгрөг</w:t>
            </w:r>
          </w:p>
        </w:tc>
      </w:tr>
    </w:tbl>
    <w:p w14:paraId="6A39F0BA" w14:textId="77777777" w:rsidR="008C3D1C" w:rsidRPr="003320FC" w:rsidRDefault="008C3D1C" w:rsidP="008C3D1C">
      <w:pPr>
        <w:spacing w:before="240"/>
        <w:ind w:firstLine="720"/>
        <w:jc w:val="both"/>
        <w:rPr>
          <w:rFonts w:ascii="Arial" w:eastAsia="Times New Roman" w:hAnsi="Arial" w:cs="Arial"/>
          <w:sz w:val="22"/>
          <w:szCs w:val="22"/>
          <w:lang w:val="mn-MN"/>
        </w:rPr>
      </w:pPr>
    </w:p>
    <w:p w14:paraId="4BD4EFA1" w14:textId="77777777" w:rsidR="008C3D1C" w:rsidRPr="003320FC" w:rsidRDefault="008C3D1C" w:rsidP="008C3D1C">
      <w:pPr>
        <w:spacing w:before="240"/>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 xml:space="preserve">Хуулийн төсөл батлагдсанаар Засгийн газраас Монголбанканд эзэмшүүлэх үнэт цаасны хэмжээ болон түүний хүүгийн төлбөртэй тэнцэх хэмжээний төсвийн бодит зардал дээр дурдасны дагуу үүсэхээр байна. Харин уг зохицуулалтыг хэрэгжүүлэхтэй холбоотой Засгийн газрын болон Сангийн яаманд хүний нөөц, нэмэлт үйл ажиллагааны зардал гарахгүй болно. </w:t>
      </w:r>
    </w:p>
    <w:p w14:paraId="42F9C815" w14:textId="77777777" w:rsidR="008C3D1C" w:rsidRPr="003320FC" w:rsidRDefault="008C3D1C" w:rsidP="008C3D1C">
      <w:pPr>
        <w:spacing w:before="240" w:after="240"/>
        <w:jc w:val="both"/>
        <w:rPr>
          <w:rFonts w:ascii="Arial" w:eastAsia="Times New Roman" w:hAnsi="Arial" w:cs="Arial"/>
          <w:b/>
          <w:bCs/>
          <w:sz w:val="22"/>
          <w:szCs w:val="22"/>
          <w:lang w:val="mn-MN"/>
        </w:rPr>
      </w:pPr>
      <w:r w:rsidRPr="003320FC">
        <w:rPr>
          <w:rFonts w:ascii="Arial" w:eastAsia="Times New Roman" w:hAnsi="Arial" w:cs="Arial"/>
          <w:b/>
          <w:bCs/>
          <w:sz w:val="22"/>
          <w:szCs w:val="22"/>
          <w:lang w:val="mn-MN"/>
        </w:rPr>
        <w:t xml:space="preserve">Тав. Зардлын нэгдсэн тооцоолол </w:t>
      </w:r>
    </w:p>
    <w:p w14:paraId="037DAA3F" w14:textId="77777777" w:rsidR="008C3D1C" w:rsidRPr="003320FC" w:rsidRDefault="008C3D1C" w:rsidP="008C3D1C">
      <w:pPr>
        <w:ind w:firstLine="720"/>
        <w:jc w:val="both"/>
        <w:rPr>
          <w:rFonts w:ascii="Arial" w:eastAsia="Times New Roman" w:hAnsi="Arial" w:cs="Arial"/>
          <w:color w:val="000000" w:themeColor="text1"/>
          <w:sz w:val="22"/>
          <w:szCs w:val="22"/>
          <w:lang w:val="mn-MN"/>
        </w:rPr>
      </w:pPr>
      <w:r w:rsidRPr="003320FC">
        <w:rPr>
          <w:rFonts w:ascii="Arial" w:eastAsia="Times New Roman" w:hAnsi="Arial" w:cs="Arial"/>
          <w:color w:val="000000" w:themeColor="text1"/>
          <w:sz w:val="22"/>
          <w:szCs w:val="22"/>
          <w:lang w:val="mn-MN"/>
        </w:rPr>
        <w:t xml:space="preserve">Монголбанкны тайлан тэнцлийн таамаглалын дагуу 2027-оос 2031 онд 6.5 их наяд төгрөгийн дахин хөрөнгөжүүлэлт шаардлагатай гэсний дагуу Засгийн газар 2027-оос 2031 онд жил бүр 1.3 их наяд төгрөгийн Засгийн газрын үнэт цаасыг 1–10 жилийн хугацаатай, 6 хувийн жигнэсэн дундаж купонтойгоор гарган Монголбанканд эзэмшүүлэх шаардлагатай. </w:t>
      </w:r>
    </w:p>
    <w:p w14:paraId="06F8D37C" w14:textId="77777777" w:rsidR="008C3D1C" w:rsidRPr="003320FC" w:rsidRDefault="008C3D1C" w:rsidP="008C3D1C">
      <w:pPr>
        <w:ind w:firstLine="720"/>
        <w:jc w:val="both"/>
        <w:rPr>
          <w:rFonts w:ascii="Arial" w:eastAsia="Times New Roman" w:hAnsi="Arial" w:cs="Arial"/>
          <w:sz w:val="22"/>
          <w:szCs w:val="22"/>
          <w:lang w:val="mn-MN"/>
        </w:rPr>
      </w:pPr>
      <w:r w:rsidRPr="003320FC">
        <w:rPr>
          <w:rFonts w:ascii="Arial" w:eastAsia="Times New Roman" w:hAnsi="Arial" w:cs="Arial"/>
          <w:color w:val="000000" w:themeColor="text1"/>
          <w:sz w:val="22"/>
          <w:szCs w:val="22"/>
          <w:lang w:val="mn-MN"/>
        </w:rPr>
        <w:t xml:space="preserve">Засгийн газрын өрийн хэмжээ 2025 оны байдлаар НДНБ-ий 40 орчим хувьтай тэнцэж байгаа бөгөөд 2027-2031 онд Монголбанкны өөрийн хөрөнгийн дахин санхүүжүүлэх зорилгоор гаргах 6.5 их наяд төгрөгийн Засгийн газрын үнэт цаас, түүний купоны зардал нь Засгийн газрын өрийг НДНБ-ий 5 орчим хувьтай дүйцэх дүнгээр өсгөх тооцоололтой байна. Засгийн газрын үнэт цаасны купон дунджаар 6% байхад улсын төсөвт 2027 оноос эхлэн жилд 78 тэрбум төгрөгийн купоны төлбөрийг тусгах ба Засгийн газрын үнэт цаасны хэмжээтэй уялдан купоны зардал алгуур өсөж 2031 онд 390 тэрбум төгрөгт хүрэхээр байна. Энэ нь 2025 оны төсвийн зардлын 1.2 хувь, харин зээлийн үйлчилгээний зардлын  25 хувьтай тэнцүү дүн юм. </w:t>
      </w:r>
      <w:r w:rsidRPr="003320FC">
        <w:rPr>
          <w:rFonts w:ascii="Arial" w:eastAsia="Times New Roman" w:hAnsi="Arial" w:cs="Arial"/>
          <w:sz w:val="22"/>
          <w:szCs w:val="22"/>
          <w:lang w:val="mn-MN"/>
        </w:rPr>
        <w:t xml:space="preserve"> </w:t>
      </w:r>
    </w:p>
    <w:p w14:paraId="12D5F00D" w14:textId="77777777" w:rsidR="008C3D1C" w:rsidRPr="003320FC" w:rsidRDefault="008C3D1C" w:rsidP="008C3D1C">
      <w:pPr>
        <w:spacing w:before="240" w:after="240"/>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 xml:space="preserve">Хуулийн төсөл хэрэгжсэнээр улсын төсөвт үүсэх нийт зардал = Үнэт цаасны хүүгийн төлбөр + Үндсэн төлбөрийн эргэн төлөлтийн зардал байх бөгөөд үйл ажиллагааны болон хүний нөөцийн зардал 0 байна. </w:t>
      </w:r>
    </w:p>
    <w:p w14:paraId="3466D873" w14:textId="77777777" w:rsidR="008C3D1C" w:rsidRPr="003320FC" w:rsidRDefault="008C3D1C" w:rsidP="008C3D1C">
      <w:pPr>
        <w:spacing w:before="240" w:after="240"/>
        <w:jc w:val="both"/>
        <w:rPr>
          <w:rFonts w:ascii="Arial" w:eastAsia="Times New Roman" w:hAnsi="Arial" w:cs="Arial"/>
          <w:b/>
          <w:bCs/>
          <w:sz w:val="22"/>
          <w:szCs w:val="22"/>
          <w:lang w:val="mn-MN"/>
        </w:rPr>
      </w:pPr>
      <w:r w:rsidRPr="003320FC">
        <w:rPr>
          <w:rFonts w:ascii="Arial" w:eastAsia="Times New Roman" w:hAnsi="Arial" w:cs="Arial"/>
          <w:b/>
          <w:bCs/>
          <w:sz w:val="22"/>
          <w:szCs w:val="22"/>
          <w:lang w:val="mn-MN"/>
        </w:rPr>
        <w:t>Зургаа. Зардал, үр өгөөжийн харьцаа</w:t>
      </w:r>
    </w:p>
    <w:p w14:paraId="688A7051" w14:textId="77777777" w:rsidR="008C3D1C" w:rsidRPr="003320FC" w:rsidRDefault="008C3D1C" w:rsidP="008C3D1C">
      <w:pPr>
        <w:spacing w:before="240" w:after="240"/>
        <w:ind w:firstLine="720"/>
        <w:jc w:val="both"/>
        <w:rPr>
          <w:rFonts w:ascii="Arial" w:eastAsia="Times New Roman" w:hAnsi="Arial" w:cs="Arial"/>
          <w:color w:val="000000" w:themeColor="text1"/>
          <w:sz w:val="22"/>
          <w:szCs w:val="22"/>
          <w:lang w:val="mn-MN"/>
        </w:rPr>
      </w:pPr>
      <w:r w:rsidRPr="003320FC">
        <w:rPr>
          <w:rFonts w:ascii="Arial" w:eastAsia="Times New Roman" w:hAnsi="Arial" w:cs="Arial"/>
          <w:color w:val="000000" w:themeColor="text1"/>
          <w:sz w:val="22"/>
          <w:szCs w:val="22"/>
          <w:lang w:val="mn-MN"/>
        </w:rPr>
        <w:t>Төв банк санхүүгийн хувьд алдагдалтай ажиллаж, өөрийн хөрөнгө сөрөг болох нь мөнгөний бодлого хэрэгжих чадамж, Төв банканд итгэх олон нийтийн итгэл, инфляцийн хүлээлт, санхүүгийн салбарын тогтвортой байдал зэрэг улсын макро тогтвортой байдлын гол тулгуур үзүүлэлтүүдэд шууд нөлөөлөх эрсдэлтэй. Иймд алдагдлаа ямар зарчмаар, хэдий хугацаанд, ямар арга хэрэгслээр нөхөх нь эрх зүйн хувьд тодорхой бус байх нь Төв банк бодлогын үндсэн зорилтоосоо хазайх, богино хугацаанд “алдагдал дарах” шийдвэр давамгайлах, алдагдлыг ил тод бус байдлаар хуримтлуулах, дансны аргаар түр тэнцвэржүүлэх зэрэг буруу хөшүүрэг үүсэх боломж нэмэгдэнэ. Үр дүнд нь зах зээл болон олон нийтийн итгэлцэл сулрахын зэрэгцээ төрийн санхүүгийн эрсдэл далд хэлбэрээр өсөх эрсдэл бодитоор бий болно.</w:t>
      </w:r>
    </w:p>
    <w:p w14:paraId="2203CAA4" w14:textId="77777777" w:rsidR="008C3D1C" w:rsidRPr="003320FC" w:rsidRDefault="008C3D1C" w:rsidP="008C3D1C">
      <w:pPr>
        <w:spacing w:before="240" w:after="240"/>
        <w:ind w:firstLine="720"/>
        <w:jc w:val="both"/>
        <w:rPr>
          <w:rFonts w:ascii="Arial" w:hAnsi="Arial" w:cs="Arial"/>
          <w:sz w:val="22"/>
          <w:szCs w:val="22"/>
          <w:lang w:val="mn-MN"/>
        </w:rPr>
      </w:pPr>
      <w:r w:rsidRPr="003320FC">
        <w:rPr>
          <w:rFonts w:ascii="Arial" w:eastAsia="Times New Roman" w:hAnsi="Arial" w:cs="Arial"/>
          <w:sz w:val="22"/>
          <w:szCs w:val="22"/>
          <w:lang w:val="mn-MN"/>
        </w:rPr>
        <w:t>Дээрх эрсдэлийг бууруулах зорилгоор Т</w:t>
      </w:r>
      <w:r w:rsidRPr="003320FC">
        <w:rPr>
          <w:rFonts w:ascii="Arial" w:eastAsia="Times New Roman" w:hAnsi="Arial" w:cs="Arial"/>
          <w:color w:val="000000" w:themeColor="text1"/>
          <w:sz w:val="22"/>
          <w:szCs w:val="22"/>
          <w:lang w:val="mn-MN"/>
        </w:rPr>
        <w:t>өв банк (Монголбанк)-ны тухай хуулийг дагаж мөрдөх журмын тухай</w:t>
      </w:r>
      <w:r w:rsidRPr="003320FC">
        <w:rPr>
          <w:rFonts w:ascii="Arial" w:eastAsia="Times New Roman" w:hAnsi="Arial" w:cs="Arial"/>
          <w:sz w:val="22"/>
          <w:szCs w:val="22"/>
          <w:lang w:val="mn-MN"/>
        </w:rPr>
        <w:t xml:space="preserve"> хуулийн төсөлд 2026 оны 12 дугаар сарын 31-ний өдрийн </w:t>
      </w:r>
      <w:r w:rsidRPr="003320FC">
        <w:rPr>
          <w:rFonts w:ascii="Arial" w:eastAsia="Times New Roman" w:hAnsi="Arial" w:cs="Arial"/>
          <w:sz w:val="22"/>
          <w:szCs w:val="22"/>
          <w:lang w:val="mn-MN"/>
        </w:rPr>
        <w:lastRenderedPageBreak/>
        <w:t>байдлаарх Монголбанкны өөрийн хөрөнгийн дутагдлыг 2031 оны 12 дугаар сарын 31-ний өдрийн дотор Засгийн газраас нөхөх зохицуулалтыг тусгасан. Ингэснээр алдагдлыг тодорхой хугацаанд, урьдчилан тогтоосон төлөвлөгөөний дагуу, төсөв–өрийн бодлоготой уялдуулан шийдвэрлэх эрх зүйн орчин бүрдэж байна.</w:t>
      </w:r>
    </w:p>
    <w:p w14:paraId="0681A8AF" w14:textId="77777777" w:rsidR="008C3D1C" w:rsidRPr="003320FC" w:rsidRDefault="008C3D1C" w:rsidP="008C3D1C">
      <w:pPr>
        <w:spacing w:before="240" w:after="240"/>
        <w:ind w:firstLine="720"/>
        <w:jc w:val="both"/>
        <w:rPr>
          <w:rFonts w:ascii="Arial" w:eastAsia="Times New Roman" w:hAnsi="Arial" w:cs="Arial"/>
          <w:color w:val="000000" w:themeColor="text1"/>
          <w:sz w:val="22"/>
          <w:szCs w:val="22"/>
          <w:lang w:val="mn-MN"/>
        </w:rPr>
      </w:pPr>
      <w:r w:rsidRPr="003320FC">
        <w:rPr>
          <w:rFonts w:ascii="Arial" w:eastAsia="Times New Roman" w:hAnsi="Arial" w:cs="Arial"/>
          <w:color w:val="000000" w:themeColor="text1"/>
          <w:sz w:val="22"/>
          <w:szCs w:val="22"/>
          <w:lang w:val="mn-MN"/>
        </w:rPr>
        <w:t>Зардлын хувьд хуулийн төсөл батлагдсанаар Монголбанк болон Засгийн газрын өдөр тутмын үйл ажиллагаанд шинээр нэмэгдэх зардал гарахгүй. Зөвхөн Засгийн газрын өрийн хэрэгсэлтэй холбоотой төсөвт зардал үүснэ. Гэсэн хэдий ч энэ зардал нь Төв банкны хараат бус байдал, санхүүгийн салбарын тогтвортой байдал, мөнгөний бодлогын үр нөлөөг хамгаалах бодит үр өгөөжтэй шууд уялдах тул нийт дүнгээрээ авч үзвэл гарах зардлаас илүү үр өгөөжтэй гэж дүгнэлээ.</w:t>
      </w:r>
    </w:p>
    <w:p w14:paraId="3730F068" w14:textId="77777777" w:rsidR="008C3D1C" w:rsidRPr="003320FC" w:rsidRDefault="008C3D1C" w:rsidP="008C3D1C">
      <w:pPr>
        <w:spacing w:before="240" w:after="240"/>
        <w:ind w:firstLine="720"/>
        <w:jc w:val="both"/>
        <w:rPr>
          <w:rFonts w:ascii="Arial" w:eastAsia="Times New Roman" w:hAnsi="Arial" w:cs="Arial"/>
          <w:sz w:val="22"/>
          <w:szCs w:val="22"/>
          <w:lang w:val="mn-MN"/>
        </w:rPr>
      </w:pPr>
      <w:r w:rsidRPr="003320FC">
        <w:rPr>
          <w:rFonts w:ascii="Arial" w:eastAsia="Times New Roman" w:hAnsi="Arial" w:cs="Arial"/>
          <w:color w:val="000000" w:themeColor="text1"/>
          <w:sz w:val="22"/>
          <w:szCs w:val="22"/>
          <w:lang w:val="mn-MN"/>
        </w:rPr>
        <w:t>Иймд уг хуулийн төслийг хэрэгжүүлэх нь санхүүгийн тогтвортой байдлыг хамгаалах, төсөв–өрийн ил тод байдал, хариуцлагыг нэмэгдүүлэх бодит суурь болж, хууль тогтоомжийн тухай хуулийн шаардлагын хүрээнд “зардал–үр өгөөжийн хувьд хэрэгжүүлэх боломжтой” гэж үзлээ.</w:t>
      </w:r>
    </w:p>
    <w:p w14:paraId="6B838D69" w14:textId="77777777" w:rsidR="008C3D1C" w:rsidRDefault="008C3D1C" w:rsidP="008C3D1C">
      <w:pPr>
        <w:spacing w:before="240" w:after="240"/>
        <w:ind w:firstLine="720"/>
        <w:jc w:val="center"/>
        <w:rPr>
          <w:rFonts w:ascii="Arial" w:eastAsia="Times New Roman" w:hAnsi="Arial" w:cs="Arial"/>
          <w:sz w:val="22"/>
          <w:szCs w:val="22"/>
          <w:lang w:val="mn-MN"/>
        </w:rPr>
      </w:pPr>
    </w:p>
    <w:p w14:paraId="30D4E7DC" w14:textId="77777777" w:rsidR="008C3D1C" w:rsidRDefault="008C3D1C" w:rsidP="008C3D1C">
      <w:pPr>
        <w:spacing w:before="240" w:after="240"/>
        <w:ind w:firstLine="720"/>
        <w:jc w:val="center"/>
        <w:rPr>
          <w:rFonts w:ascii="Arial" w:eastAsia="Times New Roman" w:hAnsi="Arial" w:cs="Arial"/>
          <w:sz w:val="22"/>
          <w:szCs w:val="22"/>
          <w:lang w:val="mn-MN"/>
        </w:rPr>
      </w:pPr>
    </w:p>
    <w:p w14:paraId="72CFC05B" w14:textId="77777777" w:rsidR="008C3D1C" w:rsidRDefault="008C3D1C" w:rsidP="008C3D1C">
      <w:pPr>
        <w:spacing w:before="240" w:after="240"/>
        <w:ind w:firstLine="720"/>
        <w:jc w:val="center"/>
        <w:rPr>
          <w:rFonts w:ascii="Arial" w:eastAsia="Times New Roman" w:hAnsi="Arial" w:cs="Arial"/>
          <w:sz w:val="22"/>
          <w:szCs w:val="22"/>
          <w:lang w:val="mn-MN"/>
        </w:rPr>
      </w:pPr>
    </w:p>
    <w:p w14:paraId="2713504E" w14:textId="77777777" w:rsidR="008C3D1C" w:rsidRPr="003320FC" w:rsidRDefault="008C3D1C" w:rsidP="008C3D1C">
      <w:pPr>
        <w:spacing w:before="240" w:after="240"/>
        <w:ind w:firstLine="720"/>
        <w:jc w:val="center"/>
        <w:rPr>
          <w:rFonts w:ascii="Arial" w:eastAsia="Times New Roman" w:hAnsi="Arial" w:cs="Arial"/>
          <w:sz w:val="22"/>
          <w:szCs w:val="22"/>
          <w:lang w:val="mn-MN"/>
        </w:rPr>
      </w:pPr>
      <w:r w:rsidRPr="003320FC">
        <w:rPr>
          <w:rFonts w:ascii="Arial" w:eastAsia="Times New Roman" w:hAnsi="Arial" w:cs="Arial"/>
          <w:sz w:val="22"/>
          <w:szCs w:val="22"/>
          <w:lang w:val="mn-MN"/>
        </w:rPr>
        <w:t>_________o0o_________</w:t>
      </w:r>
    </w:p>
    <w:p w14:paraId="2AFC93BC" w14:textId="77777777" w:rsidR="008C3D1C" w:rsidRPr="003320FC" w:rsidRDefault="008C3D1C" w:rsidP="008C3D1C">
      <w:pPr>
        <w:rPr>
          <w:rFonts w:ascii="Arial" w:eastAsia="Times New Roman" w:hAnsi="Arial" w:cs="Arial"/>
          <w:sz w:val="22"/>
          <w:szCs w:val="22"/>
          <w:lang w:val="mn-MN"/>
        </w:rPr>
      </w:pPr>
    </w:p>
    <w:p w14:paraId="36BC4D24" w14:textId="77777777" w:rsidR="008C3D1C" w:rsidRPr="003320FC" w:rsidRDefault="008C3D1C" w:rsidP="008C3D1C">
      <w:pPr>
        <w:jc w:val="center"/>
        <w:rPr>
          <w:rFonts w:ascii="Arial" w:hAnsi="Arial" w:cs="Arial"/>
          <w:b/>
          <w:bCs/>
          <w:sz w:val="22"/>
          <w:szCs w:val="22"/>
          <w:lang w:val="mn-MN"/>
        </w:rPr>
      </w:pPr>
    </w:p>
    <w:p w14:paraId="70E8409B" w14:textId="77777777" w:rsidR="008C3D1C" w:rsidRPr="003320FC" w:rsidRDefault="008C3D1C" w:rsidP="008C3D1C">
      <w:pPr>
        <w:jc w:val="center"/>
        <w:rPr>
          <w:rFonts w:ascii="Arial" w:hAnsi="Arial" w:cs="Arial"/>
          <w:b/>
          <w:bCs/>
          <w:sz w:val="22"/>
          <w:szCs w:val="22"/>
          <w:lang w:val="mn-MN"/>
        </w:rPr>
      </w:pPr>
    </w:p>
    <w:p w14:paraId="1903750B" w14:textId="77777777" w:rsidR="008C3D1C" w:rsidRPr="003320FC" w:rsidRDefault="008C3D1C" w:rsidP="008C3D1C">
      <w:pPr>
        <w:jc w:val="center"/>
        <w:rPr>
          <w:rFonts w:ascii="Arial" w:hAnsi="Arial" w:cs="Arial"/>
          <w:b/>
          <w:bCs/>
          <w:sz w:val="22"/>
          <w:szCs w:val="22"/>
          <w:lang w:val="mn-MN"/>
        </w:rPr>
      </w:pPr>
    </w:p>
    <w:p w14:paraId="34ADEEB4" w14:textId="77777777" w:rsidR="008C3D1C" w:rsidRPr="003320FC" w:rsidRDefault="008C3D1C" w:rsidP="008C3D1C">
      <w:pPr>
        <w:jc w:val="center"/>
        <w:rPr>
          <w:rFonts w:ascii="Arial" w:hAnsi="Arial" w:cs="Arial"/>
          <w:b/>
          <w:bCs/>
          <w:sz w:val="22"/>
          <w:szCs w:val="22"/>
          <w:lang w:val="mn-MN"/>
        </w:rPr>
      </w:pPr>
    </w:p>
    <w:p w14:paraId="0FAB42B7" w14:textId="77777777" w:rsidR="008C3D1C" w:rsidRPr="003320FC" w:rsidRDefault="008C3D1C" w:rsidP="008C3D1C">
      <w:pPr>
        <w:jc w:val="center"/>
        <w:rPr>
          <w:rFonts w:ascii="Arial" w:hAnsi="Arial" w:cs="Arial"/>
          <w:b/>
          <w:bCs/>
          <w:sz w:val="22"/>
          <w:szCs w:val="22"/>
          <w:lang w:val="mn-MN"/>
        </w:rPr>
      </w:pPr>
    </w:p>
    <w:p w14:paraId="382B195C" w14:textId="77777777" w:rsidR="008C3D1C" w:rsidRPr="003320FC" w:rsidRDefault="008C3D1C" w:rsidP="008C3D1C">
      <w:pPr>
        <w:jc w:val="center"/>
        <w:rPr>
          <w:rFonts w:ascii="Arial" w:hAnsi="Arial" w:cs="Arial"/>
          <w:b/>
          <w:bCs/>
          <w:sz w:val="22"/>
          <w:szCs w:val="22"/>
          <w:lang w:val="mn-MN"/>
        </w:rPr>
      </w:pPr>
    </w:p>
    <w:p w14:paraId="68789EB5" w14:textId="77777777" w:rsidR="008C3D1C" w:rsidRPr="003320FC" w:rsidRDefault="008C3D1C" w:rsidP="008C3D1C">
      <w:pPr>
        <w:jc w:val="center"/>
        <w:rPr>
          <w:rFonts w:ascii="Arial" w:hAnsi="Arial" w:cs="Arial"/>
          <w:b/>
          <w:bCs/>
          <w:sz w:val="22"/>
          <w:szCs w:val="22"/>
          <w:lang w:val="mn-MN"/>
        </w:rPr>
      </w:pPr>
    </w:p>
    <w:p w14:paraId="766D801C" w14:textId="77777777" w:rsidR="008C3D1C" w:rsidRPr="003320FC" w:rsidRDefault="008C3D1C" w:rsidP="008C3D1C">
      <w:pPr>
        <w:jc w:val="center"/>
        <w:rPr>
          <w:rFonts w:ascii="Arial" w:hAnsi="Arial" w:cs="Arial"/>
          <w:b/>
          <w:bCs/>
          <w:sz w:val="22"/>
          <w:szCs w:val="22"/>
          <w:lang w:val="mn-MN"/>
        </w:rPr>
      </w:pPr>
    </w:p>
    <w:p w14:paraId="7C5937B7" w14:textId="77777777"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quot;Arial&quot;,sans-serif">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B0C43"/>
    <w:multiLevelType w:val="hybridMultilevel"/>
    <w:tmpl w:val="1F902A88"/>
    <w:lvl w:ilvl="0" w:tplc="86840146">
      <w:start w:val="1"/>
      <w:numFmt w:val="bullet"/>
      <w:lvlText w:val=""/>
      <w:lvlJc w:val="left"/>
      <w:pPr>
        <w:ind w:left="720" w:hanging="360"/>
      </w:pPr>
      <w:rPr>
        <w:rFonts w:ascii="Symbol" w:hAnsi="Symbol" w:hint="default"/>
      </w:rPr>
    </w:lvl>
    <w:lvl w:ilvl="1" w:tplc="31A636B6" w:tentative="1">
      <w:start w:val="1"/>
      <w:numFmt w:val="bullet"/>
      <w:lvlText w:val="o"/>
      <w:lvlJc w:val="left"/>
      <w:pPr>
        <w:ind w:left="1440" w:hanging="360"/>
      </w:pPr>
      <w:rPr>
        <w:rFonts w:ascii="Courier New" w:hAnsi="Courier New" w:hint="default"/>
      </w:rPr>
    </w:lvl>
    <w:lvl w:ilvl="2" w:tplc="5358E9DC" w:tentative="1">
      <w:start w:val="1"/>
      <w:numFmt w:val="bullet"/>
      <w:lvlText w:val=""/>
      <w:lvlJc w:val="left"/>
      <w:pPr>
        <w:ind w:left="2160" w:hanging="360"/>
      </w:pPr>
      <w:rPr>
        <w:rFonts w:ascii="Wingdings" w:hAnsi="Wingdings" w:hint="default"/>
      </w:rPr>
    </w:lvl>
    <w:lvl w:ilvl="3" w:tplc="4E8CDD46" w:tentative="1">
      <w:start w:val="1"/>
      <w:numFmt w:val="bullet"/>
      <w:lvlText w:val=""/>
      <w:lvlJc w:val="left"/>
      <w:pPr>
        <w:ind w:left="2880" w:hanging="360"/>
      </w:pPr>
      <w:rPr>
        <w:rFonts w:ascii="Symbol" w:hAnsi="Symbol" w:hint="default"/>
      </w:rPr>
    </w:lvl>
    <w:lvl w:ilvl="4" w:tplc="847AD2F4" w:tentative="1">
      <w:start w:val="1"/>
      <w:numFmt w:val="bullet"/>
      <w:lvlText w:val="o"/>
      <w:lvlJc w:val="left"/>
      <w:pPr>
        <w:ind w:left="3600" w:hanging="360"/>
      </w:pPr>
      <w:rPr>
        <w:rFonts w:ascii="Courier New" w:hAnsi="Courier New" w:hint="default"/>
      </w:rPr>
    </w:lvl>
    <w:lvl w:ilvl="5" w:tplc="85881594" w:tentative="1">
      <w:start w:val="1"/>
      <w:numFmt w:val="bullet"/>
      <w:lvlText w:val=""/>
      <w:lvlJc w:val="left"/>
      <w:pPr>
        <w:ind w:left="4320" w:hanging="360"/>
      </w:pPr>
      <w:rPr>
        <w:rFonts w:ascii="Wingdings" w:hAnsi="Wingdings" w:hint="default"/>
      </w:rPr>
    </w:lvl>
    <w:lvl w:ilvl="6" w:tplc="1D6ACB50" w:tentative="1">
      <w:start w:val="1"/>
      <w:numFmt w:val="bullet"/>
      <w:lvlText w:val=""/>
      <w:lvlJc w:val="left"/>
      <w:pPr>
        <w:ind w:left="5040" w:hanging="360"/>
      </w:pPr>
      <w:rPr>
        <w:rFonts w:ascii="Symbol" w:hAnsi="Symbol" w:hint="default"/>
      </w:rPr>
    </w:lvl>
    <w:lvl w:ilvl="7" w:tplc="3CC266CC" w:tentative="1">
      <w:start w:val="1"/>
      <w:numFmt w:val="bullet"/>
      <w:lvlText w:val="o"/>
      <w:lvlJc w:val="left"/>
      <w:pPr>
        <w:ind w:left="5760" w:hanging="360"/>
      </w:pPr>
      <w:rPr>
        <w:rFonts w:ascii="Courier New" w:hAnsi="Courier New" w:hint="default"/>
      </w:rPr>
    </w:lvl>
    <w:lvl w:ilvl="8" w:tplc="29725FC0" w:tentative="1">
      <w:start w:val="1"/>
      <w:numFmt w:val="bullet"/>
      <w:lvlText w:val=""/>
      <w:lvlJc w:val="left"/>
      <w:pPr>
        <w:ind w:left="6480" w:hanging="360"/>
      </w:pPr>
      <w:rPr>
        <w:rFonts w:ascii="Wingdings" w:hAnsi="Wingdings" w:hint="default"/>
      </w:rPr>
    </w:lvl>
  </w:abstractNum>
  <w:abstractNum w:abstractNumId="1" w15:restartNumberingAfterBreak="0">
    <w:nsid w:val="4AC88EA6"/>
    <w:multiLevelType w:val="hybridMultilevel"/>
    <w:tmpl w:val="FFFFFFFF"/>
    <w:lvl w:ilvl="0" w:tplc="48BCDE90">
      <w:start w:val="1"/>
      <w:numFmt w:val="bullet"/>
      <w:lvlText w:val=""/>
      <w:lvlJc w:val="left"/>
      <w:pPr>
        <w:ind w:left="720" w:hanging="360"/>
      </w:pPr>
      <w:rPr>
        <w:rFonts w:ascii="Symbol" w:hAnsi="Symbol" w:hint="default"/>
      </w:rPr>
    </w:lvl>
    <w:lvl w:ilvl="1" w:tplc="CDC23D82">
      <w:start w:val="1"/>
      <w:numFmt w:val="bullet"/>
      <w:lvlText w:val="o"/>
      <w:lvlJc w:val="left"/>
      <w:pPr>
        <w:ind w:left="1440" w:hanging="360"/>
      </w:pPr>
      <w:rPr>
        <w:rFonts w:ascii="Courier New" w:hAnsi="Courier New" w:hint="default"/>
      </w:rPr>
    </w:lvl>
    <w:lvl w:ilvl="2" w:tplc="014C0B9E">
      <w:start w:val="1"/>
      <w:numFmt w:val="bullet"/>
      <w:lvlText w:val=""/>
      <w:lvlJc w:val="left"/>
      <w:pPr>
        <w:ind w:left="2160" w:hanging="360"/>
      </w:pPr>
      <w:rPr>
        <w:rFonts w:ascii="Wingdings" w:hAnsi="Wingdings" w:hint="default"/>
      </w:rPr>
    </w:lvl>
    <w:lvl w:ilvl="3" w:tplc="0914B27C">
      <w:start w:val="1"/>
      <w:numFmt w:val="bullet"/>
      <w:lvlText w:val=""/>
      <w:lvlJc w:val="left"/>
      <w:pPr>
        <w:ind w:left="2880" w:hanging="360"/>
      </w:pPr>
      <w:rPr>
        <w:rFonts w:ascii="Symbol" w:hAnsi="Symbol" w:hint="default"/>
      </w:rPr>
    </w:lvl>
    <w:lvl w:ilvl="4" w:tplc="B2F02668">
      <w:start w:val="1"/>
      <w:numFmt w:val="bullet"/>
      <w:lvlText w:val="o"/>
      <w:lvlJc w:val="left"/>
      <w:pPr>
        <w:ind w:left="3600" w:hanging="360"/>
      </w:pPr>
      <w:rPr>
        <w:rFonts w:ascii="Courier New" w:hAnsi="Courier New" w:hint="default"/>
      </w:rPr>
    </w:lvl>
    <w:lvl w:ilvl="5" w:tplc="B98A5C10">
      <w:start w:val="1"/>
      <w:numFmt w:val="bullet"/>
      <w:lvlText w:val=""/>
      <w:lvlJc w:val="left"/>
      <w:pPr>
        <w:ind w:left="4320" w:hanging="360"/>
      </w:pPr>
      <w:rPr>
        <w:rFonts w:ascii="Wingdings" w:hAnsi="Wingdings" w:hint="default"/>
      </w:rPr>
    </w:lvl>
    <w:lvl w:ilvl="6" w:tplc="37FABA8A">
      <w:start w:val="1"/>
      <w:numFmt w:val="bullet"/>
      <w:lvlText w:val=""/>
      <w:lvlJc w:val="left"/>
      <w:pPr>
        <w:ind w:left="5040" w:hanging="360"/>
      </w:pPr>
      <w:rPr>
        <w:rFonts w:ascii="Symbol" w:hAnsi="Symbol" w:hint="default"/>
      </w:rPr>
    </w:lvl>
    <w:lvl w:ilvl="7" w:tplc="B9081F88">
      <w:start w:val="1"/>
      <w:numFmt w:val="bullet"/>
      <w:lvlText w:val="o"/>
      <w:lvlJc w:val="left"/>
      <w:pPr>
        <w:ind w:left="5760" w:hanging="360"/>
      </w:pPr>
      <w:rPr>
        <w:rFonts w:ascii="Courier New" w:hAnsi="Courier New" w:hint="default"/>
      </w:rPr>
    </w:lvl>
    <w:lvl w:ilvl="8" w:tplc="E904DECE">
      <w:start w:val="1"/>
      <w:numFmt w:val="bullet"/>
      <w:lvlText w:val=""/>
      <w:lvlJc w:val="left"/>
      <w:pPr>
        <w:ind w:left="6480" w:hanging="360"/>
      </w:pPr>
      <w:rPr>
        <w:rFonts w:ascii="Wingdings" w:hAnsi="Wingdings" w:hint="default"/>
      </w:rPr>
    </w:lvl>
  </w:abstractNum>
  <w:abstractNum w:abstractNumId="2" w15:restartNumberingAfterBreak="0">
    <w:nsid w:val="5EE2B4E9"/>
    <w:multiLevelType w:val="hybridMultilevel"/>
    <w:tmpl w:val="FFFFFFFF"/>
    <w:lvl w:ilvl="0" w:tplc="A0D48704">
      <w:start w:val="1"/>
      <w:numFmt w:val="bullet"/>
      <w:lvlText w:val="-"/>
      <w:lvlJc w:val="left"/>
      <w:pPr>
        <w:ind w:left="720" w:hanging="360"/>
      </w:pPr>
      <w:rPr>
        <w:rFonts w:ascii="&quot;Arial&quot;,sans-serif" w:hAnsi="&quot;Arial&quot;,sans-serif" w:hint="default"/>
      </w:rPr>
    </w:lvl>
    <w:lvl w:ilvl="1" w:tplc="419C72EE">
      <w:start w:val="1"/>
      <w:numFmt w:val="bullet"/>
      <w:lvlText w:val="o"/>
      <w:lvlJc w:val="left"/>
      <w:pPr>
        <w:ind w:left="1440" w:hanging="360"/>
      </w:pPr>
      <w:rPr>
        <w:rFonts w:ascii="Courier New" w:hAnsi="Courier New" w:hint="default"/>
      </w:rPr>
    </w:lvl>
    <w:lvl w:ilvl="2" w:tplc="6E122138">
      <w:start w:val="1"/>
      <w:numFmt w:val="bullet"/>
      <w:lvlText w:val=""/>
      <w:lvlJc w:val="left"/>
      <w:pPr>
        <w:ind w:left="2160" w:hanging="360"/>
      </w:pPr>
      <w:rPr>
        <w:rFonts w:ascii="Wingdings" w:hAnsi="Wingdings" w:hint="default"/>
      </w:rPr>
    </w:lvl>
    <w:lvl w:ilvl="3" w:tplc="EB2A5712">
      <w:start w:val="1"/>
      <w:numFmt w:val="bullet"/>
      <w:lvlText w:val=""/>
      <w:lvlJc w:val="left"/>
      <w:pPr>
        <w:ind w:left="2880" w:hanging="360"/>
      </w:pPr>
      <w:rPr>
        <w:rFonts w:ascii="Symbol" w:hAnsi="Symbol" w:hint="default"/>
      </w:rPr>
    </w:lvl>
    <w:lvl w:ilvl="4" w:tplc="ADF2D28E">
      <w:start w:val="1"/>
      <w:numFmt w:val="bullet"/>
      <w:lvlText w:val="o"/>
      <w:lvlJc w:val="left"/>
      <w:pPr>
        <w:ind w:left="3600" w:hanging="360"/>
      </w:pPr>
      <w:rPr>
        <w:rFonts w:ascii="Courier New" w:hAnsi="Courier New" w:hint="default"/>
      </w:rPr>
    </w:lvl>
    <w:lvl w:ilvl="5" w:tplc="392827E8">
      <w:start w:val="1"/>
      <w:numFmt w:val="bullet"/>
      <w:lvlText w:val=""/>
      <w:lvlJc w:val="left"/>
      <w:pPr>
        <w:ind w:left="4320" w:hanging="360"/>
      </w:pPr>
      <w:rPr>
        <w:rFonts w:ascii="Wingdings" w:hAnsi="Wingdings" w:hint="default"/>
      </w:rPr>
    </w:lvl>
    <w:lvl w:ilvl="6" w:tplc="53DEF106">
      <w:start w:val="1"/>
      <w:numFmt w:val="bullet"/>
      <w:lvlText w:val=""/>
      <w:lvlJc w:val="left"/>
      <w:pPr>
        <w:ind w:left="5040" w:hanging="360"/>
      </w:pPr>
      <w:rPr>
        <w:rFonts w:ascii="Symbol" w:hAnsi="Symbol" w:hint="default"/>
      </w:rPr>
    </w:lvl>
    <w:lvl w:ilvl="7" w:tplc="286E49A4">
      <w:start w:val="1"/>
      <w:numFmt w:val="bullet"/>
      <w:lvlText w:val="o"/>
      <w:lvlJc w:val="left"/>
      <w:pPr>
        <w:ind w:left="5760" w:hanging="360"/>
      </w:pPr>
      <w:rPr>
        <w:rFonts w:ascii="Courier New" w:hAnsi="Courier New" w:hint="default"/>
      </w:rPr>
    </w:lvl>
    <w:lvl w:ilvl="8" w:tplc="96B4027E">
      <w:start w:val="1"/>
      <w:numFmt w:val="bullet"/>
      <w:lvlText w:val=""/>
      <w:lvlJc w:val="left"/>
      <w:pPr>
        <w:ind w:left="6480" w:hanging="360"/>
      </w:pPr>
      <w:rPr>
        <w:rFonts w:ascii="Wingdings" w:hAnsi="Wingdings" w:hint="default"/>
      </w:rPr>
    </w:lvl>
  </w:abstractNum>
  <w:num w:numId="1" w16cid:durableId="878318392">
    <w:abstractNumId w:val="1"/>
  </w:num>
  <w:num w:numId="2" w16cid:durableId="258832776">
    <w:abstractNumId w:val="2"/>
  </w:num>
  <w:num w:numId="3" w16cid:durableId="180014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1C"/>
    <w:rsid w:val="003E6615"/>
    <w:rsid w:val="00782283"/>
    <w:rsid w:val="008C3D1C"/>
    <w:rsid w:val="00950B97"/>
    <w:rsid w:val="00B435B3"/>
    <w:rsid w:val="00C85E2D"/>
    <w:rsid w:val="00CC2BCD"/>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F3D9ACC"/>
  <w15:chartTrackingRefBased/>
  <w15:docId w15:val="{D5ABAECD-A8A6-9940-9F4D-3416D609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D1C"/>
    <w:rPr>
      <w:rFonts w:ascii="Times New Roman" w:eastAsiaTheme="minorEastAsia" w:hAnsi="Times New Roman" w:cs="Times New Roman"/>
      <w:kern w:val="0"/>
      <w:lang w:val="en-US"/>
      <w14:ligatures w14:val="none"/>
    </w:rPr>
  </w:style>
  <w:style w:type="paragraph" w:styleId="Heading1">
    <w:name w:val="heading 1"/>
    <w:basedOn w:val="Normal"/>
    <w:next w:val="Normal"/>
    <w:link w:val="Heading1Char"/>
    <w:uiPriority w:val="9"/>
    <w:qFormat/>
    <w:rsid w:val="008C3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D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D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D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D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D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D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D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D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D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D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D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D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D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D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D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D1C"/>
    <w:rPr>
      <w:rFonts w:eastAsiaTheme="majorEastAsia" w:cstheme="majorBidi"/>
      <w:color w:val="272727" w:themeColor="text1" w:themeTint="D8"/>
    </w:rPr>
  </w:style>
  <w:style w:type="paragraph" w:styleId="Title">
    <w:name w:val="Title"/>
    <w:basedOn w:val="Normal"/>
    <w:next w:val="Normal"/>
    <w:link w:val="TitleChar"/>
    <w:uiPriority w:val="10"/>
    <w:qFormat/>
    <w:rsid w:val="008C3D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D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D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D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3D1C"/>
    <w:rPr>
      <w:i/>
      <w:iCs/>
      <w:color w:val="404040" w:themeColor="text1" w:themeTint="BF"/>
    </w:rPr>
  </w:style>
  <w:style w:type="paragraph" w:styleId="ListParagraph">
    <w:name w:val="List Paragraph"/>
    <w:aliases w:val="AusAID List Paragraph,List Paragraph1,ADB paragraph numbering,Colorful List - Accent 11,列出段落3,列出段落1,Recommendation,List Paragraph11,Bulleted List Paragraph,IBL List Paragraph,Bullets,Paragraph,Дэд гарчиг,List Paragraph Num,Subtitle1,Dot p"/>
    <w:basedOn w:val="Normal"/>
    <w:link w:val="ListParagraphChar"/>
    <w:uiPriority w:val="34"/>
    <w:qFormat/>
    <w:rsid w:val="008C3D1C"/>
    <w:pPr>
      <w:ind w:left="720"/>
      <w:contextualSpacing/>
    </w:pPr>
  </w:style>
  <w:style w:type="character" w:styleId="IntenseEmphasis">
    <w:name w:val="Intense Emphasis"/>
    <w:basedOn w:val="DefaultParagraphFont"/>
    <w:uiPriority w:val="21"/>
    <w:qFormat/>
    <w:rsid w:val="008C3D1C"/>
    <w:rPr>
      <w:i/>
      <w:iCs/>
      <w:color w:val="0F4761" w:themeColor="accent1" w:themeShade="BF"/>
    </w:rPr>
  </w:style>
  <w:style w:type="paragraph" w:styleId="IntenseQuote">
    <w:name w:val="Intense Quote"/>
    <w:basedOn w:val="Normal"/>
    <w:next w:val="Normal"/>
    <w:link w:val="IntenseQuoteChar"/>
    <w:uiPriority w:val="30"/>
    <w:qFormat/>
    <w:rsid w:val="008C3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D1C"/>
    <w:rPr>
      <w:i/>
      <w:iCs/>
      <w:color w:val="0F4761" w:themeColor="accent1" w:themeShade="BF"/>
    </w:rPr>
  </w:style>
  <w:style w:type="character" w:styleId="IntenseReference">
    <w:name w:val="Intense Reference"/>
    <w:basedOn w:val="DefaultParagraphFont"/>
    <w:uiPriority w:val="32"/>
    <w:qFormat/>
    <w:rsid w:val="008C3D1C"/>
    <w:rPr>
      <w:b/>
      <w:bCs/>
      <w:smallCaps/>
      <w:color w:val="0F4761" w:themeColor="accent1" w:themeShade="BF"/>
      <w:spacing w:val="5"/>
    </w:rPr>
  </w:style>
  <w:style w:type="paragraph" w:styleId="NoSpacing">
    <w:name w:val="No Spacing"/>
    <w:uiPriority w:val="1"/>
    <w:qFormat/>
    <w:rsid w:val="008C3D1C"/>
    <w:rPr>
      <w:rFonts w:ascii="Times New Roman" w:eastAsiaTheme="minorEastAsia" w:hAnsi="Times New Roman" w:cs="Times New Roman"/>
      <w:kern w:val="0"/>
      <w:lang w:val="en-US"/>
      <w14:ligatures w14:val="none"/>
    </w:rPr>
  </w:style>
  <w:style w:type="table" w:styleId="TableGrid">
    <w:name w:val="Table Grid"/>
    <w:basedOn w:val="TableNormal"/>
    <w:uiPriority w:val="59"/>
    <w:rsid w:val="008C3D1C"/>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usAID List Paragraph Char,List Paragraph1 Char,ADB paragraph numbering Char,Colorful List - Accent 11 Char,列出段落3 Char,列出段落1 Char,Recommendation Char,List Paragraph11 Char,Bulleted List Paragraph Char,IBL List Paragraph Char"/>
    <w:link w:val="ListParagraph"/>
    <w:uiPriority w:val="34"/>
    <w:qFormat/>
    <w:locked/>
    <w:rsid w:val="008C3D1C"/>
  </w:style>
  <w:style w:type="paragraph" w:customStyle="1" w:styleId="GraphicTabletitle">
    <w:name w:val="Graphic&amp;Table title"/>
    <w:basedOn w:val="Normal"/>
    <w:link w:val="GraphicTabletitleChar"/>
    <w:uiPriority w:val="1"/>
    <w:qFormat/>
    <w:rsid w:val="008C3D1C"/>
    <w:pPr>
      <w:keepNext/>
      <w:spacing w:before="120" w:line="276" w:lineRule="auto"/>
      <w:contextualSpacing/>
      <w:jc w:val="both"/>
    </w:pPr>
    <w:rPr>
      <w:rFonts w:asciiTheme="minorHAnsi" w:hAnsiTheme="minorHAnsi" w:cstheme="minorBidi"/>
      <w:i/>
      <w:iCs/>
      <w:noProof/>
      <w:sz w:val="22"/>
      <w:szCs w:val="22"/>
    </w:rPr>
  </w:style>
  <w:style w:type="character" w:customStyle="1" w:styleId="GraphicTabletitleChar">
    <w:name w:val="Graphic&amp;Table title Char"/>
    <w:basedOn w:val="DefaultParagraphFont"/>
    <w:link w:val="GraphicTabletitle"/>
    <w:uiPriority w:val="1"/>
    <w:rsid w:val="008C3D1C"/>
    <w:rPr>
      <w:rFonts w:eastAsiaTheme="minorEastAsia"/>
      <w:i/>
      <w:iCs/>
      <w:noProof/>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1710</Words>
  <Characters>9753</Characters>
  <Application>Microsoft Office Word</Application>
  <DocSecurity>0</DocSecurity>
  <Lines>81</Lines>
  <Paragraphs>22</Paragraphs>
  <ScaleCrop>false</ScaleCrop>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2026-06-18T07:42:00Z</dcterms:created>
  <dcterms:modified xsi:type="dcterms:W3CDTF">2026-06-18T07:42:00Z</dcterms:modified>
</cp:coreProperties>
</file>