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9B25803" w14:textId="77777777" w:rsidR="00B60BD2" w:rsidRDefault="00B60BD2">
      <w:pPr>
        <w:spacing w:after="60" w:line="240" w:lineRule="auto"/>
        <w:jc w:val="center"/>
        <w:rPr>
          <w:b/>
          <w:bCs/>
          <w:sz w:val="24"/>
          <w:szCs w:val="24"/>
        </w:rPr>
      </w:pPr>
    </w:p>
    <w:p w14:paraId="5B0D6D84" w14:textId="77777777" w:rsidR="00B60BD2" w:rsidRDefault="00B60BD2">
      <w:pPr>
        <w:spacing w:after="60" w:line="240" w:lineRule="auto"/>
        <w:jc w:val="center"/>
        <w:rPr>
          <w:b/>
          <w:bCs/>
          <w:sz w:val="24"/>
          <w:szCs w:val="24"/>
        </w:rPr>
      </w:pPr>
    </w:p>
    <w:p w14:paraId="00000003" w14:textId="0C0F1557" w:rsidR="00725F24" w:rsidRDefault="00EA4FBE">
      <w:pPr>
        <w:spacing w:after="60" w:line="240" w:lineRule="auto"/>
        <w:jc w:val="center"/>
        <w:rPr>
          <w:b/>
          <w:bCs/>
          <w:sz w:val="24"/>
          <w:szCs w:val="24"/>
        </w:rPr>
      </w:pPr>
      <w:r>
        <w:rPr>
          <w:b/>
          <w:bCs/>
          <w:sz w:val="24"/>
          <w:szCs w:val="24"/>
        </w:rPr>
        <w:t>ТОВЧ ТАНИЛЦУУЛГА</w:t>
      </w:r>
    </w:p>
    <w:p w14:paraId="00000004" w14:textId="77777777" w:rsidR="00725F24" w:rsidRDefault="00725F24">
      <w:pPr>
        <w:spacing w:after="200"/>
        <w:jc w:val="both"/>
        <w:rPr>
          <w:sz w:val="24"/>
          <w:szCs w:val="24"/>
        </w:rPr>
      </w:pPr>
    </w:p>
    <w:p w14:paraId="00000005" w14:textId="77777777" w:rsidR="00725F24" w:rsidRDefault="00725F24">
      <w:pPr>
        <w:spacing w:after="200"/>
        <w:jc w:val="both"/>
        <w:rPr>
          <w:sz w:val="24"/>
          <w:szCs w:val="24"/>
        </w:rPr>
      </w:pPr>
    </w:p>
    <w:p w14:paraId="00000007" w14:textId="312E5F5E" w:rsidR="00725F24" w:rsidRDefault="00EA4FBE" w:rsidP="00B60BD2">
      <w:pPr>
        <w:spacing w:after="200" w:line="240" w:lineRule="auto"/>
        <w:ind w:firstLine="720"/>
        <w:jc w:val="right"/>
        <w:rPr>
          <w:sz w:val="24"/>
          <w:szCs w:val="24"/>
        </w:rPr>
      </w:pPr>
      <w:r>
        <w:rPr>
          <w:sz w:val="24"/>
          <w:szCs w:val="24"/>
        </w:rPr>
        <w:tab/>
      </w:r>
      <w:r>
        <w:rPr>
          <w:sz w:val="24"/>
          <w:szCs w:val="24"/>
        </w:rPr>
        <w:tab/>
      </w:r>
      <w:r>
        <w:rPr>
          <w:sz w:val="24"/>
          <w:szCs w:val="24"/>
        </w:rPr>
        <w:tab/>
      </w:r>
      <w:r>
        <w:rPr>
          <w:sz w:val="24"/>
          <w:szCs w:val="24"/>
        </w:rPr>
        <w:tab/>
      </w:r>
      <w:r w:rsidR="00B60BD2">
        <w:rPr>
          <w:sz w:val="24"/>
          <w:szCs w:val="24"/>
        </w:rPr>
        <w:t>Асрах үйлчилгээний тухай хуулийн төсөл</w:t>
      </w:r>
    </w:p>
    <w:p w14:paraId="00000008" w14:textId="77777777" w:rsidR="00725F24" w:rsidRDefault="00725F24">
      <w:pPr>
        <w:spacing w:after="160" w:line="240" w:lineRule="auto"/>
        <w:jc w:val="both"/>
        <w:rPr>
          <w:sz w:val="24"/>
          <w:szCs w:val="24"/>
        </w:rPr>
      </w:pPr>
    </w:p>
    <w:p w14:paraId="00000009" w14:textId="77777777" w:rsidR="00725F24" w:rsidRDefault="00EA4FBE">
      <w:pPr>
        <w:spacing w:before="240" w:after="240" w:line="240" w:lineRule="auto"/>
        <w:ind w:firstLine="720"/>
        <w:jc w:val="both"/>
        <w:rPr>
          <w:sz w:val="24"/>
          <w:szCs w:val="24"/>
        </w:rPr>
      </w:pPr>
      <w:r>
        <w:rPr>
          <w:sz w:val="24"/>
          <w:szCs w:val="24"/>
        </w:rPr>
        <w:t>Асрах үйлчилгээтэй холбоотой харилцаа нь Нийгмийн халамжийн тухай хууль болон бусад хууль тогтоомжид хэсэгчлэн тусгагдсан боловч үйлчилгээний төрөл, хэлбэр, чанар, хүний нөөц, санхүүжилт, төрийн болон хувийн хэвшлийн оролцоо, үйлчилгээ үзүүлэгч болон үйлчилгээ авагчийн эрх, үүргийг цогцоор нь зохицуулсан бие даасан эрх зүйн орчин бүрдээгүй байна.</w:t>
      </w:r>
    </w:p>
    <w:p w14:paraId="0000000A" w14:textId="77777777" w:rsidR="00725F24" w:rsidRDefault="00EA4FBE">
      <w:pPr>
        <w:spacing w:before="240" w:after="240" w:line="240" w:lineRule="auto"/>
        <w:ind w:firstLine="720"/>
        <w:jc w:val="both"/>
        <w:rPr>
          <w:sz w:val="24"/>
          <w:szCs w:val="24"/>
        </w:rPr>
      </w:pPr>
      <w:r>
        <w:rPr>
          <w:sz w:val="24"/>
          <w:szCs w:val="24"/>
        </w:rPr>
        <w:t>Үүний улмаас асрах үйлчилгээний хүртээмж хангалтгүй, үйлчилгээний чанар харилцан адилгүй, хувийн хэвшил болон төрийн бус байгууллагын оролцоо сул, хүний нөөцийн тогтолцоо төлөвшөөгүй, санхүүжилтийн эх үүсвэр хязгаарлагдмал хэвээр байна. Мөн асрах үйлчилгээ шаардлагатай олон иргэн хэрэгцээндээ нийцсэн үйлчилгээ авч чадахгүй байгаа нь тэдний амьдралын чанар, эрүүл мэнд, нийгмийн оролцоонд сөргөөр нөлөөлж байна.</w:t>
      </w:r>
    </w:p>
    <w:p w14:paraId="0000000B" w14:textId="77777777" w:rsidR="00725F24" w:rsidRDefault="00EA4FBE">
      <w:pPr>
        <w:spacing w:before="240" w:after="240" w:line="240" w:lineRule="auto"/>
        <w:ind w:firstLine="720"/>
        <w:jc w:val="both"/>
        <w:rPr>
          <w:sz w:val="24"/>
          <w:szCs w:val="24"/>
        </w:rPr>
      </w:pPr>
      <w:r>
        <w:rPr>
          <w:sz w:val="24"/>
          <w:szCs w:val="24"/>
        </w:rPr>
        <w:t>Дэлхийн олон улс орон хүн амын насжилт, урт хугацааны асаргааны хэрэгцээ нэмэгдэж буй нөхцөлд асрах үйлчилгээг нийгмийн хамгааллын бие даасан тогтолцоо болгон хөгжүүлж, төр, хувийн хэвшил, иргэний нийгмийн хамтын оролцоонд тулгуурласан эрх зүйн зохицуулалтыг бий болгож байна.</w:t>
      </w:r>
    </w:p>
    <w:p w14:paraId="0000000C" w14:textId="77777777" w:rsidR="00725F24" w:rsidRDefault="00EA4FBE">
      <w:pPr>
        <w:spacing w:before="240" w:after="240" w:line="240" w:lineRule="auto"/>
        <w:ind w:firstLine="720"/>
        <w:jc w:val="both"/>
        <w:rPr>
          <w:sz w:val="24"/>
          <w:szCs w:val="24"/>
        </w:rPr>
      </w:pPr>
      <w:r>
        <w:rPr>
          <w:sz w:val="24"/>
          <w:szCs w:val="24"/>
        </w:rPr>
        <w:t>Иймд асрах үйлчилгээний төрөл, хэлбэр, шаардлага, үйлчилгээ үзүүлэгч болон үйлчилгээ авагчийн эрх, үүрэг, санхүүжилтийн тогтолцоо, төрөөс үзүүлэх дэмжлэг, хяналт, хариуцлагын эрх зүйн үндсийг бүрдүүлэх зорилгоор Асрах үйлчилгээний тухай хуулийн төслийг боловсрууллаа.</w:t>
      </w:r>
    </w:p>
    <w:p w14:paraId="0000000D" w14:textId="77777777" w:rsidR="00725F24" w:rsidRDefault="00EA4FBE">
      <w:pPr>
        <w:spacing w:before="240" w:after="240" w:line="240" w:lineRule="auto"/>
        <w:ind w:firstLine="720"/>
        <w:jc w:val="both"/>
        <w:rPr>
          <w:sz w:val="24"/>
          <w:szCs w:val="24"/>
        </w:rPr>
      </w:pPr>
      <w:r>
        <w:rPr>
          <w:sz w:val="24"/>
          <w:szCs w:val="24"/>
        </w:rPr>
        <w:t>Асрах үйлчилгээний тухай хуулийн төсөл нь асрах үйлчилгээний эрх зүйн үндсийг тогтоож, асрах үйлчилгээний төрөл, ангилал, хэлбэр, үйлчилгээ үзүүлэхэд тавигдах шаардлага, үйлчилгээ үзүүлэгч болон үйлчилгээ авагчийн эрх, үүрэг, талуудын хамтын ажиллагаа, хүний нөөц, сургалт, санхүүжилт, төрөөс үзүүлэх дэмжлэг, хяналт, хариуцлагатай холбогдсон харилцааг цогцоор нь зохицуулахад чиглэсэн болно.</w:t>
      </w:r>
    </w:p>
    <w:p w14:paraId="0000000E" w14:textId="77777777" w:rsidR="00725F24" w:rsidRDefault="00EA4FBE">
      <w:pPr>
        <w:spacing w:before="240" w:after="240" w:line="240" w:lineRule="auto"/>
        <w:ind w:firstLine="720"/>
        <w:jc w:val="both"/>
        <w:rPr>
          <w:sz w:val="24"/>
          <w:szCs w:val="24"/>
        </w:rPr>
      </w:pPr>
      <w:r>
        <w:rPr>
          <w:sz w:val="24"/>
          <w:szCs w:val="24"/>
        </w:rPr>
        <w:t>Төсөл нь нийт 10 бүлэг, 30 зүйлээс бүрдэх бөгөөд асрах үйлчилгээний нийтлэг үндэслэл, үйлчилгээний төрөл, хэлбэр, үйлчилгээ үзүүлэгч болон үйлчилгээ авагчийн эрх, үүрэг, хүний нөөц, санхүүжилт, даатгал, төрийн дэмжлэг, хяналт, хариуцлага болон бусад холбогдох харилцааг зохицуулна.</w:t>
      </w:r>
    </w:p>
    <w:p w14:paraId="0000000F" w14:textId="77777777" w:rsidR="00725F24" w:rsidRDefault="00EA4FBE">
      <w:pPr>
        <w:spacing w:after="160" w:line="240" w:lineRule="auto"/>
        <w:ind w:firstLine="720"/>
        <w:jc w:val="both"/>
        <w:rPr>
          <w:sz w:val="24"/>
          <w:szCs w:val="24"/>
        </w:rPr>
      </w:pPr>
      <w:r>
        <w:rPr>
          <w:sz w:val="24"/>
          <w:szCs w:val="24"/>
        </w:rPr>
        <w:t xml:space="preserve">Хуулийн төсөл нь хүн амын насжилт, хөгжлийн бэрхшээл, урт хугацааны асаргаа шаардлагатай иргэдийн өсөн нэмэгдэж буй хэрэгцээнд нийцсэн асрах үйлчилгээний эрх зүйн орчныг бүрдүүлэх, асрах үйлчилгээг бие даасан нийгмийн үйлчилгээ болгон хөгжүүлэх, төр, хувийн хэвшил, иргэний нийгмийн хамтын оролцоонд тулгуурласан үндэсний тогтолцоог бий болгоход чиглэсэн болно </w:t>
      </w:r>
    </w:p>
    <w:p w14:paraId="00000010" w14:textId="77777777" w:rsidR="00725F24" w:rsidRDefault="00725F24">
      <w:pPr>
        <w:spacing w:after="160" w:line="240" w:lineRule="auto"/>
        <w:ind w:firstLine="720"/>
        <w:jc w:val="both"/>
        <w:rPr>
          <w:sz w:val="24"/>
          <w:szCs w:val="24"/>
        </w:rPr>
      </w:pPr>
    </w:p>
    <w:p w14:paraId="00000011" w14:textId="77777777" w:rsidR="00725F24" w:rsidRDefault="00725F24">
      <w:pPr>
        <w:spacing w:after="160" w:line="240" w:lineRule="auto"/>
        <w:ind w:firstLine="720"/>
        <w:jc w:val="both"/>
        <w:rPr>
          <w:sz w:val="24"/>
          <w:szCs w:val="24"/>
        </w:rPr>
      </w:pPr>
    </w:p>
    <w:p w14:paraId="00000012" w14:textId="77777777" w:rsidR="00725F24" w:rsidRDefault="00EA4FBE">
      <w:pPr>
        <w:spacing w:before="240" w:after="240" w:line="240" w:lineRule="auto"/>
        <w:ind w:firstLine="720"/>
        <w:jc w:val="both"/>
        <w:rPr>
          <w:sz w:val="24"/>
          <w:szCs w:val="24"/>
        </w:rPr>
      </w:pPr>
      <w:r>
        <w:rPr>
          <w:sz w:val="24"/>
          <w:szCs w:val="24"/>
        </w:rPr>
        <w:lastRenderedPageBreak/>
        <w:t>Хуулийн төсөлд асрах үйлчилгээтэй холбоотой харилцааг бие даасан хуулиар цогцоор зохицуулахаар тусгасан. Асрах үйлчилгээний хамрах хүрээг зөвхөн ахмад настангаар хязгаарлахгүйгээр өдөр тутмын амьдралын үйл ажиллагааг бие даан гүйцэтгэх боломж нь хязгаарлагдсан, бусдын тусламж, дэмжлэг шаардлагатай бүх хүнд хэрэгцээнд нь тулгуурлан үйлчилгээ үзүүлэхээр тогтоосон. Түүнчлэн асрах үйлчилгээг өдөр тутмын ахуйн асаргаа, сэргээн засах асрах үйлчилгээ, хүний эрх болон нийгмийн оролцоог дэмжих үйлчилгээ гэсэн төрөлтэй байхаар, мөн гэрээр, байгууллагад, явуулын болон өдрийн үйлчилгээний хэлбэрээр зохион байгуулахаар зохицуулсан.</w:t>
      </w:r>
    </w:p>
    <w:p w14:paraId="00000013" w14:textId="069EEFFC" w:rsidR="00725F24" w:rsidRDefault="00EA4FBE">
      <w:pPr>
        <w:spacing w:before="240" w:after="240" w:line="240" w:lineRule="auto"/>
        <w:ind w:firstLine="720"/>
        <w:jc w:val="both"/>
        <w:rPr>
          <w:sz w:val="24"/>
          <w:szCs w:val="24"/>
        </w:rPr>
      </w:pPr>
      <w:r>
        <w:rPr>
          <w:sz w:val="24"/>
          <w:szCs w:val="24"/>
        </w:rPr>
        <w:t xml:space="preserve">Хуулийн төсөлд асрах үйлчилгээг </w:t>
      </w:r>
      <w:r w:rsidR="00576E50">
        <w:rPr>
          <w:sz w:val="24"/>
          <w:szCs w:val="24"/>
        </w:rPr>
        <w:t xml:space="preserve">тусгай нөхцөл, шаардлагыг хангасан этгээд </w:t>
      </w:r>
      <w:r>
        <w:rPr>
          <w:sz w:val="24"/>
          <w:szCs w:val="24"/>
        </w:rPr>
        <w:t>эрхлэхээр тогтоож, төр, төрийн бус байгууллага, хувийн хэвшлийн оролцоог дэмжих эрх зүйн орчныг бүрдүүлсэн. Мөн төрөөс үйлчилгээ худалдан авах, татварын болон төлбөрийн дэмжлэг үзүүлэх, сайн дурын даатгалын тогтолцоог хөгжүүлэх зэрэг олон эх үүсвэрт санхүүжилтийн механизмыг тусгасан.</w:t>
      </w:r>
    </w:p>
    <w:p w14:paraId="00000014" w14:textId="77777777" w:rsidR="00725F24" w:rsidRDefault="00EA4FBE">
      <w:pPr>
        <w:spacing w:before="240" w:after="240" w:line="240" w:lineRule="auto"/>
        <w:ind w:firstLine="720"/>
        <w:jc w:val="both"/>
        <w:rPr>
          <w:sz w:val="24"/>
          <w:szCs w:val="24"/>
        </w:rPr>
      </w:pPr>
      <w:r>
        <w:rPr>
          <w:sz w:val="24"/>
          <w:szCs w:val="24"/>
        </w:rPr>
        <w:t>Түүнчлэн хүний эрхийг дээдлэх, асруулагчийн хүсэл, сонголтыг хүндэтгэх, үйлчилгээний чанар, аюулгүй байдлыг хангах, ил тод, хариуцлагатай байх, ашиг сонирхлын зөрчлөөс ангид ажиллах зэрэг асрах үйлчилгээний суурь зарчмуудыг тусгасан болно.</w:t>
      </w:r>
    </w:p>
    <w:p w14:paraId="00000015" w14:textId="77777777" w:rsidR="00725F24" w:rsidRDefault="00EA4FBE">
      <w:pPr>
        <w:spacing w:after="160" w:line="240" w:lineRule="auto"/>
        <w:ind w:firstLine="720"/>
        <w:jc w:val="both"/>
        <w:rPr>
          <w:sz w:val="24"/>
          <w:szCs w:val="24"/>
        </w:rPr>
      </w:pPr>
      <w:r>
        <w:rPr>
          <w:sz w:val="24"/>
          <w:szCs w:val="24"/>
        </w:rPr>
        <w:t>Асрах үйлчилгээтэй холбоотой харилцааг Монгол Улсад өнөөг хүртэл бие даасан, тусгайлсан хуулиар зохицуулаагүй байна. Одоогийн байдлаар энэхүү харилцааг Нийгмийн халамжийн тухай хууль болон бусад салбарын хууль тогтоомжийн хүрээнд хэсэгчлэн зохицуулж байгаа бөгөөд асрах үйлчилгээ нь нийгмийн халамжийн үйлчилгээний нэг бүрэлдэхүүн хэсэг байдлаар тусгагдсан байдаг.</w:t>
      </w:r>
    </w:p>
    <w:p w14:paraId="00000016" w14:textId="77777777" w:rsidR="00725F24" w:rsidRDefault="00EA4FBE">
      <w:pPr>
        <w:spacing w:before="240" w:after="240" w:line="240" w:lineRule="auto"/>
        <w:ind w:firstLine="720"/>
        <w:jc w:val="both"/>
        <w:rPr>
          <w:sz w:val="24"/>
          <w:szCs w:val="24"/>
        </w:rPr>
      </w:pPr>
      <w:r>
        <w:rPr>
          <w:sz w:val="24"/>
          <w:szCs w:val="24"/>
        </w:rPr>
        <w:t>Монгол Улс 2012 онд Нийгмийн халамжийн тухай хуулийг баталж, олон нийтийн оролцоонд түшиглэсэн халамжийн үйлчилгээ болон төрөлжсөн асрамжийн үйлчилгээг эрх зүйн хүрээнд зохицуулсан нь тухайн үеийн нөхцөлд чухал ахиц болсон. Уг хуулиар ахмад настан, хөгжлийн бэрхшээлтэй иргэн, эрсдэлт нөхцөлд байгаа хүүхэд зэрэг зорилтот бүлэгт үзүүлэх асрамжийн үйлчилгээний үндсийг тодорхойлсон.</w:t>
      </w:r>
    </w:p>
    <w:p w14:paraId="00000017" w14:textId="77777777" w:rsidR="00725F24" w:rsidRDefault="00EA4FBE">
      <w:pPr>
        <w:spacing w:after="160" w:line="240" w:lineRule="auto"/>
        <w:ind w:firstLine="720"/>
        <w:jc w:val="both"/>
        <w:rPr>
          <w:sz w:val="24"/>
          <w:szCs w:val="24"/>
        </w:rPr>
      </w:pPr>
      <w:r>
        <w:rPr>
          <w:sz w:val="24"/>
          <w:szCs w:val="24"/>
        </w:rPr>
        <w:t>Улсын Их Хурлын даргын 2024 оны 9 дүгээр сарын 5-ны өдрийн 100 дугаар захирамжаар асрах үйлчилгээний эрх зүйн орчныг бүрдүүлэх чиглэлээр судалж, санал, дүгнэлт гаргах, шаардлагатай бол хуулийн төсөл боловсруулах үүрэг бүхий ажлын хэсэг байгуулагдан ажилласан.</w:t>
      </w:r>
    </w:p>
    <w:p w14:paraId="00000018" w14:textId="77777777" w:rsidR="00725F24" w:rsidRDefault="00EA4FBE">
      <w:pPr>
        <w:spacing w:before="240" w:after="240" w:line="240" w:lineRule="auto"/>
        <w:ind w:firstLine="720"/>
        <w:jc w:val="both"/>
        <w:rPr>
          <w:sz w:val="24"/>
          <w:szCs w:val="24"/>
        </w:rPr>
      </w:pPr>
      <w:r>
        <w:rPr>
          <w:sz w:val="24"/>
          <w:szCs w:val="24"/>
        </w:rPr>
        <w:t>Хуулийн төслийг боловсруулахдаа Хууль тогтоомжийн тухай хуулийн 13 дугаар зүйлд заасан хууль тогтоомжийн хэрэгцээ, шаардлагыг урьдчилан тандан судлах судалгаа, мөн хуулийн 17 дугаар зүйлд заасан хуулийн төслийн үр нөлөөний үнэлгээг тус тус хийж гүйцэтгэсэн. Судалгааны хүрээнд асрах үйлчилгээний өнөөгийн эрх зүйн зохицуулалт, хэрэгжилт, тулгамдсан асуудал, олон улсын туршлага болон зохицуулалтын боломжит хувилбаруудыг судлан шинжилсэн болно.</w:t>
      </w:r>
    </w:p>
    <w:p w14:paraId="00000019" w14:textId="02B0E45B" w:rsidR="00725F24" w:rsidRDefault="00EA4FBE">
      <w:pPr>
        <w:spacing w:before="240" w:after="240" w:line="240" w:lineRule="auto"/>
        <w:ind w:firstLine="720"/>
        <w:jc w:val="both"/>
        <w:rPr>
          <w:sz w:val="24"/>
          <w:szCs w:val="24"/>
        </w:rPr>
      </w:pPr>
      <w:r>
        <w:rPr>
          <w:sz w:val="24"/>
          <w:szCs w:val="24"/>
        </w:rPr>
        <w:t>Түүнчлэн хуулийн төслийн үзэл баримтлалыг боловсруулж, уг төсөлтэй хамт Нийгмийн халамжийн тухай хууль, Аж ахуйн нэгжийн орлогын албан татварын тухай хууль, Нэмэгдсэн өртгийн албан татварын тухай хууль, Үндэсний баялгийн сангийн тухай хууль, Ажиллах хүчний шилжилт хөдөлгөөний тухай хуульд нэмэлт оруулах болон Асрах үйлчилгээний тухай хуулийг дагаж мөрдөх журмын тухай хуулийн төслийг тус тус боловсруулсан.</w:t>
      </w:r>
    </w:p>
    <w:p w14:paraId="0000001A" w14:textId="77777777" w:rsidR="00725F24" w:rsidRDefault="00EA4FBE">
      <w:pPr>
        <w:spacing w:before="240" w:after="240" w:line="240" w:lineRule="auto"/>
        <w:ind w:firstLine="720"/>
        <w:jc w:val="both"/>
        <w:rPr>
          <w:sz w:val="24"/>
          <w:szCs w:val="24"/>
        </w:rPr>
      </w:pPr>
      <w:r>
        <w:rPr>
          <w:sz w:val="24"/>
          <w:szCs w:val="24"/>
        </w:rPr>
        <w:lastRenderedPageBreak/>
        <w:t>Хуулийн төслийг Хууль тогтоомжийн тухай хуулийн 38 дугаар зүйлд заасны дагуу олон нийтийн хэлэлцүүлэгт оруулж, төрийн байгууллага, мэргэжлийн холбоод, төрийн бус байгууллага, эрдэмтэн, судлаачид болон иргэдээс санал авч хэлэлцүүлсэн. Ирүүлсэн санал, зөвлөмжийг ажлын хэсэг нэг бүрчлэн судалж, үндэслэл бүхий саналуудыг хуулийн төсөлд тусган боловсруулсан болно.</w:t>
      </w:r>
    </w:p>
    <w:p w14:paraId="0000001B" w14:textId="77777777" w:rsidR="00725F24" w:rsidRDefault="00EA4FBE">
      <w:pPr>
        <w:spacing w:after="160" w:line="240" w:lineRule="auto"/>
        <w:ind w:firstLine="720"/>
        <w:jc w:val="both"/>
        <w:rPr>
          <w:sz w:val="24"/>
          <w:szCs w:val="24"/>
        </w:rPr>
      </w:pPr>
      <w:r>
        <w:rPr>
          <w:sz w:val="24"/>
          <w:szCs w:val="24"/>
        </w:rPr>
        <w:t>Улсын Их Хурлын Тамгын газрын дэргэдэх Парламентын судалгаа, хөгжлийн хүрээлэн 2024 онд гадаад улсын асрах, асрамжийн үйлчилгээний эрх зүйн зохицуулалтын харьцуулсан судалгаа хийсэн бөгөөд уг судалгаагаар Холбооны Бүгд Найрамдах Герман Улс, Бүгд Найрамдах Солонгос Улс, Их Британи, Япон Улсын төрөлжсөн асрамжийн үйлчилгээний зохицуулалтыг судалсан.</w:t>
      </w:r>
    </w:p>
    <w:p w14:paraId="0000001C" w14:textId="77777777" w:rsidR="00725F24" w:rsidRDefault="00EA4FBE">
      <w:pPr>
        <w:spacing w:before="240" w:after="240" w:line="240" w:lineRule="auto"/>
        <w:ind w:firstLine="720"/>
        <w:jc w:val="both"/>
        <w:rPr>
          <w:sz w:val="24"/>
          <w:szCs w:val="24"/>
        </w:rPr>
      </w:pPr>
      <w:r>
        <w:rPr>
          <w:sz w:val="24"/>
          <w:szCs w:val="24"/>
        </w:rPr>
        <w:t>Судалгааны үр дүнгээс үзэхэд хүн амын насжилт нэмэгдэж буй улс орнууд урт хугацааны асаргааны үйлчилгээг нийгмийн хамгааллын тогтолцооны бие даасан, чухал бүрэлдэхүүн хэсэг болгон хөгжүүлж байна. Ялангуяа Герман, Япон, Бүгд Найрамдах Солонгос Улс зэрэг орнууд урт хугацааны асаргааны үйлчилгээний эрх зүйн орчныг тусгай хуулиар зохицуулж, даатгал, санхүүжилт, үйлчилгээний чанар, хүний нөөц, хяналтын тогтолцоог цогцоор нь бүрдүүлсэн байна.</w:t>
      </w:r>
    </w:p>
    <w:p w14:paraId="0000001D" w14:textId="77777777" w:rsidR="00725F24" w:rsidRDefault="00EA4FBE">
      <w:pPr>
        <w:spacing w:before="240" w:after="240" w:line="240" w:lineRule="auto"/>
        <w:ind w:firstLine="720"/>
        <w:jc w:val="both"/>
        <w:rPr>
          <w:sz w:val="24"/>
          <w:szCs w:val="24"/>
        </w:rPr>
      </w:pPr>
      <w:r>
        <w:rPr>
          <w:sz w:val="24"/>
          <w:szCs w:val="24"/>
        </w:rPr>
        <w:t>Хуулийн төслийг боловсруулахдаа УИХ-ын Тамгын газрын дэргэдэх Парламентын судалгаа, хөгжлийн хүрээлэнгийн хийсэн харьцуулсан судалгаа, Азийн сангийн 2024 оны “Асрахуйн эдийн засаг” судалгаа, Монгол Улсын Хүний эрхийн Үндэсний комиссын ахмад настны эрхийн талаарх судалгаа болон бусад холбогдох эх сурвалжийг ашигласан.</w:t>
      </w:r>
    </w:p>
    <w:p w14:paraId="0000001E" w14:textId="77777777" w:rsidR="00725F24" w:rsidRDefault="00EA4FBE">
      <w:pPr>
        <w:spacing w:before="240" w:after="240" w:line="240" w:lineRule="auto"/>
        <w:ind w:firstLine="720"/>
        <w:jc w:val="both"/>
        <w:rPr>
          <w:sz w:val="24"/>
          <w:szCs w:val="24"/>
        </w:rPr>
      </w:pPr>
      <w:r>
        <w:rPr>
          <w:sz w:val="24"/>
          <w:szCs w:val="24"/>
        </w:rPr>
        <w:t>Судалгаануудын дүнгээс харахад Монгол Улсад асрах үйлчилгээний хэрэгцээ өсөн нэмэгдэж байгаа боловч эрх зүйн зохицуулалт, санхүүжилт, үйлчилгээний хүртээмж, хүний нөөцийн тогтолцоо хангалттай хөгжөөгүй байна. Мөн асрахуйн хөдөлмөрийн ачаалал өрх гэр, ялангуяа эмэгтэйчүүдэд төвлөрч байгаа нь хөдөлмөр эрхлэлт, эдийн засгийн оролцоонд сөргөөр нөлөөлж байна.</w:t>
      </w:r>
    </w:p>
    <w:p w14:paraId="0000001F" w14:textId="77777777" w:rsidR="00725F24" w:rsidRDefault="00EA4FBE">
      <w:pPr>
        <w:spacing w:before="240" w:after="240" w:line="240" w:lineRule="auto"/>
        <w:ind w:firstLine="720"/>
        <w:jc w:val="both"/>
        <w:rPr>
          <w:sz w:val="24"/>
          <w:szCs w:val="24"/>
        </w:rPr>
      </w:pPr>
      <w:r>
        <w:rPr>
          <w:sz w:val="24"/>
          <w:szCs w:val="24"/>
        </w:rPr>
        <w:t>Азийн хөгжлийн банкны тооцооллоор өрх гэр болон хөдөлмөрийн зах зээл дэх жендэрийн тэгш бус байдлыг бууруулж, асрахуйн эдийн засгийг хөгжүүлснээр эмэгтэйчүүдийн ажиллах хүчний оролцоог нэмэгдүүлж, Монгол Улсын эдийн засгийн өсөлтийг дэмжих боломжтой гэж үзсэн байна. Иймээс асрах үйлчилгээг бие даасан эрх зүйн зохицуулалттай болгон хөгжүүлэх нь зөвхөн нийгмийн хамгааллын төдийгүй хүний хөгжил, хөдөлмөр эрхлэлт, эдийн засгийн өсөлтийн бодлоготой шууд холбоотой ач холбогдолтой гэж үзэж байна.</w:t>
      </w:r>
    </w:p>
    <w:p w14:paraId="00000020" w14:textId="77777777" w:rsidR="00725F24" w:rsidRDefault="00EA4FBE">
      <w:pPr>
        <w:spacing w:before="240" w:after="240" w:line="240" w:lineRule="auto"/>
        <w:ind w:firstLine="720"/>
        <w:jc w:val="both"/>
        <w:rPr>
          <w:sz w:val="24"/>
          <w:szCs w:val="24"/>
        </w:rPr>
      </w:pPr>
      <w:r>
        <w:rPr>
          <w:sz w:val="24"/>
          <w:szCs w:val="24"/>
        </w:rPr>
        <w:t>Хуулийн төсөл батлагдсанаар асрах үйлчилгээний эрх зүйн орчин анх удаа бие даасан хуулиар бүрдэж, үйлчилгээний төрөл, хэлбэр, шаардлага, хүний нөөц, санхүүжилт, хяналт, хариуцлагын нэгдсэн тогтолцоо бий болно.</w:t>
      </w:r>
    </w:p>
    <w:p w14:paraId="00000021" w14:textId="77777777" w:rsidR="00725F24" w:rsidRDefault="00EA4FBE">
      <w:pPr>
        <w:spacing w:before="240" w:after="240" w:line="240" w:lineRule="auto"/>
        <w:ind w:firstLine="720"/>
        <w:jc w:val="both"/>
        <w:rPr>
          <w:sz w:val="24"/>
          <w:szCs w:val="24"/>
        </w:rPr>
      </w:pPr>
      <w:r>
        <w:rPr>
          <w:sz w:val="24"/>
          <w:szCs w:val="24"/>
        </w:rPr>
        <w:t>Мөн асрах үйлчилгээний хүртээмж, чанар сайжирч, ахмад настан, хөгжлийн бэрхшээлтэй иргэн, хүүхэд болон бусдын тусламж, дэмжлэг шаардлагатай иргэд хэрэгцээндээ нийцсэн үйлчилгээ авах боломж өргөжих юм. Түүнчлэн төр, хувийн хэвшил, төрийн бус байгууллагын хамтын ажиллагаа хөгжиж, асрах үйлчилгээний салбарт хөрөнгө оруулалт, шинэ үйлчилгээ, мэргэшсэн хүний нөөц бий болох эрх зүйн үндэс бүрдэнэ.</w:t>
      </w:r>
    </w:p>
    <w:p w14:paraId="00000022" w14:textId="77777777" w:rsidR="00725F24" w:rsidRDefault="00725F24">
      <w:pPr>
        <w:spacing w:before="240" w:after="240" w:line="240" w:lineRule="auto"/>
        <w:jc w:val="both"/>
        <w:rPr>
          <w:sz w:val="24"/>
          <w:szCs w:val="24"/>
        </w:rPr>
      </w:pPr>
    </w:p>
    <w:p w14:paraId="0FF71B42" w14:textId="77777777" w:rsidR="004A1A5B" w:rsidRPr="00227D20" w:rsidRDefault="004A1A5B" w:rsidP="004A1A5B">
      <w:pPr>
        <w:spacing w:line="240" w:lineRule="auto"/>
        <w:jc w:val="center"/>
        <w:rPr>
          <w:b/>
          <w:bCs/>
          <w:lang w:val="mn-MN"/>
        </w:rPr>
      </w:pPr>
      <w:r>
        <w:rPr>
          <w:lang w:val="mn-MN"/>
        </w:rPr>
        <w:t>--оОо--</w:t>
      </w:r>
    </w:p>
    <w:p w14:paraId="00000023" w14:textId="77777777" w:rsidR="00725F24" w:rsidRDefault="00725F24">
      <w:pPr>
        <w:spacing w:after="160" w:line="240" w:lineRule="auto"/>
        <w:ind w:firstLine="720"/>
        <w:jc w:val="both"/>
        <w:rPr>
          <w:sz w:val="24"/>
          <w:szCs w:val="24"/>
        </w:rPr>
      </w:pPr>
      <w:bookmarkStart w:id="0" w:name="_GoBack"/>
      <w:bookmarkEnd w:id="0"/>
    </w:p>
    <w:sectPr w:rsidR="00725F24">
      <w:headerReference w:type="default" r:id="rId6"/>
      <w:footerReference w:type="default" r:id="rId7"/>
      <w:footerReference w:type="first" r:id="rId8"/>
      <w:pgSz w:w="11906" w:h="16838"/>
      <w:pgMar w:top="566" w:right="850" w:bottom="566" w:left="1700" w:header="720" w:footer="720" w:gutter="0"/>
      <w:pgNumType w:start="1"/>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FC086C" w14:textId="77777777" w:rsidR="001A5170" w:rsidRDefault="001A5170">
      <w:pPr>
        <w:spacing w:line="240" w:lineRule="auto"/>
      </w:pPr>
      <w:r>
        <w:separator/>
      </w:r>
    </w:p>
  </w:endnote>
  <w:endnote w:type="continuationSeparator" w:id="0">
    <w:p w14:paraId="1E193880" w14:textId="77777777" w:rsidR="001A5170" w:rsidRDefault="001A51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24" w14:textId="77777777" w:rsidR="00725F24" w:rsidRDefault="00EA4FBE">
    <w:pPr>
      <w:jc w:val="right"/>
    </w:pPr>
    <w:r>
      <w:fldChar w:fldCharType="begin"/>
    </w:r>
    <w:r>
      <w:instrText>PAGE</w:instrText>
    </w:r>
    <w:r>
      <w:fldChar w:fldCharType="separate"/>
    </w:r>
    <w:r w:rsidR="004A1A5B">
      <w:rPr>
        <w:noProof/>
      </w:rPr>
      <w:t>3</w:t>
    </w:r>
    <w: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26" w14:textId="77777777" w:rsidR="00725F24" w:rsidRDefault="00725F24"/>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17404F" w14:textId="77777777" w:rsidR="001A5170" w:rsidRDefault="001A5170">
      <w:pPr>
        <w:spacing w:line="240" w:lineRule="auto"/>
      </w:pPr>
      <w:r>
        <w:separator/>
      </w:r>
    </w:p>
  </w:footnote>
  <w:footnote w:type="continuationSeparator" w:id="0">
    <w:p w14:paraId="71483782" w14:textId="77777777" w:rsidR="001A5170" w:rsidRDefault="001A5170">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25" w14:textId="77777777" w:rsidR="00725F24" w:rsidRDefault="00725F2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F24"/>
    <w:rsid w:val="000D3E16"/>
    <w:rsid w:val="001A5170"/>
    <w:rsid w:val="004A1A5B"/>
    <w:rsid w:val="00576E50"/>
    <w:rsid w:val="00725F24"/>
    <w:rsid w:val="00B60BD2"/>
    <w:rsid w:val="00EA4F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EC5A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mn" w:eastAsia="en-US" w:bidi="ar-SA"/>
      </w:rPr>
    </w:rPrDefault>
    <w:pPrDefault>
      <w:pPr>
        <w:spacing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1259</Words>
  <Characters>7178</Characters>
  <Application>Microsoft Macintosh Word</Application>
  <DocSecurity>0</DocSecurity>
  <Lines>59</Lines>
  <Paragraphs>16</Paragraphs>
  <ScaleCrop>false</ScaleCrop>
  <LinksUpToDate>false</LinksUpToDate>
  <CharactersWithSpaces>8421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Энхтуяа Доржзовд</cp:lastModifiedBy>
  <cp:revision>4</cp:revision>
  <cp:lastPrinted>2026-06-12T10:45:00Z</cp:lastPrinted>
  <dcterms:created xsi:type="dcterms:W3CDTF">2026-06-12T03:18:00Z</dcterms:created>
  <dcterms:modified xsi:type="dcterms:W3CDTF">2026-06-22T04:27:00Z</dcterms:modified>
</cp:coreProperties>
</file>