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D930C2" w14:textId="65AAA513" w:rsidR="007F1037" w:rsidRPr="0096517B" w:rsidRDefault="00C55C14" w:rsidP="00971280">
      <w:pPr>
        <w:spacing w:after="0" w:line="240" w:lineRule="auto"/>
        <w:ind w:firstLine="0"/>
        <w:jc w:val="center"/>
        <w:rPr>
          <w:rFonts w:ascii="Arial" w:hAnsi="Arial" w:cs="Arial"/>
          <w:b/>
          <w:color w:val="000000" w:themeColor="text1"/>
          <w:lang w:val="mn-MN"/>
        </w:rPr>
      </w:pPr>
      <w:r w:rsidRPr="0096517B">
        <w:rPr>
          <w:rFonts w:ascii="Arial" w:hAnsi="Arial" w:cs="Arial"/>
          <w:b/>
          <w:color w:val="000000" w:themeColor="text1"/>
          <w:lang w:val="mn-MN"/>
        </w:rPr>
        <w:t>“УУЛ УУРХАЙН ЗАРИМ ТӨСЛҮҮДИЙГ ЭДИЙН ЗАСГИЙН ЭРГЭЛТЭД ОРУУЛАХ ТУХАЙ”</w:t>
      </w:r>
      <w:r w:rsidR="006F0CBE">
        <w:rPr>
          <w:rFonts w:ascii="Arial" w:hAnsi="Arial" w:cs="Arial"/>
          <w:b/>
          <w:color w:val="000000" w:themeColor="text1"/>
          <w:lang w:val="mn-MN"/>
        </w:rPr>
        <w:t xml:space="preserve"> </w:t>
      </w:r>
      <w:r w:rsidR="008C7BCB">
        <w:rPr>
          <w:rFonts w:ascii="Arial" w:hAnsi="Arial" w:cs="Arial"/>
          <w:b/>
          <w:color w:val="000000" w:themeColor="text1"/>
          <w:lang w:val="mn-MN"/>
        </w:rPr>
        <w:t xml:space="preserve">МОНГОЛ </w:t>
      </w:r>
      <w:r w:rsidRPr="0096517B">
        <w:rPr>
          <w:rFonts w:ascii="Arial" w:hAnsi="Arial" w:cs="Arial"/>
          <w:b/>
          <w:color w:val="000000" w:themeColor="text1"/>
          <w:lang w:val="mn-MN"/>
        </w:rPr>
        <w:t xml:space="preserve">УЛСЫН ИХ ХУРЛЫН ТОГТООЛЫН </w:t>
      </w:r>
    </w:p>
    <w:p w14:paraId="64B8C34B" w14:textId="46A9817B" w:rsidR="00D2755A" w:rsidRPr="0096517B" w:rsidRDefault="00C55C14" w:rsidP="00971280">
      <w:pPr>
        <w:spacing w:after="0" w:line="240" w:lineRule="auto"/>
        <w:ind w:firstLine="0"/>
        <w:jc w:val="center"/>
        <w:rPr>
          <w:rFonts w:ascii="Arial" w:hAnsi="Arial" w:cs="Arial"/>
          <w:b/>
          <w:color w:val="000000" w:themeColor="text1"/>
          <w:lang w:val="mn-MN"/>
        </w:rPr>
      </w:pPr>
      <w:r w:rsidRPr="0096517B">
        <w:rPr>
          <w:rFonts w:ascii="Arial" w:hAnsi="Arial" w:cs="Arial"/>
          <w:b/>
          <w:color w:val="000000" w:themeColor="text1"/>
          <w:lang w:val="mn-MN"/>
        </w:rPr>
        <w:t>ТӨСЛИЙН ТОВЧ ТАНИЛЦУУЛГА</w:t>
      </w:r>
    </w:p>
    <w:p w14:paraId="7044967C" w14:textId="77777777" w:rsidR="007F1037" w:rsidRPr="0096517B" w:rsidRDefault="007F1037" w:rsidP="00971280">
      <w:pPr>
        <w:spacing w:after="0" w:line="240" w:lineRule="auto"/>
        <w:ind w:firstLine="0"/>
        <w:jc w:val="center"/>
        <w:rPr>
          <w:rFonts w:ascii="Arial" w:hAnsi="Arial" w:cs="Arial"/>
          <w:color w:val="000000" w:themeColor="text1"/>
          <w:lang w:val="mn-MN"/>
        </w:rPr>
      </w:pPr>
    </w:p>
    <w:p w14:paraId="1F28F9A0" w14:textId="78C7F86D"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t xml:space="preserve">Монгол Улсын Засгийн газрын </w:t>
      </w:r>
      <w:r w:rsidR="00D67D38" w:rsidRPr="0096517B">
        <w:rPr>
          <w:rFonts w:ascii="Arial" w:hAnsi="Arial" w:cs="Arial"/>
          <w:color w:val="000000" w:themeColor="text1"/>
          <w:lang w:val="mn-MN"/>
        </w:rPr>
        <w:t xml:space="preserve">2024-2028 оны </w:t>
      </w:r>
      <w:r w:rsidRPr="0096517B">
        <w:rPr>
          <w:rFonts w:ascii="Arial" w:hAnsi="Arial" w:cs="Arial"/>
          <w:color w:val="000000" w:themeColor="text1"/>
          <w:lang w:val="mn-MN"/>
        </w:rPr>
        <w:t xml:space="preserve">үйл ажиллагааны хөтөлбөрт алтны олборлолтыг нэмэгдүүлэх, алт цэвэршүүлэх үйлдвэр байгуулах, уул уурхайн салбарын экспортын бүтээгдэхүүнийг төрөлжүүлэх зорилт туссан. Геополитик, дэлхийн эдийн засгийн тодорхойгүй байдал нэмэгдэж, алтны үнэ өндөр түвшинд хадгалагдаж байгаа </w:t>
      </w:r>
      <w:r w:rsidR="008F5964" w:rsidRPr="0096517B">
        <w:rPr>
          <w:rFonts w:ascii="Arial" w:hAnsi="Arial" w:cs="Arial"/>
          <w:color w:val="000000" w:themeColor="text1"/>
          <w:lang w:val="mn-MN"/>
        </w:rPr>
        <w:t>энэ үед</w:t>
      </w:r>
      <w:r w:rsidRPr="0096517B">
        <w:rPr>
          <w:rFonts w:ascii="Arial" w:hAnsi="Arial" w:cs="Arial"/>
          <w:color w:val="000000" w:themeColor="text1"/>
          <w:lang w:val="mn-MN"/>
        </w:rPr>
        <w:t xml:space="preserve"> нөөц нь тогтоогдсон алтны ордуудыг эдийн засгийн эргэлтэд оруулах нь экспортын орлого, гадаад валютын улсын нөөц, төсвийн орлогыг нэмэгдүүлэх ач холбогдолтой байна.</w:t>
      </w:r>
    </w:p>
    <w:p w14:paraId="01FD3FC1" w14:textId="77777777"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t>Монгол Улсад 494.3 тонн алтны нөөц бүртгэгдэж, алтны 597 тусгай зөвшөөрөл олгогдсоны 83 хувь нь шороон, 17 хувь нь үндсэн ордод хамаарч байна. Үүний зэрэгцээ улсын тусгай хамгаалалттай газар нутагт 95.5 тонн алтны нөөц байршиж байгаа тул байгаль орчин, түүх, соёлын өвийн хамгаалалтыг эдийн засгийн үр өгөөжтэй тэнцвэртэй уялдуулсан шийдэл шаардлагатай байна. Монголбанканд тушаасан алтны хэмжээ 2024 онд 16 тонн, 2025 онд 10 тонн болж буурсан бөгөөд 2026 оны эхний таван сарын алтны экспорт 2.5 тонн буюу өмнөх оны мөн үеэс 27 хувиар буурсан байна.</w:t>
      </w:r>
    </w:p>
    <w:p w14:paraId="6B836D4F" w14:textId="77777777" w:rsidR="00D2755A" w:rsidRPr="0096517B" w:rsidRDefault="00CA19AD" w:rsidP="00CE674E">
      <w:pPr>
        <w:pStyle w:val="Heading1"/>
        <w:spacing w:line="240" w:lineRule="auto"/>
        <w:ind w:firstLine="709"/>
        <w:rPr>
          <w:rFonts w:ascii="Arial" w:hAnsi="Arial" w:cs="Arial"/>
          <w:color w:val="000000" w:themeColor="text1"/>
          <w:lang w:val="mn-MN"/>
        </w:rPr>
      </w:pPr>
      <w:r w:rsidRPr="0096517B">
        <w:rPr>
          <w:rFonts w:ascii="Arial" w:eastAsia="Times New Roman" w:hAnsi="Arial" w:cs="Arial"/>
          <w:color w:val="000000" w:themeColor="text1"/>
          <w:lang w:val="mn-MN"/>
        </w:rPr>
        <w:t>Төслийн ерөнхий агуулга, зохицуулах харилцаа</w:t>
      </w:r>
    </w:p>
    <w:p w14:paraId="2C055142" w14:textId="77777777"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t>Сэлэнгэ аймгийн Мандал сумын нутаг дэвсгэрт орших Гацууртын болон Эрээн-Баавгайтын алтны үндсэн ордын зарим талбай Ноён уулын дархан цаазат газрын хилийн заагтай давхацсаны улмаас төслүүдийн үйл ажиллагаа зогсонги байдалд орсон. Гацууртын орд 42.3 тонн, Эрээн-Баавгайтын орд 10.5 тонн үйлдвэрлэлийн нөөцтэй бөгөөд хоёр төслийг хамтад нь хэрэгжүүлснээр нийт 52.8 тонн алтны үйлдвэрлэлийн нөөцийг эдийн засгийн эргэлтэд оруулах боломжтой.</w:t>
      </w:r>
    </w:p>
    <w:p w14:paraId="630B2E8F" w14:textId="77777777"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t>Тогтоолын төслөөр ордуудын талбайтай давхацсан хэсгийг Ноён уулын дархан цаазат газрын хилийн заагаас хасаж, хасах талбайн эргэлтийн цэгийн солбицол, хэмжээг хавсралтаар батлахаар тусгасан. Мөн шинэчилсэн хилийн заагийг газар дээр нь тогтоож, бүртгэлийг шинэчлэх, орд тус бүрийн нөөц, тусгай зөвшөөрөл, хөрөнгө оруулалт, төрийн оролцоо болон Монгол Улсад ногдох өгөөжийг хууль тогтоомжийн хүрээнд шийдвэрлэх, байгаль орчны сөрөг нөлөөллийг бууруулах, нөхөн сэргээлт, уурхайн хаалт, санхүүгийн баталгааг хангах, олон нийт болон орон нутгийн иргэдийн оролцоог бүрдүүлэх арга хэмжээг Засгийн газарт даалгахаар боловсруулсан.</w:t>
      </w:r>
    </w:p>
    <w:p w14:paraId="3F061F22" w14:textId="77777777" w:rsidR="00D2755A" w:rsidRPr="0096517B" w:rsidRDefault="00CA19AD" w:rsidP="00CE674E">
      <w:pPr>
        <w:pStyle w:val="Heading1"/>
        <w:spacing w:line="240" w:lineRule="auto"/>
        <w:ind w:firstLine="709"/>
        <w:rPr>
          <w:rFonts w:ascii="Arial" w:hAnsi="Arial" w:cs="Arial"/>
          <w:color w:val="000000" w:themeColor="text1"/>
          <w:lang w:val="mn-MN"/>
        </w:rPr>
      </w:pPr>
      <w:r w:rsidRPr="0096517B">
        <w:rPr>
          <w:rFonts w:ascii="Arial" w:eastAsia="Times New Roman" w:hAnsi="Arial" w:cs="Arial"/>
          <w:color w:val="000000" w:themeColor="text1"/>
          <w:lang w:val="mn-MN"/>
        </w:rPr>
        <w:t>Урьдчилсан эдийн засгийн үр нөлөө</w:t>
      </w:r>
    </w:p>
    <w:p w14:paraId="68E52681" w14:textId="77777777"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t>Гацууртын төслийг хэрэгжүүлснээр жил бүр Монголбанканд 4 тонн хүртэл алт тушааж, 500-600 сая ам.долларын борлуулалтын орлого бүрдүүлэх боломжтой. Хөрөнгө оруулагч төслийг төрийн 34 хувь, хувийн хэвшлийн 66 хувийн оролцоотой хэрэгжүүлэх, 500 тэрбум төгрөгийн урьдчилгаа төлбөр төлөх, ашиглалтын тусгай зөвшөөрөл сэргээгдсэнээс хойш найман сарын дотор олборлолтыг эхлүүлэх санал ирүүлсэн. Урьдчилсан тооцоогоор төслийн хугацаанд Үндэсний баялгийн санд 3.56 тэрбум ам.доллар төвлөрүүлэх боломжтой гэж үзсэн бөгөөд энэ тооцоог хөрөнгө оруулалтын гэрээ, татварын нөхцөл, төрийн оролцооны эцсийн хэлбэртэй уялдуулан нарийвчилна.</w:t>
      </w:r>
    </w:p>
    <w:p w14:paraId="3A0303D2" w14:textId="77777777"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t>Эрээн-Баавгайтын төслийг хэрэгжүүлснээр жил бүр Монголбанканд 1 тонн орчим алт тушааж, 120-150 сая ам.долларын борлуулалтын орлого бүрдүүлэх, Хөгжлийн банкны 19 тэрбум төгрөгийн зээлийн үлдэгдлийг барагдуулах эх үүсвэр бий болгох боломжтой. Урьдчилсан тооцоогоор Үндэсний баялгийн санд 883 сая ам.доллар төвлөрүүлэх боломжтой байна.</w:t>
      </w:r>
    </w:p>
    <w:p w14:paraId="20B66AC7" w14:textId="77777777"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lastRenderedPageBreak/>
        <w:t>Хоёр төслийг хэрэгжүүлснээр жил бүр Монголбанканд нийт 5 тонн орчим алт тушаах, экспортын болон татварын орлого, гадаад валютын улсын нөөцийг нэмэгдүүлэх, орон нутгийн эдийн засаг, ажлын байр, Үндэсний баялгийн сангийн орлогод эерэг нөлөө үзүүлэх боломж бүрдэнэ.</w:t>
      </w:r>
    </w:p>
    <w:p w14:paraId="112B25D1" w14:textId="77777777" w:rsidR="00D2755A" w:rsidRPr="0096517B" w:rsidRDefault="00CA19AD" w:rsidP="00CE674E">
      <w:pPr>
        <w:pStyle w:val="Heading1"/>
        <w:spacing w:line="240" w:lineRule="auto"/>
        <w:ind w:firstLine="709"/>
        <w:rPr>
          <w:rFonts w:ascii="Arial" w:hAnsi="Arial" w:cs="Arial"/>
          <w:color w:val="000000" w:themeColor="text1"/>
          <w:lang w:val="mn-MN"/>
        </w:rPr>
      </w:pPr>
      <w:r w:rsidRPr="0096517B">
        <w:rPr>
          <w:rFonts w:ascii="Arial" w:eastAsia="Times New Roman" w:hAnsi="Arial" w:cs="Arial"/>
          <w:color w:val="000000" w:themeColor="text1"/>
          <w:lang w:val="mn-MN"/>
        </w:rPr>
        <w:t>Өмнөх зохицуулалт болон авч хэрэгжүүлсэн арга хэмжээ</w:t>
      </w:r>
    </w:p>
    <w:p w14:paraId="3F568E61" w14:textId="77777777"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t>Улсын Их Хурлын 2020 оны 47 дугаар тогтоолоор Ноён уул орчмын хамгаалалтын хилийн заагийг тогтоохдоо дээрх ордын зарим талбайг улсын тусгай хамгаалалттай газар нутагт хамруулсан. Тусгай хамгаалалттай газар нутгийн тухай хуулийн 25 дугаар зүйлийн 25.2-т Засгийн газрын өргөн мэдүүлснээр дархан цаазат газрын хилийн заагийг батлах, өөрчлөх бүрэн эрхийг Улсын Их Хурал хэрэгжүүлэхээр заасан тул уг хилийн заагт өөрчлөлт оруулах асуудлыг Улсын Их Хурлын тогтоолоор шийдвэрлэх шаардлагатай.</w:t>
      </w:r>
    </w:p>
    <w:p w14:paraId="76A0F5B4" w14:textId="77777777"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t>Төслийг боловсруулахдаа ордын нөөц, тусгай зөвшөөрөл, техник, эдийн засгийн үндэслэл, хөрөнгө оруулагчийн санал, байгаль орчин болон эдийн засгийн урьдчилсан тооцоонд үндэслэсэн. Тогтоолын төсөл болон холбогдох материалыг төрийн захиргааны төв байгууллагуудаас санал авахаар хүргүүлсэн бөгөөд ирүүлсэн саналыг нэгтгэн төсөлд тусгана.</w:t>
      </w:r>
    </w:p>
    <w:p w14:paraId="17FEEBC3" w14:textId="13069B37"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t>Төслийг</w:t>
      </w:r>
      <w:r w:rsidR="00E05904" w:rsidRPr="0096517B">
        <w:rPr>
          <w:rFonts w:ascii="Arial" w:hAnsi="Arial" w:cs="Arial"/>
          <w:color w:val="000000" w:themeColor="text1"/>
          <w:lang w:val="mn-MN"/>
        </w:rPr>
        <w:t xml:space="preserve"> </w:t>
      </w:r>
      <w:r w:rsidRPr="0096517B">
        <w:rPr>
          <w:rFonts w:ascii="Arial" w:hAnsi="Arial" w:cs="Arial"/>
          <w:color w:val="000000" w:themeColor="text1"/>
          <w:lang w:val="mn-MN"/>
        </w:rPr>
        <w:t>эдийн засгийн аюулгүй</w:t>
      </w:r>
      <w:r w:rsidR="00E05904" w:rsidRPr="0096517B">
        <w:rPr>
          <w:rFonts w:ascii="Arial" w:hAnsi="Arial" w:cs="Arial"/>
          <w:color w:val="000000" w:themeColor="text1"/>
          <w:lang w:val="mn-MN"/>
        </w:rPr>
        <w:t>, тогтвортой</w:t>
      </w:r>
      <w:r w:rsidRPr="0096517B">
        <w:rPr>
          <w:rFonts w:ascii="Arial" w:hAnsi="Arial" w:cs="Arial"/>
          <w:color w:val="000000" w:themeColor="text1"/>
          <w:lang w:val="mn-MN"/>
        </w:rPr>
        <w:t xml:space="preserve"> байдлыг хангахтай холбоотойгоор яаралтай хэлэлцүүлэхээр боловсруулж байгаа тул Хууль тогтоомжийн тухай хуульд заасан үндэслэлээр олон нийтийн хэлэлцүүлэг зохион байгуулаагүй. Төсөл нь тодорхой газар нутгийн хилийн заагийг Монгол Улсын хууль тогтоомжийн хүрээнд өөрчлөх асуудал тул гадаад улсын эрх зүйн зохицуулалтыг шууд харьцуулан хэрэглэх шаардлагагүй гэж үзсэн.</w:t>
      </w:r>
    </w:p>
    <w:p w14:paraId="29A74493" w14:textId="77777777" w:rsidR="00D2755A" w:rsidRPr="0096517B" w:rsidRDefault="00CA19AD" w:rsidP="00CE674E">
      <w:pPr>
        <w:pStyle w:val="Heading1"/>
        <w:spacing w:line="240" w:lineRule="auto"/>
        <w:ind w:firstLine="709"/>
        <w:rPr>
          <w:rFonts w:ascii="Arial" w:hAnsi="Arial" w:cs="Arial"/>
          <w:color w:val="000000" w:themeColor="text1"/>
          <w:lang w:val="mn-MN"/>
        </w:rPr>
      </w:pPr>
      <w:r w:rsidRPr="0096517B">
        <w:rPr>
          <w:rFonts w:ascii="Arial" w:eastAsia="Times New Roman" w:hAnsi="Arial" w:cs="Arial"/>
          <w:color w:val="000000" w:themeColor="text1"/>
          <w:lang w:val="mn-MN"/>
        </w:rPr>
        <w:t>Зардал, хэрэгжилт</w:t>
      </w:r>
    </w:p>
    <w:p w14:paraId="10FE7FBD" w14:textId="77777777"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t>Тогтоол батлагдсанаар иргэн, хуулийн этгээдэд шинээр мэдээлэх, тайлагнах, бүртгүүлэх, төлбөр төлөх үүрэг бий болохгүй. Шинэ төрийн байгууллага, нэгж, орон тоо байгуулах шаардлагагүй бөгөөд хилийн заагийг газар дээр нь тогтоох, мэдээллийн сан, кадастрын бүртгэлийг шинэчлэх ажлыг холбогдох байгууллагын одоо байгаа бүтэц, орон тоо, батлагдсан төсөвт багтаан хэрэгжүүлнэ. Уурхайн ашиглалт, байгаль орчны үнэлгээ, нөхөн сэргээлт, уурхайн хаалт болон санхүүгийн баталгаатай холбоотой зардлыг хууль тогтоомж, гэрээнд заасны дагуу төсөл хэрэгжүүлэгч хариуцна.</w:t>
      </w:r>
    </w:p>
    <w:p w14:paraId="0E774251" w14:textId="77777777" w:rsidR="00D2755A" w:rsidRPr="0096517B" w:rsidRDefault="00CA19AD" w:rsidP="00CE674E">
      <w:pPr>
        <w:spacing w:line="240" w:lineRule="auto"/>
        <w:rPr>
          <w:rFonts w:ascii="Arial" w:hAnsi="Arial" w:cs="Arial"/>
          <w:color w:val="000000" w:themeColor="text1"/>
          <w:lang w:val="mn-MN"/>
        </w:rPr>
      </w:pPr>
      <w:r w:rsidRPr="0096517B">
        <w:rPr>
          <w:rFonts w:ascii="Arial" w:hAnsi="Arial" w:cs="Arial"/>
          <w:color w:val="000000" w:themeColor="text1"/>
          <w:lang w:val="mn-MN"/>
        </w:rPr>
        <w:t>Тогтоолын төсөл батлагдсанаар ордуудыг шууд ашиглаж эхлэх эрх үүсэхгүй бөгөөд ашиглалтын тусгай зөвшөөрөл, техник, эдийн засгийн үндэслэл, байгаль орчны нөлөөллийн үнэлгээ, газар, ус ашиглалт, хөрөнгө оруулалт болон төрийн оролцоотой холбоотой дараагийн шийдвэрийг холбогдох хууль тогтоомжийн дагуу тус тус гаргана.</w:t>
      </w:r>
    </w:p>
    <w:p w14:paraId="43D5049A" w14:textId="77777777" w:rsidR="00031318" w:rsidRPr="0096517B" w:rsidRDefault="00031318" w:rsidP="00CE674E">
      <w:pPr>
        <w:spacing w:line="240" w:lineRule="auto"/>
        <w:ind w:firstLine="0"/>
        <w:rPr>
          <w:rFonts w:ascii="Arial" w:hAnsi="Arial" w:cs="Arial"/>
          <w:color w:val="000000" w:themeColor="text1"/>
          <w:lang w:val="mn-MN"/>
        </w:rPr>
      </w:pPr>
    </w:p>
    <w:p w14:paraId="4CD9C1DE" w14:textId="42392393" w:rsidR="00031318" w:rsidRPr="0096517B" w:rsidRDefault="00031318" w:rsidP="00CE674E">
      <w:pPr>
        <w:spacing w:line="240" w:lineRule="auto"/>
        <w:ind w:firstLine="0"/>
        <w:jc w:val="center"/>
        <w:rPr>
          <w:rFonts w:ascii="Arial" w:hAnsi="Arial" w:cs="Arial"/>
          <w:color w:val="000000" w:themeColor="text1"/>
          <w:lang w:val="mn-MN"/>
        </w:rPr>
      </w:pPr>
      <w:r w:rsidRPr="0096517B">
        <w:rPr>
          <w:rFonts w:ascii="Arial" w:hAnsi="Arial" w:cs="Arial"/>
          <w:color w:val="000000" w:themeColor="text1"/>
          <w:lang w:val="mn-MN"/>
        </w:rPr>
        <w:t>--оОо--</w:t>
      </w:r>
    </w:p>
    <w:sectPr w:rsidR="00031318" w:rsidRPr="0096517B" w:rsidSect="0043558B">
      <w:footerReference w:type="default" r:id="rId10"/>
      <w:pgSz w:w="11906" w:h="16838"/>
      <w:pgMar w:top="1134" w:right="851" w:bottom="1134" w:left="1701"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06146A" w14:textId="77777777" w:rsidR="00E179C6" w:rsidRDefault="00E179C6">
      <w:pPr>
        <w:spacing w:after="0" w:line="240" w:lineRule="auto"/>
      </w:pPr>
      <w:r>
        <w:separator/>
      </w:r>
    </w:p>
  </w:endnote>
  <w:endnote w:type="continuationSeparator" w:id="0">
    <w:p w14:paraId="7ADD8E7C" w14:textId="77777777" w:rsidR="00E179C6" w:rsidRDefault="00E179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3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BC40C2" w14:textId="77777777" w:rsidR="00736339" w:rsidRDefault="00736339">
    <w:pPr>
      <w:pStyle w:val="Footer"/>
      <w:jc w:val="center"/>
    </w:pP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3DA7901" w14:textId="77777777" w:rsidR="00E179C6" w:rsidRDefault="00E179C6">
      <w:pPr>
        <w:spacing w:after="0" w:line="240" w:lineRule="auto"/>
      </w:pPr>
      <w:r>
        <w:separator/>
      </w:r>
    </w:p>
  </w:footnote>
  <w:footnote w:type="continuationSeparator" w:id="0">
    <w:p w14:paraId="67B6C619" w14:textId="77777777" w:rsidR="00E179C6" w:rsidRDefault="00E179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093616">
    <w:abstractNumId w:val="5"/>
  </w:num>
  <w:num w:numId="2" w16cid:durableId="1233392016">
    <w:abstractNumId w:val="6"/>
  </w:num>
  <w:num w:numId="3" w16cid:durableId="231934840">
    <w:abstractNumId w:val="4"/>
  </w:num>
  <w:num w:numId="4" w16cid:durableId="341207955">
    <w:abstractNumId w:val="8"/>
  </w:num>
  <w:num w:numId="5" w16cid:durableId="375474733">
    <w:abstractNumId w:val="7"/>
  </w:num>
  <w:num w:numId="6" w16cid:durableId="392781323">
    <w:abstractNumId w:val="1"/>
  </w:num>
  <w:num w:numId="7" w16cid:durableId="445780529">
    <w:abstractNumId w:val="2"/>
  </w:num>
  <w:num w:numId="8" w16cid:durableId="660934708">
    <w:abstractNumId w:val="3"/>
  </w:num>
  <w:num w:numId="9" w16cid:durableId="88087020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53DE"/>
    <w:rsid w:val="00031318"/>
    <w:rsid w:val="00034616"/>
    <w:rsid w:val="0006063C"/>
    <w:rsid w:val="000A2DCC"/>
    <w:rsid w:val="000F28D8"/>
    <w:rsid w:val="000F7A55"/>
    <w:rsid w:val="0015074B"/>
    <w:rsid w:val="00183740"/>
    <w:rsid w:val="001B0E4E"/>
    <w:rsid w:val="00221E74"/>
    <w:rsid w:val="002325AA"/>
    <w:rsid w:val="00247AB4"/>
    <w:rsid w:val="0029639D"/>
    <w:rsid w:val="002A4A04"/>
    <w:rsid w:val="002A7612"/>
    <w:rsid w:val="00326F90"/>
    <w:rsid w:val="003843F8"/>
    <w:rsid w:val="003910FB"/>
    <w:rsid w:val="003A699C"/>
    <w:rsid w:val="003D31F1"/>
    <w:rsid w:val="004150FD"/>
    <w:rsid w:val="0043558B"/>
    <w:rsid w:val="00524403"/>
    <w:rsid w:val="00532F86"/>
    <w:rsid w:val="005D6F34"/>
    <w:rsid w:val="00604939"/>
    <w:rsid w:val="00636342"/>
    <w:rsid w:val="00644AAE"/>
    <w:rsid w:val="00664E67"/>
    <w:rsid w:val="006A3F4E"/>
    <w:rsid w:val="006F0CBE"/>
    <w:rsid w:val="006F7FC6"/>
    <w:rsid w:val="00702E44"/>
    <w:rsid w:val="00736339"/>
    <w:rsid w:val="00750085"/>
    <w:rsid w:val="007532CE"/>
    <w:rsid w:val="007F1037"/>
    <w:rsid w:val="00834D67"/>
    <w:rsid w:val="00870BEB"/>
    <w:rsid w:val="008945A5"/>
    <w:rsid w:val="008C3E89"/>
    <w:rsid w:val="008C7BCB"/>
    <w:rsid w:val="008F5964"/>
    <w:rsid w:val="00922B8A"/>
    <w:rsid w:val="00925BBE"/>
    <w:rsid w:val="0096517B"/>
    <w:rsid w:val="00971280"/>
    <w:rsid w:val="009A5B4E"/>
    <w:rsid w:val="009C5F9F"/>
    <w:rsid w:val="009F0D0A"/>
    <w:rsid w:val="00AA1D8D"/>
    <w:rsid w:val="00AC1910"/>
    <w:rsid w:val="00AE3D21"/>
    <w:rsid w:val="00B47730"/>
    <w:rsid w:val="00B61CAE"/>
    <w:rsid w:val="00B75F41"/>
    <w:rsid w:val="00BF7678"/>
    <w:rsid w:val="00C23B53"/>
    <w:rsid w:val="00C24B31"/>
    <w:rsid w:val="00C55C14"/>
    <w:rsid w:val="00CA19AD"/>
    <w:rsid w:val="00CB0664"/>
    <w:rsid w:val="00CE0E36"/>
    <w:rsid w:val="00CE674E"/>
    <w:rsid w:val="00D2755A"/>
    <w:rsid w:val="00D56788"/>
    <w:rsid w:val="00D67D38"/>
    <w:rsid w:val="00DF6C0A"/>
    <w:rsid w:val="00E05904"/>
    <w:rsid w:val="00E12FD3"/>
    <w:rsid w:val="00E179C6"/>
    <w:rsid w:val="00EA0761"/>
    <w:rsid w:val="00ED0FA5"/>
    <w:rsid w:val="00ED3431"/>
    <w:rsid w:val="00EE5297"/>
    <w:rsid w:val="00F04250"/>
    <w:rsid w:val="00F14314"/>
    <w:rsid w:val="00F34117"/>
    <w:rsid w:val="00F65397"/>
    <w:rsid w:val="00FA574F"/>
    <w:rsid w:val="00FC693F"/>
    <w:rsid w:val="00FD340C"/>
    <w:rsid w:val="00FD756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CBEE1F"/>
  <w14:defaultImageDpi w14:val="300"/>
  <w15:docId w15:val="{E0B6BE35-9CCF-45CC-BC3C-C3CC70C10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ind w:firstLine="709"/>
      <w:jc w:val="both"/>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180" w:after="80"/>
      <w:ind w:firstLine="0"/>
      <w:jc w:val="left"/>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120"/>
      <w:ind w:firstLine="0"/>
      <w:jc w:val="left"/>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40" w:line="240" w:lineRule="auto"/>
      <w:contextualSpacing/>
      <w:jc w:val="center"/>
    </w:pPr>
    <w:rPr>
      <w:rFonts w:asciiTheme="majorHAnsi" w:eastAsiaTheme="majorEastAsia" w:hAnsiTheme="majorHAnsi" w:cstheme="majorBidi"/>
      <w:b/>
      <w:color w:val="17365D" w:themeColor="text2" w:themeShade="BF"/>
      <w:spacing w:val="5"/>
      <w:kern w:val="28"/>
      <w:sz w:val="2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709"/>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4"/>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1"/>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8"/>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vision">
    <w:name w:val="Provision"/>
    <w:pPr>
      <w:keepNext/>
      <w:spacing w:before="120" w:after="40"/>
    </w:pPr>
    <w:rPr>
      <w:rFonts w:ascii="Times New Roman" w:eastAsia="Times New Roman" w:hAnsi="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2f4e0d-1be3-4352-9608-dd111ccf8b18" xsi:nil="true"/>
    <lcf76f155ced4ddcb4097134ff3c332f xmlns="e6b0b362-9161-4e61-9ef9-9e18e256809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5C36F2C3B0BF546BB288E087DCFBF90" ma:contentTypeVersion="18" ma:contentTypeDescription="Create a new document." ma:contentTypeScope="" ma:versionID="6670ae3730f83a07d184ac44db5b9b82">
  <xsd:schema xmlns:xsd="http://www.w3.org/2001/XMLSchema" xmlns:xs="http://www.w3.org/2001/XMLSchema" xmlns:p="http://schemas.microsoft.com/office/2006/metadata/properties" xmlns:ns2="e6b0b362-9161-4e61-9ef9-9e18e2568098" xmlns:ns3="622f4e0d-1be3-4352-9608-dd111ccf8b18" targetNamespace="http://schemas.microsoft.com/office/2006/metadata/properties" ma:root="true" ma:fieldsID="72bc03949e9a296279ad44318b09d915" ns2:_="" ns3:_="">
    <xsd:import namespace="e6b0b362-9161-4e61-9ef9-9e18e2568098"/>
    <xsd:import namespace="622f4e0d-1be3-4352-9608-dd111ccf8b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b0b362-9161-4e61-9ef9-9e18e2568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f4e0d-1be3-4352-9608-dd111ccf8b1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ed707ab-2604-4ea9-8eec-a460206b0d4d}" ma:internalName="TaxCatchAll" ma:showField="CatchAllData" ma:web="622f4e0d-1be3-4352-9608-dd111ccf8b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3D90E2-5272-43BD-9C28-D9F2F653471D}">
  <ds:schemaRefs>
    <ds:schemaRef ds:uri="http://schemas.microsoft.com/office/2006/metadata/properties"/>
    <ds:schemaRef ds:uri="http://schemas.microsoft.com/office/infopath/2007/PartnerControls"/>
    <ds:schemaRef ds:uri="622f4e0d-1be3-4352-9608-dd111ccf8b18"/>
    <ds:schemaRef ds:uri="e6b0b362-9161-4e61-9ef9-9e18e2568098"/>
  </ds:schemaRefs>
</ds:datastoreItem>
</file>

<file path=customXml/itemProps2.xml><?xml version="1.0" encoding="utf-8"?>
<ds:datastoreItem xmlns:ds="http://schemas.openxmlformats.org/officeDocument/2006/customXml" ds:itemID="{CC7D35A0-69A0-4935-A8A1-880872AFFBB7}">
  <ds:schemaRefs>
    <ds:schemaRef ds:uri="http://schemas.microsoft.com/sharepoint/v3/contenttype/forms"/>
  </ds:schemaRefs>
</ds:datastoreItem>
</file>

<file path=customXml/itemProps3.xml><?xml version="1.0" encoding="utf-8"?>
<ds:datastoreItem xmlns:ds="http://schemas.openxmlformats.org/officeDocument/2006/customXml" ds:itemID="{41DB6D0B-6128-432A-94BA-91B488FF9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b0b362-9161-4e61-9ef9-9e18e2568098"/>
    <ds:schemaRef ds:uri="622f4e0d-1be3-4352-9608-dd111ccf8b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850</Words>
  <Characters>4850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Д.Үржинсүрэн</cp:lastModifiedBy>
  <cp:revision>7</cp:revision>
  <cp:lastPrinted>2026-06-25T05:05:00Z</cp:lastPrinted>
  <dcterms:created xsi:type="dcterms:W3CDTF">2013-12-22T15:15:00Z</dcterms:created>
  <dcterms:modified xsi:type="dcterms:W3CDTF">2026-06-25T05:05:00Z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0x01010015C36F2C3B0BF546BB288E087DCFBF90</vt:lpwstr>
  </property>
  <property fmtid="{D5CDD505-2E9C-101B-9397-08002B2CF9AE}" pid="3" name="MediaServiceImageTags">
    <vt:lpwstr/>
  </property>
</Properties>
</file>