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894FDF" w14:textId="6D00CFF5" w:rsidR="00284EBC" w:rsidRPr="007671C8" w:rsidRDefault="00E172A5" w:rsidP="005873C5">
      <w:pPr>
        <w:spacing w:after="200"/>
        <w:jc w:val="center"/>
        <w:rPr>
          <w:rFonts w:ascii="Arial" w:hAnsi="Arial" w:cs="Arial"/>
          <w:noProof/>
          <w:sz w:val="22"/>
          <w:lang w:val="ru-RU"/>
        </w:rPr>
      </w:pPr>
      <w:r w:rsidRPr="007671C8">
        <w:rPr>
          <w:rFonts w:ascii="Arial" w:hAnsi="Arial" w:cs="Arial"/>
          <w:b/>
          <w:noProof/>
          <w:sz w:val="22"/>
          <w:lang w:val="ru-RU"/>
        </w:rPr>
        <w:t xml:space="preserve"> ТОВЧ ТАНИЛЦУУЛГА</w:t>
      </w:r>
    </w:p>
    <w:p w14:paraId="6DC9F1B4" w14:textId="5D6FCEE7" w:rsidR="00284EBC" w:rsidRPr="007671C8" w:rsidRDefault="00000000" w:rsidP="005873C5">
      <w:pPr>
        <w:spacing w:after="280"/>
        <w:ind w:firstLine="5103"/>
        <w:jc w:val="right"/>
        <w:rPr>
          <w:rFonts w:ascii="Arial" w:hAnsi="Arial" w:cs="Arial"/>
          <w:bCs/>
          <w:i/>
          <w:iCs/>
          <w:noProof/>
          <w:sz w:val="22"/>
          <w:lang w:val="ru-RU"/>
        </w:rPr>
      </w:pPr>
      <w:r w:rsidRPr="007671C8">
        <w:rPr>
          <w:rFonts w:ascii="Arial" w:hAnsi="Arial" w:cs="Arial"/>
          <w:bCs/>
          <w:i/>
          <w:iCs/>
          <w:noProof/>
          <w:sz w:val="22"/>
          <w:lang w:val="ru-RU"/>
        </w:rPr>
        <w:t>Төрийн бэлгэ тэмдгийн тухай хуульд нэмэлт</w:t>
      </w:r>
      <w:r w:rsidR="00BF08E1" w:rsidRPr="007671C8">
        <w:rPr>
          <w:rFonts w:ascii="Arial" w:hAnsi="Arial" w:cs="Arial"/>
          <w:bCs/>
          <w:i/>
          <w:iCs/>
          <w:noProof/>
          <w:sz w:val="22"/>
          <w:lang w:val="ru-RU"/>
        </w:rPr>
        <w:t>, өөр</w:t>
      </w:r>
      <w:r w:rsidR="00BF08E1" w:rsidRPr="007671C8">
        <w:rPr>
          <w:rFonts w:ascii="Arial" w:hAnsi="Arial" w:cs="Arial"/>
          <w:bCs/>
          <w:i/>
          <w:iCs/>
          <w:noProof/>
          <w:sz w:val="22"/>
          <w:lang w:val="x-none"/>
        </w:rPr>
        <w:t>члөлт</w:t>
      </w:r>
      <w:r w:rsidR="00E172A5" w:rsidRPr="007671C8">
        <w:rPr>
          <w:rFonts w:ascii="Arial" w:hAnsi="Arial" w:cs="Arial"/>
          <w:bCs/>
          <w:i/>
          <w:iCs/>
          <w:noProof/>
          <w:sz w:val="22"/>
          <w:lang w:val="ru-RU"/>
        </w:rPr>
        <w:t xml:space="preserve"> </w:t>
      </w:r>
      <w:r w:rsidRPr="007671C8">
        <w:rPr>
          <w:rFonts w:ascii="Arial" w:hAnsi="Arial" w:cs="Arial"/>
          <w:bCs/>
          <w:i/>
          <w:iCs/>
          <w:noProof/>
          <w:sz w:val="22"/>
          <w:lang w:val="ru-RU"/>
        </w:rPr>
        <w:t xml:space="preserve">оруулах тухай </w:t>
      </w:r>
    </w:p>
    <w:p w14:paraId="3A5CB922" w14:textId="0B09E4F3" w:rsidR="00DC76D3" w:rsidRPr="007671C8" w:rsidRDefault="00000000" w:rsidP="005873C5">
      <w:pPr>
        <w:spacing w:after="80"/>
        <w:ind w:firstLine="709"/>
        <w:jc w:val="both"/>
        <w:rPr>
          <w:rFonts w:ascii="Arial" w:hAnsi="Arial" w:cs="Arial"/>
          <w:noProof/>
          <w:sz w:val="22"/>
          <w:lang w:val="ru-RU"/>
        </w:rPr>
      </w:pPr>
      <w:r w:rsidRPr="007671C8">
        <w:rPr>
          <w:rFonts w:ascii="Arial" w:hAnsi="Arial" w:cs="Arial"/>
          <w:noProof/>
          <w:sz w:val="22"/>
          <w:lang w:val="ru-RU"/>
        </w:rPr>
        <w:t>Монгол Улсын Үндсэн хуулийн Арванхоёрдугаар зүйлийн 1 дэх хэсэгт “Монгол Улсын тусгаар тогтнол, бүрэн эрхт байдлын бэлгэ тэмдэг нь Төрийн сүлд, туг, далбаа, тамга, дуулал мөн.”, 2 дахь хэсэгт “Төрийн сүлд, туг, далбаа, дуулал нь Монголын ард түмний түүхэн уламжлал, хүсэл тэмүүлэл, эв нэгдэл, шударга ёс, цог хийморийг илэрхийлнэ.” гэж тус тус заасан бөгөөд төрийн бэлгэ тэмдгийг дээдлэн хэрэглэх эрх зүйн суурь үзэл баримтлалыг тогтоосон байна.</w:t>
      </w:r>
    </w:p>
    <w:p w14:paraId="679FA337" w14:textId="135A6FCE" w:rsidR="00DC76D3" w:rsidRPr="007671C8" w:rsidRDefault="00000000" w:rsidP="005873C5">
      <w:pPr>
        <w:spacing w:after="80"/>
        <w:ind w:firstLine="709"/>
        <w:jc w:val="both"/>
        <w:rPr>
          <w:rFonts w:ascii="Arial" w:hAnsi="Arial" w:cs="Arial"/>
          <w:noProof/>
          <w:sz w:val="22"/>
          <w:lang w:val="ru-RU"/>
        </w:rPr>
      </w:pPr>
      <w:r w:rsidRPr="007671C8">
        <w:rPr>
          <w:rFonts w:ascii="Arial" w:hAnsi="Arial" w:cs="Arial"/>
          <w:noProof/>
          <w:sz w:val="22"/>
          <w:lang w:val="ru-RU"/>
        </w:rPr>
        <w:t xml:space="preserve">Төрийн бэлгэ тэмдгийн тухай хуулиар төрийн далбааг байнга мандуулах, түр мандуулах болон төрийн ёслол, хүндэтгэлийн үед хэрэглэх журмыг зохицуулж, мөн иргэд, өрх, аж ахуйн нэгж, байгууллага төрийн бэлгэ тэмдгээ гүнээ дээдлэн хүндэтгэж, барих, байрлуулах, мандуулах эрх чөлөөг хуульчилсан байна. Гэвч </w:t>
      </w:r>
      <w:r w:rsidR="00E172A5" w:rsidRPr="007671C8">
        <w:rPr>
          <w:rFonts w:ascii="Arial" w:hAnsi="Arial" w:cs="Arial"/>
          <w:noProof/>
          <w:sz w:val="22"/>
          <w:lang w:val="ru-RU"/>
        </w:rPr>
        <w:t>Е</w:t>
      </w:r>
      <w:r w:rsidRPr="007671C8">
        <w:rPr>
          <w:rFonts w:ascii="Arial" w:hAnsi="Arial" w:cs="Arial"/>
          <w:noProof/>
          <w:sz w:val="22"/>
          <w:lang w:val="ru-RU"/>
        </w:rPr>
        <w:t xml:space="preserve">рөнхий боловсролын сургуулийг төрийн далбааг мандуулах газрын хүрээнд тусгайлан нэрлэж зохицуулаагүй байгаа тул сургуулиудын практик </w:t>
      </w:r>
      <w:r w:rsidR="005873C5" w:rsidRPr="007671C8">
        <w:rPr>
          <w:rFonts w:ascii="Arial" w:hAnsi="Arial" w:cs="Arial"/>
          <w:noProof/>
          <w:sz w:val="22"/>
          <w:lang w:val="ru-RU"/>
        </w:rPr>
        <w:t>х</w:t>
      </w:r>
      <w:r w:rsidR="005873C5" w:rsidRPr="007671C8">
        <w:rPr>
          <w:rFonts w:ascii="Arial" w:hAnsi="Arial" w:cs="Arial"/>
          <w:noProof/>
          <w:sz w:val="22"/>
          <w:lang w:val="x-none"/>
        </w:rPr>
        <w:t xml:space="preserve">эрэгжилт </w:t>
      </w:r>
      <w:r w:rsidRPr="007671C8">
        <w:rPr>
          <w:rFonts w:ascii="Arial" w:hAnsi="Arial" w:cs="Arial"/>
          <w:noProof/>
          <w:sz w:val="22"/>
          <w:lang w:val="ru-RU"/>
        </w:rPr>
        <w:t>харилцан адилгүй, нэгдсэн жишиггүй байна.</w:t>
      </w:r>
    </w:p>
    <w:p w14:paraId="69469071" w14:textId="7F5B9BBC" w:rsidR="00DC76D3" w:rsidRPr="007671C8" w:rsidRDefault="00000000" w:rsidP="005873C5">
      <w:pPr>
        <w:spacing w:after="80"/>
        <w:ind w:firstLine="709"/>
        <w:jc w:val="both"/>
        <w:rPr>
          <w:rFonts w:ascii="Arial" w:hAnsi="Arial" w:cs="Arial"/>
          <w:noProof/>
          <w:sz w:val="22"/>
          <w:lang w:val="ru-RU"/>
        </w:rPr>
      </w:pPr>
      <w:r w:rsidRPr="007671C8">
        <w:rPr>
          <w:rFonts w:ascii="Arial" w:hAnsi="Arial" w:cs="Arial"/>
          <w:noProof/>
          <w:sz w:val="22"/>
          <w:lang w:val="ru-RU"/>
        </w:rPr>
        <w:t xml:space="preserve">Боловсролын ерөнхий хуулийн 14.4.1-д бүх түвшний боловсролын сургалтын хөтөлбөрт монголын түүх, соёл, үндэсний өв уламжлал, зан заншил, эх оронч сэтгэлгээ, төлөвшлийн агуулгыг заавал тусгаж хэрэгжүүлэхээр заасан. Иймд </w:t>
      </w:r>
      <w:r w:rsidR="005873C5" w:rsidRPr="007671C8">
        <w:rPr>
          <w:rFonts w:ascii="Arial" w:hAnsi="Arial" w:cs="Arial"/>
          <w:noProof/>
          <w:sz w:val="22"/>
          <w:lang w:val="x-none"/>
        </w:rPr>
        <w:t>е</w:t>
      </w:r>
      <w:r w:rsidRPr="007671C8">
        <w:rPr>
          <w:rFonts w:ascii="Arial" w:hAnsi="Arial" w:cs="Arial"/>
          <w:noProof/>
          <w:sz w:val="22"/>
          <w:lang w:val="ru-RU"/>
        </w:rPr>
        <w:t>рөнхий боловсролын сургуулийн орчинд төрийн далбааг зүй зохистой, хүндэтгэлтэй хэрэглэх эрх зүйн үндсийг тодорхой болгох нь Үндсэн хууль, боловсролын бодлого, иргэний төлөвшлийн зорилттой уялдсан шаардлага мөн.</w:t>
      </w:r>
    </w:p>
    <w:p w14:paraId="11FD2DC7" w14:textId="6DF9170C" w:rsidR="00DC76D3" w:rsidRPr="007671C8" w:rsidRDefault="00000000" w:rsidP="005873C5">
      <w:pPr>
        <w:spacing w:after="80"/>
        <w:ind w:firstLine="709"/>
        <w:jc w:val="both"/>
        <w:rPr>
          <w:rFonts w:ascii="Arial" w:hAnsi="Arial" w:cs="Arial"/>
          <w:noProof/>
          <w:sz w:val="22"/>
          <w:lang w:val="ru-RU"/>
        </w:rPr>
      </w:pPr>
      <w:r w:rsidRPr="007671C8">
        <w:rPr>
          <w:rFonts w:ascii="Arial" w:hAnsi="Arial" w:cs="Arial"/>
          <w:noProof/>
          <w:sz w:val="22"/>
          <w:lang w:val="ru-RU"/>
        </w:rPr>
        <w:t xml:space="preserve">Хуулийн төсөлд Төрийн бэлгэ тэмдгийн тухай хуулийн 13 дугаар зүйлийн </w:t>
      </w:r>
      <w:r w:rsidR="005873C5" w:rsidRPr="007671C8">
        <w:rPr>
          <w:rFonts w:ascii="Arial" w:hAnsi="Arial" w:cs="Arial"/>
          <w:noProof/>
          <w:sz w:val="22"/>
          <w:lang w:val="ru-RU"/>
        </w:rPr>
        <w:t>2</w:t>
      </w:r>
      <w:r w:rsidRPr="007671C8">
        <w:rPr>
          <w:rFonts w:ascii="Arial" w:hAnsi="Arial" w:cs="Arial"/>
          <w:noProof/>
          <w:sz w:val="22"/>
          <w:lang w:val="ru-RU"/>
        </w:rPr>
        <w:t xml:space="preserve"> д</w:t>
      </w:r>
      <w:r w:rsidR="005873C5" w:rsidRPr="007671C8">
        <w:rPr>
          <w:rFonts w:ascii="Arial" w:hAnsi="Arial" w:cs="Arial"/>
          <w:noProof/>
          <w:sz w:val="22"/>
          <w:lang w:val="x-none"/>
        </w:rPr>
        <w:t>ахь</w:t>
      </w:r>
      <w:r w:rsidRPr="007671C8">
        <w:rPr>
          <w:rFonts w:ascii="Arial" w:hAnsi="Arial" w:cs="Arial"/>
          <w:noProof/>
          <w:sz w:val="22"/>
          <w:lang w:val="ru-RU"/>
        </w:rPr>
        <w:t xml:space="preserve"> хэсэгт </w:t>
      </w:r>
      <w:r w:rsidR="005873C5" w:rsidRPr="007671C8">
        <w:rPr>
          <w:rFonts w:ascii="Arial" w:hAnsi="Arial" w:cs="Arial"/>
          <w:b/>
          <w:bCs/>
          <w:noProof/>
          <w:sz w:val="22"/>
          <w:lang w:val="ru-RU"/>
        </w:rPr>
        <w:t>“Ерөнхий боловсролын сургуульд хичээл, сургалтын үйл ажиллагаа явагдаж байгаа хугацаанд Төрийн далбааг мандуулна”</w:t>
      </w:r>
      <w:r w:rsidR="005873C5" w:rsidRPr="007671C8">
        <w:rPr>
          <w:rFonts w:ascii="Arial" w:hAnsi="Arial" w:cs="Arial"/>
          <w:noProof/>
          <w:sz w:val="22"/>
          <w:lang w:val="ru-RU"/>
        </w:rPr>
        <w:t xml:space="preserve"> г</w:t>
      </w:r>
      <w:r w:rsidR="005873C5" w:rsidRPr="007671C8">
        <w:rPr>
          <w:rFonts w:ascii="Arial" w:hAnsi="Arial" w:cs="Arial"/>
          <w:noProof/>
          <w:sz w:val="22"/>
          <w:lang w:val="x-none"/>
        </w:rPr>
        <w:t xml:space="preserve">эж </w:t>
      </w:r>
      <w:r w:rsidR="00075FF7" w:rsidRPr="007671C8">
        <w:rPr>
          <w:rFonts w:ascii="Arial" w:hAnsi="Arial" w:cs="Arial"/>
          <w:noProof/>
          <w:sz w:val="22"/>
          <w:lang w:val="x-none"/>
        </w:rPr>
        <w:t xml:space="preserve">5 дахь заалт </w:t>
      </w:r>
      <w:r w:rsidRPr="007671C8">
        <w:rPr>
          <w:rFonts w:ascii="Arial" w:hAnsi="Arial" w:cs="Arial"/>
          <w:noProof/>
          <w:sz w:val="22"/>
          <w:lang w:val="ru-RU"/>
        </w:rPr>
        <w:t xml:space="preserve">нэмэхээр тусгасан. Ингэснээр сургуулийн орчинд төрийн далбааг </w:t>
      </w:r>
      <w:r w:rsidR="005873C5" w:rsidRPr="007671C8">
        <w:rPr>
          <w:rFonts w:ascii="Arial" w:hAnsi="Arial" w:cs="Arial"/>
          <w:noProof/>
          <w:sz w:val="22"/>
          <w:lang w:val="ru-RU"/>
        </w:rPr>
        <w:t>т</w:t>
      </w:r>
      <w:r w:rsidR="005873C5" w:rsidRPr="007671C8">
        <w:rPr>
          <w:rFonts w:ascii="Arial" w:hAnsi="Arial" w:cs="Arial"/>
          <w:noProof/>
          <w:sz w:val="22"/>
          <w:lang w:val="x-none"/>
        </w:rPr>
        <w:t xml:space="preserve">үр хугацаанд </w:t>
      </w:r>
      <w:r w:rsidRPr="007671C8">
        <w:rPr>
          <w:rFonts w:ascii="Arial" w:hAnsi="Arial" w:cs="Arial"/>
          <w:noProof/>
          <w:sz w:val="22"/>
          <w:lang w:val="ru-RU"/>
        </w:rPr>
        <w:t>мандуулах эрх зүйн үндэс тодорхой болж, суралцагчдад үндэсний бахархал, эх оронч үзэл, төрийн бэлгэ тэмдгийг дээдлэх ухамсрыг төлөвшүүлэхэд эерэг нөлөө үзүүлнэ.</w:t>
      </w:r>
    </w:p>
    <w:p w14:paraId="68AC2298" w14:textId="14FBC07E" w:rsidR="00DC76D3" w:rsidRPr="007671C8" w:rsidRDefault="00000000" w:rsidP="005873C5">
      <w:pPr>
        <w:spacing w:after="80"/>
        <w:ind w:firstLine="709"/>
        <w:jc w:val="both"/>
        <w:rPr>
          <w:rFonts w:ascii="Arial" w:hAnsi="Arial" w:cs="Arial"/>
          <w:noProof/>
          <w:sz w:val="22"/>
          <w:lang w:val="ru-RU"/>
        </w:rPr>
      </w:pPr>
      <w:r w:rsidRPr="007671C8">
        <w:rPr>
          <w:rFonts w:ascii="Arial" w:hAnsi="Arial" w:cs="Arial"/>
          <w:noProof/>
          <w:sz w:val="22"/>
          <w:lang w:val="ru-RU"/>
        </w:rPr>
        <w:t>Олон улсын харьцуулсан судалгаанаас үзэхэд Монгол Улсад Францын сургуулийн фасад, анги танхимд төрийн далбааг байнга харагдах байдлаар байршуулдаг загвар, Австралийн удирдамж, протоколд тулгуурлан уян хатан хэрэгжүүлдэг загвар, Сингапурын үндэсний боловсролтой уялдуулсан загвар нь илүү тохиромжтой байна. Харин Филиппиний долоо хоног тутмын заавал ёслолын загварыг шууд хуулбарлахгүйгээр, тэмдэглэлт өдөр болон сургуулийн онцгой тохиолдолд хэрэглэх зохицуулалтыг дараагийн шатны журам, зөвлөмжөөр тусгах нь илүү зохистой гэж үзэв.</w:t>
      </w:r>
    </w:p>
    <w:p w14:paraId="69AE853B" w14:textId="38D1EE34" w:rsidR="00284EBC" w:rsidRPr="007671C8" w:rsidRDefault="00000000" w:rsidP="005873C5">
      <w:pPr>
        <w:spacing w:after="80"/>
        <w:ind w:firstLine="709"/>
        <w:jc w:val="both"/>
        <w:rPr>
          <w:rFonts w:ascii="Arial" w:hAnsi="Arial" w:cs="Arial"/>
          <w:noProof/>
          <w:sz w:val="22"/>
          <w:lang w:val="ru-RU"/>
        </w:rPr>
      </w:pPr>
      <w:r w:rsidRPr="007671C8">
        <w:rPr>
          <w:rFonts w:ascii="Arial" w:hAnsi="Arial" w:cs="Arial"/>
          <w:noProof/>
          <w:sz w:val="22"/>
          <w:lang w:val="ru-RU"/>
        </w:rPr>
        <w:t>Хуулийн төсөл батлагдсанаар шинээр байгууллага байгуулах, орон тоо бий болгохгүйгээр одоо үйл ажиллагаа явуулж байгаа ерөнхий боловсролын сургуулийн хүрээнд хэрэгжих бөгөөд сургалтын болон хүмүүжлийн орчинд төрийн далбааг нэг мөр, хүндэтгэлтэй хэрэглэх эрх зүйн нөхцөл бүрдэнэ. Мөн хуулийн хэрэгжилтийг хангах зорилгоор холбогдох байгууллагаас хэрэгжүүлэх удирдамж, аргачлалыг батлан мөрдүүлэх боломжтой.</w:t>
      </w:r>
    </w:p>
    <w:p w14:paraId="08F03B9A" w14:textId="77777777" w:rsidR="00DC76D3" w:rsidRPr="007671C8" w:rsidRDefault="00DC76D3" w:rsidP="005873C5">
      <w:pPr>
        <w:rPr>
          <w:rFonts w:ascii="Arial" w:eastAsia="Arial" w:hAnsi="Arial" w:cs="Arial"/>
          <w:noProof/>
          <w:sz w:val="22"/>
          <w:lang w:val="ru-RU"/>
        </w:rPr>
      </w:pPr>
    </w:p>
    <w:p w14:paraId="2B1BA72F" w14:textId="77777777" w:rsidR="00DC76D3" w:rsidRPr="007671C8" w:rsidRDefault="00DC76D3" w:rsidP="005873C5">
      <w:pPr>
        <w:rPr>
          <w:rFonts w:ascii="Arial" w:eastAsia="Arial" w:hAnsi="Arial" w:cs="Arial"/>
          <w:noProof/>
          <w:sz w:val="22"/>
          <w:lang w:val="ru-RU"/>
        </w:rPr>
      </w:pPr>
    </w:p>
    <w:p w14:paraId="4079B5BC" w14:textId="77777777" w:rsidR="00DC76D3" w:rsidRPr="007671C8" w:rsidRDefault="00DC76D3" w:rsidP="005873C5">
      <w:pPr>
        <w:rPr>
          <w:rFonts w:ascii="Arial" w:eastAsia="Arial" w:hAnsi="Arial" w:cs="Arial"/>
          <w:noProof/>
          <w:sz w:val="22"/>
          <w:lang w:val="ru-RU"/>
        </w:rPr>
      </w:pPr>
    </w:p>
    <w:p w14:paraId="169CE96A" w14:textId="77777777" w:rsidR="00DC76D3" w:rsidRPr="007671C8" w:rsidRDefault="00DC76D3" w:rsidP="005873C5">
      <w:pPr>
        <w:jc w:val="center"/>
        <w:rPr>
          <w:rFonts w:ascii="Arial" w:eastAsia="Arial" w:hAnsi="Arial" w:cs="Arial"/>
          <w:noProof/>
          <w:sz w:val="22"/>
          <w:lang w:val="ru-RU"/>
        </w:rPr>
      </w:pPr>
    </w:p>
    <w:p w14:paraId="5BF1EEE9" w14:textId="183DD18E" w:rsidR="00E172A5" w:rsidRPr="007671C8" w:rsidRDefault="00E172A5" w:rsidP="005873C5">
      <w:pPr>
        <w:jc w:val="center"/>
        <w:rPr>
          <w:rFonts w:ascii="Arial" w:eastAsia="Arial" w:hAnsi="Arial" w:cs="Arial"/>
          <w:noProof/>
          <w:sz w:val="22"/>
          <w:lang w:val="ru-RU"/>
        </w:rPr>
      </w:pPr>
      <w:r w:rsidRPr="007671C8">
        <w:rPr>
          <w:rFonts w:ascii="Arial" w:eastAsia="Arial" w:hAnsi="Arial" w:cs="Arial"/>
          <w:noProof/>
          <w:sz w:val="22"/>
          <w:lang w:val="ru-RU"/>
        </w:rPr>
        <w:t>ХУУЛЬ САНААЧЛАГЧ</w:t>
      </w:r>
    </w:p>
    <w:p w14:paraId="2AD61D43" w14:textId="77777777" w:rsidR="009C7588" w:rsidRPr="007671C8" w:rsidRDefault="009C7588" w:rsidP="009C7588">
      <w:pPr>
        <w:jc w:val="center"/>
        <w:rPr>
          <w:rFonts w:ascii="Arial" w:hAnsi="Arial" w:cs="Arial"/>
          <w:noProof/>
          <w:sz w:val="22"/>
          <w:lang w:val="ru-RU"/>
        </w:rPr>
      </w:pPr>
      <w:r w:rsidRPr="007671C8">
        <w:rPr>
          <w:rFonts w:ascii="Arial" w:hAnsi="Arial" w:cs="Arial"/>
          <w:noProof/>
          <w:sz w:val="22"/>
          <w:lang w:val="ru-RU"/>
        </w:rPr>
        <w:t>---oOo---</w:t>
      </w:r>
    </w:p>
    <w:p w14:paraId="710368BD" w14:textId="77777777" w:rsidR="009C7588" w:rsidRPr="007671C8" w:rsidRDefault="009C7588" w:rsidP="005873C5">
      <w:pPr>
        <w:jc w:val="center"/>
        <w:rPr>
          <w:rFonts w:ascii="Arial" w:eastAsia="Arial" w:hAnsi="Arial" w:cs="Arial"/>
          <w:noProof/>
          <w:sz w:val="22"/>
          <w:lang w:val="ru-RU"/>
        </w:rPr>
      </w:pPr>
    </w:p>
    <w:p w14:paraId="38E24806" w14:textId="77777777" w:rsidR="00E172A5" w:rsidRPr="007671C8" w:rsidRDefault="00E172A5" w:rsidP="005873C5">
      <w:pPr>
        <w:spacing w:after="80"/>
        <w:ind w:firstLine="709"/>
        <w:jc w:val="both"/>
        <w:rPr>
          <w:rFonts w:ascii="Arial" w:hAnsi="Arial" w:cs="Arial"/>
          <w:noProof/>
          <w:sz w:val="22"/>
          <w:lang w:val="ru-RU"/>
        </w:rPr>
      </w:pPr>
    </w:p>
    <w:sectPr w:rsidR="00E172A5" w:rsidRPr="007671C8" w:rsidSect="007671C8">
      <w:pgSz w:w="11900" w:h="16840"/>
      <w:pgMar w:top="1134" w:right="851" w:bottom="1361"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1861730">
    <w:abstractNumId w:val="8"/>
  </w:num>
  <w:num w:numId="2" w16cid:durableId="831028474">
    <w:abstractNumId w:val="6"/>
  </w:num>
  <w:num w:numId="3" w16cid:durableId="1470054748">
    <w:abstractNumId w:val="5"/>
  </w:num>
  <w:num w:numId="4" w16cid:durableId="1097365373">
    <w:abstractNumId w:val="4"/>
  </w:num>
  <w:num w:numId="5" w16cid:durableId="1435322936">
    <w:abstractNumId w:val="7"/>
  </w:num>
  <w:num w:numId="6" w16cid:durableId="1957563014">
    <w:abstractNumId w:val="3"/>
  </w:num>
  <w:num w:numId="7" w16cid:durableId="688989701">
    <w:abstractNumId w:val="2"/>
  </w:num>
  <w:num w:numId="8" w16cid:durableId="342712166">
    <w:abstractNumId w:val="1"/>
  </w:num>
  <w:num w:numId="9" w16cid:durableId="173311584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FF7"/>
    <w:rsid w:val="0015074B"/>
    <w:rsid w:val="001C39E4"/>
    <w:rsid w:val="002039CF"/>
    <w:rsid w:val="00284EBC"/>
    <w:rsid w:val="0029639D"/>
    <w:rsid w:val="00326F90"/>
    <w:rsid w:val="003A4E95"/>
    <w:rsid w:val="005873C5"/>
    <w:rsid w:val="007671C8"/>
    <w:rsid w:val="008F4665"/>
    <w:rsid w:val="009C7588"/>
    <w:rsid w:val="009E24DB"/>
    <w:rsid w:val="00AA1D8D"/>
    <w:rsid w:val="00B47730"/>
    <w:rsid w:val="00BF08E1"/>
    <w:rsid w:val="00CB0664"/>
    <w:rsid w:val="00D25F6C"/>
    <w:rsid w:val="00D45CE0"/>
    <w:rsid w:val="00DC76D3"/>
    <w:rsid w:val="00E172A5"/>
    <w:rsid w:val="00ED45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26545"/>
  <w14:defaultImageDpi w14:val="300"/>
  <w15:docId w15:val="{366A6B8E-33E1-9144-B87C-7D382ACD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dorjdagvatsoodol@gmail.com</cp:lastModifiedBy>
  <cp:revision>12</cp:revision>
  <dcterms:created xsi:type="dcterms:W3CDTF">2026-04-05T19:45:00Z</dcterms:created>
  <dcterms:modified xsi:type="dcterms:W3CDTF">2026-06-18T13:24:00Z</dcterms:modified>
  <cp:category/>
</cp:coreProperties>
</file>