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92425" w14:textId="77777777" w:rsidR="00CC58C6" w:rsidRDefault="00CC58C6" w:rsidP="00CC58C6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БАТЛАВ.</w:t>
      </w:r>
    </w:p>
    <w:p w14:paraId="249C839F" w14:textId="5D18190A" w:rsidR="00CC58C6" w:rsidRDefault="00CC58C6" w:rsidP="00CC58C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УЛСЫН ИХ ХУРЛЫН ГИШҮҮН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ab/>
      </w:r>
      <w:r w:rsidR="0039593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ab/>
      </w:r>
      <w:r w:rsidR="0039593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ab/>
      </w:r>
      <w:r w:rsidR="0039593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ab/>
      </w:r>
      <w:r w:rsidR="0039593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ab/>
      </w:r>
      <w:r w:rsidR="00383E1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Ч.ЛОДОЙСАМБУУ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ab/>
        <w:t xml:space="preserve">                                       </w:t>
      </w:r>
    </w:p>
    <w:p w14:paraId="23723EFC" w14:textId="032D5A44" w:rsidR="00CC58C6" w:rsidRDefault="00CC58C6" w:rsidP="00CC58C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</w:p>
    <w:p w14:paraId="790B3AF8" w14:textId="3EE22E36" w:rsidR="0039593E" w:rsidRDefault="0039593E" w:rsidP="00CC58C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697715FC" w14:textId="6D55D061" w:rsidR="00CC58C6" w:rsidRDefault="00CC58C6" w:rsidP="00CC5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АВЛИГЫН ЭСРЭГ ХУУЛЬД НЭМЭЛТ</w:t>
      </w:r>
      <w:r w:rsidR="00383E1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, ӨӨРЧЛӨЛТ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 ОРУУЛАХ ТУХАЙ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br/>
        <w:t>ХУУЛИЙН ТӨСЛИЙН ҮЗЭЛ БАРИМТЛАЛ</w:t>
      </w:r>
    </w:p>
    <w:p w14:paraId="1893638E" w14:textId="77777777" w:rsidR="00CC58C6" w:rsidRDefault="00CC58C6" w:rsidP="00CC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14:paraId="695EED7D" w14:textId="77777777" w:rsidR="00CC58C6" w:rsidRDefault="00CC58C6" w:rsidP="00350A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Нэг. Хуулийн төсөл боловсруулах үндэслэл, шаардлага</w:t>
      </w:r>
    </w:p>
    <w:p w14:paraId="088F9CF3" w14:textId="77777777" w:rsidR="00CC0996" w:rsidRDefault="00CC0996" w:rsidP="00CC099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</w:p>
    <w:p w14:paraId="2A60C6CC" w14:textId="2BC08EB9" w:rsidR="00CC0996" w:rsidRDefault="00CC0996" w:rsidP="00CC099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Монгол Улсын Их Хурлаас Нэгдсэн Үндэстний Байгууллагын Ерөнхий Ассамблейн 2003 оны 10 дугаар сарын 31-ний өдрийн 58/4 тоот тогтоолоор баталсан Авлигын эсрэг НҮБ-ын Конвенцийг Монгол Улсын Засгийн газрын өргөн мэдүүлснээр 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2005 оны 10 дугаар сарын 27-ны өдөр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соёрхон баталсан. </w:t>
      </w:r>
    </w:p>
    <w:p w14:paraId="5AAE33DB" w14:textId="64D9E0F6" w:rsidR="00CC0996" w:rsidRPr="002F477C" w:rsidRDefault="00CC0996" w:rsidP="00161676">
      <w:pPr>
        <w:pStyle w:val="NormalWeb"/>
        <w:shd w:val="clear" w:color="auto" w:fill="FFFFFF"/>
        <w:spacing w:before="300" w:beforeAutospacing="0" w:after="300" w:afterAutospacing="0"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hd w:val="clear" w:color="auto" w:fill="FFFFFF"/>
          <w:lang w:val="mn-MN"/>
        </w:rPr>
        <w:t>Төрийн албаны тухай хуулийн 7 дугаар зүйлийн 7.1 дэх заалтад</w:t>
      </w:r>
      <w:r w:rsidRPr="00CC0996">
        <w:rPr>
          <w:rFonts w:ascii="Arial" w:hAnsi="Arial" w:cs="Arial"/>
          <w:sz w:val="22"/>
          <w:szCs w:val="22"/>
          <w:shd w:val="clear" w:color="auto" w:fill="FFFFFF"/>
          <w:lang w:val="mn-MN"/>
        </w:rPr>
        <w:t xml:space="preserve"> </w:t>
      </w:r>
      <w:r w:rsidRPr="00CC0996">
        <w:rPr>
          <w:rFonts w:ascii="Arial" w:hAnsi="Arial" w:cs="Arial"/>
          <w:shd w:val="clear" w:color="auto" w:fill="FFFFFF"/>
          <w:lang w:val="mn-MN"/>
        </w:rPr>
        <w:t>“</w:t>
      </w:r>
      <w:proofErr w:type="spellStart"/>
      <w:r w:rsidRPr="002F477C">
        <w:rPr>
          <w:rFonts w:ascii="Arial" w:hAnsi="Arial" w:cs="Arial"/>
          <w:color w:val="000000" w:themeColor="text1"/>
        </w:rPr>
        <w:t>Төрийн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албанд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Монгол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Улсын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Үндсэн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хуулийн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r w:rsidRPr="002F477C">
        <w:rPr>
          <w:rFonts w:ascii="Arial" w:hAnsi="Arial" w:cs="Arial"/>
          <w:color w:val="000000" w:themeColor="text1"/>
          <w:lang w:val="mn-MN"/>
        </w:rPr>
        <w:t xml:space="preserve">1 </w:t>
      </w:r>
      <w:proofErr w:type="spellStart"/>
      <w:r w:rsidRPr="002F477C">
        <w:rPr>
          <w:rFonts w:ascii="Arial" w:hAnsi="Arial" w:cs="Arial"/>
          <w:color w:val="000000" w:themeColor="text1"/>
        </w:rPr>
        <w:t>дүгээр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зүйлийн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2 </w:t>
      </w:r>
      <w:proofErr w:type="spellStart"/>
      <w:r w:rsidRPr="002F477C">
        <w:rPr>
          <w:rFonts w:ascii="Arial" w:hAnsi="Arial" w:cs="Arial"/>
          <w:color w:val="000000" w:themeColor="text1"/>
        </w:rPr>
        <w:t>дахь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хэсэгт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заасан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ардчилсан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ёс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шударга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ёс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эрх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чөлөө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тэгш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байдал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үндэсний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эв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нэгдлийг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хангах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хууль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дээдлэх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зарчмаас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гадна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дараахь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зарчмыг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баримтална</w:t>
      </w:r>
      <w:proofErr w:type="spellEnd"/>
      <w:r w:rsidRPr="002F477C">
        <w:rPr>
          <w:rFonts w:ascii="Arial" w:hAnsi="Arial" w:cs="Arial"/>
          <w:color w:val="000000" w:themeColor="text1"/>
        </w:rPr>
        <w:t>:</w:t>
      </w:r>
    </w:p>
    <w:p w14:paraId="680851F1" w14:textId="77777777" w:rsidR="00CC0996" w:rsidRPr="002F477C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1.ард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түмэнд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үйлчлэх</w:t>
      </w:r>
      <w:proofErr w:type="spellEnd"/>
      <w:r w:rsidRPr="002F477C">
        <w:rPr>
          <w:rFonts w:ascii="Arial" w:hAnsi="Arial" w:cs="Arial"/>
          <w:color w:val="000000" w:themeColor="text1"/>
        </w:rPr>
        <w:t>;</w:t>
      </w:r>
    </w:p>
    <w:p w14:paraId="223C6E48" w14:textId="77777777" w:rsidR="00CC0996" w:rsidRPr="002F477C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2.мэргэшсэн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тогтвортой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байх</w:t>
      </w:r>
      <w:proofErr w:type="spellEnd"/>
      <w:r w:rsidRPr="002F477C">
        <w:rPr>
          <w:rFonts w:ascii="Arial" w:hAnsi="Arial" w:cs="Arial"/>
          <w:color w:val="000000" w:themeColor="text1"/>
        </w:rPr>
        <w:t>;</w:t>
      </w:r>
    </w:p>
    <w:p w14:paraId="035F90EF" w14:textId="77777777" w:rsidR="00CC0996" w:rsidRPr="002F477C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3.улс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төрийн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албан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хаагчаас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бусад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төрийн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албан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хаагч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улс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төрийн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нам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эвслийн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үйл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ажиллагаанаас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ангид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байх</w:t>
      </w:r>
      <w:proofErr w:type="spellEnd"/>
      <w:r w:rsidRPr="002F477C">
        <w:rPr>
          <w:rFonts w:ascii="Arial" w:hAnsi="Arial" w:cs="Arial"/>
          <w:color w:val="000000" w:themeColor="text1"/>
        </w:rPr>
        <w:t>;</w:t>
      </w:r>
    </w:p>
    <w:p w14:paraId="0447CCF6" w14:textId="77777777" w:rsidR="00CC0996" w:rsidRPr="002F477C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4.Монгол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Улсын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иргэн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төрийн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алба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хаах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адил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тэгш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боломжоор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хангагдах</w:t>
      </w:r>
      <w:proofErr w:type="spellEnd"/>
      <w:r w:rsidRPr="002F477C">
        <w:rPr>
          <w:rFonts w:ascii="Arial" w:hAnsi="Arial" w:cs="Arial"/>
          <w:color w:val="000000" w:themeColor="text1"/>
        </w:rPr>
        <w:t>;</w:t>
      </w:r>
    </w:p>
    <w:p w14:paraId="518EAC51" w14:textId="77777777" w:rsidR="00CC0996" w:rsidRPr="002F477C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5.төрийн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жинхэнэ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албан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тушаалд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иргэнийг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томилохдоо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гагцхүү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чадахуйн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зарчмыг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баримтлах</w:t>
      </w:r>
      <w:proofErr w:type="spellEnd"/>
      <w:r w:rsidRPr="002F477C">
        <w:rPr>
          <w:rFonts w:ascii="Arial" w:hAnsi="Arial" w:cs="Arial"/>
          <w:color w:val="000000" w:themeColor="text1"/>
        </w:rPr>
        <w:t>;</w:t>
      </w:r>
    </w:p>
    <w:p w14:paraId="69758D0B" w14:textId="77777777" w:rsidR="00CC0996" w:rsidRPr="002F477C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6.ил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тод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байх</w:t>
      </w:r>
      <w:proofErr w:type="spellEnd"/>
      <w:r w:rsidRPr="002F477C">
        <w:rPr>
          <w:rFonts w:ascii="Arial" w:hAnsi="Arial" w:cs="Arial"/>
          <w:color w:val="000000" w:themeColor="text1"/>
        </w:rPr>
        <w:t>;</w:t>
      </w:r>
    </w:p>
    <w:p w14:paraId="5DB0D53B" w14:textId="77777777" w:rsidR="00CC0996" w:rsidRPr="002F477C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 w:themeColor="text1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7.ашиг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сонирхлын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зөрчлөөс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ангид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байх</w:t>
      </w:r>
      <w:proofErr w:type="spellEnd"/>
      <w:r w:rsidRPr="002F477C">
        <w:rPr>
          <w:rFonts w:ascii="Arial" w:hAnsi="Arial" w:cs="Arial"/>
          <w:color w:val="000000" w:themeColor="text1"/>
        </w:rPr>
        <w:t>;</w:t>
      </w:r>
    </w:p>
    <w:p w14:paraId="63F12A66" w14:textId="48BC1D19" w:rsidR="00CC0996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lang w:val="mn-MN"/>
        </w:rPr>
      </w:pPr>
      <w:r w:rsidRPr="002F477C">
        <w:rPr>
          <w:rFonts w:ascii="Arial" w:hAnsi="Arial" w:cs="Arial"/>
          <w:color w:val="000000" w:themeColor="text1"/>
        </w:rPr>
        <w:t>7.1.</w:t>
      </w:r>
      <w:proofErr w:type="gramStart"/>
      <w:r w:rsidRPr="002F477C">
        <w:rPr>
          <w:rFonts w:ascii="Arial" w:hAnsi="Arial" w:cs="Arial"/>
          <w:color w:val="000000" w:themeColor="text1"/>
        </w:rPr>
        <w:t>8.захирах</w:t>
      </w:r>
      <w:proofErr w:type="gramEnd"/>
      <w:r w:rsidRPr="002F47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F477C">
        <w:rPr>
          <w:rFonts w:ascii="Arial" w:hAnsi="Arial" w:cs="Arial"/>
          <w:color w:val="000000" w:themeColor="text1"/>
        </w:rPr>
        <w:t>захирагдах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ёсыг</w:t>
      </w:r>
      <w:proofErr w:type="spellEnd"/>
      <w:r w:rsidRPr="002F47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F477C">
        <w:rPr>
          <w:rFonts w:ascii="Arial" w:hAnsi="Arial" w:cs="Arial"/>
          <w:color w:val="000000" w:themeColor="text1"/>
        </w:rPr>
        <w:t>баримтлах</w:t>
      </w:r>
      <w:proofErr w:type="spellEnd"/>
      <w:r w:rsidRPr="002F477C">
        <w:rPr>
          <w:rFonts w:ascii="Arial" w:hAnsi="Arial" w:cs="Arial"/>
          <w:color w:val="000000" w:themeColor="text1"/>
          <w:lang w:val="mn-MN"/>
        </w:rPr>
        <w:t>” гэж заасан</w:t>
      </w:r>
      <w:r>
        <w:rPr>
          <w:rFonts w:ascii="Arial" w:hAnsi="Arial" w:cs="Arial"/>
          <w:color w:val="333333"/>
          <w:lang w:val="mn-MN"/>
        </w:rPr>
        <w:t>.</w:t>
      </w:r>
    </w:p>
    <w:p w14:paraId="73B533D3" w14:textId="77777777" w:rsidR="00CC0996" w:rsidRPr="00D16D7F" w:rsidRDefault="00CC0996" w:rsidP="00CC0996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7D3A0C55" w14:textId="2C22FD28" w:rsidR="00CC58C6" w:rsidRDefault="00CC58C6" w:rsidP="00CC58C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Түүнчлэн Монгол Улсын Их Хурлын 2023 оны 06 дугаар сарын 30-ны өдрийн 59 дүгээр тогтоолоор </w:t>
      </w:r>
      <w:r w:rsidR="00D16D7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“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Авлигатай тэмцэх үндэсний хөтөлбөр</w:t>
      </w:r>
      <w:r w:rsidR="00D16D7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”-ийг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баталсан. Уг хөтөлбөрийн зорилго 2-т “Олон нийтийн итгэлийг хүлээсэн авлигаас ангид нийт</w:t>
      </w:r>
      <w:r w:rsidR="00D16D7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ийн албыг бэхжүүлнэ” гэж заасан. </w:t>
      </w:r>
    </w:p>
    <w:p w14:paraId="36F8134B" w14:textId="77777777" w:rsidR="00CC58C6" w:rsidRDefault="00CC58C6" w:rsidP="00CC58C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</w:p>
    <w:p w14:paraId="0D42374E" w14:textId="40427482" w:rsidR="00CC58C6" w:rsidRDefault="00D16D7F" w:rsidP="002F477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2</w:t>
      </w:r>
      <w:r w:rsidR="00D47DA9">
        <w:rPr>
          <w:rFonts w:ascii="Arial" w:eastAsia="Times New Roman" w:hAnsi="Arial" w:cs="Arial"/>
          <w:sz w:val="24"/>
          <w:szCs w:val="24"/>
          <w:lang w:val="mn-MN"/>
        </w:rPr>
        <w:t>020</w:t>
      </w:r>
      <w:r w:rsidR="00CC58C6">
        <w:rPr>
          <w:rFonts w:ascii="Arial" w:eastAsia="Times New Roman" w:hAnsi="Arial" w:cs="Arial"/>
          <w:sz w:val="24"/>
          <w:szCs w:val="24"/>
          <w:lang w:val="mn-MN"/>
        </w:rPr>
        <w:t xml:space="preserve"> оны байдлаар Монгол Улсын Засгийн газрын гишүүдийн хөрөнгө 125,306,840,000.00 /Зуун хорин таван тэрбум гурван зуун зургаан сая/</w:t>
      </w:r>
      <w:r w:rsidR="002F477C">
        <w:rPr>
          <w:rFonts w:ascii="Arial" w:eastAsia="Times New Roman" w:hAnsi="Arial" w:cs="Arial"/>
          <w:sz w:val="24"/>
          <w:szCs w:val="24"/>
          <w:lang w:val="mn-MN"/>
        </w:rPr>
        <w:t xml:space="preserve"> төгрөг орчим байна. Тодруулбал, </w:t>
      </w:r>
      <w:bookmarkStart w:id="0" w:name="_GoBack"/>
      <w:bookmarkEnd w:id="0"/>
      <w:r w:rsidR="00CC58C6">
        <w:rPr>
          <w:rFonts w:ascii="Arial" w:eastAsia="Times New Roman" w:hAnsi="Arial" w:cs="Arial"/>
          <w:sz w:val="24"/>
          <w:szCs w:val="24"/>
          <w:lang w:val="mn-MN"/>
        </w:rPr>
        <w:t xml:space="preserve">50 тэрбум төгрөгөөс дээш хөрөнгө орлоготой Засгийн газрын гишүүн нэг, 10 тэрбум төгрөгөөс дээш хөрөнгө орлоготой Засгийн газрын гишүүн дөрөв, 1-10 тэрбум төгрөгийн хөрөнгө орлоготой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Засгийн газрын гишүүн 13, </w:t>
      </w:r>
      <w:r w:rsidR="00CC58C6">
        <w:rPr>
          <w:rFonts w:ascii="Arial" w:eastAsia="Times New Roman" w:hAnsi="Arial" w:cs="Arial"/>
          <w:sz w:val="24"/>
          <w:szCs w:val="24"/>
          <w:lang w:val="mn-MN"/>
        </w:rPr>
        <w:t xml:space="preserve">1 тэрбум хүртэлх төгрөгийн хөрөнгө, орлоготой гурав байна. </w:t>
      </w:r>
    </w:p>
    <w:p w14:paraId="40507331" w14:textId="77777777" w:rsidR="00CC58C6" w:rsidRDefault="00CC58C6" w:rsidP="00CC58C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4FC3AE1" w14:textId="47ED5D41" w:rsidR="00CC58C6" w:rsidRDefault="00D16D7F" w:rsidP="0063611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Хэдийгээр </w:t>
      </w:r>
      <w:r w:rsidR="00CC58C6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Үндсэн хуульд хувийн өмчийн бүх хэлбэрийг зөвшөөрсөн, иргэд шударгаар хөдлөх, үл хөдлөх хөрөнгө олж авах, эзэмших, өмчлөх эрхтэй </w:t>
      </w:r>
      <w:r>
        <w:rPr>
          <w:rFonts w:ascii="Arial" w:eastAsia="Times New Roman" w:hAnsi="Arial" w:cs="Arial"/>
          <w:sz w:val="24"/>
          <w:szCs w:val="24"/>
          <w:lang w:val="mn-MN"/>
        </w:rPr>
        <w:t>ч</w:t>
      </w:r>
      <w:r w:rsidR="00CC58C6">
        <w:rPr>
          <w:rFonts w:ascii="Arial" w:eastAsia="Times New Roman" w:hAnsi="Arial" w:cs="Arial"/>
          <w:sz w:val="24"/>
          <w:szCs w:val="24"/>
          <w:lang w:val="mn-MN"/>
        </w:rPr>
        <w:t xml:space="preserve"> Засгийн газрын гишүүд эдгээр хөрөнгө орлогыг шудараар олж авсан эсэх, нийтэд ил мэдээлсэн эдгээр хөрөнгө орлогодоо хуулиар тогтоосон татвар төлсөн эсэх </w:t>
      </w:r>
      <w:r>
        <w:rPr>
          <w:rFonts w:ascii="Arial" w:eastAsia="Times New Roman" w:hAnsi="Arial" w:cs="Arial"/>
          <w:sz w:val="24"/>
          <w:szCs w:val="24"/>
          <w:lang w:val="mn-MN"/>
        </w:rPr>
        <w:t>нь тодорхойгүй байна. Өөрөөр хэлбэл</w:t>
      </w:r>
      <w:r w:rsidR="00CC58C6">
        <w:rPr>
          <w:rFonts w:ascii="Arial" w:eastAsia="Times New Roman" w:hAnsi="Arial" w:cs="Arial"/>
          <w:sz w:val="24"/>
          <w:szCs w:val="24"/>
          <w:lang w:val="mn-MN"/>
        </w:rPr>
        <w:t xml:space="preserve"> Засгийн газрын гишүүд хөрөнгө орлогын мэдүүлэгтээ дурдсан хөрөнгө орлогыг шударгаар олж авсан эсэх нь олон нийтэд тодорхой бус байна. </w:t>
      </w:r>
    </w:p>
    <w:p w14:paraId="1AAA2146" w14:textId="77777777" w:rsidR="00350AA7" w:rsidRDefault="00636115" w:rsidP="007C5E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Үүнээс гадна </w:t>
      </w:r>
      <w:r w:rsidRPr="0063611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ransparency International</w:t>
      </w:r>
      <w:r>
        <w:rPr>
          <w:rFonts w:ascii="Arial" w:hAnsi="Arial" w:cs="Arial"/>
          <w:sz w:val="24"/>
          <w:szCs w:val="24"/>
          <w:lang w:val="mn-MN"/>
        </w:rPr>
        <w:t xml:space="preserve"> байгууллагаас</w:t>
      </w:r>
      <w:r w:rsidRPr="00636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гаргасан </w:t>
      </w:r>
      <w:r w:rsidRPr="00636115">
        <w:rPr>
          <w:rFonts w:ascii="Arial" w:hAnsi="Arial" w:cs="Arial"/>
          <w:sz w:val="24"/>
          <w:szCs w:val="24"/>
        </w:rPr>
        <w:t xml:space="preserve">2025 </w:t>
      </w:r>
      <w:proofErr w:type="spellStart"/>
      <w:r w:rsidRPr="00636115">
        <w:rPr>
          <w:rFonts w:ascii="Arial" w:hAnsi="Arial" w:cs="Arial"/>
          <w:sz w:val="24"/>
          <w:szCs w:val="24"/>
        </w:rPr>
        <w:t>он</w:t>
      </w:r>
      <w:proofErr w:type="spellEnd"/>
      <w:r>
        <w:rPr>
          <w:rFonts w:ascii="Arial" w:hAnsi="Arial" w:cs="Arial"/>
          <w:sz w:val="24"/>
          <w:szCs w:val="24"/>
          <w:lang w:val="mn-MN"/>
        </w:rPr>
        <w:t>ы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“</w:t>
      </w:r>
      <w:proofErr w:type="spellStart"/>
      <w:r w:rsidRPr="00636115">
        <w:rPr>
          <w:rFonts w:ascii="Arial" w:hAnsi="Arial" w:cs="Arial"/>
          <w:sz w:val="24"/>
          <w:szCs w:val="24"/>
        </w:rPr>
        <w:t>Авлигын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төсөөллийн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индекс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(CPI)</w:t>
      </w:r>
      <w:r>
        <w:rPr>
          <w:rFonts w:ascii="Arial" w:hAnsi="Arial" w:cs="Arial"/>
          <w:sz w:val="24"/>
          <w:szCs w:val="24"/>
          <w:lang w:val="mn-MN"/>
        </w:rPr>
        <w:t>”</w:t>
      </w:r>
      <w:r w:rsidRPr="00636115">
        <w:rPr>
          <w:rFonts w:ascii="Arial" w:hAnsi="Arial" w:cs="Arial"/>
          <w:sz w:val="24"/>
          <w:szCs w:val="24"/>
        </w:rPr>
        <w:t>-</w:t>
      </w:r>
      <w:r w:rsidR="00350AA7">
        <w:rPr>
          <w:rFonts w:ascii="Arial" w:hAnsi="Arial" w:cs="Arial"/>
          <w:sz w:val="24"/>
          <w:szCs w:val="24"/>
          <w:lang w:val="mn-MN"/>
        </w:rPr>
        <w:t xml:space="preserve">ээр </w:t>
      </w:r>
      <w:proofErr w:type="spellStart"/>
      <w:r w:rsidRPr="00636115">
        <w:rPr>
          <w:rFonts w:ascii="Arial" w:hAnsi="Arial" w:cs="Arial"/>
          <w:sz w:val="24"/>
          <w:szCs w:val="24"/>
        </w:rPr>
        <w:t>Монгол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Улс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31 </w:t>
      </w:r>
      <w:proofErr w:type="spellStart"/>
      <w:r w:rsidR="00350AA7">
        <w:rPr>
          <w:rFonts w:ascii="Arial" w:hAnsi="Arial" w:cs="Arial"/>
          <w:sz w:val="24"/>
          <w:szCs w:val="24"/>
        </w:rPr>
        <w:t>оноо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авч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, 182 </w:t>
      </w:r>
      <w:proofErr w:type="spellStart"/>
      <w:r w:rsidR="00350AA7">
        <w:rPr>
          <w:rFonts w:ascii="Arial" w:hAnsi="Arial" w:cs="Arial"/>
          <w:sz w:val="24"/>
          <w:szCs w:val="24"/>
        </w:rPr>
        <w:t>улсаас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124</w:t>
      </w:r>
      <w:r w:rsidR="00350AA7">
        <w:rPr>
          <w:rFonts w:ascii="Arial" w:hAnsi="Arial" w:cs="Arial"/>
          <w:sz w:val="24"/>
          <w:szCs w:val="24"/>
          <w:lang w:val="mn-MN"/>
        </w:rPr>
        <w:t>-р байрт</w:t>
      </w:r>
      <w:r w:rsidRPr="00636115">
        <w:rPr>
          <w:rFonts w:ascii="Arial" w:hAnsi="Arial" w:cs="Arial"/>
          <w:sz w:val="24"/>
          <w:szCs w:val="24"/>
        </w:rPr>
        <w:t xml:space="preserve"> </w:t>
      </w:r>
      <w:r w:rsidR="00350AA7">
        <w:rPr>
          <w:rFonts w:ascii="Arial" w:hAnsi="Arial" w:cs="Arial"/>
          <w:sz w:val="24"/>
          <w:szCs w:val="24"/>
          <w:lang w:val="mn-MN"/>
        </w:rPr>
        <w:t xml:space="preserve">орсон нь  </w:t>
      </w:r>
      <w:r w:rsidR="00350AA7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="00350AA7">
        <w:rPr>
          <w:rFonts w:ascii="Arial" w:hAnsi="Arial" w:cs="Arial"/>
          <w:sz w:val="24"/>
          <w:szCs w:val="24"/>
        </w:rPr>
        <w:t>он</w:t>
      </w:r>
      <w:proofErr w:type="spellEnd"/>
      <w:r w:rsidR="00350AA7">
        <w:rPr>
          <w:rFonts w:ascii="Arial" w:hAnsi="Arial" w:cs="Arial"/>
          <w:sz w:val="24"/>
          <w:szCs w:val="24"/>
          <w:lang w:val="mn-MN"/>
        </w:rPr>
        <w:t xml:space="preserve">той харьцуулахад 2 оноо 10 байраар ухарсан үзүүлэлт болж байна. </w:t>
      </w:r>
    </w:p>
    <w:p w14:paraId="690BE8A6" w14:textId="4C4C5E6C" w:rsidR="00636115" w:rsidRPr="00350AA7" w:rsidRDefault="00350AA7" w:rsidP="007C5EB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АТГ-</w:t>
      </w:r>
      <w:proofErr w:type="spellStart"/>
      <w:r>
        <w:rPr>
          <w:rFonts w:ascii="Arial" w:hAnsi="Arial" w:cs="Arial"/>
          <w:sz w:val="24"/>
          <w:szCs w:val="24"/>
        </w:rPr>
        <w:t>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үйл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ажиллагааны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тайланд дурдсанаар</w:t>
      </w:r>
      <w:r w:rsidR="00636115" w:rsidRPr="00636115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онд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авлигын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улмаас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674.7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тэрбум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төгрөгийн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хохирол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учирсан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нь өмнөх онтой харьцуулахад </w:t>
      </w:r>
      <w:r w:rsidR="00636115" w:rsidRPr="00636115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.7%-</w:t>
      </w:r>
      <w:proofErr w:type="spellStart"/>
      <w:r>
        <w:rPr>
          <w:rFonts w:ascii="Arial" w:hAnsi="Arial" w:cs="Arial"/>
          <w:sz w:val="24"/>
          <w:szCs w:val="24"/>
        </w:rPr>
        <w:t>иар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өссөн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  Мөн </w:t>
      </w:r>
      <w:r w:rsidR="00636115" w:rsidRPr="00636115">
        <w:rPr>
          <w:rFonts w:ascii="Arial" w:hAnsi="Arial" w:cs="Arial"/>
          <w:sz w:val="24"/>
          <w:szCs w:val="24"/>
        </w:rPr>
        <w:t xml:space="preserve">АТГ 1322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гомдол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хүлээн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авч</w:t>
      </w:r>
      <w:proofErr w:type="spellEnd"/>
      <w:r>
        <w:rPr>
          <w:rFonts w:ascii="Arial" w:hAnsi="Arial" w:cs="Arial"/>
          <w:sz w:val="24"/>
          <w:szCs w:val="24"/>
        </w:rPr>
        <w:t xml:space="preserve">, 367 </w:t>
      </w:r>
      <w:proofErr w:type="spellStart"/>
      <w:r>
        <w:rPr>
          <w:rFonts w:ascii="Arial" w:hAnsi="Arial" w:cs="Arial"/>
          <w:sz w:val="24"/>
          <w:szCs w:val="24"/>
        </w:rPr>
        <w:t>хэргийг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шүүхэд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шилжүүлсэн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ч н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өхөн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төлөгдсөн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хохирлын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хэмжээ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нийт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хохирлын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ердөө</w:t>
      </w:r>
      <w:proofErr w:type="spellEnd"/>
      <w:r>
        <w:rPr>
          <w:rFonts w:ascii="Arial" w:hAnsi="Arial" w:cs="Arial"/>
          <w:sz w:val="24"/>
          <w:szCs w:val="24"/>
        </w:rPr>
        <w:t xml:space="preserve"> 37% </w:t>
      </w:r>
      <w:proofErr w:type="spellStart"/>
      <w:r>
        <w:rPr>
          <w:rFonts w:ascii="Arial" w:hAnsi="Arial" w:cs="Arial"/>
          <w:sz w:val="24"/>
          <w:szCs w:val="24"/>
        </w:rPr>
        <w:t>орчим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буюу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йролцоогоор</w:t>
      </w:r>
      <w:proofErr w:type="spellEnd"/>
      <w:r>
        <w:rPr>
          <w:rFonts w:ascii="Arial" w:hAnsi="Arial" w:cs="Arial"/>
          <w:sz w:val="24"/>
          <w:szCs w:val="24"/>
        </w:rPr>
        <w:t xml:space="preserve"> 247.8 </w:t>
      </w:r>
      <w:proofErr w:type="spellStart"/>
      <w:r>
        <w:rPr>
          <w:rFonts w:ascii="Arial" w:hAnsi="Arial" w:cs="Arial"/>
          <w:sz w:val="24"/>
          <w:szCs w:val="24"/>
        </w:rPr>
        <w:t>тэрбум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төгрөг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үлдсэн</w:t>
      </w:r>
      <w:proofErr w:type="spellEnd"/>
      <w:r>
        <w:rPr>
          <w:rFonts w:ascii="Arial" w:hAnsi="Arial" w:cs="Arial"/>
          <w:sz w:val="24"/>
          <w:szCs w:val="24"/>
        </w:rPr>
        <w:t xml:space="preserve"> 63% </w:t>
      </w:r>
      <w:r>
        <w:rPr>
          <w:rFonts w:ascii="Arial" w:hAnsi="Arial" w:cs="Arial"/>
          <w:sz w:val="24"/>
          <w:szCs w:val="24"/>
          <w:lang w:val="mn-MN"/>
        </w:rPr>
        <w:t xml:space="preserve">буюу </w:t>
      </w:r>
      <w:r>
        <w:rPr>
          <w:rFonts w:ascii="Arial" w:hAnsi="Arial" w:cs="Arial"/>
          <w:sz w:val="24"/>
          <w:szCs w:val="24"/>
        </w:rPr>
        <w:t xml:space="preserve">426.9 </w:t>
      </w:r>
      <w:proofErr w:type="spellStart"/>
      <w:r>
        <w:rPr>
          <w:rFonts w:ascii="Arial" w:hAnsi="Arial" w:cs="Arial"/>
          <w:sz w:val="24"/>
          <w:szCs w:val="24"/>
        </w:rPr>
        <w:t>тэрбум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төгрөг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нөхөн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төлөгдөөгүй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115" w:rsidRPr="00636115">
        <w:rPr>
          <w:rFonts w:ascii="Arial" w:hAnsi="Arial" w:cs="Arial"/>
          <w:sz w:val="24"/>
          <w:szCs w:val="24"/>
        </w:rPr>
        <w:t>байна</w:t>
      </w:r>
      <w:proofErr w:type="spellEnd"/>
      <w:r w:rsidR="00636115" w:rsidRPr="00636115">
        <w:rPr>
          <w:rFonts w:ascii="Arial" w:hAnsi="Arial" w:cs="Arial"/>
          <w:sz w:val="24"/>
          <w:szCs w:val="24"/>
        </w:rPr>
        <w:t>.</w:t>
      </w:r>
    </w:p>
    <w:p w14:paraId="67BD16F2" w14:textId="03F054B4" w:rsidR="00636115" w:rsidRPr="00636115" w:rsidRDefault="00636115" w:rsidP="007C5EB3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36115">
        <w:rPr>
          <w:rFonts w:ascii="Arial" w:hAnsi="Arial" w:cs="Arial"/>
          <w:sz w:val="24"/>
          <w:szCs w:val="24"/>
        </w:rPr>
        <w:t>Эдгээр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тоон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үзүүлэлтүүд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АТГ-</w:t>
      </w:r>
      <w:proofErr w:type="spellStart"/>
      <w:r w:rsidRPr="00636115">
        <w:rPr>
          <w:rFonts w:ascii="Arial" w:hAnsi="Arial" w:cs="Arial"/>
          <w:sz w:val="24"/>
          <w:szCs w:val="24"/>
        </w:rPr>
        <w:t>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бие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даасан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байдал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сул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байгааг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илтгэж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улс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төрийн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нөлөөлөл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томилгооны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тод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бус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байдал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нь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авлигатай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тэмцэх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үр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дүнгийн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гол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саад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болж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байгааг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харуулж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байна</w:t>
      </w:r>
      <w:proofErr w:type="spellEnd"/>
      <w:r w:rsidRPr="00636115">
        <w:rPr>
          <w:rFonts w:ascii="Arial" w:hAnsi="Arial" w:cs="Arial"/>
          <w:sz w:val="24"/>
          <w:szCs w:val="24"/>
        </w:rPr>
        <w:t>.</w:t>
      </w:r>
    </w:p>
    <w:p w14:paraId="65030703" w14:textId="796A744F" w:rsidR="00636115" w:rsidRDefault="00636115" w:rsidP="007C5E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Дүгнэвэл, </w:t>
      </w:r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Авлигатай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тэмцэх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газар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(АТГ) </w:t>
      </w:r>
      <w:proofErr w:type="spellStart"/>
      <w:r w:rsidRPr="00636115">
        <w:rPr>
          <w:rFonts w:ascii="Arial" w:hAnsi="Arial" w:cs="Arial"/>
          <w:sz w:val="24"/>
          <w:szCs w:val="24"/>
        </w:rPr>
        <w:t>нь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төрийн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бие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даасан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хараат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бус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байгууллага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байх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ёстой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ат</w:t>
      </w:r>
      <w:r w:rsidR="00350AA7">
        <w:rPr>
          <w:rFonts w:ascii="Arial" w:hAnsi="Arial" w:cs="Arial"/>
          <w:sz w:val="24"/>
          <w:szCs w:val="24"/>
        </w:rPr>
        <w:t>ал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одоогийн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хуулийн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зохицуулалт</w:t>
      </w:r>
      <w:proofErr w:type="spellEnd"/>
      <w:r w:rsidR="00350AA7">
        <w:rPr>
          <w:rFonts w:ascii="Arial" w:hAnsi="Arial" w:cs="Arial"/>
          <w:sz w:val="24"/>
          <w:szCs w:val="24"/>
          <w:lang w:val="mn-MN"/>
        </w:rPr>
        <w:t xml:space="preserve">аар АТГ-ын </w:t>
      </w:r>
      <w:proofErr w:type="spellStart"/>
      <w:r w:rsidR="00350AA7">
        <w:rPr>
          <w:rFonts w:ascii="Arial" w:hAnsi="Arial" w:cs="Arial"/>
          <w:sz w:val="24"/>
          <w:szCs w:val="24"/>
        </w:rPr>
        <w:t>даргыг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Ерөнхий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сайд</w:t>
      </w:r>
      <w:proofErr w:type="spellEnd"/>
      <w:r w:rsidR="00350AA7">
        <w:rPr>
          <w:rFonts w:ascii="Arial" w:hAnsi="Arial" w:cs="Arial"/>
          <w:sz w:val="24"/>
          <w:szCs w:val="24"/>
          <w:lang w:val="mn-MN"/>
        </w:rPr>
        <w:t>ын</w:t>
      </w:r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санал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болгосноор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Улсын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Их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Хурал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томилдог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нь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улс</w:t>
      </w:r>
      <w:r w:rsidRPr="00636115">
        <w:rPr>
          <w:rFonts w:ascii="Arial" w:hAnsi="Arial" w:cs="Arial"/>
          <w:sz w:val="24"/>
          <w:szCs w:val="24"/>
        </w:rPr>
        <w:t>төрийн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нө</w:t>
      </w:r>
      <w:r w:rsidR="00350AA7">
        <w:rPr>
          <w:rFonts w:ascii="Arial" w:hAnsi="Arial" w:cs="Arial"/>
          <w:sz w:val="24"/>
          <w:szCs w:val="24"/>
        </w:rPr>
        <w:t>лөөлөл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ихтэй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байгааг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олон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улсын</w:t>
      </w:r>
      <w:proofErr w:type="spellEnd"/>
      <w:r w:rsidR="00350AA7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350AA7">
        <w:rPr>
          <w:rFonts w:ascii="Arial" w:hAnsi="Arial" w:cs="Arial"/>
          <w:sz w:val="24"/>
          <w:szCs w:val="24"/>
        </w:rPr>
        <w:t>судалгаа</w:t>
      </w:r>
      <w:proofErr w:type="spellEnd"/>
      <w:r w:rsidR="00350AA7">
        <w:rPr>
          <w:rFonts w:ascii="Arial" w:hAnsi="Arial" w:cs="Arial"/>
          <w:sz w:val="24"/>
          <w:szCs w:val="24"/>
          <w:lang w:val="mn-MN"/>
        </w:rPr>
        <w:t xml:space="preserve"> болон </w:t>
      </w:r>
      <w:proofErr w:type="spellStart"/>
      <w:r w:rsidR="00350AA7">
        <w:rPr>
          <w:rFonts w:ascii="Arial" w:hAnsi="Arial" w:cs="Arial"/>
          <w:sz w:val="24"/>
          <w:szCs w:val="24"/>
        </w:rPr>
        <w:t>дотоодын</w:t>
      </w:r>
      <w:proofErr w:type="spellEnd"/>
      <w:r w:rsidR="00350AA7">
        <w:rPr>
          <w:rFonts w:ascii="Arial" w:hAnsi="Arial" w:cs="Arial"/>
          <w:sz w:val="24"/>
          <w:szCs w:val="24"/>
        </w:rPr>
        <w:t xml:space="preserve"> </w:t>
      </w:r>
      <w:r w:rsidR="00350AA7">
        <w:rPr>
          <w:rFonts w:ascii="Arial" w:hAnsi="Arial" w:cs="Arial"/>
          <w:sz w:val="24"/>
          <w:szCs w:val="24"/>
          <w:lang w:val="mn-MN"/>
        </w:rPr>
        <w:t>статистик, тоо баримт</w:t>
      </w:r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харуулж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байна</w:t>
      </w:r>
      <w:proofErr w:type="spellEnd"/>
      <w:r w:rsidRPr="00636115">
        <w:rPr>
          <w:rFonts w:ascii="Arial" w:hAnsi="Arial" w:cs="Arial"/>
          <w:sz w:val="24"/>
          <w:szCs w:val="24"/>
        </w:rPr>
        <w:t>.</w:t>
      </w:r>
    </w:p>
    <w:p w14:paraId="03FCEDA5" w14:textId="1E5F9F4D" w:rsidR="00161676" w:rsidRPr="00161676" w:rsidRDefault="00161676" w:rsidP="007C5EB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Иймд Хууль тогтоомжийн тухай хуулийн 22 дугаар зүйлийн 22.1.2 дахь заалтад заасны дагуу Авлигын эсрэг хуульд нэмэлт, өөрчлөлт оруулах тухай хуулийн төслийг боловсруулна.</w:t>
      </w:r>
    </w:p>
    <w:p w14:paraId="16A843B9" w14:textId="40DD4E95" w:rsidR="00350AA7" w:rsidRPr="00350AA7" w:rsidRDefault="00350AA7" w:rsidP="00350AA7">
      <w:pPr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50AA7">
        <w:rPr>
          <w:rFonts w:ascii="Arial" w:hAnsi="Arial" w:cs="Arial"/>
          <w:b/>
          <w:sz w:val="24"/>
          <w:szCs w:val="24"/>
          <w:lang w:val="mn-MN"/>
        </w:rPr>
        <w:t>Хоёр. Хуулийн төслийн ерөнхий бүтэц, зохицуулах харилцаа, хамрах хүрээ</w:t>
      </w:r>
    </w:p>
    <w:p w14:paraId="40AD9812" w14:textId="6BF46641" w:rsidR="00636115" w:rsidRPr="00165B9B" w:rsidRDefault="00636115" w:rsidP="007C5EB3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636115">
        <w:rPr>
          <w:rFonts w:ascii="Arial" w:hAnsi="Arial" w:cs="Arial"/>
          <w:sz w:val="24"/>
          <w:szCs w:val="24"/>
        </w:rPr>
        <w:t>Хуулийн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төсө</w:t>
      </w:r>
      <w:r w:rsidR="00165B9B">
        <w:rPr>
          <w:rFonts w:ascii="Arial" w:hAnsi="Arial" w:cs="Arial"/>
          <w:sz w:val="24"/>
          <w:szCs w:val="24"/>
        </w:rPr>
        <w:t>л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 xml:space="preserve">д </w:t>
      </w:r>
      <w:proofErr w:type="spellStart"/>
      <w:r w:rsidRPr="00636115">
        <w:rPr>
          <w:rFonts w:ascii="Arial" w:hAnsi="Arial" w:cs="Arial"/>
          <w:sz w:val="24"/>
          <w:szCs w:val="24"/>
        </w:rPr>
        <w:t>Авлигын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эсрэг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хуулийн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636115">
        <w:rPr>
          <w:rFonts w:ascii="Arial" w:hAnsi="Arial" w:cs="Arial"/>
          <w:sz w:val="24"/>
          <w:szCs w:val="24"/>
        </w:rPr>
        <w:t>дүгээр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зүйлийг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өөрчлөн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найруулж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5B9B">
        <w:rPr>
          <w:rFonts w:ascii="Arial" w:hAnsi="Arial" w:cs="Arial"/>
          <w:sz w:val="24"/>
          <w:szCs w:val="24"/>
        </w:rPr>
        <w:t>дараах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гол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зохицуулалтыг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тусга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>на. Үүнд:</w:t>
      </w:r>
    </w:p>
    <w:p w14:paraId="6BC502FF" w14:textId="77777777" w:rsidR="00165B9B" w:rsidRPr="00165B9B" w:rsidRDefault="00636115" w:rsidP="007C5E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5B9B">
        <w:rPr>
          <w:rFonts w:ascii="Arial" w:hAnsi="Arial" w:cs="Arial"/>
          <w:sz w:val="24"/>
          <w:szCs w:val="24"/>
        </w:rPr>
        <w:t>АТГ-</w:t>
      </w:r>
      <w:proofErr w:type="spellStart"/>
      <w:r w:rsidRPr="00165B9B">
        <w:rPr>
          <w:rFonts w:ascii="Arial" w:hAnsi="Arial" w:cs="Arial"/>
          <w:sz w:val="24"/>
          <w:szCs w:val="24"/>
        </w:rPr>
        <w:t>ын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даргыг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Улсын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Их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Хурал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ил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тод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B9B">
        <w:rPr>
          <w:rFonts w:ascii="Arial" w:hAnsi="Arial" w:cs="Arial"/>
          <w:sz w:val="24"/>
          <w:szCs w:val="24"/>
        </w:rPr>
        <w:t>өрсөлдөөнтэй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сонгон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шалгаруулалт</w:t>
      </w:r>
      <w:r w:rsidR="00165B9B">
        <w:rPr>
          <w:rFonts w:ascii="Arial" w:hAnsi="Arial" w:cs="Arial"/>
          <w:sz w:val="24"/>
          <w:szCs w:val="24"/>
        </w:rPr>
        <w:t>ын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үндсэн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дээр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165B9B">
        <w:rPr>
          <w:rFonts w:ascii="Arial" w:hAnsi="Arial" w:cs="Arial"/>
          <w:sz w:val="24"/>
          <w:szCs w:val="24"/>
        </w:rPr>
        <w:t>нэр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дэвшигч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 xml:space="preserve"> дээр нууц санал хураалт явуулж, </w:t>
      </w:r>
      <w:proofErr w:type="spellStart"/>
      <w:r w:rsidR="00165B9B">
        <w:rPr>
          <w:rFonts w:ascii="Arial" w:hAnsi="Arial" w:cs="Arial"/>
          <w:sz w:val="24"/>
          <w:szCs w:val="24"/>
        </w:rPr>
        <w:t>олонхийн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санал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 xml:space="preserve">аар </w:t>
      </w:r>
      <w:r w:rsidRPr="00165B9B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165B9B">
        <w:rPr>
          <w:rFonts w:ascii="Arial" w:hAnsi="Arial" w:cs="Arial"/>
          <w:sz w:val="24"/>
          <w:szCs w:val="24"/>
        </w:rPr>
        <w:t>жилийн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хугацаа</w:t>
      </w:r>
      <w:r w:rsidR="00165B9B">
        <w:rPr>
          <w:rFonts w:ascii="Arial" w:hAnsi="Arial" w:cs="Arial"/>
          <w:sz w:val="24"/>
          <w:szCs w:val="24"/>
        </w:rPr>
        <w:t>гаар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томил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>ох</w:t>
      </w:r>
    </w:p>
    <w:p w14:paraId="47BE6354" w14:textId="77777777" w:rsidR="00165B9B" w:rsidRPr="00165B9B" w:rsidRDefault="00636115" w:rsidP="007C5E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65B9B">
        <w:rPr>
          <w:rFonts w:ascii="Arial" w:hAnsi="Arial" w:cs="Arial"/>
          <w:sz w:val="24"/>
          <w:szCs w:val="24"/>
        </w:rPr>
        <w:t>Нэр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дэвшигчдийг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сонгон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шалгаруулах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ажлыг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Улсын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Их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Хурлын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Хууль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зүйн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байнгын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хороо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зохион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байгуул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>ах</w:t>
      </w:r>
    </w:p>
    <w:p w14:paraId="62C9A667" w14:textId="77777777" w:rsidR="00165B9B" w:rsidRPr="00165B9B" w:rsidRDefault="00636115" w:rsidP="007C5E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65B9B">
        <w:rPr>
          <w:rFonts w:ascii="Arial" w:hAnsi="Arial" w:cs="Arial"/>
          <w:sz w:val="24"/>
          <w:szCs w:val="24"/>
        </w:rPr>
        <w:t>Нэр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дэвшигчдийг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ил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тод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зарлаж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B9B">
        <w:rPr>
          <w:rFonts w:ascii="Arial" w:hAnsi="Arial" w:cs="Arial"/>
          <w:sz w:val="24"/>
          <w:szCs w:val="24"/>
        </w:rPr>
        <w:t>томилгооны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сон</w:t>
      </w:r>
      <w:r w:rsidR="00165B9B">
        <w:rPr>
          <w:rFonts w:ascii="Arial" w:hAnsi="Arial" w:cs="Arial"/>
          <w:sz w:val="24"/>
          <w:szCs w:val="24"/>
        </w:rPr>
        <w:t>сгол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хийж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5B9B">
        <w:rPr>
          <w:rFonts w:ascii="Arial" w:hAnsi="Arial" w:cs="Arial"/>
          <w:sz w:val="24"/>
          <w:szCs w:val="24"/>
        </w:rPr>
        <w:t>олон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нийтэд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мэдээ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>лэх</w:t>
      </w:r>
    </w:p>
    <w:p w14:paraId="1977044F" w14:textId="77777777" w:rsidR="00165B9B" w:rsidRPr="00165B9B" w:rsidRDefault="00636115" w:rsidP="007C5E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65B9B">
        <w:rPr>
          <w:rFonts w:ascii="Arial" w:hAnsi="Arial" w:cs="Arial"/>
          <w:sz w:val="24"/>
          <w:szCs w:val="24"/>
        </w:rPr>
        <w:t>Нэр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дэвшигч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нь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r w:rsidR="00165B9B">
        <w:rPr>
          <w:rFonts w:ascii="Arial" w:hAnsi="Arial" w:cs="Arial"/>
          <w:sz w:val="24"/>
          <w:szCs w:val="24"/>
          <w:lang w:val="mn-MN"/>
        </w:rPr>
        <w:t xml:space="preserve">хамгийн багадаа 35 нас хүрсэн, авлига, албан тушаалын хэрэгт холбогдож байгаагүй, ёс зүй, мэргэжлийн өндөр шаардлагыг хангасан </w:t>
      </w:r>
      <w:proofErr w:type="spellStart"/>
      <w:r w:rsidRPr="00165B9B">
        <w:rPr>
          <w:rFonts w:ascii="Arial" w:hAnsi="Arial" w:cs="Arial"/>
          <w:sz w:val="24"/>
          <w:szCs w:val="24"/>
        </w:rPr>
        <w:t>Монгол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Улсын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B9B">
        <w:rPr>
          <w:rFonts w:ascii="Arial" w:hAnsi="Arial" w:cs="Arial"/>
          <w:sz w:val="24"/>
          <w:szCs w:val="24"/>
        </w:rPr>
        <w:t>иргэн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 xml:space="preserve"> байх</w:t>
      </w:r>
    </w:p>
    <w:p w14:paraId="3F1BECF3" w14:textId="73673117" w:rsidR="00636115" w:rsidRPr="00165B9B" w:rsidRDefault="00636115" w:rsidP="007C5E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5B9B">
        <w:rPr>
          <w:rFonts w:ascii="Arial" w:hAnsi="Arial" w:cs="Arial"/>
          <w:sz w:val="24"/>
          <w:szCs w:val="24"/>
        </w:rPr>
        <w:t>АТГ-</w:t>
      </w:r>
      <w:proofErr w:type="spellStart"/>
      <w:r w:rsidRPr="00165B9B">
        <w:rPr>
          <w:rFonts w:ascii="Arial" w:hAnsi="Arial" w:cs="Arial"/>
          <w:sz w:val="24"/>
          <w:szCs w:val="24"/>
        </w:rPr>
        <w:t>ын</w:t>
      </w:r>
      <w:proofErr w:type="spellEnd"/>
      <w:r w:rsidRPr="00165B9B">
        <w:rPr>
          <w:rFonts w:ascii="Arial" w:hAnsi="Arial" w:cs="Arial"/>
          <w:sz w:val="24"/>
          <w:szCs w:val="24"/>
        </w:rPr>
        <w:t xml:space="preserve"> </w:t>
      </w:r>
      <w:r w:rsidR="00165B9B">
        <w:rPr>
          <w:rFonts w:ascii="Arial" w:hAnsi="Arial" w:cs="Arial"/>
          <w:sz w:val="24"/>
          <w:szCs w:val="24"/>
          <w:lang w:val="mn-MN"/>
        </w:rPr>
        <w:t xml:space="preserve">дэд даргыг АТГ-ын </w:t>
      </w:r>
      <w:proofErr w:type="spellStart"/>
      <w:r w:rsidRPr="00165B9B">
        <w:rPr>
          <w:rFonts w:ascii="Arial" w:hAnsi="Arial" w:cs="Arial"/>
          <w:sz w:val="24"/>
          <w:szCs w:val="24"/>
        </w:rPr>
        <w:t>дарг</w:t>
      </w:r>
      <w:r w:rsidR="00165B9B">
        <w:rPr>
          <w:rFonts w:ascii="Arial" w:hAnsi="Arial" w:cs="Arial"/>
          <w:sz w:val="24"/>
          <w:szCs w:val="24"/>
        </w:rPr>
        <w:t>ын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санал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B9B">
        <w:rPr>
          <w:rFonts w:ascii="Arial" w:hAnsi="Arial" w:cs="Arial"/>
          <w:sz w:val="24"/>
          <w:szCs w:val="24"/>
        </w:rPr>
        <w:t>болгосноор</w:t>
      </w:r>
      <w:proofErr w:type="spellEnd"/>
      <w:r w:rsidR="00165B9B">
        <w:rPr>
          <w:rFonts w:ascii="Arial" w:hAnsi="Arial" w:cs="Arial"/>
          <w:sz w:val="24"/>
          <w:szCs w:val="24"/>
        </w:rPr>
        <w:t xml:space="preserve"> УИХ </w:t>
      </w:r>
      <w:proofErr w:type="spellStart"/>
      <w:r w:rsidR="00165B9B">
        <w:rPr>
          <w:rFonts w:ascii="Arial" w:hAnsi="Arial" w:cs="Arial"/>
          <w:sz w:val="24"/>
          <w:szCs w:val="24"/>
        </w:rPr>
        <w:t>томил</w:t>
      </w:r>
      <w:proofErr w:type="spellEnd"/>
      <w:r w:rsidR="00165B9B">
        <w:rPr>
          <w:rFonts w:ascii="Arial" w:hAnsi="Arial" w:cs="Arial"/>
          <w:sz w:val="24"/>
          <w:szCs w:val="24"/>
          <w:lang w:val="mn-MN"/>
        </w:rPr>
        <w:t>ох</w:t>
      </w:r>
    </w:p>
    <w:p w14:paraId="2D5E0B22" w14:textId="4F22ED88" w:rsidR="00636115" w:rsidRPr="00F87924" w:rsidRDefault="00F87924" w:rsidP="00F87924">
      <w:pPr>
        <w:jc w:val="center"/>
        <w:rPr>
          <w:rFonts w:ascii="Arial" w:hAnsi="Arial" w:cs="Arial"/>
          <w:b/>
          <w:sz w:val="24"/>
          <w:szCs w:val="24"/>
        </w:rPr>
      </w:pPr>
      <w:r w:rsidRPr="00F87924">
        <w:rPr>
          <w:rFonts w:ascii="Arial" w:hAnsi="Arial" w:cs="Arial"/>
          <w:b/>
          <w:sz w:val="24"/>
          <w:szCs w:val="24"/>
          <w:lang w:val="mn-MN"/>
        </w:rPr>
        <w:t>Гурав</w:t>
      </w:r>
      <w:r w:rsidR="00636115" w:rsidRPr="00F87924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Хуулийн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төслийн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нийгэм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эдийн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засаг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эрх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зүйн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үр</w:t>
      </w:r>
      <w:proofErr w:type="spellEnd"/>
      <w:r w:rsidR="00636115"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6115" w:rsidRPr="00F87924">
        <w:rPr>
          <w:rFonts w:ascii="Arial" w:hAnsi="Arial" w:cs="Arial"/>
          <w:b/>
          <w:sz w:val="24"/>
          <w:szCs w:val="24"/>
        </w:rPr>
        <w:t>дагавар</w:t>
      </w:r>
      <w:proofErr w:type="spellEnd"/>
    </w:p>
    <w:p w14:paraId="5989985B" w14:textId="58160AB5" w:rsidR="00636115" w:rsidRPr="00F87924" w:rsidRDefault="00636115" w:rsidP="007C5EB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87924">
        <w:rPr>
          <w:rFonts w:ascii="Arial" w:hAnsi="Arial" w:cs="Arial"/>
          <w:b/>
          <w:sz w:val="24"/>
          <w:szCs w:val="24"/>
        </w:rPr>
        <w:t>Эрх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зүйн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үр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дагавар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>:</w:t>
      </w:r>
      <w:r w:rsidR="00F8792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36115">
        <w:rPr>
          <w:rFonts w:ascii="Arial" w:hAnsi="Arial" w:cs="Arial"/>
          <w:sz w:val="24"/>
          <w:szCs w:val="24"/>
        </w:rPr>
        <w:t>АТГ-</w:t>
      </w:r>
      <w:proofErr w:type="spellStart"/>
      <w:r w:rsidRPr="00636115">
        <w:rPr>
          <w:rFonts w:ascii="Arial" w:hAnsi="Arial" w:cs="Arial"/>
          <w:sz w:val="24"/>
          <w:szCs w:val="24"/>
        </w:rPr>
        <w:t>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хараат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бус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байдлыг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хуулиар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баталгаажуулж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Үндсэн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хуулийн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51 </w:t>
      </w:r>
      <w:proofErr w:type="spellStart"/>
      <w:r w:rsidRPr="00636115">
        <w:rPr>
          <w:rFonts w:ascii="Arial" w:hAnsi="Arial" w:cs="Arial"/>
          <w:sz w:val="24"/>
          <w:szCs w:val="24"/>
        </w:rPr>
        <w:t>дүгээр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зүйл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д заасан</w:t>
      </w:r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төрийн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байгууллагын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бие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даасан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байд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лыг хангаж</w:t>
      </w:r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Авлигын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эсрэг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НҮБ-</w:t>
      </w:r>
      <w:proofErr w:type="spellStart"/>
      <w:r w:rsidR="00F87924">
        <w:rPr>
          <w:rFonts w:ascii="Arial" w:hAnsi="Arial" w:cs="Arial"/>
          <w:sz w:val="24"/>
          <w:szCs w:val="24"/>
        </w:rPr>
        <w:t>ын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конвенцэд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нийцүүл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ж,</w:t>
      </w:r>
      <w:r w:rsidR="00F87924">
        <w:rPr>
          <w:rFonts w:ascii="Arial" w:hAnsi="Arial" w:cs="Arial"/>
          <w:sz w:val="24"/>
          <w:szCs w:val="24"/>
        </w:rPr>
        <w:t xml:space="preserve"> </w:t>
      </w:r>
      <w:r w:rsidR="00F87924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636115">
        <w:rPr>
          <w:rFonts w:ascii="Arial" w:hAnsi="Arial" w:cs="Arial"/>
          <w:sz w:val="24"/>
          <w:szCs w:val="24"/>
        </w:rPr>
        <w:t>о</w:t>
      </w:r>
      <w:r w:rsidR="00F87924">
        <w:rPr>
          <w:rFonts w:ascii="Arial" w:hAnsi="Arial" w:cs="Arial"/>
          <w:sz w:val="24"/>
          <w:szCs w:val="24"/>
        </w:rPr>
        <w:t>милгооны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ил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тод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байд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лыг нэмэгдүүлнэ</w:t>
      </w:r>
      <w:r w:rsidRPr="00636115">
        <w:rPr>
          <w:rFonts w:ascii="Arial" w:hAnsi="Arial" w:cs="Arial"/>
          <w:sz w:val="24"/>
          <w:szCs w:val="24"/>
        </w:rPr>
        <w:t>.</w:t>
      </w:r>
    </w:p>
    <w:p w14:paraId="2D3A246F" w14:textId="4F41D1E4" w:rsidR="00636115" w:rsidRPr="00F87924" w:rsidRDefault="00636115" w:rsidP="007C5EB3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proofErr w:type="spellStart"/>
      <w:r w:rsidRPr="00F87924">
        <w:rPr>
          <w:rFonts w:ascii="Arial" w:hAnsi="Arial" w:cs="Arial"/>
          <w:b/>
          <w:sz w:val="24"/>
          <w:szCs w:val="24"/>
        </w:rPr>
        <w:t>Нийгмийн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үр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дагавар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>:</w:t>
      </w:r>
      <w:r w:rsidR="00F8792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F87924">
        <w:rPr>
          <w:rFonts w:ascii="Arial" w:hAnsi="Arial" w:cs="Arial"/>
          <w:sz w:val="24"/>
          <w:szCs w:val="24"/>
          <w:lang w:val="mn-MN"/>
        </w:rPr>
        <w:t>Н</w:t>
      </w:r>
      <w:proofErr w:type="spellStart"/>
      <w:r w:rsidRPr="00636115">
        <w:rPr>
          <w:rFonts w:ascii="Arial" w:hAnsi="Arial" w:cs="Arial"/>
          <w:sz w:val="24"/>
          <w:szCs w:val="24"/>
        </w:rPr>
        <w:t>ийгмийн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судалгаагаар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иргэдийн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60-70% </w:t>
      </w:r>
      <w:proofErr w:type="spellStart"/>
      <w:r w:rsidRPr="00636115">
        <w:rPr>
          <w:rFonts w:ascii="Arial" w:hAnsi="Arial" w:cs="Arial"/>
          <w:sz w:val="24"/>
          <w:szCs w:val="24"/>
        </w:rPr>
        <w:t>нь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авлигатай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тэмцэх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ажилд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сэтгэл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хангал</w:t>
      </w:r>
      <w:r w:rsidR="00F87924">
        <w:rPr>
          <w:rFonts w:ascii="Arial" w:hAnsi="Arial" w:cs="Arial"/>
          <w:sz w:val="24"/>
          <w:szCs w:val="24"/>
        </w:rPr>
        <w:t>уун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бус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байгаа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 xml:space="preserve">г харгалзан АТГ-ын үйл ажиллагааг сайжруулж, </w:t>
      </w:r>
      <w:proofErr w:type="spellStart"/>
      <w:r w:rsidR="00F87924">
        <w:rPr>
          <w:rFonts w:ascii="Arial" w:hAnsi="Arial" w:cs="Arial"/>
          <w:sz w:val="24"/>
          <w:szCs w:val="24"/>
        </w:rPr>
        <w:t>шударга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ёс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ыг бэхжүүлнэ.</w:t>
      </w:r>
    </w:p>
    <w:p w14:paraId="1E99C1E2" w14:textId="0627A24B" w:rsidR="00636115" w:rsidRPr="00F87924" w:rsidRDefault="00636115" w:rsidP="007C5EB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87924">
        <w:rPr>
          <w:rFonts w:ascii="Arial" w:hAnsi="Arial" w:cs="Arial"/>
          <w:b/>
          <w:sz w:val="24"/>
          <w:szCs w:val="24"/>
        </w:rPr>
        <w:lastRenderedPageBreak/>
        <w:t>Эдийн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засгийн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үр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дагавар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>:</w:t>
      </w:r>
      <w:r w:rsidR="00F87924">
        <w:rPr>
          <w:rFonts w:ascii="Arial" w:hAnsi="Arial" w:cs="Arial"/>
          <w:b/>
          <w:sz w:val="24"/>
          <w:szCs w:val="24"/>
          <w:lang w:val="mn-MN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Авлига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буу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рсанаар</w:t>
      </w:r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төрийн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 xml:space="preserve"> болон хувийн өмч,</w:t>
      </w:r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хөрөнгө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илүү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үр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ашигтай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зарцуулагдаж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гадаадын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шууд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хөрөнгө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оруулалт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нэмэгдэнэ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. </w:t>
      </w:r>
      <w:r w:rsidR="00F87924">
        <w:rPr>
          <w:rFonts w:ascii="Arial" w:hAnsi="Arial" w:cs="Arial"/>
          <w:sz w:val="24"/>
          <w:szCs w:val="24"/>
          <w:lang w:val="mn-MN"/>
        </w:rPr>
        <w:t>Үүнд н</w:t>
      </w:r>
      <w:proofErr w:type="spellStart"/>
      <w:r w:rsidRPr="00636115">
        <w:rPr>
          <w:rFonts w:ascii="Arial" w:hAnsi="Arial" w:cs="Arial"/>
          <w:sz w:val="24"/>
          <w:szCs w:val="24"/>
        </w:rPr>
        <w:t>эмэлт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төсөв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шаардагдахгүй</w:t>
      </w:r>
      <w:proofErr w:type="spellEnd"/>
      <w:r w:rsidRPr="00636115">
        <w:rPr>
          <w:rFonts w:ascii="Arial" w:hAnsi="Arial" w:cs="Arial"/>
          <w:sz w:val="24"/>
          <w:szCs w:val="24"/>
        </w:rPr>
        <w:t>.</w:t>
      </w:r>
    </w:p>
    <w:p w14:paraId="70081B92" w14:textId="37727147" w:rsidR="00636115" w:rsidRPr="00F87924" w:rsidRDefault="00636115" w:rsidP="007C5EB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F87924">
        <w:rPr>
          <w:rFonts w:ascii="Arial" w:hAnsi="Arial" w:cs="Arial"/>
          <w:b/>
          <w:sz w:val="24"/>
          <w:szCs w:val="24"/>
        </w:rPr>
        <w:t>Болзошгүй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эрсдэл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ба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7924">
        <w:rPr>
          <w:rFonts w:ascii="Arial" w:hAnsi="Arial" w:cs="Arial"/>
          <w:b/>
          <w:sz w:val="24"/>
          <w:szCs w:val="24"/>
        </w:rPr>
        <w:t>шийдэл</w:t>
      </w:r>
      <w:proofErr w:type="spellEnd"/>
      <w:r w:rsidRPr="00F87924">
        <w:rPr>
          <w:rFonts w:ascii="Arial" w:hAnsi="Arial" w:cs="Arial"/>
          <w:b/>
          <w:sz w:val="24"/>
          <w:szCs w:val="24"/>
        </w:rPr>
        <w:t>:</w:t>
      </w:r>
      <w:r w:rsidR="00F8792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Томилгоо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удаашрах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эрсдэлтэй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r w:rsidR="00F87924">
        <w:rPr>
          <w:rFonts w:ascii="Arial" w:hAnsi="Arial" w:cs="Arial"/>
          <w:sz w:val="24"/>
          <w:szCs w:val="24"/>
          <w:lang w:val="mn-MN"/>
        </w:rPr>
        <w:t xml:space="preserve">бөгөөд уг </w:t>
      </w:r>
      <w:proofErr w:type="spellStart"/>
      <w:r w:rsidRPr="00636115">
        <w:rPr>
          <w:rFonts w:ascii="Arial" w:hAnsi="Arial" w:cs="Arial"/>
          <w:sz w:val="24"/>
          <w:szCs w:val="24"/>
        </w:rPr>
        <w:t>эрсдэлийг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хугацаатай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журам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батлан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ши</w:t>
      </w:r>
      <w:r w:rsidR="00F87924">
        <w:rPr>
          <w:rFonts w:ascii="Arial" w:hAnsi="Arial" w:cs="Arial"/>
          <w:sz w:val="24"/>
          <w:szCs w:val="24"/>
        </w:rPr>
        <w:t>йдвэрлэ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х боломжтой</w:t>
      </w:r>
      <w:r w:rsidR="00F8792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87924">
        <w:rPr>
          <w:rFonts w:ascii="Arial" w:hAnsi="Arial" w:cs="Arial"/>
          <w:sz w:val="24"/>
          <w:szCs w:val="24"/>
        </w:rPr>
        <w:t>Улстөрийн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саатал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үүс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гэхгүй</w:t>
      </w:r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байхын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тулд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сонгон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шалгаруулалтын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жур</w:t>
      </w:r>
      <w:proofErr w:type="spellEnd"/>
      <w:r w:rsidR="00F87924">
        <w:rPr>
          <w:rFonts w:ascii="Arial" w:hAnsi="Arial" w:cs="Arial"/>
          <w:sz w:val="24"/>
          <w:szCs w:val="24"/>
          <w:lang w:val="mn-MN"/>
        </w:rPr>
        <w:t>мыг</w:t>
      </w:r>
      <w:r w:rsidR="00F879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924">
        <w:rPr>
          <w:rFonts w:ascii="Arial" w:hAnsi="Arial" w:cs="Arial"/>
          <w:sz w:val="24"/>
          <w:szCs w:val="24"/>
        </w:rPr>
        <w:t>тодорхой</w:t>
      </w:r>
      <w:proofErr w:type="spellEnd"/>
      <w:r w:rsidR="00F87924">
        <w:rPr>
          <w:rFonts w:ascii="Arial" w:hAnsi="Arial" w:cs="Arial"/>
          <w:sz w:val="24"/>
          <w:szCs w:val="24"/>
        </w:rPr>
        <w:t xml:space="preserve"> </w:t>
      </w:r>
      <w:r w:rsidR="00F87924">
        <w:rPr>
          <w:rFonts w:ascii="Arial" w:hAnsi="Arial" w:cs="Arial"/>
          <w:sz w:val="24"/>
          <w:szCs w:val="24"/>
          <w:lang w:val="mn-MN"/>
        </w:rPr>
        <w:t>болгох нь зүйтэй.</w:t>
      </w:r>
    </w:p>
    <w:p w14:paraId="63AF5DF1" w14:textId="44429CDE" w:rsidR="00F87924" w:rsidRPr="00F87924" w:rsidRDefault="00F87924" w:rsidP="00F87924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87924">
        <w:rPr>
          <w:rFonts w:ascii="Arial" w:hAnsi="Arial" w:cs="Arial"/>
          <w:b/>
          <w:sz w:val="24"/>
          <w:szCs w:val="24"/>
          <w:lang w:val="mn-MN"/>
        </w:rPr>
        <w:t>Дөрөв. Монгол Улсын Үндсэн хууль болон бусад хууль, тогтоомжтой уялдсан байдал</w:t>
      </w:r>
    </w:p>
    <w:p w14:paraId="069B19E8" w14:textId="54D6F978" w:rsidR="00F87924" w:rsidRPr="00F87924" w:rsidRDefault="00F87924" w:rsidP="007C5EB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Авлигын эсрэг хуульд нэмэлт, өөрчлөлт оруулах тухай хуулийн төслийг Монгол Улсын Үндсэн хууль, бусад хууль, тогтоомжид нийцүүлэн боловсруулах бөгөөд уг хуулийн төсөлтэй уялдуулан </w:t>
      </w:r>
      <w:r w:rsidR="007C5EB3">
        <w:rPr>
          <w:rFonts w:ascii="Arial" w:hAnsi="Arial" w:cs="Arial"/>
          <w:sz w:val="24"/>
          <w:szCs w:val="24"/>
          <w:lang w:val="mn-MN"/>
        </w:rPr>
        <w:t>Төрийн албаны тухай хуульд нэмэлт өөрчлөлт оруулах тухай, Засгийн газрын тухай хуульд нэмэлт, өөрчлөлт оруулах тухай хуулийн төслүүдийг боловсруулна.</w:t>
      </w:r>
    </w:p>
    <w:p w14:paraId="02169D37" w14:textId="5BFA8808" w:rsidR="00636115" w:rsidRPr="007C5EB3" w:rsidRDefault="007C5EB3" w:rsidP="007C5EB3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C5EB3">
        <w:rPr>
          <w:rFonts w:ascii="Arial" w:hAnsi="Arial" w:cs="Arial"/>
          <w:b/>
          <w:sz w:val="24"/>
          <w:szCs w:val="24"/>
          <w:lang w:val="mn-MN"/>
        </w:rPr>
        <w:t>Тав. Дүгнэлт</w:t>
      </w:r>
    </w:p>
    <w:p w14:paraId="3899ED1F" w14:textId="644EF9EC" w:rsidR="00636115" w:rsidRPr="00636115" w:rsidRDefault="00636115" w:rsidP="007C5EB3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36115">
        <w:rPr>
          <w:rFonts w:ascii="Arial" w:hAnsi="Arial" w:cs="Arial"/>
          <w:sz w:val="24"/>
          <w:szCs w:val="24"/>
        </w:rPr>
        <w:t>Энэхүү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хуулийн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төсөл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нь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Монгол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Улсын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авлигатай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тэмцэх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тогтолцоог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олон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улсын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шилдэг</w:t>
      </w:r>
      <w:proofErr w:type="spellEnd"/>
      <w:r w:rsidR="007C5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EB3">
        <w:rPr>
          <w:rFonts w:ascii="Arial" w:hAnsi="Arial" w:cs="Arial"/>
          <w:sz w:val="24"/>
          <w:szCs w:val="24"/>
        </w:rPr>
        <w:t>туршлагад</w:t>
      </w:r>
      <w:proofErr w:type="spellEnd"/>
      <w:r w:rsidR="007C5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EB3">
        <w:rPr>
          <w:rFonts w:ascii="Arial" w:hAnsi="Arial" w:cs="Arial"/>
          <w:sz w:val="24"/>
          <w:szCs w:val="24"/>
        </w:rPr>
        <w:t>нийцүүлж</w:t>
      </w:r>
      <w:proofErr w:type="spellEnd"/>
      <w:r w:rsidR="007C5EB3">
        <w:rPr>
          <w:rFonts w:ascii="Arial" w:hAnsi="Arial" w:cs="Arial"/>
          <w:sz w:val="24"/>
          <w:szCs w:val="24"/>
        </w:rPr>
        <w:t>, АТГ-</w:t>
      </w:r>
      <w:proofErr w:type="spellStart"/>
      <w:r w:rsidR="007C5EB3">
        <w:rPr>
          <w:rFonts w:ascii="Arial" w:hAnsi="Arial" w:cs="Arial"/>
          <w:sz w:val="24"/>
          <w:szCs w:val="24"/>
        </w:rPr>
        <w:t>ыг</w:t>
      </w:r>
      <w:proofErr w:type="spellEnd"/>
      <w:r w:rsidR="007C5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EB3">
        <w:rPr>
          <w:rFonts w:ascii="Arial" w:hAnsi="Arial" w:cs="Arial"/>
          <w:sz w:val="24"/>
          <w:szCs w:val="24"/>
        </w:rPr>
        <w:t>улстөрийн</w:t>
      </w:r>
      <w:proofErr w:type="spellEnd"/>
      <w:r w:rsidR="007C5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EB3">
        <w:rPr>
          <w:rFonts w:ascii="Arial" w:hAnsi="Arial" w:cs="Arial"/>
          <w:sz w:val="24"/>
          <w:szCs w:val="24"/>
        </w:rPr>
        <w:t>нөлөөлөлөөс</w:t>
      </w:r>
      <w:proofErr w:type="spellEnd"/>
      <w:r w:rsidR="007C5EB3">
        <w:rPr>
          <w:rFonts w:ascii="Arial" w:hAnsi="Arial" w:cs="Arial"/>
          <w:sz w:val="24"/>
          <w:szCs w:val="24"/>
          <w:lang w:val="mn-MN"/>
        </w:rPr>
        <w:t xml:space="preserve"> ангид, </w:t>
      </w:r>
      <w:proofErr w:type="spellStart"/>
      <w:r w:rsidRPr="00636115">
        <w:rPr>
          <w:rFonts w:ascii="Arial" w:hAnsi="Arial" w:cs="Arial"/>
          <w:sz w:val="24"/>
          <w:szCs w:val="24"/>
        </w:rPr>
        <w:t>ил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тод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хариуцлагатай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үр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дүнтэй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байг</w:t>
      </w:r>
      <w:r w:rsidR="007C5EB3">
        <w:rPr>
          <w:rFonts w:ascii="Arial" w:hAnsi="Arial" w:cs="Arial"/>
          <w:sz w:val="24"/>
          <w:szCs w:val="24"/>
        </w:rPr>
        <w:t>ууллага</w:t>
      </w:r>
      <w:proofErr w:type="spellEnd"/>
      <w:r w:rsidR="007C5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EB3">
        <w:rPr>
          <w:rFonts w:ascii="Arial" w:hAnsi="Arial" w:cs="Arial"/>
          <w:sz w:val="24"/>
          <w:szCs w:val="24"/>
        </w:rPr>
        <w:t>болгоход</w:t>
      </w:r>
      <w:proofErr w:type="spellEnd"/>
      <w:r w:rsidR="007C5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EB3">
        <w:rPr>
          <w:rFonts w:ascii="Arial" w:hAnsi="Arial" w:cs="Arial"/>
          <w:sz w:val="24"/>
          <w:szCs w:val="24"/>
        </w:rPr>
        <w:t>чиглэгд</w:t>
      </w:r>
      <w:proofErr w:type="spellEnd"/>
      <w:r w:rsidR="007C5EB3">
        <w:rPr>
          <w:rFonts w:ascii="Arial" w:hAnsi="Arial" w:cs="Arial"/>
          <w:sz w:val="24"/>
          <w:szCs w:val="24"/>
          <w:lang w:val="mn-MN"/>
        </w:rPr>
        <w:t>энэ</w:t>
      </w:r>
      <w:r w:rsidR="007C5EB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C5EB3">
        <w:rPr>
          <w:rFonts w:ascii="Arial" w:hAnsi="Arial" w:cs="Arial"/>
          <w:sz w:val="24"/>
          <w:szCs w:val="24"/>
        </w:rPr>
        <w:t>Төсөл</w:t>
      </w:r>
      <w:proofErr w:type="spellEnd"/>
      <w:r w:rsidR="007C5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EB3">
        <w:rPr>
          <w:rFonts w:ascii="Arial" w:hAnsi="Arial" w:cs="Arial"/>
          <w:sz w:val="24"/>
          <w:szCs w:val="24"/>
        </w:rPr>
        <w:t>батлагд</w:t>
      </w:r>
      <w:proofErr w:type="spellEnd"/>
      <w:r w:rsidR="007C5EB3">
        <w:rPr>
          <w:rFonts w:ascii="Arial" w:hAnsi="Arial" w:cs="Arial"/>
          <w:sz w:val="24"/>
          <w:szCs w:val="24"/>
          <w:lang w:val="mn-MN"/>
        </w:rPr>
        <w:t>санаар</w:t>
      </w:r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Монгол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Улсын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r w:rsidR="007C5EB3">
        <w:rPr>
          <w:rFonts w:ascii="Arial" w:hAnsi="Arial" w:cs="Arial"/>
          <w:sz w:val="24"/>
          <w:szCs w:val="24"/>
          <w:lang w:val="mn-MN"/>
        </w:rPr>
        <w:t>“</w:t>
      </w:r>
      <w:proofErr w:type="spellStart"/>
      <w:r w:rsidRPr="00636115">
        <w:rPr>
          <w:rFonts w:ascii="Arial" w:hAnsi="Arial" w:cs="Arial"/>
          <w:sz w:val="24"/>
          <w:szCs w:val="24"/>
        </w:rPr>
        <w:t>Авлигын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төсөөллийн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индекс</w:t>
      </w:r>
      <w:proofErr w:type="spellEnd"/>
      <w:r w:rsidR="007C5EB3">
        <w:rPr>
          <w:rFonts w:ascii="Arial" w:hAnsi="Arial" w:cs="Arial"/>
          <w:sz w:val="24"/>
          <w:szCs w:val="24"/>
          <w:lang w:val="mn-MN"/>
        </w:rPr>
        <w:t>”-</w:t>
      </w:r>
      <w:proofErr w:type="spellStart"/>
      <w:r w:rsidRPr="00636115">
        <w:rPr>
          <w:rFonts w:ascii="Arial" w:hAnsi="Arial" w:cs="Arial"/>
          <w:sz w:val="24"/>
          <w:szCs w:val="24"/>
        </w:rPr>
        <w:t>ийг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дээшлүүлэх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6115">
        <w:rPr>
          <w:rFonts w:ascii="Arial" w:hAnsi="Arial" w:cs="Arial"/>
          <w:sz w:val="24"/>
          <w:szCs w:val="24"/>
        </w:rPr>
        <w:t>ард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иргэдийн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шударга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ёсны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итгэлийг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сэргээхэд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чухал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алхам</w:t>
      </w:r>
      <w:proofErr w:type="spellEnd"/>
      <w:r w:rsidRPr="006361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115">
        <w:rPr>
          <w:rFonts w:ascii="Arial" w:hAnsi="Arial" w:cs="Arial"/>
          <w:sz w:val="24"/>
          <w:szCs w:val="24"/>
        </w:rPr>
        <w:t>болно</w:t>
      </w:r>
      <w:proofErr w:type="spellEnd"/>
      <w:r w:rsidRPr="00636115">
        <w:rPr>
          <w:rFonts w:ascii="Arial" w:hAnsi="Arial" w:cs="Arial"/>
          <w:sz w:val="24"/>
          <w:szCs w:val="24"/>
        </w:rPr>
        <w:t>.</w:t>
      </w:r>
    </w:p>
    <w:p w14:paraId="09335834" w14:textId="77777777" w:rsidR="007C5EB3" w:rsidRDefault="007C5EB3" w:rsidP="007C5EB3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042A8334" w14:textId="607216FF" w:rsidR="00636115" w:rsidRPr="004956FE" w:rsidRDefault="00F7734C" w:rsidP="007C5EB3">
      <w:pPr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956FE">
        <w:rPr>
          <w:rFonts w:ascii="Arial" w:hAnsi="Arial" w:cs="Arial"/>
          <w:b/>
          <w:sz w:val="24"/>
          <w:szCs w:val="24"/>
          <w:lang w:val="mn-MN"/>
        </w:rPr>
        <w:t xml:space="preserve">ХУУЛИЙН </w:t>
      </w:r>
      <w:r w:rsidR="007C5EB3" w:rsidRPr="004956FE">
        <w:rPr>
          <w:rFonts w:ascii="Arial" w:hAnsi="Arial" w:cs="Arial"/>
          <w:b/>
          <w:sz w:val="24"/>
          <w:szCs w:val="24"/>
          <w:lang w:val="mn-MN"/>
        </w:rPr>
        <w:t>ТӨСӨЛ САНААЧЛАГЧ</w:t>
      </w:r>
    </w:p>
    <w:sectPr w:rsidR="00636115" w:rsidRPr="004956FE" w:rsidSect="001A6324">
      <w:headerReference w:type="default" r:id="rId8"/>
      <w:footerReference w:type="default" r:id="rId9"/>
      <w:pgSz w:w="11906" w:h="16838" w:code="9"/>
      <w:pgMar w:top="1134" w:right="851" w:bottom="1134" w:left="1701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41D9" w14:textId="77777777" w:rsidR="00B22C67" w:rsidRDefault="00B22C67" w:rsidP="00541E0A">
      <w:pPr>
        <w:spacing w:after="0" w:line="240" w:lineRule="auto"/>
      </w:pPr>
      <w:r>
        <w:separator/>
      </w:r>
    </w:p>
  </w:endnote>
  <w:endnote w:type="continuationSeparator" w:id="0">
    <w:p w14:paraId="78AED9C7" w14:textId="77777777" w:rsidR="00B22C67" w:rsidRDefault="00B22C67" w:rsidP="0054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859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5BFC2" w14:textId="51F3B57E" w:rsidR="00F87924" w:rsidRDefault="00F879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9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1580E9" w14:textId="77777777" w:rsidR="00F87924" w:rsidRDefault="00F8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E5446" w14:textId="77777777" w:rsidR="00B22C67" w:rsidRDefault="00B22C67" w:rsidP="00541E0A">
      <w:pPr>
        <w:spacing w:after="0" w:line="240" w:lineRule="auto"/>
      </w:pPr>
      <w:r>
        <w:separator/>
      </w:r>
    </w:p>
  </w:footnote>
  <w:footnote w:type="continuationSeparator" w:id="0">
    <w:p w14:paraId="5AE629C5" w14:textId="77777777" w:rsidR="00B22C67" w:rsidRDefault="00B22C67" w:rsidP="0054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FDEC1" w14:textId="759DA08D" w:rsidR="00F87924" w:rsidRDefault="00F87924">
    <w:pPr>
      <w:pStyle w:val="Header"/>
      <w:jc w:val="right"/>
    </w:pPr>
  </w:p>
  <w:p w14:paraId="7CDBE068" w14:textId="77777777" w:rsidR="00F87924" w:rsidRDefault="00F8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A82"/>
    <w:multiLevelType w:val="hybridMultilevel"/>
    <w:tmpl w:val="CA06D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5C"/>
    <w:rsid w:val="000D2F6C"/>
    <w:rsid w:val="00161676"/>
    <w:rsid w:val="00165B9B"/>
    <w:rsid w:val="00191964"/>
    <w:rsid w:val="001927BA"/>
    <w:rsid w:val="001A6324"/>
    <w:rsid w:val="001A69B4"/>
    <w:rsid w:val="001B4F1E"/>
    <w:rsid w:val="002F477C"/>
    <w:rsid w:val="003177CF"/>
    <w:rsid w:val="00350AA7"/>
    <w:rsid w:val="00383E11"/>
    <w:rsid w:val="0039593E"/>
    <w:rsid w:val="003E5997"/>
    <w:rsid w:val="00431F03"/>
    <w:rsid w:val="004956FE"/>
    <w:rsid w:val="00502DB1"/>
    <w:rsid w:val="00541E0A"/>
    <w:rsid w:val="0057092F"/>
    <w:rsid w:val="00636115"/>
    <w:rsid w:val="006D379F"/>
    <w:rsid w:val="0072109A"/>
    <w:rsid w:val="00766D0B"/>
    <w:rsid w:val="007C5EB3"/>
    <w:rsid w:val="007F163C"/>
    <w:rsid w:val="00896B5B"/>
    <w:rsid w:val="008B3927"/>
    <w:rsid w:val="008C0781"/>
    <w:rsid w:val="008D3C19"/>
    <w:rsid w:val="009230C1"/>
    <w:rsid w:val="009842B0"/>
    <w:rsid w:val="009B46D4"/>
    <w:rsid w:val="00A10375"/>
    <w:rsid w:val="00B22C67"/>
    <w:rsid w:val="00BA1228"/>
    <w:rsid w:val="00BF23B9"/>
    <w:rsid w:val="00BF3ABB"/>
    <w:rsid w:val="00C431BC"/>
    <w:rsid w:val="00CA08EB"/>
    <w:rsid w:val="00CC0996"/>
    <w:rsid w:val="00CC58C6"/>
    <w:rsid w:val="00D16D7F"/>
    <w:rsid w:val="00D35CCC"/>
    <w:rsid w:val="00D47DA9"/>
    <w:rsid w:val="00D649B8"/>
    <w:rsid w:val="00D8576B"/>
    <w:rsid w:val="00D87F5C"/>
    <w:rsid w:val="00DC0D9A"/>
    <w:rsid w:val="00DD38E3"/>
    <w:rsid w:val="00E37254"/>
    <w:rsid w:val="00EA4C58"/>
    <w:rsid w:val="00EA5CA0"/>
    <w:rsid w:val="00F3727D"/>
    <w:rsid w:val="00F7375C"/>
    <w:rsid w:val="00F7734C"/>
    <w:rsid w:val="00F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ABC94"/>
  <w15:chartTrackingRefBased/>
  <w15:docId w15:val="{B42F323E-E0AA-41AE-8159-34E0F6F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0A"/>
  </w:style>
  <w:style w:type="paragraph" w:styleId="Footer">
    <w:name w:val="footer"/>
    <w:basedOn w:val="Normal"/>
    <w:link w:val="FooterChar"/>
    <w:uiPriority w:val="99"/>
    <w:unhideWhenUsed/>
    <w:rsid w:val="0054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0A"/>
  </w:style>
  <w:style w:type="paragraph" w:styleId="NormalWeb">
    <w:name w:val="Normal (Web)"/>
    <w:basedOn w:val="Normal"/>
    <w:uiPriority w:val="99"/>
    <w:semiHidden/>
    <w:unhideWhenUsed/>
    <w:rsid w:val="00CC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5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8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2D41-487B-4655-97CB-F38F69C0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Baatarsuren Nyamragchaa</cp:lastModifiedBy>
  <cp:revision>9</cp:revision>
  <cp:lastPrinted>2025-10-31T01:20:00Z</cp:lastPrinted>
  <dcterms:created xsi:type="dcterms:W3CDTF">2026-06-28T10:50:00Z</dcterms:created>
  <dcterms:modified xsi:type="dcterms:W3CDTF">2026-06-28T17:14:00Z</dcterms:modified>
</cp:coreProperties>
</file>