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ТОВЧ ТАНИЛЦУУЛГА</w:t>
      </w:r>
    </w:p>
    <w:p w:rsidR="00000000" w:rsidDel="00000000" w:rsidP="00000000" w:rsidRDefault="00000000" w:rsidRPr="00000000" w14:paraId="00000002">
      <w:pPr>
        <w:spacing w:after="0" w:line="240" w:lineRule="auto"/>
        <w:jc w:val="right"/>
        <w:rPr>
          <w:rFonts w:ascii="Arial" w:cs="Arial" w:eastAsia="Arial" w:hAnsi="Arial"/>
          <w:b w:val="1"/>
          <w:bCs w:val="1"/>
        </w:rPr>
      </w:pPr>
      <w:r w:rsidDel="00000000" w:rsidR="00000000" w:rsidRPr="00000000">
        <w:rPr>
          <w:rFonts w:ascii="Arial" w:cs="Arial" w:eastAsia="Arial" w:hAnsi="Arial"/>
          <w:b w:val="1"/>
          <w:bCs w:val="1"/>
          <w:rtl w:val="0"/>
        </w:rPr>
        <w:t xml:space="preserve">Хамтын санхүүжилтийн тухай </w:t>
      </w:r>
    </w:p>
    <w:p w:rsidR="00000000" w:rsidDel="00000000" w:rsidP="00000000" w:rsidRDefault="00000000" w:rsidRPr="00000000" w14:paraId="00000003">
      <w:pPr>
        <w:spacing w:after="0" w:line="240" w:lineRule="auto"/>
        <w:jc w:val="right"/>
        <w:rPr>
          <w:rFonts w:ascii="Arial" w:cs="Arial" w:eastAsia="Arial" w:hAnsi="Arial"/>
          <w:b w:val="1"/>
          <w:bCs w:val="1"/>
        </w:rPr>
      </w:pPr>
      <w:r w:rsidDel="00000000" w:rsidR="00000000" w:rsidRPr="00000000">
        <w:rPr>
          <w:rFonts w:ascii="Arial" w:cs="Arial" w:eastAsia="Arial" w:hAnsi="Arial"/>
          <w:b w:val="1"/>
          <w:bCs w:val="1"/>
          <w:rtl w:val="0"/>
        </w:rPr>
        <w:t xml:space="preserve"> хуулийн төслийн талаар </w:t>
      </w:r>
    </w:p>
    <w:p w:rsidR="00000000" w:rsidDel="00000000" w:rsidP="00000000" w:rsidRDefault="00000000" w:rsidRPr="00000000" w14:paraId="00000004">
      <w:pPr>
        <w:spacing w:after="0" w:lineRule="auto"/>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160" w:before="0" w:line="278.00000000000006" w:lineRule="auto"/>
        <w:ind w:left="0" w:right="0" w:firstLine="72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Монгол Улсын Их Хурлын 2017 оны 11 дүгээр тогтоолоор “Монгол Улсын хууль тогтоомжийг 2020 он хүртэл боловсронгуй болгох үндсэн чиглэл”-ийг баталсан. Тус үндсэн чиглэлийн 84-т “Хамтын санхүүжилтийн тухай хууль”-ийн төслийг боловсруулж, өргөн мэдүүлэхийг даалгасан.</w:t>
      </w:r>
      <w:r w:rsidDel="00000000" w:rsidR="00000000" w:rsidRPr="00000000">
        <w:rPr>
          <w:rtl w:val="0"/>
        </w:rPr>
      </w:r>
    </w:p>
    <w:p w:rsidR="00000000" w:rsidDel="00000000" w:rsidP="00000000" w:rsidRDefault="00000000" w:rsidRPr="00000000" w14:paraId="00000006">
      <w:pPr>
        <w:ind w:firstLine="720"/>
        <w:jc w:val="both"/>
        <w:rPr>
          <w:rFonts w:ascii="Arial" w:cs="Arial" w:eastAsia="Arial" w:hAnsi="Arial"/>
        </w:rPr>
      </w:pPr>
      <w:r w:rsidDel="00000000" w:rsidR="00000000" w:rsidRPr="00000000">
        <w:rPr>
          <w:rFonts w:ascii="Arial" w:cs="Arial" w:eastAsia="Arial" w:hAnsi="Arial"/>
          <w:rtl w:val="0"/>
        </w:rPr>
        <w:t xml:space="preserve">Үнэт цаасны зах зээлийн тухай хуулийн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дүгээр зүйлийн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.1-т “Хувьцааны хамтын санхүүжилтийн үйл ажиллагаа эрхлэх этгээд нь тусгай программ хангамжаар дамжуулан гарааны компани, жижиг, дунд үйлдвэрлэл, үйлчилгээ эрхлэгч болон хөрөнгө оруулагчийн хооронд санхүүгийн зуучлалын үйл ажиллагааг үр ашигтайгаар зохион байгуулна.” гэж заасан. </w:t>
      </w:r>
    </w:p>
    <w:p w:rsidR="00000000" w:rsidDel="00000000" w:rsidP="00000000" w:rsidRDefault="00000000" w:rsidRPr="00000000" w14:paraId="00000007">
      <w:pPr>
        <w:ind w:firstLine="720"/>
        <w:jc w:val="both"/>
        <w:rPr>
          <w:rFonts w:ascii="Arial" w:cs="Arial" w:eastAsia="Arial" w:hAnsi="Arial"/>
        </w:rPr>
      </w:pPr>
      <w:r w:rsidDel="00000000" w:rsidR="00000000" w:rsidRPr="00000000">
        <w:rPr>
          <w:rFonts w:ascii="Arial" w:cs="Arial" w:eastAsia="Arial" w:hAnsi="Arial"/>
          <w:rtl w:val="0"/>
        </w:rPr>
        <w:t xml:space="preserve">Манай улсад Санхүүгийн зохицуулах хорооны эрх зүйн байдлын тухай хуулийн 6 дугаар зүйлийн 6.1.2, 6.2.2, Үнэт цаасны зах зээлийн тухай хуулийн 50</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дүгээр зүйл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.3,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.5, 63 дугаар зүйлийн 63.1.20-д тус тус заасны дагуу зөвхөн хувьцаанд суурилсан хамтын санхүүжилтийн харилцааг Санхүүгийн зохицуулах хороо 2025 оны 02 дугаар сарын 03-ны өдрийн 06 дугаар тогтоолоор баталсан “Хувьцааны хамтын санхүүжилтийн үйл ажиллагааны журам”-аар зохицуулж байна. </w:t>
      </w:r>
    </w:p>
    <w:p w:rsidR="00000000" w:rsidDel="00000000" w:rsidP="00000000" w:rsidRDefault="00000000" w:rsidRPr="00000000" w14:paraId="00000008">
      <w:pPr>
        <w:ind w:firstLine="720"/>
        <w:jc w:val="both"/>
        <w:rPr/>
      </w:pPr>
      <w:r w:rsidDel="00000000" w:rsidR="00000000" w:rsidRPr="00000000">
        <w:rPr>
          <w:rFonts w:ascii="Arial" w:cs="Arial" w:eastAsia="Arial" w:hAnsi="Arial"/>
          <w:b w:val="0"/>
          <w:bCs w:val="0"/>
          <w:i w:val="0"/>
          <w:iCs w:val="0"/>
          <w:smallCaps w:val="0"/>
          <w:color w:val="000000"/>
          <w:sz w:val="24"/>
          <w:szCs w:val="24"/>
          <w:rtl w:val="0"/>
        </w:rPr>
        <w:t xml:space="preserve">Хамтын санхүүжилт нь бусад санхүүгийн салбартай харьцуулахад ихээхэн шинэлэг салбар </w:t>
      </w:r>
      <w:r w:rsidDel="00000000" w:rsidR="00000000" w:rsidRPr="00000000">
        <w:rPr>
          <w:rFonts w:ascii="Arial" w:cs="Arial" w:eastAsia="Arial" w:hAnsi="Arial"/>
          <w:b w:val="0"/>
          <w:bCs w:val="0"/>
          <w:i w:val="1"/>
          <w:iCs w:val="1"/>
          <w:smallCaps w:val="0"/>
          <w:color w:val="000000"/>
          <w:sz w:val="24"/>
          <w:szCs w:val="24"/>
          <w:rtl w:val="0"/>
        </w:rPr>
        <w:t xml:space="preserve">/жишээлбэл, Их Британид 2006 оноос, Америкт 2007 оноос, Хятадад 2009 оноос үүсэж эхэлсэн/</w:t>
      </w:r>
      <w:r w:rsidDel="00000000" w:rsidR="00000000" w:rsidRPr="00000000">
        <w:rPr>
          <w:rFonts w:ascii="Arial" w:cs="Arial" w:eastAsia="Arial" w:hAnsi="Arial"/>
          <w:b w:val="0"/>
          <w:bCs w:val="0"/>
          <w:i w:val="0"/>
          <w:iCs w:val="0"/>
          <w:smallCaps w:val="0"/>
          <w:color w:val="000000"/>
          <w:sz w:val="24"/>
          <w:szCs w:val="24"/>
          <w:rtl w:val="0"/>
        </w:rPr>
        <w:t xml:space="preserve"> тул улс орнууд хамтын санхүүжилтийг зохицуулах хууль, эрх зүйн орчныг сүүлийн жилүүдэд үе шаттайгаар бүрдүүлж байна.</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color w:val="000000"/>
          <w:sz w:val="24"/>
          <w:szCs w:val="24"/>
          <w:rtl w:val="0"/>
        </w:rPr>
        <w:t xml:space="preserve">Олон улсын практикт хамтын санхүүжилтийн үйл ажиллагаагаар дамжуулан санхүүжилт татан төвлөрүүлэх байдал тасралтгүй өсөж байгаа бөгөөд цаашид ч улам нэмэгдэх хандлагатай байна. 2024 оны байдлаар дэлхий дахинаа хамтын санхүүжилтийн платформоор дамжуулан татан төвлөрүүлсэн нийт хөрөнгийн хэмжээ 166.95 тэрбум доллар байгаа бөгөөд энэ тоо 2032 онд 2,801.29 тэрбум доллар болж өснө гэсэн тооцооллыг судлаачид гаргасан байна.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9">
      <w:pPr>
        <w:ind w:firstLine="720"/>
        <w:jc w:val="both"/>
        <w:rPr>
          <w:rFonts w:ascii="Arial" w:cs="Arial" w:eastAsia="Arial" w:hAnsi="Arial"/>
        </w:rPr>
      </w:pPr>
      <w:r w:rsidDel="00000000" w:rsidR="00000000" w:rsidRPr="00000000">
        <w:rPr>
          <w:rFonts w:ascii="Arial" w:cs="Arial" w:eastAsia="Arial" w:hAnsi="Arial"/>
          <w:rtl w:val="0"/>
        </w:rPr>
        <w:t xml:space="preserve">Хуулийн төсөлд хамтын санхүүжилтийн үндсэн дөрвөн төрөл болох хувьцаа, зээл, урамшуулал, хандивт суурилсан хамтын санхүүжилтийн үйлчилгээг зохицуулахаар тусгагдсан бөгөөд хамтын санхүүжилтийн үйлчилгээ үзүүлэгчийн эрх зүйн үндсийг тодорхойлж, түүний үйлчилгээтэй холбогдон үүсэх харилцааг зохицуулах зорилтын хүрээнд бэлтгэлээ. </w:t>
      </w:r>
    </w:p>
    <w:p w:rsidR="00000000" w:rsidDel="00000000" w:rsidP="00000000" w:rsidRDefault="00000000" w:rsidRPr="00000000" w14:paraId="0000000A">
      <w:pPr>
        <w:ind w:firstLine="720"/>
        <w:jc w:val="both"/>
        <w:rPr>
          <w:rFonts w:ascii="Arial" w:cs="Arial" w:eastAsia="Arial" w:hAnsi="Arial"/>
        </w:rPr>
      </w:pPr>
      <w:r w:rsidDel="00000000" w:rsidR="00000000" w:rsidRPr="00000000">
        <w:rPr>
          <w:rFonts w:ascii="Arial" w:cs="Arial" w:eastAsia="Arial" w:hAnsi="Arial"/>
          <w:rtl w:val="0"/>
        </w:rPr>
        <w:t xml:space="preserve">Хуулийн төсөл нь 5 бүлэгтэй байх бөгөөд уг хуулиар зохицуулах харилцаа, хамрах хүрээг дараах байдлаар тусгана. Үүнд: </w:t>
      </w:r>
    </w:p>
    <w:p w:rsidR="00000000" w:rsidDel="00000000" w:rsidP="00000000" w:rsidRDefault="00000000" w:rsidRPr="00000000" w14:paraId="0000000B">
      <w:pPr>
        <w:spacing w:after="160" w:before="0" w:line="278.00000000000006" w:lineRule="auto"/>
        <w:ind w:left="0" w:right="0" w:firstLine="72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Нэгдүгээр бүлэгт: Нийтлэг үндэслэл буюу хуулийн зорилт, хууль тогтоомж, хуулийн үйлчлэх хүрээ, нэр томьёоны тодорхойлолт зэргийг тодорхойлно. </w:t>
      </w:r>
    </w:p>
    <w:p w:rsidR="00000000" w:rsidDel="00000000" w:rsidP="00000000" w:rsidRDefault="00000000" w:rsidRPr="00000000" w14:paraId="0000000C">
      <w:pPr>
        <w:ind w:firstLine="72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 Хоёрдугаар бүлэгт: Хувьцаанд суурилсан, зээлд суурилсан, урамшуулалд суурилсан, хандивт суурилсан хамтын санхүүжилтийн үйлчилгээ, тэдгээрт тавих шаардлагыг тодорхойлон тусгана.  </w:t>
      </w:r>
    </w:p>
    <w:p w:rsidR="00000000" w:rsidDel="00000000" w:rsidP="00000000" w:rsidRDefault="00000000" w:rsidRPr="00000000" w14:paraId="0000000D">
      <w:pPr>
        <w:ind w:firstLine="72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 Гуравдугаар бүлэгт: Хамтын санхүүжилтийн үйлчилгээ үзүүлэгч, түүнд тавигдах хүний нөөц, программ хангамж, эрх бүхий албан тушаалтнуудын шаардлага, хамтын санхүүжилтийн үйлчилгээ үзүүлэгчийн үүрэг, тайлан, мэдээлэл ирүүлэх хугацаа, программ хангамжид ил тод нээлттэй байршуулах мэдээлэл, хувьцаа болон зээлд суурилсан хамтын санхүүжилтийн үйлчилгээ үзүүлэгчид олгох зөвшөөрөл түүнд ирүүлэх баримт бичиг, зөвшөөрлийг түдгэлзүүлэх, хүчингүй болгох зэрэг зохицуулалтыг тусгана.  </w:t>
      </w:r>
    </w:p>
    <w:p w:rsidR="00000000" w:rsidDel="00000000" w:rsidP="00000000" w:rsidRDefault="00000000" w:rsidRPr="00000000" w14:paraId="0000000E">
      <w:pPr>
        <w:ind w:firstLine="72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 Дөрөвдүгээр бүлэгт: Мэдээллийн ил тод байдлыг хангах зорилгоор хамтын санхүүжилтийн үйлчилгээ үзүүлэгч өөрийн харилцагчид үнэн зөв, тодорхой, ойлгомжтой байдлаар өгөх мэдээлэл, гомдол хүлээн авах болон түүнийг шийдвэрлэх хугацаа зэргийг тусгана. </w:t>
      </w:r>
    </w:p>
    <w:p w:rsidR="00000000" w:rsidDel="00000000" w:rsidP="00000000" w:rsidRDefault="00000000" w:rsidRPr="00000000" w14:paraId="0000000F">
      <w:pPr>
        <w:ind w:firstLine="72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 Тавдугаар бүлэгт: Хамтын санхүүжилтийн үйлчилгээ үзүүлэгч нь баримт мэдээллийг хэрхэн хадгалах, үйлчилгээтэй холбоотой аливаа зар сурталчилгааг харилцагчид төөрөгдөлгүй, тодорхой, ойлгомжтой байдлаар хүргэх болон мэдэгдлийн хүрээнд эрхлэх урамшуулал болон хандивт суурилсан хамтын санхүүжилтийн үйлчилгээнд хяналт тавих этгээд болон хариуцлага, хууль хүчин төгөлдөр болох зэргийг тус тус тодорхойлно.  </w:t>
      </w:r>
    </w:p>
    <w:p w:rsidR="00000000" w:rsidDel="00000000" w:rsidP="00000000" w:rsidRDefault="00000000" w:rsidRPr="00000000" w14:paraId="00000010">
      <w:pPr>
        <w:ind w:firstLine="720"/>
        <w:jc w:val="both"/>
        <w:rPr>
          <w:rFonts w:ascii="Arial" w:cs="Arial" w:eastAsia="Arial" w:hAnsi="Arial"/>
        </w:rPr>
      </w:pPr>
      <w:r w:rsidDel="00000000" w:rsidR="00000000" w:rsidRPr="00000000">
        <w:rPr>
          <w:rFonts w:ascii="Arial" w:cs="Arial" w:eastAsia="Arial" w:hAnsi="Arial"/>
          <w:rtl w:val="0"/>
        </w:rPr>
        <w:t xml:space="preserve">Хамтын санхүүжилтийн хуулийн төсөл батлагдахтай уялдуулан  дараах хууль, тогтоолын төслийг боловсрууллаа. Үүнд:</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Санхүүгийн зохицуулах хорооны эрх зүйн байдлын тухай хуульд нэмэлт өөрчлөлт оруулах тухай хуулийн төслөөр Хамтын санхүүжилтийн тухай хуулийн төсөл батлагдсанаар тус хуульд заасан санхүүгийн үйлчилгээнд хамаарах үйл ажиллагааг нэмэгдүүлэхээр тусгалаа.</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Үнэт цаасны зах зээлийн тухай хуульд өөрчлөлт оруулах тухай хуулийн төсөлд Хамтын санхүүжилтийн тухай хууль батлагдсанаар тус хуульд заасан хувьцааны хамтын санхүүжилтийг зохицуулсан зүйл, заалтыг хүчингүй болгохоор хуулийн төсөл боловсрууллаа.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Зөвшөөрлийн тухай хуульд нэмэлт өөрчлөлт оруулах тухай хуулийн төслөөр хувьцаа болон зээлд суурилсан хамтын санхүүжилтийн үйлчилгээ үзүүлэгчийн үйл ажиллагаа эрхлэх нь энгийн зөвшөөрөлтэйгөөр эхлэх үйл ажиллагааны төрөлд хамааруулан өөрчлөлт оруулахаар тусгалаа.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Зөрчлийн тухай хуульд нэмэлт, өөрчлөлт оруулах тухай хуулийн төслөөр шинэ төрлийн санхүүгийн үйлчилгээ нэмэгдэж байгаатай холбогдуулан зөвшөөрөл, мэдэгдэлгүйгээр үйл ажиллагаа явуулах эрсдэлийг бууруулах эрх зүйн үндсийг бүрдүүлэхээр тусгалаа.</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Зөрчил шалган шийдвэрлэх тухай хуульд нэмэлт оруулах тухай хуулийн төслөөр Хамтын санхүүжилтийн хуулийн төсөл батлагдахтай холбогдуулан зөрчил шалган шийдвэрлэх ажиллагааг тодорхой болгох шаардлага үүссэн.</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Мөнгө угаах болон терроризмыг санхүүжүүлэхтэй тэмцэх тухай хуульд нэмэлт өөрчлөлт оруулах тухай хуулийн төслөөр урьдчилан сэргийлэх үйл ажиллагааны хүрээнд мэдээлэх үүрэгтэй этгээдийн холбогдох хэсэгт өөрчлөлт оруулахаар тусгалаа.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Зээлийн мэдээллийн тухай хуульд нэмэлт өөрчлөлт оруулах тухай хуулийн төсөлд “Зээлд суурилсан хамтын санхүүжилтийн үйлчилгээгээр төсөл хэрэгжүүлэгч нь бизнесийн төсөл, хөтөлбөр болон зээл авах хэрэгцээ, шаардлагаа санхүүжүүлэгчид танилцуулж, зээлийн үндсэн болон хүүгийн төлбөрийг тодорхой хугацаанд эргэн төлөх үүрэгтэйгээр санхүүжилт татан төвлөрүүлнэ” гэж Хамтын санхүүжилтийн тухай хуульд тусгагдсан тул нэмэлт өөрчлөлт оруулахаар тусгалаа.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Хэрэглэгчийн эрхийг хамгаалах тухай хуульд нэмэлт өөрчлөлт оруулах тухай хуулийн төслөөр урамшуулал болон хандивт суурилсан хамтын санхүүжилтийн үйлчилгээ үзүүлэгчийн үйл ажиллагаанд хяналт тавих төрийн захиргааны байгууллагын бүрэн эрхт нэмэлт өөрчлөлт оруулахаар тусгалаа.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Нэмэгдсэн өртгийн албан татварын тухай хуульд нэмэлт оруулах тухай хуулийн төслөөр хамтын санхүүжилтийн үйлчилгээ үзүүлэгчийн үйл ажиллагааг дэмжих, санхүүгийн хүртээмжийг нэмэгдүүлэх, финтек болон инновацид суурилсан санхүүгийн үйлчилгээний хөгжлийг дэмжих зорилгоор нэмэгдсэн өртгийн албан татвараас чөлөөлөх зохицуулалтыг тусгалаа.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тухай хуулийг дагаж мөрдөх журмын тухай хуулийн төсөлд хамтын санхүүжилтийн тухай хууль хүчин төгөлдөр болохоос өмнө хувьцаа, зээл, урамшуулал, хандивт суурилсан хамтын санхүүжилтийн үйлчилгээ эрхэлж байсан этгээд нь 2027 оны 06 дугаар сарын 02-ны өдрөөс өмнө хуульд заасан нөхцөл шаардлагыг ханган төрийн эрх бүхий байгууллагаас зөвшөөрөл авах, эсхүл мэдэгдэх талаар тусгалаа. </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Энэхүү Хамтын санхүүжилтийн эрх зүйн орчин бүрдсэнээр:  </w:t>
      </w:r>
    </w:p>
    <w:p w:rsidR="00000000" w:rsidDel="00000000" w:rsidP="00000000" w:rsidRDefault="00000000" w:rsidRPr="00000000" w14:paraId="0000001C">
      <w:pPr>
        <w:numPr>
          <w:ilvl w:val="0"/>
          <w:numId w:val="1"/>
        </w:numPr>
        <w:spacing w:after="0" w:lineRule="auto"/>
        <w:ind w:left="720" w:hanging="36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Зардал багатай санхүүжилтийн шинэ эх үүсвэр бий болох;</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Гарааны компани, жижиг, дунд үйлдвэрлэл, үйлчилгээ эрхлэгчдийг дэмжих;</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Хандив, урамшууллын тогтолцоог ил тод болгож залилах гэмт хэргийн эрсдэлийг бууруулах;</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4"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Хөрөнгө оруулалтын шинэ боломжийг нэмэгдүүлэх эерэг үр нөлөөтэй.</w:t>
      </w:r>
    </w:p>
    <w:p w:rsidR="00000000" w:rsidDel="00000000" w:rsidP="00000000" w:rsidRDefault="00000000" w:rsidRPr="00000000" w14:paraId="00000020">
      <w:pPr>
        <w:spacing w:after="144" w:before="60" w:line="240" w:lineRule="auto"/>
        <w:ind w:left="0" w:firstLine="72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sz w:val="24"/>
          <w:szCs w:val="24"/>
          <w:rtl w:val="0"/>
        </w:rPr>
        <w:t xml:space="preserve">Хамтын санхүүжилтийн үйлчилгээний зохицуулалтыг практик шаардлага, олон улсын судалгаа, сайн туршлагад нийцүүлж Хууль тогтоомжийн тухай хуульд заасны дагуу анхдагч хуулийн төсөл хэлбэрээр боловсрууллаа.</w:t>
      </w:r>
      <w:r w:rsidDel="00000000" w:rsidR="00000000" w:rsidRPr="00000000">
        <w:rPr>
          <w:rtl w:val="0"/>
        </w:rPr>
      </w:r>
    </w:p>
    <w:p w:rsidR="00000000" w:rsidDel="00000000" w:rsidP="00000000" w:rsidRDefault="00000000" w:rsidRPr="00000000" w14:paraId="00000021">
      <w:pPr>
        <w:ind w:firstLine="720"/>
        <w:jc w:val="both"/>
        <w:rPr>
          <w:rFonts w:ascii="Arial" w:cs="Arial" w:eastAsia="Arial" w:hAnsi="Arial"/>
        </w:rPr>
      </w:pPr>
      <w:r w:rsidDel="00000000" w:rsidR="00000000" w:rsidRPr="00000000">
        <w:rPr>
          <w:rtl w:val="0"/>
        </w:rPr>
      </w:r>
    </w:p>
    <w:sectPr>
      <w:headerReference r:id="rId7" w:type="default"/>
      <w:pgSz w:h="15840" w:w="12240" w:orient="portrait"/>
      <w:pgMar w:bottom="1440" w:top="144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m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iXAPQWQLo8QuBwrNgr/j2nNew==">CgMxLjA4AHIhMXMzeTNOYmxrT2JQSDR4MWU5bTA0eW5jLUJBQVFqaDgt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