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C2F6259" w14:textId="77777777" w:rsidR="00637B34" w:rsidRDefault="00000000">
      <w:pPr>
        <w:jc w:val="center"/>
        <w:rPr>
          <w:rFonts w:ascii="Arial" w:hAnsi="Arial" w:cs="Arial"/>
          <w:b/>
          <w:bCs/>
          <w:color w:val="000000" w:themeColor="text1"/>
          <w:shd w:val="clear" w:color="auto" w:fill="FFFFFF"/>
        </w:rPr>
      </w:pPr>
      <w:r>
        <w:rPr>
          <w:rFonts w:ascii="Arial" w:hAnsi="Arial" w:cs="Arial"/>
          <w:b/>
          <w:bCs/>
          <w:color w:val="000000"/>
          <w:shd w:val="clear" w:color="auto" w:fill="FFFFFF"/>
        </w:rPr>
        <w:t xml:space="preserve">ИРГЭД, ОЛОН НИЙТИЙН САНАЛ, ХЭЛЭЛЦҮҮЛГИЙН </w:t>
      </w:r>
    </w:p>
    <w:p w14:paraId="00DCBC50" w14:textId="77777777" w:rsidR="00637B34" w:rsidRDefault="00000000">
      <w:pPr>
        <w:jc w:val="center"/>
        <w:rPr>
          <w:rFonts w:ascii="Arial" w:hAnsi="Arial" w:cs="Arial"/>
          <w:b/>
          <w:bCs/>
          <w:color w:val="000000" w:themeColor="text1"/>
          <w:shd w:val="clear" w:color="auto" w:fill="FFFFFF"/>
        </w:rPr>
      </w:pPr>
      <w:r>
        <w:rPr>
          <w:rFonts w:ascii="Arial" w:hAnsi="Arial" w:cs="Arial"/>
          <w:b/>
          <w:bCs/>
          <w:color w:val="000000"/>
          <w:shd w:val="clear" w:color="auto" w:fill="FFFFFF"/>
        </w:rPr>
        <w:t>ТУХАЙ ТАНИЛЦУУЛГА</w:t>
      </w:r>
    </w:p>
    <w:p w14:paraId="2F310395" w14:textId="77777777" w:rsidR="00637B34" w:rsidRDefault="00637B34">
      <w:pPr>
        <w:rPr>
          <w:rFonts w:ascii="Arial" w:hAnsi="Arial" w:cs="Arial"/>
          <w:color w:val="000000" w:themeColor="text1"/>
          <w:shd w:val="clear" w:color="auto" w:fill="FFFFFF"/>
        </w:rPr>
      </w:pPr>
    </w:p>
    <w:p w14:paraId="06633FA7" w14:textId="77777777" w:rsidR="00637B34" w:rsidRDefault="00000000">
      <w:pPr>
        <w:spacing w:line="276" w:lineRule="auto"/>
        <w:ind w:right="-336" w:firstLine="720"/>
        <w:jc w:val="both"/>
        <w:rPr>
          <w:rFonts w:ascii="Arial" w:hAnsi="Arial" w:cs="Arial"/>
          <w:color w:val="000000" w:themeColor="text1"/>
          <w:shd w:val="clear" w:color="auto" w:fill="FFFFFF"/>
        </w:rPr>
      </w:pPr>
      <w:r>
        <w:rPr>
          <w:rFonts w:ascii="Arial" w:hAnsi="Arial" w:cs="Arial"/>
          <w:color w:val="000000"/>
          <w:shd w:val="clear" w:color="auto" w:fill="FFFFFF"/>
        </w:rPr>
        <w:t>Газрын тухай хуульд нэмэлт, өөрчлөлт оруулах тухай хуулийн төслийн талаарх олон нийтийн хэлэлцүүлгийг Хууль тогтоомжийн тухай хуулийн 38 дугаар зүйлийн 38.6.4-т заасны дагуу цахим хэлбэрээр явуулахаар 2026 оны 05 дугаар сарын 08-ны өдөр d.parliament.mn цахим хуудсанд байршуулж, санал авах ажлыг зохион байгуулан ажилласан.</w:t>
      </w:r>
    </w:p>
    <w:p w14:paraId="288DA473" w14:textId="77777777" w:rsidR="00637B34" w:rsidRDefault="00637B34">
      <w:pPr>
        <w:spacing w:line="276" w:lineRule="auto"/>
        <w:ind w:right="-336" w:firstLine="720"/>
        <w:jc w:val="both"/>
        <w:rPr>
          <w:rFonts w:ascii="Arial" w:hAnsi="Arial" w:cs="Arial"/>
          <w:color w:val="000000" w:themeColor="text1"/>
          <w:shd w:val="clear" w:color="auto" w:fill="FFFFFF"/>
        </w:rPr>
      </w:pPr>
    </w:p>
    <w:p w14:paraId="5CEAA981" w14:textId="77777777" w:rsidR="00637B34" w:rsidRDefault="00000000">
      <w:pPr>
        <w:ind w:right="-421"/>
        <w:jc w:val="both"/>
        <w:rPr>
          <w:rFonts w:ascii="Arial" w:hAnsi="Arial" w:cs="Arial"/>
          <w:shd w:val="clear" w:color="auto" w:fill="FFFFFF"/>
        </w:rPr>
      </w:pPr>
      <w:r>
        <w:rPr>
          <w:rFonts w:ascii="Arial" w:hAnsi="Arial" w:cs="Arial"/>
          <w:shd w:val="clear" w:color="auto" w:fill="FFFFFF"/>
        </w:rPr>
        <w:tab/>
        <w:t xml:space="preserve">2026 оны 06 дугаар сарын 18 -ны өдрийн байдлаар тус хуулийн төсөлд 3 санал, 4 дэмжлэг ирүүлсэн байна. Үүнд: </w:t>
      </w:r>
    </w:p>
    <w:p w14:paraId="31759444" w14:textId="77777777" w:rsidR="00637B34" w:rsidRDefault="00637B34">
      <w:pPr>
        <w:ind w:right="-421"/>
        <w:jc w:val="both"/>
        <w:rPr>
          <w:rFonts w:ascii="Arial" w:hAnsi="Arial" w:cs="Arial"/>
          <w:shd w:val="clear" w:color="auto" w:fill="FFFFFF"/>
        </w:rPr>
      </w:pPr>
    </w:p>
    <w:tbl>
      <w:tblPr>
        <w:tblStyle w:val="TableGrid"/>
        <w:tblW w:w="9776" w:type="dxa"/>
        <w:tblLook w:val="04A0" w:firstRow="1" w:lastRow="0" w:firstColumn="1" w:lastColumn="0" w:noHBand="0" w:noVBand="1"/>
      </w:tblPr>
      <w:tblGrid>
        <w:gridCol w:w="704"/>
        <w:gridCol w:w="1843"/>
        <w:gridCol w:w="3118"/>
        <w:gridCol w:w="4111"/>
      </w:tblGrid>
      <w:tr w:rsidR="00637B34" w14:paraId="3A554421" w14:textId="77777777">
        <w:tc>
          <w:tcPr>
            <w:tcW w:w="704" w:type="dxa"/>
          </w:tcPr>
          <w:p w14:paraId="06C5C122" w14:textId="77777777" w:rsidR="00637B34" w:rsidRDefault="00000000">
            <w:pPr>
              <w:jc w:val="center"/>
              <w:rPr>
                <w:rFonts w:ascii="Arial" w:hAnsi="Arial" w:cs="Arial"/>
                <w:sz w:val="22"/>
                <w:szCs w:val="22"/>
                <w:shd w:val="clear" w:color="auto" w:fill="FFFFFF"/>
              </w:rPr>
            </w:pPr>
            <w:r>
              <w:rPr>
                <w:rFonts w:ascii="Arial" w:hAnsi="Arial" w:cs="Arial"/>
                <w:sz w:val="22"/>
                <w:szCs w:val="22"/>
                <w:shd w:val="clear" w:color="auto" w:fill="FFFFFF"/>
              </w:rPr>
              <w:t>Д/д</w:t>
            </w:r>
          </w:p>
        </w:tc>
        <w:tc>
          <w:tcPr>
            <w:tcW w:w="1843" w:type="dxa"/>
          </w:tcPr>
          <w:p w14:paraId="6B8EF351" w14:textId="77777777" w:rsidR="00637B34" w:rsidRDefault="00000000">
            <w:pPr>
              <w:jc w:val="center"/>
              <w:rPr>
                <w:rFonts w:ascii="Arial" w:hAnsi="Arial" w:cs="Arial"/>
                <w:sz w:val="22"/>
                <w:szCs w:val="22"/>
                <w:shd w:val="clear" w:color="auto" w:fill="FFFFFF"/>
              </w:rPr>
            </w:pPr>
            <w:r>
              <w:rPr>
                <w:rFonts w:ascii="Arial" w:hAnsi="Arial" w:cs="Arial"/>
                <w:sz w:val="22"/>
                <w:szCs w:val="22"/>
                <w:shd w:val="clear" w:color="auto" w:fill="FFFFFF"/>
              </w:rPr>
              <w:t>Нэр</w:t>
            </w:r>
          </w:p>
        </w:tc>
        <w:tc>
          <w:tcPr>
            <w:tcW w:w="3118" w:type="dxa"/>
          </w:tcPr>
          <w:p w14:paraId="66194C94" w14:textId="77777777" w:rsidR="00637B34" w:rsidRDefault="00000000">
            <w:pPr>
              <w:jc w:val="center"/>
              <w:rPr>
                <w:rFonts w:ascii="Arial" w:hAnsi="Arial" w:cs="Arial"/>
                <w:sz w:val="22"/>
                <w:szCs w:val="22"/>
                <w:shd w:val="clear" w:color="auto" w:fill="FFFFFF"/>
              </w:rPr>
            </w:pPr>
            <w:r>
              <w:rPr>
                <w:rFonts w:ascii="Arial" w:hAnsi="Arial" w:cs="Arial"/>
                <w:sz w:val="22"/>
                <w:szCs w:val="22"/>
                <w:shd w:val="clear" w:color="auto" w:fill="FFFFFF"/>
              </w:rPr>
              <w:t>Ирүүлсэн санал</w:t>
            </w:r>
          </w:p>
        </w:tc>
        <w:tc>
          <w:tcPr>
            <w:tcW w:w="4111" w:type="dxa"/>
          </w:tcPr>
          <w:p w14:paraId="739BC804" w14:textId="77777777" w:rsidR="00637B34" w:rsidRDefault="00000000">
            <w:pPr>
              <w:jc w:val="center"/>
              <w:rPr>
                <w:rFonts w:ascii="Arial" w:hAnsi="Arial" w:cs="Arial"/>
                <w:sz w:val="22"/>
                <w:szCs w:val="22"/>
                <w:shd w:val="clear" w:color="auto" w:fill="FFFFFF"/>
              </w:rPr>
            </w:pPr>
            <w:r>
              <w:rPr>
                <w:rFonts w:ascii="Arial" w:hAnsi="Arial" w:cs="Arial"/>
                <w:sz w:val="22"/>
                <w:szCs w:val="22"/>
                <w:shd w:val="clear" w:color="auto" w:fill="FFFFFF"/>
              </w:rPr>
              <w:t>Хуулийн төсөлд тусгасан эсэх</w:t>
            </w:r>
          </w:p>
        </w:tc>
      </w:tr>
      <w:tr w:rsidR="00637B34" w14:paraId="17DFBD74" w14:textId="77777777">
        <w:tc>
          <w:tcPr>
            <w:tcW w:w="704" w:type="dxa"/>
          </w:tcPr>
          <w:p w14:paraId="7423776F" w14:textId="77777777" w:rsidR="00637B34" w:rsidRDefault="00000000">
            <w:pPr>
              <w:rPr>
                <w:rFonts w:ascii="Arial" w:hAnsi="Arial" w:cs="Arial"/>
                <w:sz w:val="22"/>
                <w:szCs w:val="22"/>
                <w:shd w:val="clear" w:color="auto" w:fill="FFFFFF"/>
              </w:rPr>
            </w:pPr>
            <w:r>
              <w:rPr>
                <w:rFonts w:ascii="Arial" w:hAnsi="Arial" w:cs="Arial"/>
                <w:sz w:val="22"/>
                <w:szCs w:val="22"/>
                <w:shd w:val="clear" w:color="auto" w:fill="FFFFFF"/>
              </w:rPr>
              <w:t>1</w:t>
            </w:r>
          </w:p>
        </w:tc>
        <w:tc>
          <w:tcPr>
            <w:tcW w:w="1843" w:type="dxa"/>
          </w:tcPr>
          <w:p w14:paraId="0FA9C82D" w14:textId="77777777" w:rsidR="00637B34" w:rsidRDefault="00000000">
            <w:pPr>
              <w:jc w:val="both"/>
              <w:rPr>
                <w:rFonts w:ascii="Arial" w:hAnsi="Arial" w:cs="Arial"/>
                <w:sz w:val="22"/>
                <w:szCs w:val="22"/>
                <w:shd w:val="clear" w:color="auto" w:fill="FFFFFF"/>
              </w:rPr>
            </w:pPr>
            <w:r>
              <w:rPr>
                <w:rFonts w:ascii="Arial" w:hAnsi="Arial" w:cs="Arial"/>
                <w:sz w:val="22"/>
                <w:szCs w:val="22"/>
                <w:shd w:val="clear" w:color="auto" w:fill="FFFFFF"/>
              </w:rPr>
              <w:t xml:space="preserve">Намсрай </w:t>
            </w:r>
          </w:p>
        </w:tc>
        <w:tc>
          <w:tcPr>
            <w:tcW w:w="3118" w:type="dxa"/>
          </w:tcPr>
          <w:p w14:paraId="7F711A92" w14:textId="77777777" w:rsidR="00637B34" w:rsidRDefault="00000000">
            <w:pPr>
              <w:jc w:val="both"/>
              <w:rPr>
                <w:rFonts w:ascii="Arial" w:hAnsi="Arial" w:cs="Arial"/>
                <w:sz w:val="22"/>
                <w:szCs w:val="22"/>
                <w:shd w:val="clear" w:color="auto" w:fill="FFFFFF"/>
              </w:rPr>
            </w:pPr>
            <w:r>
              <w:rPr>
                <w:rFonts w:ascii="Arial" w:hAnsi="Arial" w:cs="Arial"/>
                <w:sz w:val="22"/>
                <w:szCs w:val="22"/>
                <w:shd w:val="clear" w:color="auto" w:fill="FFFFFF"/>
              </w:rPr>
              <w:t>Газрын удирдлагын тогтоолцоотойгоо уялдахгүй байгаа юм бишүү. сум бүрт газрын даамал зайлшгүй байх шаардлагатай, хэрвээ ажиллах хүний нөөц дутмаг тохиолдолд хэрхэн шийдэх талаар зохицуулалтыг тодорхой болгохгүй бол зарчим алдагдаад байна.</w:t>
            </w:r>
          </w:p>
        </w:tc>
        <w:tc>
          <w:tcPr>
            <w:tcW w:w="4111" w:type="dxa"/>
          </w:tcPr>
          <w:p w14:paraId="31154408" w14:textId="77777777" w:rsidR="00637B34" w:rsidRDefault="00000000">
            <w:pPr>
              <w:jc w:val="both"/>
              <w:rPr>
                <w:rFonts w:ascii="Arial" w:hAnsi="Arial" w:cs="Arial"/>
                <w:sz w:val="22"/>
                <w:szCs w:val="22"/>
                <w:shd w:val="clear" w:color="auto" w:fill="FFFFFF"/>
              </w:rPr>
            </w:pPr>
            <w:r>
              <w:rPr>
                <w:rFonts w:ascii="Arial" w:hAnsi="Arial" w:cs="Arial"/>
                <w:sz w:val="22"/>
                <w:szCs w:val="22"/>
                <w:shd w:val="clear" w:color="auto" w:fill="FFFFFF"/>
              </w:rPr>
              <w:t>Одоогийн хүчин төгөлдөр мөрдөгдөж буй Газрын тухай хуульд сум бүр газрын даамалтай байхаар заасан байдаг бөгөөд тус Хуулийн үзэл баримтлалын төсөлд хүний нөөцтэй холбоотой асуудал тусгагдаагүй тул энэхүү саналыг Газрын тухай хуулийн шинэчилсэн найруулгын хүрээнд харгалзана.</w:t>
            </w:r>
          </w:p>
        </w:tc>
      </w:tr>
      <w:tr w:rsidR="00637B34" w14:paraId="003E544F" w14:textId="77777777">
        <w:tc>
          <w:tcPr>
            <w:tcW w:w="704" w:type="dxa"/>
          </w:tcPr>
          <w:p w14:paraId="7D73B6BF" w14:textId="77777777" w:rsidR="00637B34" w:rsidRDefault="00000000">
            <w:pPr>
              <w:rPr>
                <w:rFonts w:ascii="Arial" w:hAnsi="Arial" w:cs="Arial"/>
                <w:sz w:val="22"/>
                <w:szCs w:val="22"/>
                <w:shd w:val="clear" w:color="auto" w:fill="FFFFFF"/>
              </w:rPr>
            </w:pPr>
            <w:r>
              <w:rPr>
                <w:rFonts w:ascii="Arial" w:hAnsi="Arial" w:cs="Arial"/>
                <w:sz w:val="22"/>
                <w:szCs w:val="22"/>
                <w:shd w:val="clear" w:color="auto" w:fill="FFFFFF"/>
              </w:rPr>
              <w:t>2</w:t>
            </w:r>
          </w:p>
        </w:tc>
        <w:tc>
          <w:tcPr>
            <w:tcW w:w="1843" w:type="dxa"/>
          </w:tcPr>
          <w:p w14:paraId="5B36B2A6" w14:textId="77777777" w:rsidR="00637B34" w:rsidRDefault="00000000">
            <w:pPr>
              <w:jc w:val="both"/>
              <w:rPr>
                <w:rFonts w:ascii="Arial" w:hAnsi="Arial" w:cs="Arial"/>
                <w:sz w:val="22"/>
                <w:szCs w:val="22"/>
                <w:shd w:val="clear" w:color="auto" w:fill="FFFFFF"/>
              </w:rPr>
            </w:pPr>
            <w:r>
              <w:rPr>
                <w:rFonts w:ascii="Arial" w:hAnsi="Arial" w:cs="Arial"/>
                <w:sz w:val="22"/>
                <w:szCs w:val="22"/>
                <w:shd w:val="clear" w:color="auto" w:fill="FFFFFF"/>
              </w:rPr>
              <w:t>Намсрай</w:t>
            </w:r>
          </w:p>
        </w:tc>
        <w:tc>
          <w:tcPr>
            <w:tcW w:w="3118" w:type="dxa"/>
          </w:tcPr>
          <w:p w14:paraId="5C706E7B" w14:textId="77777777" w:rsidR="00637B34" w:rsidRDefault="00000000">
            <w:pPr>
              <w:jc w:val="both"/>
              <w:rPr>
                <w:rFonts w:ascii="Arial" w:hAnsi="Arial" w:cs="Arial"/>
                <w:sz w:val="22"/>
                <w:szCs w:val="22"/>
                <w:shd w:val="clear" w:color="auto" w:fill="FFFFFF"/>
              </w:rPr>
            </w:pPr>
            <w:r>
              <w:rPr>
                <w:rFonts w:ascii="Arial" w:hAnsi="Arial" w:cs="Arial"/>
                <w:sz w:val="22"/>
                <w:szCs w:val="22"/>
                <w:shd w:val="clear" w:color="auto" w:fill="FFFFFF"/>
              </w:rPr>
              <w:t>Орон тооны цомхотголоор зарим сумдын газрын даамлын орон тоог хасаж даамалгүй болгосон ба газрын даамлын эрхлэх асуудлыг аймгийн газрын алба хариуцаж байна. Энэ заалтын дагуу эдгээр сумдын тухайн жилийн төлөвлөгөөг аймгийн газрын алба боловсруулаад өөртөө дүгнэлт өгөөд өөрийнхөө хэрэгжүүлэлтэд хяналт тавих уу.</w:t>
            </w:r>
          </w:p>
        </w:tc>
        <w:tc>
          <w:tcPr>
            <w:tcW w:w="4111" w:type="dxa"/>
          </w:tcPr>
          <w:p w14:paraId="604B5F44" w14:textId="77777777" w:rsidR="00637B34" w:rsidRDefault="00000000">
            <w:pPr>
              <w:jc w:val="both"/>
              <w:rPr>
                <w:rFonts w:ascii="Arial" w:hAnsi="Arial" w:cs="Arial"/>
                <w:sz w:val="22"/>
                <w:szCs w:val="22"/>
                <w:shd w:val="clear" w:color="auto" w:fill="FFFFFF"/>
              </w:rPr>
            </w:pPr>
            <w:r>
              <w:rPr>
                <w:rFonts w:ascii="Arial" w:hAnsi="Arial" w:cs="Arial"/>
                <w:sz w:val="22"/>
                <w:szCs w:val="22"/>
                <w:shd w:val="clear" w:color="auto" w:fill="FFFFFF"/>
              </w:rPr>
              <w:t xml:space="preserve">Газрын тухай хуулийн 23.2.14-т “газрыг хамгаалах, нөхөн сэргээх, газар зохион байгуулалтын  үйл ажиллагаанд хяналт тавих” гэж заасны дагуу Газрын асуудал хариуцсан төрийн захиргааны байгууллага буюу Газар зохион байгуулалт, геодези, зураг зүйн ерөнхий газар газар зохион байгуулалтын төлөвлөгөөний хэрэгжилтэд хяналт тавина. </w:t>
            </w:r>
          </w:p>
          <w:p w14:paraId="469293D6" w14:textId="77777777" w:rsidR="00637B34" w:rsidRDefault="00000000">
            <w:pPr>
              <w:jc w:val="both"/>
              <w:rPr>
                <w:rFonts w:ascii="Arial" w:hAnsi="Arial" w:cs="Arial"/>
                <w:sz w:val="22"/>
                <w:szCs w:val="22"/>
                <w:shd w:val="clear" w:color="auto" w:fill="FFFFFF"/>
              </w:rPr>
            </w:pPr>
            <w:r>
              <w:rPr>
                <w:rFonts w:ascii="Arial" w:hAnsi="Arial" w:cs="Arial"/>
                <w:sz w:val="22"/>
                <w:szCs w:val="22"/>
                <w:shd w:val="clear" w:color="auto" w:fill="FFFFFF"/>
              </w:rPr>
              <w:t>Харин сумдын тухайн жилийн газар зохион байгуулалтын төлөвлөгөөнд Газрын асуудал эрхэлсэн төрийн захиргааны байгууллага дүгнэлт өгөхөөр шат дамжлага ихтэй, удаашралтай байх асуудал үүссэн тул аймгийн Газрын алба нь тухайн жилийн газар зохион байгуулалтын төлөвлөгөөний төсөлдөө дүгнэлтээ өгч орон нутагт газрын үйлчилгээг түргэн шуурхай шийдвэрлэх нөхцөл бүрдэх юм.</w:t>
            </w:r>
          </w:p>
        </w:tc>
      </w:tr>
      <w:tr w:rsidR="00637B34" w14:paraId="07FC22AD" w14:textId="77777777">
        <w:tc>
          <w:tcPr>
            <w:tcW w:w="704" w:type="dxa"/>
          </w:tcPr>
          <w:p w14:paraId="72350CD3" w14:textId="77777777" w:rsidR="00637B34" w:rsidRDefault="00000000">
            <w:pPr>
              <w:rPr>
                <w:rFonts w:ascii="Arial" w:hAnsi="Arial" w:cs="Arial"/>
                <w:sz w:val="22"/>
                <w:szCs w:val="22"/>
                <w:shd w:val="clear" w:color="auto" w:fill="FFFFFF"/>
              </w:rPr>
            </w:pPr>
            <w:r>
              <w:rPr>
                <w:rFonts w:ascii="Arial" w:hAnsi="Arial" w:cs="Arial"/>
                <w:sz w:val="22"/>
                <w:szCs w:val="22"/>
                <w:shd w:val="clear" w:color="auto" w:fill="FFFFFF"/>
              </w:rPr>
              <w:t>3</w:t>
            </w:r>
          </w:p>
        </w:tc>
        <w:tc>
          <w:tcPr>
            <w:tcW w:w="1843" w:type="dxa"/>
          </w:tcPr>
          <w:p w14:paraId="7839E859" w14:textId="77777777" w:rsidR="00637B34" w:rsidRDefault="00000000">
            <w:pPr>
              <w:jc w:val="both"/>
              <w:rPr>
                <w:rFonts w:ascii="Arial" w:hAnsi="Arial" w:cs="Arial"/>
                <w:sz w:val="22"/>
                <w:szCs w:val="22"/>
                <w:shd w:val="clear" w:color="auto" w:fill="FFFFFF"/>
              </w:rPr>
            </w:pPr>
            <w:r>
              <w:rPr>
                <w:rFonts w:ascii="Arial" w:hAnsi="Arial" w:cs="Arial"/>
                <w:sz w:val="22"/>
                <w:szCs w:val="22"/>
                <w:shd w:val="clear" w:color="auto" w:fill="FFFFFF"/>
              </w:rPr>
              <w:t>Намсрай</w:t>
            </w:r>
          </w:p>
        </w:tc>
        <w:tc>
          <w:tcPr>
            <w:tcW w:w="3118" w:type="dxa"/>
          </w:tcPr>
          <w:p w14:paraId="6093838F" w14:textId="77777777" w:rsidR="00637B34" w:rsidRDefault="00000000">
            <w:pPr>
              <w:jc w:val="both"/>
              <w:rPr>
                <w:rFonts w:ascii="Arial" w:hAnsi="Arial" w:cs="Arial"/>
                <w:sz w:val="22"/>
                <w:szCs w:val="22"/>
                <w:shd w:val="clear" w:color="auto" w:fill="FFFFFF"/>
              </w:rPr>
            </w:pPr>
            <w:r>
              <w:rPr>
                <w:rFonts w:ascii="Arial" w:hAnsi="Arial" w:cs="Arial"/>
                <w:sz w:val="22"/>
                <w:szCs w:val="22"/>
                <w:shd w:val="clear" w:color="auto" w:fill="FFFFFF"/>
              </w:rPr>
              <w:t xml:space="preserve">Хот суурины эдэлбэрт газар ашиглалтын дүрэмтэй байхаар хуульчлагдсан байгаа тул хот суурины эдэлбэр газарт газар </w:t>
            </w:r>
            <w:r>
              <w:rPr>
                <w:rFonts w:ascii="Arial" w:hAnsi="Arial" w:cs="Arial"/>
                <w:sz w:val="22"/>
                <w:szCs w:val="22"/>
                <w:shd w:val="clear" w:color="auto" w:fill="FFFFFF"/>
              </w:rPr>
              <w:lastRenderedPageBreak/>
              <w:t>ашиглалтын дүрмийн дагуу гэж нэмж оруулах нь зүйтэй.</w:t>
            </w:r>
          </w:p>
        </w:tc>
        <w:tc>
          <w:tcPr>
            <w:tcW w:w="4111" w:type="dxa"/>
          </w:tcPr>
          <w:p w14:paraId="162AEE14" w14:textId="77777777" w:rsidR="00637B34" w:rsidRDefault="00000000">
            <w:pPr>
              <w:jc w:val="both"/>
              <w:rPr>
                <w:rFonts w:ascii="Arial" w:hAnsi="Arial" w:cs="Arial"/>
                <w:sz w:val="22"/>
                <w:szCs w:val="22"/>
                <w:shd w:val="clear" w:color="auto" w:fill="FFFFFF"/>
              </w:rPr>
            </w:pPr>
            <w:r>
              <w:rPr>
                <w:rFonts w:ascii="Arial" w:hAnsi="Arial" w:cs="Arial"/>
                <w:sz w:val="22"/>
                <w:szCs w:val="22"/>
                <w:shd w:val="clear" w:color="auto" w:fill="FFFFFF"/>
              </w:rPr>
              <w:lastRenderedPageBreak/>
              <w:t xml:space="preserve">Газрын тухай хуульд заасан бүсчлэлийн дүрмийн хувьд Газар ашиглалтыг зохицуулах, ашиглалтын нөхцөл, шаардлагыг тогтоосон эрх бүхий байгууллагаас баталсан хэм хэмжээний баримт бичиг бөгөөд </w:t>
            </w:r>
            <w:r>
              <w:rPr>
                <w:rFonts w:ascii="Arial" w:hAnsi="Arial" w:cs="Arial"/>
                <w:sz w:val="22"/>
                <w:szCs w:val="22"/>
                <w:shd w:val="clear" w:color="auto" w:fill="FFFFFF"/>
              </w:rPr>
              <w:lastRenderedPageBreak/>
              <w:t>газрын хэмжээ, зориулалт өөрчлөх асуудал нь Газар зохион байгуулалтын ерөнхий төлөвлөгөө, хотын хөгжлийн ерөнхий төлөвлөгөө, хэсэгчилсэн ерөнхий төлөвлөгөө, эдэлбэр газрын бүсчлэл, газрын нэгдмэл сангийн үндсэн ангилалд гэсэн ерөнхийгөөс нарийвчилсан орон зайн баримт бичигт үндэслэх нь зүйтэй.</w:t>
            </w:r>
          </w:p>
        </w:tc>
      </w:tr>
    </w:tbl>
    <w:p w14:paraId="6ECAFD2B" w14:textId="77777777" w:rsidR="00637B34" w:rsidRDefault="00637B34">
      <w:pPr>
        <w:rPr>
          <w:rFonts w:ascii="Arial" w:hAnsi="Arial" w:cs="Arial"/>
          <w:shd w:val="clear" w:color="auto" w:fill="FFFFFF"/>
        </w:rPr>
      </w:pPr>
    </w:p>
    <w:p w14:paraId="7C5F4EE8" w14:textId="77777777" w:rsidR="00637B34" w:rsidRDefault="00000000">
      <w:pPr>
        <w:ind w:right="-336" w:firstLine="720"/>
        <w:jc w:val="both"/>
        <w:rPr>
          <w:rFonts w:ascii="Arial" w:hAnsi="Arial" w:cs="Arial"/>
        </w:rPr>
      </w:pPr>
      <w:r>
        <w:rPr>
          <w:rFonts w:ascii="Arial" w:hAnsi="Arial" w:cs="Arial"/>
          <w:bCs/>
        </w:rPr>
        <w:t>Хууль тогтоомжийн тухай хуулийн 38 дугаар зүйлийн 38.10 дахь хэсэгт зааснаар</w:t>
      </w:r>
      <w:r>
        <w:rPr>
          <w:rFonts w:ascii="Arial" w:hAnsi="Arial" w:cs="Arial"/>
          <w:bCs/>
          <w:color w:val="000000"/>
        </w:rPr>
        <w:t xml:space="preserve"> “</w:t>
      </w:r>
      <w:r>
        <w:rPr>
          <w:rFonts w:ascii="Arial" w:hAnsi="Arial" w:cs="Arial"/>
        </w:rPr>
        <w:t xml:space="preserve">Эрх, хууль ёсны ашиг сонирхол нь хөндөгдөх иргэн, хуулийн этгээдийн төлөөллөөс санал авч, хууль тогтоомжийн төслийн бүрдүүлбэрт хавсаргах” асуудал уг хуулийн төслөөр энэ асуудлыг Сангийн яам хариуцан ажиллах тул Засгийн газрын санал дүгнэлтэд болон хуулийн төслийг өргөн мэдүүлэхэд Сангийн яам зөвшөөрөл өгдөг тул  тусад нь санал авах шаардлагагүй болно. </w:t>
      </w:r>
    </w:p>
    <w:p w14:paraId="6F6316E2" w14:textId="77777777" w:rsidR="00637B34" w:rsidRDefault="00637B34">
      <w:pPr>
        <w:ind w:right="-336" w:firstLine="720"/>
        <w:jc w:val="both"/>
        <w:rPr>
          <w:rFonts w:ascii="Arial" w:hAnsi="Arial" w:cs="Arial"/>
        </w:rPr>
      </w:pPr>
    </w:p>
    <w:p w14:paraId="4771DF00" w14:textId="77777777" w:rsidR="00637B34" w:rsidRDefault="00637B34">
      <w:pPr>
        <w:ind w:right="-336"/>
        <w:jc w:val="both"/>
        <w:rPr>
          <w:rFonts w:ascii="Arial" w:hAnsi="Arial" w:cs="Arial"/>
        </w:rPr>
      </w:pPr>
    </w:p>
    <w:p w14:paraId="7684E96D" w14:textId="77777777" w:rsidR="00637B34" w:rsidRDefault="00637B34">
      <w:pPr>
        <w:ind w:right="-336" w:firstLine="720"/>
        <w:jc w:val="both"/>
        <w:rPr>
          <w:rFonts w:ascii="Arial" w:hAnsi="Arial" w:cs="Arial"/>
        </w:rPr>
      </w:pPr>
    </w:p>
    <w:p w14:paraId="63FBE00C" w14:textId="77777777" w:rsidR="00637B34" w:rsidRDefault="00000000">
      <w:pPr>
        <w:ind w:right="-336" w:firstLine="720"/>
        <w:jc w:val="center"/>
        <w:rPr>
          <w:rFonts w:ascii="Arial" w:hAnsi="Arial" w:cs="Arial"/>
          <w:bCs/>
          <w:color w:val="000000" w:themeColor="text1"/>
        </w:rPr>
      </w:pPr>
      <w:r>
        <w:rPr>
          <w:rFonts w:ascii="Arial" w:hAnsi="Arial" w:cs="Arial"/>
        </w:rPr>
        <w:t>---оОо---</w:t>
      </w:r>
    </w:p>
    <w:p w14:paraId="50CF2A50" w14:textId="77777777" w:rsidR="00637B34" w:rsidRDefault="00637B34">
      <w:pPr>
        <w:ind w:right="-336"/>
        <w:jc w:val="both"/>
        <w:rPr>
          <w:rFonts w:ascii="Arial" w:hAnsi="Arial" w:cs="Arial"/>
          <w:b/>
          <w:color w:val="000000" w:themeColor="text1"/>
        </w:rPr>
      </w:pPr>
    </w:p>
    <w:p w14:paraId="369725DD" w14:textId="77777777" w:rsidR="00637B34" w:rsidRDefault="00637B34"/>
    <w:sectPr w:rsidR="00637B34" w:rsidSect="00DC3EBD">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32"/>
    <w:rsid w:val="00000CA7"/>
    <w:rsid w:val="00002FDC"/>
    <w:rsid w:val="00064E25"/>
    <w:rsid w:val="00130D9F"/>
    <w:rsid w:val="001A58D3"/>
    <w:rsid w:val="001E0A67"/>
    <w:rsid w:val="00244BB3"/>
    <w:rsid w:val="00250F2D"/>
    <w:rsid w:val="002B1C82"/>
    <w:rsid w:val="002B53BD"/>
    <w:rsid w:val="002D2E1B"/>
    <w:rsid w:val="002D3C4B"/>
    <w:rsid w:val="0034033A"/>
    <w:rsid w:val="00385CBE"/>
    <w:rsid w:val="00401EA7"/>
    <w:rsid w:val="00476160"/>
    <w:rsid w:val="004C591D"/>
    <w:rsid w:val="00544830"/>
    <w:rsid w:val="00584077"/>
    <w:rsid w:val="00595618"/>
    <w:rsid w:val="005A7500"/>
    <w:rsid w:val="005F1A03"/>
    <w:rsid w:val="00637B34"/>
    <w:rsid w:val="00687D68"/>
    <w:rsid w:val="00687F59"/>
    <w:rsid w:val="006C011B"/>
    <w:rsid w:val="00715BB2"/>
    <w:rsid w:val="00723ED3"/>
    <w:rsid w:val="007B2E5B"/>
    <w:rsid w:val="007E7284"/>
    <w:rsid w:val="008C7D31"/>
    <w:rsid w:val="008D67ED"/>
    <w:rsid w:val="008F3446"/>
    <w:rsid w:val="00945180"/>
    <w:rsid w:val="00950E5B"/>
    <w:rsid w:val="009D02B8"/>
    <w:rsid w:val="00A257AC"/>
    <w:rsid w:val="00A475D8"/>
    <w:rsid w:val="00AB1C83"/>
    <w:rsid w:val="00BB36FD"/>
    <w:rsid w:val="00C02DE7"/>
    <w:rsid w:val="00C83EE4"/>
    <w:rsid w:val="00C85F12"/>
    <w:rsid w:val="00C9446A"/>
    <w:rsid w:val="00D24861"/>
    <w:rsid w:val="00DC3EBD"/>
    <w:rsid w:val="00DD1F51"/>
    <w:rsid w:val="00E8667B"/>
    <w:rsid w:val="00EA13F8"/>
    <w:rsid w:val="00EB2AE9"/>
    <w:rsid w:val="00ED4EE9"/>
    <w:rsid w:val="00F026F7"/>
    <w:rsid w:val="00F21332"/>
    <w:rsid w:val="00F45C42"/>
    <w:rsid w:val="00F56F70"/>
    <w:rsid w:val="00F83CD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1F20"/>
  <w15:chartTrackingRefBased/>
  <w15:docId w15:val="{B952DF2B-41C6-0144-8AB7-120CFD69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332"/>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2133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133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133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1332"/>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21332"/>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2133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2133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2133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2133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3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13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13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13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13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1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332"/>
    <w:rPr>
      <w:rFonts w:eastAsiaTheme="majorEastAsia" w:cstheme="majorBidi"/>
      <w:color w:val="272727" w:themeColor="text1" w:themeTint="D8"/>
    </w:rPr>
  </w:style>
  <w:style w:type="paragraph" w:styleId="Title">
    <w:name w:val="Title"/>
    <w:basedOn w:val="Normal"/>
    <w:next w:val="Normal"/>
    <w:link w:val="TitleChar"/>
    <w:uiPriority w:val="10"/>
    <w:qFormat/>
    <w:rsid w:val="00F213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1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33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1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33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21332"/>
    <w:rPr>
      <w:i/>
      <w:iCs/>
      <w:color w:val="404040" w:themeColor="text1" w:themeTint="BF"/>
    </w:rPr>
  </w:style>
  <w:style w:type="paragraph" w:styleId="ListParagraph">
    <w:name w:val="List Paragraph"/>
    <w:basedOn w:val="Normal"/>
    <w:uiPriority w:val="34"/>
    <w:qFormat/>
    <w:rsid w:val="00F2133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21332"/>
    <w:rPr>
      <w:i/>
      <w:iCs/>
      <w:color w:val="2F5496" w:themeColor="accent1" w:themeShade="BF"/>
    </w:rPr>
  </w:style>
  <w:style w:type="paragraph" w:styleId="IntenseQuote">
    <w:name w:val="Intense Quote"/>
    <w:basedOn w:val="Normal"/>
    <w:next w:val="Normal"/>
    <w:link w:val="IntenseQuoteChar"/>
    <w:uiPriority w:val="30"/>
    <w:qFormat/>
    <w:rsid w:val="00F2133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21332"/>
    <w:rPr>
      <w:i/>
      <w:iCs/>
      <w:color w:val="2F5496" w:themeColor="accent1" w:themeShade="BF"/>
    </w:rPr>
  </w:style>
  <w:style w:type="character" w:styleId="IntenseReference">
    <w:name w:val="Intense Reference"/>
    <w:basedOn w:val="DefaultParagraphFont"/>
    <w:uiPriority w:val="32"/>
    <w:qFormat/>
    <w:rsid w:val="00F21332"/>
    <w:rPr>
      <w:b/>
      <w:bCs/>
      <w:smallCaps/>
      <w:color w:val="2F5496" w:themeColor="accent1" w:themeShade="BF"/>
      <w:spacing w:val="5"/>
    </w:rPr>
  </w:style>
  <w:style w:type="table" w:styleId="TableGrid">
    <w:name w:val="Table Grid"/>
    <w:basedOn w:val="TableNormal"/>
    <w:uiPriority w:val="39"/>
    <w:rsid w:val="00F213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Ts.Munkhbat</cp:lastModifiedBy>
  <cp:revision>2</cp:revision>
  <cp:lastPrinted>2026-06-18T05:45:00Z</cp:lastPrinted>
  <dcterms:created xsi:type="dcterms:W3CDTF">2026-06-18T07:58:00Z</dcterms:created>
  <dcterms:modified xsi:type="dcterms:W3CDTF">2026-06-18T07:58:00Z</dcterms:modified>
</cp:coreProperties>
</file>