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2.xml" ContentType="application/vnd.openxmlformats-officedocument.themeOverrid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3.xml" ContentType="application/vnd.openxmlformats-officedocument.themeOverrid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4.xml" ContentType="application/vnd.openxmlformats-officedocument.themeOverrid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5.xml" ContentType="application/vnd.openxmlformats-officedocument.themeOverride+xml"/>
  <Override PartName="/word/drawings/drawing1.xml" ContentType="application/vnd.openxmlformats-officedocument.drawingml.chartshapes+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6.xml" ContentType="application/vnd.openxmlformats-officedocument.themeOverrid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7.xml" ContentType="application/vnd.openxmlformats-officedocument.themeOverrid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8.xml" ContentType="application/vnd.openxmlformats-officedocument.themeOverrid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9.xml" ContentType="application/vnd.openxmlformats-officedocument.themeOverrid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0.xml" ContentType="application/vnd.openxmlformats-officedocument.themeOverride+xml"/>
  <Override PartName="/word/charts/chart18.xml" ContentType="application/vnd.openxmlformats-officedocument.drawingml.chart+xml"/>
  <Override PartName="/word/theme/themeOverride11.xml" ContentType="application/vnd.openxmlformats-officedocument.themeOverride+xml"/>
  <Override PartName="/word/charts/chart19.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0.xml" ContentType="application/vnd.openxmlformats-officedocument.drawingml.chart+xml"/>
  <Override PartName="/word/charts/style18.xml" ContentType="application/vnd.ms-office.chartstyle+xml"/>
  <Override PartName="/word/charts/colors18.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DDF00D" w14:textId="69567508" w:rsidR="004259B8" w:rsidRPr="008C5EE2" w:rsidRDefault="004259B8" w:rsidP="71CB6EFF">
      <w:pPr>
        <w:spacing w:after="288"/>
        <w:ind w:firstLine="720"/>
        <w:jc w:val="center"/>
        <w:rPr>
          <w:rFonts w:cs="Arial"/>
          <w:b/>
          <w:bCs/>
        </w:rPr>
      </w:pPr>
      <w:r w:rsidRPr="008C5EE2">
        <w:rPr>
          <w:rFonts w:cs="Arial"/>
          <w:b/>
          <w:bCs/>
          <w:noProof/>
        </w:rPr>
        <w:drawing>
          <wp:anchor distT="0" distB="0" distL="114300" distR="114300" simplePos="0" relativeHeight="251658240" behindDoc="0" locked="0" layoutInCell="1" allowOverlap="1" wp14:anchorId="533D515C" wp14:editId="726726BD">
            <wp:simplePos x="914400" y="914400"/>
            <wp:positionH relativeFrom="margin">
              <wp:align>center</wp:align>
            </wp:positionH>
            <wp:positionV relativeFrom="margin">
              <wp:align>center</wp:align>
            </wp:positionV>
            <wp:extent cx="2095500" cy="2327438"/>
            <wp:effectExtent l="0" t="0" r="0" b="0"/>
            <wp:wrapSquare wrapText="bothSides"/>
            <wp:docPr id="169141483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414832" name="Graphic 1691414832"/>
                    <pic:cNvPicPr/>
                  </pic:nvPicPr>
                  <pic:blipFill>
                    <a:blip r:embed="rId11">
                      <a:extLst>
                        <a:ext uri="{96DAC541-7B7A-43D3-8B79-37D633B846F1}">
                          <asvg:svgBlip xmlns:asvg="http://schemas.microsoft.com/office/drawing/2016/SVG/main" r:embed="rId12"/>
                        </a:ext>
                      </a:extLst>
                    </a:blip>
                    <a:stretch>
                      <a:fillRect/>
                    </a:stretch>
                  </pic:blipFill>
                  <pic:spPr>
                    <a:xfrm>
                      <a:off x="0" y="0"/>
                      <a:ext cx="2095500" cy="2327438"/>
                    </a:xfrm>
                    <a:prstGeom prst="rect">
                      <a:avLst/>
                    </a:prstGeom>
                  </pic:spPr>
                </pic:pic>
              </a:graphicData>
            </a:graphic>
          </wp:anchor>
        </w:drawing>
      </w:r>
      <w:r w:rsidRPr="008C5EE2">
        <w:rPr>
          <w:rFonts w:cs="Arial"/>
          <w:b/>
          <w:bCs/>
        </w:rPr>
        <w:t>МОНГОЛ УЛСЫН ЗАСГИЙН ГАЗАР</w:t>
      </w:r>
    </w:p>
    <w:p w14:paraId="504ED2FA" w14:textId="77777777" w:rsidR="004259B8" w:rsidRPr="008C5EE2" w:rsidRDefault="004259B8" w:rsidP="004259B8">
      <w:pPr>
        <w:spacing w:after="288"/>
        <w:jc w:val="center"/>
        <w:rPr>
          <w:rFonts w:cs="Arial"/>
          <w:b/>
          <w:bCs/>
        </w:rPr>
      </w:pPr>
    </w:p>
    <w:p w14:paraId="7B0099C2" w14:textId="77777777" w:rsidR="004259B8" w:rsidRPr="008C5EE2" w:rsidRDefault="004259B8" w:rsidP="004259B8">
      <w:pPr>
        <w:spacing w:after="288"/>
        <w:jc w:val="center"/>
        <w:rPr>
          <w:rFonts w:cs="Arial"/>
          <w:b/>
          <w:bCs/>
        </w:rPr>
      </w:pPr>
    </w:p>
    <w:p w14:paraId="6117989E" w14:textId="77777777" w:rsidR="004259B8" w:rsidRPr="008C5EE2" w:rsidRDefault="004259B8" w:rsidP="004259B8">
      <w:pPr>
        <w:spacing w:after="288"/>
        <w:jc w:val="center"/>
        <w:rPr>
          <w:rFonts w:cs="Arial"/>
          <w:b/>
          <w:bCs/>
        </w:rPr>
      </w:pPr>
    </w:p>
    <w:p w14:paraId="6146CA07" w14:textId="77777777" w:rsidR="004259B8" w:rsidRPr="008C5EE2" w:rsidRDefault="004259B8" w:rsidP="004259B8">
      <w:pPr>
        <w:spacing w:after="288"/>
        <w:jc w:val="center"/>
        <w:rPr>
          <w:rFonts w:cs="Arial"/>
          <w:b/>
          <w:bCs/>
        </w:rPr>
      </w:pPr>
    </w:p>
    <w:p w14:paraId="73C14635" w14:textId="54B0F2AA" w:rsidR="004259B8" w:rsidRPr="00614D1A" w:rsidRDefault="004259B8" w:rsidP="004259B8">
      <w:pPr>
        <w:spacing w:after="288"/>
        <w:jc w:val="center"/>
        <w:rPr>
          <w:rFonts w:cs="Arial"/>
          <w:b/>
          <w:sz w:val="32"/>
          <w:szCs w:val="32"/>
          <w:lang w:eastAsia="ja-JP"/>
        </w:rPr>
      </w:pPr>
      <w:r w:rsidRPr="008C5EE2">
        <w:rPr>
          <w:rFonts w:cs="Arial"/>
          <w:b/>
          <w:bCs/>
          <w:sz w:val="32"/>
          <w:szCs w:val="32"/>
        </w:rPr>
        <w:t xml:space="preserve">МОНГОЛ УЛСЫН НЭГДСЭН ТӨСВИЙН </w:t>
      </w:r>
      <w:r w:rsidRPr="008C5EE2">
        <w:rPr>
          <w:rFonts w:cs="Arial"/>
          <w:b/>
          <w:bCs/>
          <w:sz w:val="32"/>
          <w:szCs w:val="32"/>
        </w:rPr>
        <w:br/>
        <w:t>202</w:t>
      </w:r>
      <w:r w:rsidR="0033164A">
        <w:rPr>
          <w:rFonts w:cs="Arial"/>
          <w:b/>
          <w:bCs/>
          <w:sz w:val="32"/>
          <w:szCs w:val="32"/>
        </w:rPr>
        <w:t>6</w:t>
      </w:r>
      <w:r w:rsidRPr="008C5EE2">
        <w:rPr>
          <w:rFonts w:cs="Arial"/>
          <w:b/>
          <w:bCs/>
          <w:sz w:val="32"/>
          <w:szCs w:val="32"/>
        </w:rPr>
        <w:t xml:space="preserve"> ОНЫ ТӨСВИЙН ХҮРЭЭНИЙ МЭДЭГДЭЛ, </w:t>
      </w:r>
      <w:r w:rsidRPr="008C5EE2">
        <w:rPr>
          <w:rFonts w:cs="Arial"/>
          <w:b/>
          <w:bCs/>
          <w:sz w:val="32"/>
          <w:szCs w:val="32"/>
        </w:rPr>
        <w:br/>
        <w:t>202</w:t>
      </w:r>
      <w:r w:rsidR="0033164A">
        <w:rPr>
          <w:rFonts w:cs="Arial"/>
          <w:b/>
          <w:bCs/>
          <w:sz w:val="32"/>
          <w:szCs w:val="32"/>
        </w:rPr>
        <w:t>7</w:t>
      </w:r>
      <w:r w:rsidRPr="008C5EE2">
        <w:rPr>
          <w:rFonts w:cs="Arial"/>
          <w:b/>
          <w:bCs/>
          <w:sz w:val="32"/>
          <w:szCs w:val="32"/>
        </w:rPr>
        <w:t>-202</w:t>
      </w:r>
      <w:r w:rsidR="0033164A">
        <w:rPr>
          <w:rFonts w:cs="Arial"/>
          <w:b/>
          <w:bCs/>
          <w:sz w:val="32"/>
          <w:szCs w:val="32"/>
        </w:rPr>
        <w:t>8</w:t>
      </w:r>
      <w:r w:rsidRPr="008C5EE2">
        <w:rPr>
          <w:rFonts w:cs="Arial"/>
          <w:b/>
          <w:bCs/>
          <w:sz w:val="32"/>
          <w:szCs w:val="32"/>
        </w:rPr>
        <w:t xml:space="preserve"> ОНЫ ТӨСВИЙН ТӨСӨӨЛЛИЙН ТУХАЙ</w:t>
      </w:r>
      <w:r w:rsidRPr="008C5EE2">
        <w:rPr>
          <w:rFonts w:cs="Arial"/>
          <w:b/>
          <w:sz w:val="32"/>
          <w:szCs w:val="32"/>
        </w:rPr>
        <w:t xml:space="preserve"> ХУУЛЬД ӨӨРЧЛӨЛТ ОРУУЛАХ ТУХАЙ</w:t>
      </w:r>
      <w:r w:rsidRPr="008C5EE2">
        <w:rPr>
          <w:rFonts w:cs="Arial"/>
          <w:b/>
          <w:bCs/>
          <w:sz w:val="32"/>
          <w:szCs w:val="32"/>
        </w:rPr>
        <w:t xml:space="preserve"> ХУУЛИЙН </w:t>
      </w:r>
      <w:r w:rsidR="007121AA">
        <w:rPr>
          <w:rFonts w:cs="Arial"/>
          <w:b/>
          <w:bCs/>
          <w:sz w:val="32"/>
          <w:szCs w:val="32"/>
        </w:rPr>
        <w:t xml:space="preserve">ТӨСЛИЙН </w:t>
      </w:r>
      <w:r w:rsidR="001F7E69">
        <w:rPr>
          <w:rFonts w:cs="Arial"/>
          <w:b/>
          <w:bCs/>
          <w:sz w:val="32"/>
          <w:szCs w:val="32"/>
          <w:lang w:eastAsia="ja-JP"/>
        </w:rPr>
        <w:t>ДЭЛГЭРЭНГҮЙ ТАНИЛЦУУЛГА</w:t>
      </w:r>
    </w:p>
    <w:p w14:paraId="58AF4D06" w14:textId="77777777" w:rsidR="004259B8" w:rsidRPr="008C5EE2" w:rsidRDefault="004259B8" w:rsidP="004259B8">
      <w:pPr>
        <w:spacing w:after="288"/>
        <w:jc w:val="center"/>
        <w:rPr>
          <w:rFonts w:cs="Arial"/>
          <w:b/>
          <w:bCs/>
          <w:sz w:val="32"/>
          <w:szCs w:val="32"/>
        </w:rPr>
      </w:pPr>
    </w:p>
    <w:p w14:paraId="582ABD10" w14:textId="77777777" w:rsidR="004259B8" w:rsidRPr="008C5EE2" w:rsidRDefault="004259B8" w:rsidP="004259B8">
      <w:pPr>
        <w:spacing w:after="288"/>
        <w:jc w:val="center"/>
        <w:rPr>
          <w:rFonts w:cs="Arial"/>
          <w:b/>
          <w:bCs/>
        </w:rPr>
      </w:pPr>
    </w:p>
    <w:p w14:paraId="7AA3FF80" w14:textId="77777777" w:rsidR="004259B8" w:rsidRPr="008C5EE2" w:rsidRDefault="004259B8" w:rsidP="004259B8">
      <w:pPr>
        <w:spacing w:after="288"/>
        <w:jc w:val="center"/>
        <w:rPr>
          <w:rFonts w:cs="Arial"/>
          <w:b/>
          <w:bCs/>
        </w:rPr>
      </w:pPr>
    </w:p>
    <w:p w14:paraId="008DD8E6" w14:textId="77777777" w:rsidR="004259B8" w:rsidRPr="008C5EE2" w:rsidRDefault="004259B8" w:rsidP="004259B8">
      <w:pPr>
        <w:spacing w:after="288"/>
        <w:jc w:val="center"/>
        <w:rPr>
          <w:rFonts w:cs="Arial"/>
          <w:b/>
          <w:bCs/>
        </w:rPr>
      </w:pPr>
    </w:p>
    <w:p w14:paraId="5CC6ABB8" w14:textId="77777777" w:rsidR="004259B8" w:rsidRPr="008C5EE2" w:rsidRDefault="004259B8" w:rsidP="004259B8">
      <w:pPr>
        <w:spacing w:after="288"/>
        <w:jc w:val="center"/>
        <w:rPr>
          <w:rFonts w:cs="Arial"/>
          <w:b/>
          <w:bCs/>
        </w:rPr>
      </w:pPr>
    </w:p>
    <w:p w14:paraId="4CB6AC94" w14:textId="77777777" w:rsidR="004259B8" w:rsidRPr="008C5EE2" w:rsidRDefault="004259B8" w:rsidP="004259B8">
      <w:pPr>
        <w:spacing w:after="288"/>
        <w:jc w:val="center"/>
        <w:rPr>
          <w:rFonts w:cs="Arial"/>
          <w:b/>
          <w:bCs/>
        </w:rPr>
      </w:pPr>
    </w:p>
    <w:p w14:paraId="17077CF0" w14:textId="77777777" w:rsidR="004259B8" w:rsidRPr="008C5EE2" w:rsidRDefault="004259B8" w:rsidP="004259B8">
      <w:pPr>
        <w:spacing w:after="288"/>
        <w:jc w:val="center"/>
        <w:rPr>
          <w:rFonts w:cs="Arial"/>
          <w:b/>
          <w:bCs/>
        </w:rPr>
      </w:pPr>
    </w:p>
    <w:p w14:paraId="1550CE7E" w14:textId="77777777" w:rsidR="004259B8" w:rsidRPr="008C5EE2" w:rsidRDefault="004259B8" w:rsidP="004259B8">
      <w:pPr>
        <w:spacing w:after="288"/>
        <w:jc w:val="center"/>
        <w:rPr>
          <w:rFonts w:cs="Arial"/>
          <w:b/>
        </w:rPr>
      </w:pPr>
    </w:p>
    <w:p w14:paraId="580E804E" w14:textId="77777777" w:rsidR="004259B8" w:rsidRPr="008C5EE2" w:rsidRDefault="004259B8" w:rsidP="004259B8">
      <w:pPr>
        <w:spacing w:after="288"/>
        <w:jc w:val="center"/>
        <w:rPr>
          <w:rFonts w:cs="Arial"/>
          <w:b/>
          <w:bCs/>
        </w:rPr>
      </w:pPr>
    </w:p>
    <w:p w14:paraId="3F5D0395" w14:textId="77777777" w:rsidR="004259B8" w:rsidRPr="008C5EE2" w:rsidRDefault="004259B8" w:rsidP="004259B8">
      <w:pPr>
        <w:spacing w:after="288"/>
        <w:jc w:val="center"/>
        <w:rPr>
          <w:rFonts w:cs="Arial"/>
          <w:b/>
          <w:bCs/>
        </w:rPr>
      </w:pPr>
    </w:p>
    <w:p w14:paraId="6E5F3D66" w14:textId="77777777" w:rsidR="004259B8" w:rsidRPr="008C5EE2" w:rsidRDefault="004259B8" w:rsidP="004259B8">
      <w:pPr>
        <w:spacing w:after="288"/>
        <w:jc w:val="center"/>
        <w:rPr>
          <w:rFonts w:cs="Arial"/>
          <w:b/>
          <w:bCs/>
        </w:rPr>
      </w:pPr>
    </w:p>
    <w:p w14:paraId="56C35CD4" w14:textId="77777777" w:rsidR="004259B8" w:rsidRPr="008C5EE2" w:rsidRDefault="004259B8" w:rsidP="004259B8">
      <w:pPr>
        <w:spacing w:after="288"/>
        <w:jc w:val="center"/>
        <w:rPr>
          <w:rFonts w:cs="Arial"/>
          <w:b/>
          <w:bCs/>
        </w:rPr>
      </w:pPr>
    </w:p>
    <w:p w14:paraId="173A8FD7" w14:textId="77777777" w:rsidR="004259B8" w:rsidRPr="008C5EE2" w:rsidRDefault="004259B8" w:rsidP="004259B8">
      <w:pPr>
        <w:spacing w:after="288"/>
        <w:rPr>
          <w:rFonts w:cs="Arial"/>
          <w:b/>
          <w:bCs/>
        </w:rPr>
      </w:pPr>
    </w:p>
    <w:p w14:paraId="3CACD6CA" w14:textId="77777777" w:rsidR="004259B8" w:rsidRPr="008C5EE2" w:rsidRDefault="004259B8" w:rsidP="004259B8">
      <w:pPr>
        <w:spacing w:after="288"/>
        <w:jc w:val="center"/>
        <w:rPr>
          <w:rFonts w:cs="Arial"/>
          <w:b/>
          <w:bCs/>
        </w:rPr>
      </w:pPr>
    </w:p>
    <w:p w14:paraId="4DB8D940" w14:textId="77777777" w:rsidR="004259B8" w:rsidRPr="008C5EE2" w:rsidRDefault="004259B8" w:rsidP="004259B8">
      <w:pPr>
        <w:spacing w:afterLines="0"/>
        <w:jc w:val="center"/>
        <w:rPr>
          <w:rFonts w:cs="Arial"/>
          <w:b/>
          <w:bCs/>
        </w:rPr>
      </w:pPr>
      <w:r w:rsidRPr="008C5EE2">
        <w:rPr>
          <w:rFonts w:cs="Arial"/>
          <w:b/>
          <w:bCs/>
        </w:rPr>
        <w:t>УЛААНБААТАР ХОТ</w:t>
      </w:r>
    </w:p>
    <w:p w14:paraId="47734C3C" w14:textId="52C6BEFB" w:rsidR="004259B8" w:rsidRPr="008C5EE2" w:rsidRDefault="004259B8" w:rsidP="00E2280D">
      <w:pPr>
        <w:spacing w:afterLines="0"/>
        <w:jc w:val="center"/>
        <w:rPr>
          <w:rFonts w:cs="Arial"/>
          <w:b/>
          <w:bCs/>
        </w:rPr>
      </w:pPr>
      <w:r w:rsidRPr="008C5EE2">
        <w:rPr>
          <w:rFonts w:cs="Arial"/>
          <w:b/>
          <w:bCs/>
        </w:rPr>
        <w:t>202</w:t>
      </w:r>
      <w:r w:rsidR="0033164A">
        <w:rPr>
          <w:rFonts w:cs="Arial"/>
          <w:b/>
          <w:bCs/>
        </w:rPr>
        <w:t>6</w:t>
      </w:r>
      <w:r w:rsidRPr="008C5EE2">
        <w:rPr>
          <w:rFonts w:cs="Arial"/>
          <w:b/>
          <w:bCs/>
        </w:rPr>
        <w:t xml:space="preserve"> ОН</w:t>
      </w:r>
    </w:p>
    <w:p w14:paraId="46661764" w14:textId="1E0765E9" w:rsidR="004259B8" w:rsidRPr="00061514" w:rsidRDefault="004259B8" w:rsidP="00184812">
      <w:pPr>
        <w:spacing w:afterLines="0" w:after="160" w:line="278" w:lineRule="auto"/>
        <w:jc w:val="left"/>
        <w:rPr>
          <w:rFonts w:cs="Arial"/>
          <w:color w:val="000000" w:themeColor="text1"/>
        </w:rPr>
        <w:sectPr w:rsidR="004259B8" w:rsidRPr="00061514" w:rsidSect="00545AF8">
          <w:headerReference w:type="even" r:id="rId13"/>
          <w:headerReference w:type="default" r:id="rId14"/>
          <w:footerReference w:type="even" r:id="rId15"/>
          <w:footerReference w:type="default" r:id="rId16"/>
          <w:headerReference w:type="first" r:id="rId17"/>
          <w:footerReference w:type="first" r:id="rId18"/>
          <w:pgSz w:w="11906" w:h="16838" w:code="9"/>
          <w:pgMar w:top="1008" w:right="1133" w:bottom="1008" w:left="1440" w:header="562" w:footer="0" w:gutter="0"/>
          <w:cols w:space="720"/>
          <w:docGrid w:linePitch="360"/>
        </w:sectPr>
      </w:pPr>
      <w:r w:rsidRPr="008C5EE2">
        <w:rPr>
          <w:rFonts w:cs="Arial"/>
        </w:rPr>
        <w:br w:type="page"/>
      </w:r>
      <w:sdt>
        <w:sdtPr>
          <w:rPr>
            <w:rFonts w:cs="Arial"/>
            <w:sz w:val="20"/>
            <w:szCs w:val="20"/>
          </w:rPr>
          <w:id w:val="219851425"/>
          <w:docPartObj>
            <w:docPartGallery w:val="Table of Contents"/>
            <w:docPartUnique/>
          </w:docPartObj>
        </w:sdtPr>
        <w:sdtEndPr>
          <w:rPr>
            <w:sz w:val="24"/>
            <w:szCs w:val="24"/>
          </w:rPr>
        </w:sdtEndPr>
        <w:sdtContent>
          <w:r w:rsidRPr="00614D1A">
            <w:rPr>
              <w:rStyle w:val="Hyperlink"/>
              <w:rFonts w:cs="Arial"/>
            </w:rPr>
            <w:fldChar w:fldCharType="begin"/>
          </w:r>
          <w:r w:rsidRPr="00614D1A">
            <w:rPr>
              <w:rStyle w:val="Hyperlink"/>
              <w:rFonts w:cs="Arial"/>
            </w:rPr>
            <w:instrText xml:space="preserve"> TOC \o "1-3" \h \z \u </w:instrText>
          </w:r>
          <w:r w:rsidRPr="00614D1A">
            <w:rPr>
              <w:rStyle w:val="Hyperlink"/>
              <w:rFonts w:cs="Arial"/>
            </w:rPr>
            <w:fldChar w:fldCharType="separate"/>
          </w:r>
          <w:r w:rsidRPr="00614D1A">
            <w:rPr>
              <w:rStyle w:val="Hyperlink"/>
              <w:rFonts w:cs="Arial"/>
            </w:rPr>
            <w:fldChar w:fldCharType="end"/>
          </w:r>
        </w:sdtContent>
      </w:sdt>
      <w:bookmarkStart w:id="0" w:name="_Toc196480426"/>
      <w:bookmarkStart w:id="1" w:name="_Toc196480474"/>
      <w:bookmarkStart w:id="2" w:name="_Toc196496064"/>
      <w:bookmarkStart w:id="3" w:name="_Toc196720620"/>
      <w:bookmarkStart w:id="4" w:name="_Toc196721698"/>
      <w:bookmarkStart w:id="5" w:name="_Toc196724064"/>
    </w:p>
    <w:p w14:paraId="559C43E6" w14:textId="203115F7" w:rsidR="004259B8" w:rsidRDefault="004259B8" w:rsidP="00374FAF">
      <w:pPr>
        <w:pStyle w:val="Heading1"/>
        <w:spacing w:before="0" w:afterLines="0" w:after="240" w:line="240" w:lineRule="auto"/>
        <w:ind w:left="0" w:firstLine="720"/>
        <w:rPr>
          <w:rFonts w:cs="Arial"/>
        </w:rPr>
      </w:pPr>
      <w:bookmarkStart w:id="6" w:name="_Toc195605242"/>
      <w:bookmarkStart w:id="7" w:name="_Toc201605932"/>
      <w:bookmarkStart w:id="8" w:name="_Toc201755688"/>
      <w:bookmarkStart w:id="9" w:name="_Toc238120977"/>
      <w:bookmarkStart w:id="10" w:name="_Toc196480394"/>
      <w:bookmarkStart w:id="11" w:name="_Toc196480442"/>
      <w:bookmarkStart w:id="12" w:name="_Toc196496032"/>
      <w:bookmarkStart w:id="13" w:name="_Toc196720588"/>
      <w:bookmarkStart w:id="14" w:name="_Toc196721666"/>
      <w:bookmarkStart w:id="15" w:name="_Toc196724032"/>
      <w:r w:rsidRPr="00614D1A">
        <w:rPr>
          <w:rFonts w:cs="Arial"/>
        </w:rPr>
        <w:lastRenderedPageBreak/>
        <w:t>МАКРО ЭДИЙН ЗАСГИЙН НӨХЦӨЛ БАЙДАЛ, ТӨСӨӨЛӨЛ</w:t>
      </w:r>
      <w:bookmarkEnd w:id="6"/>
      <w:bookmarkEnd w:id="7"/>
      <w:bookmarkEnd w:id="8"/>
      <w:bookmarkEnd w:id="9"/>
    </w:p>
    <w:p w14:paraId="66E5AFF6" w14:textId="705D1A8D" w:rsidR="004259B8" w:rsidRPr="00614D1A" w:rsidRDefault="004259B8" w:rsidP="00374FAF">
      <w:pPr>
        <w:pStyle w:val="Heading2"/>
        <w:spacing w:before="0" w:afterLines="0" w:after="240" w:line="240" w:lineRule="auto"/>
        <w:ind w:left="0" w:firstLine="720"/>
        <w:rPr>
          <w:rFonts w:cs="Arial"/>
        </w:rPr>
      </w:pPr>
      <w:bookmarkStart w:id="16" w:name="_Toc201605933"/>
      <w:bookmarkStart w:id="17" w:name="_Toc201755689"/>
      <w:bookmarkStart w:id="18" w:name="_Toc238120978"/>
      <w:r w:rsidRPr="00614D1A">
        <w:rPr>
          <w:rFonts w:cs="Arial"/>
        </w:rPr>
        <w:t>Монгол Улсын эдийн засгийн 202</w:t>
      </w:r>
      <w:r w:rsidR="00541AC7" w:rsidRPr="00614D1A">
        <w:rPr>
          <w:rFonts w:cs="Arial"/>
        </w:rPr>
        <w:t>5</w:t>
      </w:r>
      <w:r w:rsidRPr="00614D1A">
        <w:rPr>
          <w:rFonts w:cs="Arial"/>
        </w:rPr>
        <w:t xml:space="preserve"> оны гүйцэтгэл</w:t>
      </w:r>
      <w:bookmarkStart w:id="19" w:name="_Toc195605244"/>
      <w:bookmarkEnd w:id="10"/>
      <w:bookmarkEnd w:id="11"/>
      <w:bookmarkEnd w:id="12"/>
      <w:bookmarkEnd w:id="13"/>
      <w:bookmarkEnd w:id="14"/>
      <w:bookmarkEnd w:id="15"/>
      <w:bookmarkEnd w:id="16"/>
      <w:bookmarkEnd w:id="17"/>
      <w:bookmarkEnd w:id="18"/>
    </w:p>
    <w:p w14:paraId="149C4F4E" w14:textId="23DE4868" w:rsidR="004259B8" w:rsidRPr="00636AF1" w:rsidRDefault="004259B8" w:rsidP="00374FAF">
      <w:pPr>
        <w:pStyle w:val="Heading3"/>
      </w:pPr>
      <w:bookmarkStart w:id="20" w:name="_Toc196852784"/>
      <w:bookmarkStart w:id="21" w:name="_Toc201582501"/>
      <w:bookmarkStart w:id="22" w:name="_Toc201588156"/>
      <w:bookmarkStart w:id="23" w:name="_Toc201589096"/>
      <w:bookmarkStart w:id="24" w:name="_Toc201600281"/>
      <w:bookmarkStart w:id="25" w:name="_Toc201600554"/>
      <w:bookmarkStart w:id="26" w:name="_Toc201600644"/>
      <w:bookmarkStart w:id="27" w:name="_Toc201600782"/>
      <w:bookmarkStart w:id="28" w:name="_Toc201600964"/>
      <w:bookmarkStart w:id="29" w:name="_Toc201605934"/>
      <w:bookmarkStart w:id="30" w:name="_Toc201664694"/>
      <w:bookmarkStart w:id="31" w:name="_Toc201664735"/>
      <w:bookmarkStart w:id="32" w:name="_Toc201605935"/>
      <w:bookmarkStart w:id="33" w:name="_Toc201755690"/>
      <w:bookmarkStart w:id="34" w:name="_Toc238120979"/>
      <w:bookmarkEnd w:id="20"/>
      <w:bookmarkEnd w:id="21"/>
      <w:bookmarkEnd w:id="22"/>
      <w:bookmarkEnd w:id="23"/>
      <w:bookmarkEnd w:id="24"/>
      <w:bookmarkEnd w:id="25"/>
      <w:bookmarkEnd w:id="26"/>
      <w:bookmarkEnd w:id="27"/>
      <w:bookmarkEnd w:id="28"/>
      <w:bookmarkEnd w:id="29"/>
      <w:bookmarkEnd w:id="30"/>
      <w:bookmarkEnd w:id="31"/>
      <w:r w:rsidRPr="00636AF1">
        <w:t>Дотоодын нийт бүтээгдэхүүн</w:t>
      </w:r>
      <w:bookmarkEnd w:id="19"/>
      <w:bookmarkEnd w:id="32"/>
      <w:bookmarkEnd w:id="33"/>
      <w:bookmarkEnd w:id="34"/>
    </w:p>
    <w:p w14:paraId="75F39BB9" w14:textId="77777777" w:rsidR="00374FAF" w:rsidRDefault="00374FAF" w:rsidP="00374FAF">
      <w:pPr>
        <w:tabs>
          <w:tab w:val="right" w:leader="dot" w:pos="9354"/>
        </w:tabs>
        <w:spacing w:afterLines="0" w:after="0" w:line="240" w:lineRule="auto"/>
        <w:ind w:firstLine="720"/>
        <w:rPr>
          <w:rFonts w:cs="Arial"/>
        </w:rPr>
      </w:pPr>
      <w:bookmarkStart w:id="35" w:name="_Toc163484913"/>
      <w:bookmarkStart w:id="36" w:name="_Toc163736647"/>
      <w:bookmarkStart w:id="37" w:name="_Toc163811080"/>
      <w:bookmarkStart w:id="38" w:name="_Toc194052485"/>
    </w:p>
    <w:p w14:paraId="4B9B1C22" w14:textId="0F6A2460" w:rsidR="004259B8" w:rsidRPr="00614D1A" w:rsidRDefault="004259B8" w:rsidP="00374FAF">
      <w:pPr>
        <w:tabs>
          <w:tab w:val="right" w:leader="dot" w:pos="9354"/>
        </w:tabs>
        <w:spacing w:afterLines="0" w:after="0" w:line="240" w:lineRule="auto"/>
        <w:ind w:firstLine="720"/>
        <w:rPr>
          <w:rFonts w:cs="Arial"/>
        </w:rPr>
      </w:pPr>
      <w:r w:rsidRPr="15A4792C">
        <w:rPr>
          <w:rFonts w:cs="Arial"/>
        </w:rPr>
        <w:t>ДНБ 202</w:t>
      </w:r>
      <w:r w:rsidR="009769CC" w:rsidRPr="15A4792C">
        <w:rPr>
          <w:rFonts w:cs="Arial"/>
        </w:rPr>
        <w:t>5</w:t>
      </w:r>
      <w:r w:rsidRPr="15A4792C">
        <w:rPr>
          <w:rFonts w:cs="Arial"/>
        </w:rPr>
        <w:t xml:space="preserve"> он</w:t>
      </w:r>
      <w:r w:rsidR="009769CC" w:rsidRPr="15A4792C">
        <w:rPr>
          <w:rFonts w:cs="Arial"/>
        </w:rPr>
        <w:t>д</w:t>
      </w:r>
      <w:r w:rsidRPr="15A4792C">
        <w:rPr>
          <w:rFonts w:cs="Arial"/>
        </w:rPr>
        <w:t xml:space="preserve"> </w:t>
      </w:r>
      <w:r w:rsidR="00920FD5" w:rsidRPr="15A4792C">
        <w:rPr>
          <w:rFonts w:cs="Arial"/>
        </w:rPr>
        <w:t xml:space="preserve">нэрлэсэн дүнгээр 89.9 </w:t>
      </w:r>
      <w:r w:rsidRPr="15A4792C">
        <w:rPr>
          <w:rFonts w:cs="Arial"/>
        </w:rPr>
        <w:t xml:space="preserve">их наяд төгрөгт хүрч, өмнөх </w:t>
      </w:r>
      <w:r w:rsidR="00920FD5" w:rsidRPr="15A4792C">
        <w:rPr>
          <w:rFonts w:cs="Arial"/>
        </w:rPr>
        <w:t>оны мөн үеэс 11</w:t>
      </w:r>
      <w:r w:rsidRPr="15A4792C">
        <w:rPr>
          <w:rFonts w:cs="Arial"/>
        </w:rPr>
        <w:t xml:space="preserve">.5 хувиар, бодит дүнгээр </w:t>
      </w:r>
      <w:r w:rsidR="00920FD5" w:rsidRPr="15A4792C">
        <w:rPr>
          <w:rFonts w:cs="Arial"/>
        </w:rPr>
        <w:t>34.3</w:t>
      </w:r>
      <w:r w:rsidRPr="15A4792C">
        <w:rPr>
          <w:rFonts w:cs="Arial"/>
        </w:rPr>
        <w:t xml:space="preserve"> их наяд төгрөгт хүрч, өмнөх </w:t>
      </w:r>
      <w:r w:rsidR="00920FD5" w:rsidRPr="15A4792C">
        <w:rPr>
          <w:rFonts w:cs="Arial"/>
        </w:rPr>
        <w:t xml:space="preserve">оны мөн үеэс </w:t>
      </w:r>
      <w:r w:rsidR="00374FAF">
        <w:rPr>
          <w:rFonts w:cs="Arial"/>
        </w:rPr>
        <w:t xml:space="preserve">         </w:t>
      </w:r>
      <w:r w:rsidR="00920FD5" w:rsidRPr="15A4792C">
        <w:rPr>
          <w:rFonts w:cs="Arial"/>
        </w:rPr>
        <w:t xml:space="preserve">6.8 </w:t>
      </w:r>
      <w:r w:rsidRPr="15A4792C">
        <w:rPr>
          <w:rFonts w:cs="Arial"/>
        </w:rPr>
        <w:t xml:space="preserve">хувиар тус тус өслөө. </w:t>
      </w:r>
      <w:r w:rsidR="00920FD5" w:rsidRPr="15A4792C">
        <w:rPr>
          <w:rFonts w:cs="Arial"/>
        </w:rPr>
        <w:t>Эдийн засгийн өсөлт өмнөх оны мөн үеэс 1.7 нэгж хувиар нэмэгдэхэд хөдөө аж ахуйн салбарын сэргэлт болон уул уурхай, барилга, боловсруулах салбаруудын тогтвортой өсөлт голлон дэмжсэн бол худалдааны салбар агшсан нь өсөлтийг сааруулав</w:t>
      </w:r>
      <w:r w:rsidRPr="00614D1A">
        <w:rPr>
          <w:rFonts w:cs="Arial"/>
        </w:rPr>
        <w:t xml:space="preserve">. </w:t>
      </w:r>
    </w:p>
    <w:p w14:paraId="005AC476" w14:textId="77777777" w:rsidR="00374FAF" w:rsidRDefault="00374FAF" w:rsidP="00374FAF">
      <w:pPr>
        <w:tabs>
          <w:tab w:val="right" w:leader="dot" w:pos="9354"/>
        </w:tabs>
        <w:spacing w:afterLines="0" w:after="0" w:line="240" w:lineRule="auto"/>
        <w:ind w:firstLine="720"/>
        <w:rPr>
          <w:rFonts w:cs="Arial"/>
        </w:rPr>
      </w:pPr>
    </w:p>
    <w:p w14:paraId="5D29CAEA" w14:textId="2EA519F5" w:rsidR="00935285" w:rsidRPr="00941F27" w:rsidRDefault="00935285" w:rsidP="00374FAF">
      <w:pPr>
        <w:tabs>
          <w:tab w:val="right" w:leader="dot" w:pos="9354"/>
        </w:tabs>
        <w:spacing w:afterLines="0" w:after="0" w:line="240" w:lineRule="auto"/>
        <w:ind w:firstLine="720"/>
        <w:rPr>
          <w:rFonts w:cs="Arial"/>
          <w:color w:val="7030A0"/>
        </w:rPr>
      </w:pPr>
      <w:r w:rsidRPr="31F623B7">
        <w:rPr>
          <w:rFonts w:cs="Arial"/>
        </w:rPr>
        <w:t xml:space="preserve">Уул уурхайн салбар 2025 онд 10.6 хувиар өсөж, нийт эдийн засгийн өсөлтийн 1.4 хувийг бүрдүүлэв. </w:t>
      </w:r>
      <w:r w:rsidR="00C43CDC" w:rsidRPr="31F623B7">
        <w:rPr>
          <w:rFonts w:cs="Arial"/>
        </w:rPr>
        <w:t xml:space="preserve">Нүүрс олборлолт 95.5 сая тоннд хүрч 0.4 хувиар, зэсийн баяжмал </w:t>
      </w:r>
      <w:r w:rsidR="008E19B3" w:rsidRPr="31F623B7">
        <w:rPr>
          <w:rFonts w:cs="Arial"/>
        </w:rPr>
        <w:t>2.1 сая тонн</w:t>
      </w:r>
      <w:r w:rsidR="00B947D6" w:rsidRPr="31F623B7">
        <w:rPr>
          <w:rFonts w:cs="Arial"/>
        </w:rPr>
        <w:t>д хүрч</w:t>
      </w:r>
      <w:r w:rsidR="006B7314" w:rsidRPr="31F623B7">
        <w:rPr>
          <w:rFonts w:cs="Arial"/>
        </w:rPr>
        <w:t xml:space="preserve"> 36 хувиар, </w:t>
      </w:r>
      <w:r w:rsidR="00D621A0" w:rsidRPr="31F623B7">
        <w:rPr>
          <w:rFonts w:cs="Arial"/>
        </w:rPr>
        <w:t xml:space="preserve">төмрийн хүдэр </w:t>
      </w:r>
      <w:r w:rsidR="00AE3AB0" w:rsidRPr="31F623B7">
        <w:rPr>
          <w:rFonts w:cs="Arial"/>
        </w:rPr>
        <w:t xml:space="preserve">8.8 сая тоннд хүрч </w:t>
      </w:r>
      <w:r w:rsidR="00374FAF">
        <w:rPr>
          <w:rFonts w:cs="Arial"/>
        </w:rPr>
        <w:t xml:space="preserve">                 </w:t>
      </w:r>
      <w:r w:rsidR="00AE3AB0" w:rsidRPr="31F623B7">
        <w:rPr>
          <w:rFonts w:cs="Arial"/>
        </w:rPr>
        <w:t>31.8 ху</w:t>
      </w:r>
      <w:r w:rsidR="00C13171" w:rsidRPr="31F623B7">
        <w:rPr>
          <w:rFonts w:cs="Arial"/>
        </w:rPr>
        <w:t xml:space="preserve">виар, алт </w:t>
      </w:r>
      <w:r w:rsidRPr="31F623B7">
        <w:rPr>
          <w:rFonts w:cs="Arial"/>
        </w:rPr>
        <w:t xml:space="preserve">13.1 тоннд хүрч 4.1 хувиар </w:t>
      </w:r>
      <w:r w:rsidR="00BD1C56" w:rsidRPr="31F623B7">
        <w:rPr>
          <w:rFonts w:cs="Arial"/>
        </w:rPr>
        <w:t>өссөнөөр салбарын өсөлтийг тэтгэлээ.</w:t>
      </w:r>
      <w:r w:rsidRPr="31F623B7">
        <w:rPr>
          <w:rFonts w:cs="Arial"/>
        </w:rPr>
        <w:t xml:space="preserve"> Харин газрын тос олборлолт 8 улирал дараалан буурч 3.8 сая тонн болсноор уул уурхайн салбарын өсөлтийг сааруул</w:t>
      </w:r>
      <w:r w:rsidR="00BD1C56" w:rsidRPr="31F623B7">
        <w:rPr>
          <w:rFonts w:cs="Arial"/>
        </w:rPr>
        <w:t>ав.</w:t>
      </w:r>
      <w:r w:rsidR="00C560AE" w:rsidRPr="31F623B7">
        <w:rPr>
          <w:rFonts w:cs="Arial"/>
        </w:rPr>
        <w:t xml:space="preserve"> </w:t>
      </w:r>
      <w:r w:rsidR="00B22893" w:rsidRPr="31F623B7">
        <w:rPr>
          <w:rFonts w:cs="Arial"/>
        </w:rPr>
        <w:t xml:space="preserve">Уул уурхайн салбарын өсөлтийг дагасан тээврийн салбар 2025 онд 4.8 хувиар өсөж, эдийн засгийн өсөлтийн 0.3 нэгж хувийг бүрдүүлэв. Өсөлтөд бүх төрлийн тээврээр нийт 146.4 сая тонн ачаа тээвэрлэж өмнөх оноос 10.3 хувиар нэмэгдсэн нь голлон нөлөөллөө. </w:t>
      </w:r>
      <w:r w:rsidR="004B5B14" w:rsidRPr="31F623B7">
        <w:rPr>
          <w:rFonts w:cs="Arial"/>
        </w:rPr>
        <w:t xml:space="preserve">Үүнээс </w:t>
      </w:r>
      <w:r w:rsidR="00B22893" w:rsidRPr="31F623B7">
        <w:rPr>
          <w:rFonts w:cs="Arial"/>
        </w:rPr>
        <w:t xml:space="preserve">төмөр замын ачаа тээвэр 50 сая тоннд хүрч 8.7 хувиар, авто замын ачаа тээвэр 96.5 сая тоннд хүрч </w:t>
      </w:r>
      <w:r w:rsidR="00374FAF">
        <w:rPr>
          <w:rFonts w:cs="Arial"/>
        </w:rPr>
        <w:t xml:space="preserve">    </w:t>
      </w:r>
      <w:r w:rsidR="00B22893" w:rsidRPr="31F623B7">
        <w:rPr>
          <w:rFonts w:cs="Arial"/>
        </w:rPr>
        <w:t xml:space="preserve">10 хувиар, агаарын тээврийн ачаа 12.5 мянган тоннд хүрч 20 хувиар тус тус нэмэгдсэн </w:t>
      </w:r>
      <w:r w:rsidR="004B5B14" w:rsidRPr="31F623B7">
        <w:rPr>
          <w:rFonts w:cs="Arial"/>
        </w:rPr>
        <w:t>байна.</w:t>
      </w:r>
      <w:r w:rsidR="004B5B14" w:rsidRPr="31F623B7">
        <w:rPr>
          <w:rFonts w:cs="Arial"/>
          <w:color w:val="7030A0"/>
        </w:rPr>
        <w:t xml:space="preserve"> </w:t>
      </w:r>
    </w:p>
    <w:p w14:paraId="4A6D83E5" w14:textId="77777777" w:rsidR="00374FAF" w:rsidRDefault="00374FAF" w:rsidP="00374FAF">
      <w:pPr>
        <w:tabs>
          <w:tab w:val="right" w:leader="dot" w:pos="9354"/>
        </w:tabs>
        <w:spacing w:afterLines="0" w:after="0" w:line="240" w:lineRule="auto"/>
        <w:ind w:firstLine="720"/>
        <w:rPr>
          <w:rFonts w:cs="Arial"/>
        </w:rPr>
      </w:pPr>
    </w:p>
    <w:p w14:paraId="4397A73F" w14:textId="786A6713" w:rsidR="00555F38" w:rsidRPr="00555F38" w:rsidRDefault="00555F38" w:rsidP="00374FAF">
      <w:pPr>
        <w:tabs>
          <w:tab w:val="right" w:leader="dot" w:pos="9354"/>
        </w:tabs>
        <w:spacing w:afterLines="0" w:after="0" w:line="240" w:lineRule="auto"/>
        <w:ind w:firstLine="720"/>
        <w:rPr>
          <w:rFonts w:cs="Arial"/>
        </w:rPr>
      </w:pPr>
      <w:r w:rsidRPr="5568ABA3">
        <w:rPr>
          <w:rFonts w:cs="Arial"/>
        </w:rPr>
        <w:t>Уул уурхайн бус салбар 6.3 хувиар өсөж, нийт эдийн засгийн өсөлтий</w:t>
      </w:r>
      <w:r w:rsidR="1D3345F1" w:rsidRPr="5568ABA3">
        <w:rPr>
          <w:rFonts w:cs="Arial"/>
        </w:rPr>
        <w:t>н</w:t>
      </w:r>
      <w:r w:rsidRPr="5568ABA3">
        <w:rPr>
          <w:rFonts w:cs="Arial"/>
        </w:rPr>
        <w:t xml:space="preserve"> </w:t>
      </w:r>
      <w:r w:rsidR="00374FAF">
        <w:rPr>
          <w:rFonts w:cs="Arial"/>
        </w:rPr>
        <w:t xml:space="preserve">            </w:t>
      </w:r>
      <w:r w:rsidRPr="5568ABA3">
        <w:rPr>
          <w:rFonts w:cs="Arial"/>
        </w:rPr>
        <w:t xml:space="preserve">5.4 нэгж хувийг бүрдүүлэв. Хөдөө аж ахуйн салбарын өсөлт </w:t>
      </w:r>
      <w:r w:rsidR="4A6AAE64" w:rsidRPr="5568ABA3">
        <w:rPr>
          <w:rFonts w:cs="Arial"/>
        </w:rPr>
        <w:t>сэргэж</w:t>
      </w:r>
      <w:r w:rsidRPr="5568ABA3">
        <w:rPr>
          <w:rFonts w:cs="Arial"/>
        </w:rPr>
        <w:t>, барилга, боловсруулах, эрчим хүчний салбарын өсөлт эрчимжлээ. Үйлчилгээний салбаруудын өсөлтийн эрчим алгуур саарч байгаа бол худалдааны салбар оны эцэст агшилттай</w:t>
      </w:r>
      <w:r w:rsidR="00C560AE" w:rsidRPr="5568ABA3">
        <w:rPr>
          <w:rFonts w:cs="Arial"/>
        </w:rPr>
        <w:t xml:space="preserve"> гарав</w:t>
      </w:r>
      <w:r w:rsidR="004259B8" w:rsidRPr="5568ABA3">
        <w:rPr>
          <w:rFonts w:cs="Arial"/>
        </w:rPr>
        <w:t xml:space="preserve">. </w:t>
      </w:r>
    </w:p>
    <w:p w14:paraId="3AAA680F" w14:textId="77777777" w:rsidR="00374FAF" w:rsidRDefault="00374FAF" w:rsidP="00374FAF">
      <w:pPr>
        <w:tabs>
          <w:tab w:val="right" w:leader="dot" w:pos="9354"/>
        </w:tabs>
        <w:spacing w:afterLines="0" w:after="0" w:line="240" w:lineRule="auto"/>
        <w:ind w:firstLine="720"/>
        <w:rPr>
          <w:rFonts w:cs="Arial"/>
        </w:rPr>
      </w:pPr>
    </w:p>
    <w:p w14:paraId="71A16C0E" w14:textId="25013712" w:rsidR="004259B8" w:rsidRPr="00884CA1" w:rsidRDefault="004259B8" w:rsidP="00374FAF">
      <w:pPr>
        <w:tabs>
          <w:tab w:val="right" w:leader="dot" w:pos="9354"/>
        </w:tabs>
        <w:spacing w:afterLines="0" w:after="0" w:line="240" w:lineRule="auto"/>
        <w:ind w:firstLine="720"/>
        <w:rPr>
          <w:rFonts w:cs="Arial"/>
        </w:rPr>
      </w:pPr>
      <w:r w:rsidRPr="4402FFDF">
        <w:rPr>
          <w:rFonts w:cs="Arial"/>
        </w:rPr>
        <w:t xml:space="preserve">Бөөний болон </w:t>
      </w:r>
      <w:r w:rsidR="00F00B1B" w:rsidRPr="4402FFDF">
        <w:rPr>
          <w:rFonts w:cs="Arial"/>
        </w:rPr>
        <w:t>жижиглэн</w:t>
      </w:r>
      <w:r w:rsidRPr="4402FFDF">
        <w:rPr>
          <w:rFonts w:cs="Arial"/>
        </w:rPr>
        <w:t xml:space="preserve"> худалдааны салбар </w:t>
      </w:r>
      <w:r w:rsidR="00F00B1B" w:rsidRPr="4402FFDF">
        <w:rPr>
          <w:rFonts w:cs="Arial"/>
        </w:rPr>
        <w:t>2025</w:t>
      </w:r>
      <w:r w:rsidRPr="4402FFDF">
        <w:rPr>
          <w:rFonts w:cs="Arial"/>
        </w:rPr>
        <w:t xml:space="preserve"> онд </w:t>
      </w:r>
      <w:r w:rsidR="00F00B1B" w:rsidRPr="4402FFDF">
        <w:rPr>
          <w:rFonts w:cs="Arial"/>
        </w:rPr>
        <w:t>4</w:t>
      </w:r>
      <w:r w:rsidRPr="4402FFDF">
        <w:rPr>
          <w:rFonts w:cs="Arial"/>
        </w:rPr>
        <w:t xml:space="preserve">.6 хувиар </w:t>
      </w:r>
      <w:r w:rsidR="00F00B1B" w:rsidRPr="4402FFDF">
        <w:rPr>
          <w:rFonts w:cs="Arial"/>
        </w:rPr>
        <w:t xml:space="preserve">агшиж, нийт эдийн засгийн өсөлтийг 0.6 </w:t>
      </w:r>
      <w:r w:rsidRPr="4402FFDF">
        <w:rPr>
          <w:rFonts w:cs="Arial"/>
        </w:rPr>
        <w:t xml:space="preserve">нэгж </w:t>
      </w:r>
      <w:r w:rsidR="00F00B1B" w:rsidRPr="4402FFDF">
        <w:rPr>
          <w:rFonts w:cs="Arial"/>
        </w:rPr>
        <w:t>хувиар саарууллаа. Худалдааны салбарын нэрлэсэн борлуулалтын орлого 69.3</w:t>
      </w:r>
      <w:r w:rsidRPr="4402FFDF">
        <w:rPr>
          <w:rFonts w:cs="Arial"/>
        </w:rPr>
        <w:t xml:space="preserve"> их </w:t>
      </w:r>
      <w:r w:rsidR="00F00B1B" w:rsidRPr="4402FFDF">
        <w:rPr>
          <w:rFonts w:cs="Arial"/>
        </w:rPr>
        <w:t xml:space="preserve">наяд болж 0.6 хувиар өссөн </w:t>
      </w:r>
      <w:r w:rsidR="00276FAB" w:rsidRPr="00276FAB">
        <w:rPr>
          <w:rFonts w:cs="Arial"/>
        </w:rPr>
        <w:t>байна</w:t>
      </w:r>
      <w:r w:rsidR="00F00B1B" w:rsidRPr="00276FAB">
        <w:rPr>
          <w:rFonts w:cs="Arial"/>
        </w:rPr>
        <w:t>.</w:t>
      </w:r>
      <w:r w:rsidRPr="4402FFDF">
        <w:rPr>
          <w:rFonts w:cs="Arial"/>
        </w:rPr>
        <w:t xml:space="preserve"> Түүнчлэн мэдээлэл холбооны салбар дахь хөрөнгө оруулалт, сүлжээний бүтээн байгуулалт </w:t>
      </w:r>
      <w:r w:rsidR="00B26280" w:rsidRPr="4402FFDF">
        <w:rPr>
          <w:rFonts w:cs="Arial"/>
        </w:rPr>
        <w:t>үргэлжилснээр</w:t>
      </w:r>
      <w:r w:rsidRPr="4402FFDF">
        <w:rPr>
          <w:rFonts w:cs="Arial"/>
        </w:rPr>
        <w:t xml:space="preserve"> тус салбар 202</w:t>
      </w:r>
      <w:r w:rsidR="009D569A" w:rsidRPr="4402FFDF">
        <w:rPr>
          <w:rFonts w:cs="Arial"/>
        </w:rPr>
        <w:t>5</w:t>
      </w:r>
      <w:r w:rsidRPr="4402FFDF">
        <w:rPr>
          <w:rFonts w:cs="Arial"/>
        </w:rPr>
        <w:t xml:space="preserve"> онд </w:t>
      </w:r>
      <w:r w:rsidR="00884CA1" w:rsidRPr="4402FFDF">
        <w:rPr>
          <w:rFonts w:cs="Arial"/>
        </w:rPr>
        <w:t>7.2 хувиар өссөн бол үйлчилгээний бусад салбар 1.5 хувиар саарсан байна</w:t>
      </w:r>
      <w:r w:rsidRPr="4402FFDF">
        <w:rPr>
          <w:rFonts w:cs="Arial"/>
        </w:rPr>
        <w:t xml:space="preserve">. </w:t>
      </w:r>
    </w:p>
    <w:p w14:paraId="23118EBD" w14:textId="77777777" w:rsidR="00374FAF" w:rsidRDefault="00374FAF" w:rsidP="00374FAF">
      <w:pPr>
        <w:tabs>
          <w:tab w:val="right" w:leader="dot" w:pos="9354"/>
        </w:tabs>
        <w:spacing w:afterLines="0" w:after="0" w:line="240" w:lineRule="auto"/>
        <w:ind w:firstLine="720"/>
        <w:rPr>
          <w:rFonts w:cs="Arial"/>
        </w:rPr>
      </w:pPr>
    </w:p>
    <w:p w14:paraId="4C0B2C4E" w14:textId="3666DBF8" w:rsidR="007F79EF" w:rsidRPr="002043F2" w:rsidRDefault="007F79EF" w:rsidP="00374FAF">
      <w:pPr>
        <w:tabs>
          <w:tab w:val="right" w:leader="dot" w:pos="9354"/>
        </w:tabs>
        <w:spacing w:afterLines="0" w:after="0" w:line="240" w:lineRule="auto"/>
        <w:ind w:firstLine="720"/>
        <w:rPr>
          <w:rFonts w:cs="Arial"/>
        </w:rPr>
      </w:pPr>
      <w:r w:rsidRPr="258AA4FC">
        <w:rPr>
          <w:rFonts w:cs="Arial"/>
        </w:rPr>
        <w:t>Барилгын салба</w:t>
      </w:r>
      <w:r w:rsidR="008C66CA" w:rsidRPr="258AA4FC">
        <w:rPr>
          <w:rFonts w:cs="Arial"/>
        </w:rPr>
        <w:t>рын үйлдвэрлэл 2025 онд өмнөх оноос 15.9 хувиар өсөж</w:t>
      </w:r>
      <w:r w:rsidR="004B0AC3" w:rsidRPr="258AA4FC">
        <w:rPr>
          <w:rFonts w:cs="Arial"/>
        </w:rPr>
        <w:t>, нийт эдийн засгийн өсөлтийн</w:t>
      </w:r>
      <w:r w:rsidR="008C66CA" w:rsidRPr="258AA4FC">
        <w:rPr>
          <w:rFonts w:cs="Arial"/>
        </w:rPr>
        <w:t xml:space="preserve"> </w:t>
      </w:r>
      <w:r w:rsidR="00A874AD" w:rsidRPr="258AA4FC">
        <w:rPr>
          <w:rFonts w:cs="Arial"/>
        </w:rPr>
        <w:t>0.5 нэгж хувийг бүрдүүл</w:t>
      </w:r>
      <w:r w:rsidR="00FC01FE" w:rsidRPr="258AA4FC">
        <w:rPr>
          <w:rFonts w:cs="Arial"/>
        </w:rPr>
        <w:t xml:space="preserve">эв. </w:t>
      </w:r>
      <w:r w:rsidR="00DA24BE" w:rsidRPr="258AA4FC">
        <w:rPr>
          <w:rFonts w:cs="Arial"/>
        </w:rPr>
        <w:t>Салбарын үйлдвэрл</w:t>
      </w:r>
      <w:r w:rsidR="00770D8E" w:rsidRPr="258AA4FC">
        <w:rPr>
          <w:rFonts w:cs="Arial"/>
        </w:rPr>
        <w:t>элийн өсөлт</w:t>
      </w:r>
      <w:r w:rsidR="002043F2" w:rsidRPr="258AA4FC">
        <w:rPr>
          <w:rFonts w:cs="Arial"/>
        </w:rPr>
        <w:t>ийг</w:t>
      </w:r>
      <w:r w:rsidRPr="258AA4FC">
        <w:rPr>
          <w:rFonts w:cs="Arial"/>
        </w:rPr>
        <w:t xml:space="preserve"> Улаанбаатар хот дахь эмнэлэг, сургууль, цэцэрлэгийн барилга, байгууламж болон Багахангай-Хөшигийн хөндий чиглэлийн төмөр замын бүтээн байгуулалтын ажлууд, Сэлэнгэ аймаг дахь 70 МВт хүчин чадал бүхий дулааны цахилгаан станц</w:t>
      </w:r>
      <w:r w:rsidRPr="0353A57F">
        <w:rPr>
          <w:rFonts w:cs="Arial"/>
        </w:rPr>
        <w:t xml:space="preserve"> </w:t>
      </w:r>
      <w:r w:rsidR="00FFE9D4" w:rsidRPr="0353A57F">
        <w:rPr>
          <w:rFonts w:cs="Arial"/>
        </w:rPr>
        <w:t>болон аймаг</w:t>
      </w:r>
      <w:r w:rsidR="7F3F62B5" w:rsidRPr="0353A57F">
        <w:rPr>
          <w:rFonts w:cs="Arial"/>
        </w:rPr>
        <w:t>,</w:t>
      </w:r>
      <w:r w:rsidR="00FFE9D4" w:rsidRPr="0353A57F">
        <w:rPr>
          <w:rFonts w:cs="Arial"/>
        </w:rPr>
        <w:t xml:space="preserve"> нийслэлийн</w:t>
      </w:r>
      <w:r w:rsidRPr="258AA4FC">
        <w:rPr>
          <w:rFonts w:cs="Arial"/>
        </w:rPr>
        <w:t xml:space="preserve"> авто замын бүтээн байгуулалтын ажлууд зэрэг </w:t>
      </w:r>
      <w:r w:rsidR="0EF6C717" w:rsidRPr="258AA4FC">
        <w:rPr>
          <w:rFonts w:cs="Arial"/>
        </w:rPr>
        <w:t>нь</w:t>
      </w:r>
      <w:r w:rsidR="002043F2" w:rsidRPr="258AA4FC">
        <w:rPr>
          <w:rFonts w:cs="Arial"/>
        </w:rPr>
        <w:t xml:space="preserve"> голлон тэтгэлээ. </w:t>
      </w:r>
    </w:p>
    <w:p w14:paraId="040533A7" w14:textId="77777777" w:rsidR="00374FAF" w:rsidRDefault="00374FAF" w:rsidP="00374FAF">
      <w:pPr>
        <w:tabs>
          <w:tab w:val="right" w:leader="dot" w:pos="9354"/>
        </w:tabs>
        <w:spacing w:afterLines="0" w:after="0" w:line="240" w:lineRule="auto"/>
        <w:ind w:firstLine="720"/>
        <w:rPr>
          <w:rFonts w:cs="Arial"/>
        </w:rPr>
      </w:pPr>
    </w:p>
    <w:p w14:paraId="19696D0E" w14:textId="6C879762" w:rsidR="007015D0" w:rsidRPr="00C131A4" w:rsidRDefault="00790A77" w:rsidP="00374FAF">
      <w:pPr>
        <w:tabs>
          <w:tab w:val="right" w:leader="dot" w:pos="9354"/>
        </w:tabs>
        <w:spacing w:afterLines="0" w:after="0" w:line="240" w:lineRule="auto"/>
        <w:ind w:firstLine="720"/>
        <w:rPr>
          <w:rFonts w:cs="Arial"/>
        </w:rPr>
      </w:pPr>
      <w:r w:rsidRPr="523CE391">
        <w:rPr>
          <w:rFonts w:cs="Arial"/>
        </w:rPr>
        <w:t>Хөдөө аж ахуйн салбар</w:t>
      </w:r>
      <w:r w:rsidR="00663430" w:rsidRPr="523CE391">
        <w:rPr>
          <w:rFonts w:cs="Arial"/>
        </w:rPr>
        <w:t xml:space="preserve"> </w:t>
      </w:r>
      <w:r w:rsidRPr="523CE391">
        <w:rPr>
          <w:rFonts w:cs="Arial"/>
        </w:rPr>
        <w:t xml:space="preserve">2025 онд </w:t>
      </w:r>
      <w:r w:rsidR="00663430" w:rsidRPr="523CE391">
        <w:rPr>
          <w:rFonts w:cs="Arial"/>
        </w:rPr>
        <w:t xml:space="preserve">33.2 хувиар өсөж, нийт эдийн засгийн өсөлтийн </w:t>
      </w:r>
      <w:r w:rsidR="009142EA" w:rsidRPr="523CE391">
        <w:rPr>
          <w:rFonts w:cs="Arial"/>
        </w:rPr>
        <w:t xml:space="preserve">2.9 нэгж хувийг бүрдүүллээ. </w:t>
      </w:r>
      <w:r w:rsidR="00D51AAC" w:rsidRPr="523CE391">
        <w:rPr>
          <w:rFonts w:cs="Arial"/>
        </w:rPr>
        <w:t>Тухайлбал б</w:t>
      </w:r>
      <w:r w:rsidRPr="523CE391">
        <w:rPr>
          <w:rFonts w:cs="Arial"/>
        </w:rPr>
        <w:t xml:space="preserve">ойжсон төлийн тоо толгой </w:t>
      </w:r>
      <w:r w:rsidR="00374FAF">
        <w:rPr>
          <w:rFonts w:cs="Arial"/>
        </w:rPr>
        <w:t xml:space="preserve">          </w:t>
      </w:r>
      <w:r w:rsidRPr="523CE391">
        <w:rPr>
          <w:rFonts w:cs="Arial"/>
        </w:rPr>
        <w:t xml:space="preserve">21.7 саяд хүрч (төл бойжилт 96.5 хувь) өмнөх оны мөн үеэс 5.5 сая толгой малаар нэмэгдэж, том малын зүй бус хорогдол 359 мянга болж, өмнөх оны мөн үеэс 9 сая толгой малаар буурснаар хөдөө аж ахуйн салбарын 90 орчим хувийг бүрдүүлдэг мал </w:t>
      </w:r>
      <w:r w:rsidRPr="523CE391">
        <w:rPr>
          <w:rFonts w:cs="Arial"/>
        </w:rPr>
        <w:lastRenderedPageBreak/>
        <w:t>аж ахуйн салбарын үйлдвэрлэлийн өсөлтийн эрч</w:t>
      </w:r>
      <w:r w:rsidR="00D51AAC" w:rsidRPr="523CE391">
        <w:rPr>
          <w:rFonts w:cs="Arial"/>
        </w:rPr>
        <w:t>мийг голлон дэмжлээ</w:t>
      </w:r>
      <w:r w:rsidRPr="523CE391">
        <w:rPr>
          <w:rFonts w:cs="Arial"/>
        </w:rPr>
        <w:t>. Харин газар тариалангийн салбарын хувьд оны эхний хагаст тариалангийн гол бүс нутгаар олон жилийн дунджаас бага хур тунадас унаснаар нийт хураасан үр тариа өмнөх оноос 148.6 мянган тонн, төмс 137.3 мянган тонн, хүнсний ногоо 42.5 мянган тонн, тэжээлийн ургамал 61 мянган тонноор тус тус буур</w:t>
      </w:r>
      <w:r w:rsidR="00D51AAC" w:rsidRPr="523CE391">
        <w:rPr>
          <w:rFonts w:cs="Arial"/>
        </w:rPr>
        <w:t xml:space="preserve">сан байна. </w:t>
      </w:r>
      <w:r w:rsidR="004259B8" w:rsidRPr="523CE391">
        <w:rPr>
          <w:rFonts w:cs="Arial"/>
        </w:rPr>
        <w:t xml:space="preserve">Хөдөө аж ахуйн салбарын </w:t>
      </w:r>
      <w:r w:rsidR="00ED7298" w:rsidRPr="523CE391">
        <w:rPr>
          <w:rFonts w:cs="Arial"/>
        </w:rPr>
        <w:t>өсөлтийг</w:t>
      </w:r>
      <w:r w:rsidR="004259B8" w:rsidRPr="523CE391">
        <w:rPr>
          <w:rFonts w:cs="Arial"/>
        </w:rPr>
        <w:t xml:space="preserve"> даган боловсруулах салбарын </w:t>
      </w:r>
      <w:r w:rsidR="007015D0" w:rsidRPr="523CE391">
        <w:rPr>
          <w:rFonts w:cs="Arial"/>
        </w:rPr>
        <w:t xml:space="preserve">өсөлт эрчимжиж, 2025 онд </w:t>
      </w:r>
      <w:r w:rsidR="00374FAF">
        <w:rPr>
          <w:rFonts w:cs="Arial"/>
        </w:rPr>
        <w:t xml:space="preserve">           </w:t>
      </w:r>
      <w:r w:rsidR="007015D0" w:rsidRPr="523CE391">
        <w:rPr>
          <w:rFonts w:cs="Arial"/>
        </w:rPr>
        <w:t>10 хувиар өслөө.</w:t>
      </w:r>
      <w:r w:rsidR="00C131A4" w:rsidRPr="00614D1A">
        <w:rPr>
          <w:rFonts w:cs="Arial"/>
        </w:rPr>
        <w:t xml:space="preserve"> Үүнд </w:t>
      </w:r>
      <w:r w:rsidR="50CC34B0" w:rsidRPr="00614D1A">
        <w:rPr>
          <w:rFonts w:cs="Arial"/>
        </w:rPr>
        <w:t>хүнсний бүтээгдэхүүний үйлдвэрлэл болон</w:t>
      </w:r>
      <w:r w:rsidR="00C131A4" w:rsidRPr="00614D1A">
        <w:rPr>
          <w:rFonts w:cs="Arial"/>
        </w:rPr>
        <w:t xml:space="preserve"> төмөрлөг бус эрдэс бодисоор хийсэн бүтээгдэхүүн үйлдвэрлэл</w:t>
      </w:r>
      <w:r w:rsidR="00C131A4" w:rsidRPr="00614D1A">
        <w:rPr>
          <w:rStyle w:val="FootnoteReference"/>
          <w:rFonts w:cs="Arial"/>
        </w:rPr>
        <w:footnoteReference w:id="1"/>
      </w:r>
      <w:r w:rsidR="00C131A4" w:rsidRPr="00614D1A">
        <w:rPr>
          <w:rFonts w:cs="Arial"/>
        </w:rPr>
        <w:t xml:space="preserve"> боловсруулах салбарын өсөлтийг голлон дэмжсэн байна.</w:t>
      </w:r>
    </w:p>
    <w:p w14:paraId="210E8AC6" w14:textId="77777777" w:rsidR="00374FAF" w:rsidRDefault="00374FAF" w:rsidP="00374FAF">
      <w:pPr>
        <w:tabs>
          <w:tab w:val="right" w:leader="dot" w:pos="9354"/>
        </w:tabs>
        <w:spacing w:afterLines="0" w:after="0" w:line="240" w:lineRule="auto"/>
        <w:ind w:firstLine="720"/>
        <w:rPr>
          <w:rFonts w:cs="Arial"/>
        </w:rPr>
      </w:pPr>
    </w:p>
    <w:p w14:paraId="4F9905CA" w14:textId="4C602F97" w:rsidR="004259B8" w:rsidRPr="002B5F1F" w:rsidRDefault="002B5F1F" w:rsidP="00374FAF">
      <w:pPr>
        <w:tabs>
          <w:tab w:val="right" w:leader="dot" w:pos="9354"/>
        </w:tabs>
        <w:spacing w:afterLines="0" w:after="0" w:line="240" w:lineRule="auto"/>
        <w:ind w:firstLine="720"/>
        <w:rPr>
          <w:rFonts w:cs="Arial"/>
        </w:rPr>
      </w:pPr>
      <w:r w:rsidRPr="00614D1A">
        <w:rPr>
          <w:rFonts w:cs="Arial"/>
        </w:rPr>
        <w:t xml:space="preserve">Эрчим хүчний салбарын өсөлт тогтвортой хадгалагдаж 10.2 хувиар өссөнөөр нийт эдийн засгийн өсөлтийн 0.2 нэгж хувийг бүрдүүлэв. Үүнд шинээр ашиглалтад орсон Тосон, Бөөрөлжүүт зэрэг ДЦС-уудын үйлдвэрлэлийн өсөлт голлон нөлөөллөө. </w:t>
      </w:r>
      <w:r w:rsidR="2AFE40C8" w:rsidRPr="00614D1A">
        <w:rPr>
          <w:rFonts w:cs="Arial"/>
        </w:rPr>
        <w:t>Ингэснээр</w:t>
      </w:r>
      <w:r w:rsidRPr="00614D1A">
        <w:rPr>
          <w:rFonts w:cs="Arial"/>
        </w:rPr>
        <w:t xml:space="preserve"> цахилгаан эрчим хүч үйлдвэрлэл 9.6 тэрбум кВт цагт хүрч, өмнөх оны мөн үеэс 10.1 хувиар, дулааны эрчим хүч үйлдвэрлэл 17.3 сая Гкалд хүрч, 8.5 хувиар нэмэгдсэн байна. </w:t>
      </w:r>
    </w:p>
    <w:p w14:paraId="6DF215E5" w14:textId="77777777" w:rsidR="00374FAF" w:rsidRDefault="00374FAF" w:rsidP="00374FAF">
      <w:pPr>
        <w:tabs>
          <w:tab w:val="right" w:leader="dot" w:pos="9354"/>
        </w:tabs>
        <w:spacing w:afterLines="0" w:after="0" w:line="240" w:lineRule="auto"/>
        <w:ind w:firstLine="720"/>
        <w:rPr>
          <w:rFonts w:cs="Arial"/>
          <w:lang w:eastAsia="ja-JP"/>
        </w:rPr>
      </w:pPr>
    </w:p>
    <w:p w14:paraId="3DF9CEA9" w14:textId="0E6FA3FC" w:rsidR="000E2445" w:rsidRPr="000E2445" w:rsidRDefault="00900068" w:rsidP="00374FAF">
      <w:pPr>
        <w:tabs>
          <w:tab w:val="right" w:leader="dot" w:pos="9354"/>
        </w:tabs>
        <w:spacing w:afterLines="0" w:after="0" w:line="240" w:lineRule="auto"/>
        <w:ind w:firstLine="720"/>
        <w:rPr>
          <w:rFonts w:cs="Arial"/>
        </w:rPr>
      </w:pPr>
      <w:r w:rsidRPr="5B39D5D8">
        <w:rPr>
          <w:rFonts w:cs="Arial"/>
          <w:lang w:eastAsia="ja-JP"/>
        </w:rPr>
        <w:t>Э</w:t>
      </w:r>
      <w:r w:rsidR="0025783D" w:rsidRPr="5B39D5D8">
        <w:rPr>
          <w:rFonts w:cs="Arial"/>
          <w:lang w:eastAsia="ja-JP"/>
        </w:rPr>
        <w:t xml:space="preserve">рэлт талаас </w:t>
      </w:r>
      <w:r w:rsidRPr="5B39D5D8">
        <w:rPr>
          <w:rFonts w:cs="Arial"/>
          <w:lang w:eastAsia="ja-JP"/>
        </w:rPr>
        <w:t>эдийн</w:t>
      </w:r>
      <w:r w:rsidR="0025783D" w:rsidRPr="5B39D5D8">
        <w:rPr>
          <w:rFonts w:cs="Arial"/>
          <w:lang w:eastAsia="ja-JP"/>
        </w:rPr>
        <w:t xml:space="preserve"> засгийн өсөлт 2025 онд 6.9 хувьд </w:t>
      </w:r>
      <w:r w:rsidR="00443E34" w:rsidRPr="5B39D5D8">
        <w:rPr>
          <w:rFonts w:cs="Arial"/>
          <w:lang w:eastAsia="ja-JP"/>
        </w:rPr>
        <w:t>хүрч,</w:t>
      </w:r>
      <w:r w:rsidR="0025783D" w:rsidRPr="5B39D5D8">
        <w:rPr>
          <w:rFonts w:cs="Arial"/>
          <w:lang w:eastAsia="ja-JP"/>
        </w:rPr>
        <w:t xml:space="preserve"> өмнөх жилээс эрчимж</w:t>
      </w:r>
      <w:r w:rsidRPr="5B39D5D8">
        <w:rPr>
          <w:rFonts w:cs="Arial"/>
          <w:lang w:eastAsia="ja-JP"/>
        </w:rPr>
        <w:t>ив</w:t>
      </w:r>
      <w:r w:rsidR="0025783D" w:rsidRPr="5B39D5D8">
        <w:rPr>
          <w:rFonts w:cs="Arial"/>
          <w:lang w:eastAsia="ja-JP"/>
        </w:rPr>
        <w:t xml:space="preserve">. Уул уурхайн салбарын үйл ажиллагааны идэвх хадгалагдаж, экспорт нэмэгдсэний зэрэгцээ импортын хэмжээ буурснаар цэвэр экспорт 2025 онд </w:t>
      </w:r>
      <w:r w:rsidR="00374FAF">
        <w:rPr>
          <w:rFonts w:cs="Arial"/>
          <w:lang w:eastAsia="ja-JP"/>
        </w:rPr>
        <w:t xml:space="preserve">                </w:t>
      </w:r>
      <w:r w:rsidR="0025783D" w:rsidRPr="5B39D5D8">
        <w:rPr>
          <w:rFonts w:cs="Arial"/>
          <w:lang w:eastAsia="ja-JP"/>
        </w:rPr>
        <w:t xml:space="preserve">12 хувиар өсөж, эдийн засгийн өсөлтийг голлон дэмжлээ. Мөн </w:t>
      </w:r>
      <w:r w:rsidRPr="5B39D5D8">
        <w:rPr>
          <w:rFonts w:cs="Arial"/>
          <w:lang w:eastAsia="ja-JP"/>
        </w:rPr>
        <w:t>эдийн засгийн дотоод идэвх сайн байж</w:t>
      </w:r>
      <w:r w:rsidR="0025783D" w:rsidRPr="5B39D5D8">
        <w:rPr>
          <w:rFonts w:cs="Arial"/>
          <w:lang w:eastAsia="ja-JP"/>
        </w:rPr>
        <w:t xml:space="preserve"> эцсийн хэрэглээ 5.7 хувиар өсөж, нийт өсөлтийг дэмж</w:t>
      </w:r>
      <w:r w:rsidR="00286986" w:rsidRPr="5B39D5D8">
        <w:rPr>
          <w:rFonts w:cs="Arial"/>
          <w:lang w:eastAsia="ja-JP"/>
        </w:rPr>
        <w:t>лээ</w:t>
      </w:r>
      <w:r w:rsidR="0025783D" w:rsidRPr="5B39D5D8">
        <w:rPr>
          <w:rFonts w:cs="Arial"/>
          <w:lang w:eastAsia="ja-JP"/>
        </w:rPr>
        <w:t xml:space="preserve">. Үүнд төрийн хэрэглээ буурсан хэдий ч өрхийн бодит орлогын өсөлт оны турш тогтвортой хадгалагдсанаар өрхийн хэрэглээ 2025 онд 9.2 хувиар өсөж, эцсийн хэрэглээг </w:t>
      </w:r>
      <w:r w:rsidR="00286986" w:rsidRPr="5B39D5D8">
        <w:rPr>
          <w:rFonts w:cs="Arial"/>
          <w:lang w:eastAsia="ja-JP"/>
        </w:rPr>
        <w:t>голлон</w:t>
      </w:r>
      <w:r w:rsidR="0025783D" w:rsidRPr="5B39D5D8">
        <w:rPr>
          <w:rFonts w:cs="Arial"/>
          <w:lang w:eastAsia="ja-JP"/>
        </w:rPr>
        <w:t xml:space="preserve"> дэмж</w:t>
      </w:r>
      <w:r w:rsidR="00443E34" w:rsidRPr="5B39D5D8">
        <w:rPr>
          <w:rFonts w:cs="Arial"/>
          <w:lang w:eastAsia="ja-JP"/>
        </w:rPr>
        <w:t>ив</w:t>
      </w:r>
      <w:r w:rsidR="0025783D" w:rsidRPr="5B39D5D8">
        <w:rPr>
          <w:rFonts w:cs="Arial"/>
          <w:lang w:eastAsia="ja-JP"/>
        </w:rPr>
        <w:t xml:space="preserve">. </w:t>
      </w:r>
      <w:r w:rsidR="00F07A35" w:rsidRPr="5B39D5D8">
        <w:rPr>
          <w:rFonts w:cs="Arial"/>
          <w:lang w:eastAsia="ja-JP"/>
        </w:rPr>
        <w:t>Өрхийн хэрэглээ өсөхөд т</w:t>
      </w:r>
      <w:r w:rsidR="0025783D" w:rsidRPr="5B39D5D8">
        <w:rPr>
          <w:rFonts w:cs="Arial"/>
          <w:lang w:eastAsia="ja-JP"/>
        </w:rPr>
        <w:t>өрийн албан хаагчийн цалин хөлс, тэтгэвэр, тэтгэмжийн хэмжээг 2025 оны 1 дүгээр сарын 1-ний өдрөөс эхлэн инфляцын түвшинтэй уялдуулж нэмэгдүүлэх шийдвэр нөлөө</w:t>
      </w:r>
      <w:r w:rsidR="48B961BD" w:rsidRPr="5B39D5D8">
        <w:rPr>
          <w:rFonts w:cs="Arial"/>
          <w:lang w:eastAsia="ja-JP"/>
        </w:rPr>
        <w:t>тэй байж</w:t>
      </w:r>
      <w:r w:rsidR="0025783D" w:rsidRPr="5B39D5D8">
        <w:rPr>
          <w:rFonts w:cs="Arial"/>
          <w:lang w:eastAsia="ja-JP"/>
        </w:rPr>
        <w:t xml:space="preserve"> өрхийн цалин хөлсний орлого 2025 оны улирлын дунджаар 4 хувьд тогтвортой хадгалагдаж, өрхийн орлогын өсөлт оны турш тогтвортой </w:t>
      </w:r>
      <w:r w:rsidR="00E5298B" w:rsidRPr="5B39D5D8">
        <w:rPr>
          <w:rFonts w:cs="Arial"/>
          <w:lang w:eastAsia="ja-JP"/>
        </w:rPr>
        <w:t>байв</w:t>
      </w:r>
      <w:r w:rsidR="0025783D" w:rsidRPr="5B39D5D8">
        <w:rPr>
          <w:rFonts w:cs="Arial"/>
          <w:lang w:eastAsia="ja-JP"/>
        </w:rPr>
        <w:t>. Түүнчлэн хөдөө аж ахуйн үйлдвэрлэлийн өсөлтийн нөлөөгөөр өрхийн хөдөө аж ахуйн бүтээгдэхүүний орлого нэмэгдэж, өрхийн орлогыг дэмжив.</w:t>
      </w:r>
      <w:r w:rsidR="00FE4624" w:rsidRPr="5B39D5D8">
        <w:rPr>
          <w:rFonts w:cs="Arial"/>
          <w:lang w:eastAsia="ja-JP"/>
        </w:rPr>
        <w:t xml:space="preserve"> Харин </w:t>
      </w:r>
      <w:r w:rsidR="00663929" w:rsidRPr="5B39D5D8">
        <w:rPr>
          <w:rFonts w:cs="Arial"/>
          <w:lang w:eastAsia="ja-JP"/>
        </w:rPr>
        <w:t>үндсэн хөрөнгийн хуримтлал өс</w:t>
      </w:r>
      <w:r w:rsidR="009709B0" w:rsidRPr="5B39D5D8">
        <w:rPr>
          <w:rFonts w:cs="Arial"/>
          <w:lang w:eastAsia="ja-JP"/>
        </w:rPr>
        <w:t xml:space="preserve">сөн хэдий </w:t>
      </w:r>
      <w:r w:rsidR="00663929" w:rsidRPr="5B39D5D8">
        <w:rPr>
          <w:rFonts w:cs="Arial"/>
          <w:lang w:eastAsia="ja-JP"/>
        </w:rPr>
        <w:t xml:space="preserve">ч эргэлтийн хөрөнгө буурснаар нийт хөрөнгийн хуримтлал </w:t>
      </w:r>
      <w:r w:rsidR="0055172B" w:rsidRPr="5B39D5D8">
        <w:rPr>
          <w:rFonts w:cs="Arial"/>
          <w:lang w:eastAsia="ja-JP"/>
        </w:rPr>
        <w:t>эдийн засгийн өсөлтийг хязгаарлах нөлөө үзүүл</w:t>
      </w:r>
      <w:r w:rsidR="000E2445" w:rsidRPr="5B39D5D8">
        <w:rPr>
          <w:rFonts w:cs="Arial"/>
          <w:lang w:eastAsia="ja-JP"/>
        </w:rPr>
        <w:t>лээ</w:t>
      </w:r>
      <w:r w:rsidR="0055172B" w:rsidRPr="5B39D5D8">
        <w:rPr>
          <w:rFonts w:cs="Arial"/>
          <w:lang w:eastAsia="ja-JP"/>
        </w:rPr>
        <w:t xml:space="preserve">. </w:t>
      </w:r>
      <w:r w:rsidR="000E2445" w:rsidRPr="00614D1A">
        <w:rPr>
          <w:rFonts w:cs="Arial"/>
        </w:rPr>
        <w:t>Эргэлтийн хөрөнгө буурахад нүүрсний үнийн бууралттай холбоотой овоолгын үнэлгээ буурсан, худалдаа, үйлчилгээний үйл ажиллагаа удааширч татан авалт багассан зэрэг хүчин зүйл нөлөөлөв.</w:t>
      </w:r>
    </w:p>
    <w:tbl>
      <w:tblPr>
        <w:tblW w:w="9501" w:type="dxa"/>
        <w:tblInd w:w="-108" w:type="dxa"/>
        <w:tblLayout w:type="fixed"/>
        <w:tblLook w:val="04A0" w:firstRow="1" w:lastRow="0" w:firstColumn="1" w:lastColumn="0" w:noHBand="0" w:noVBand="1"/>
      </w:tblPr>
      <w:tblGrid>
        <w:gridCol w:w="4963"/>
        <w:gridCol w:w="4338"/>
        <w:gridCol w:w="200"/>
      </w:tblGrid>
      <w:tr w:rsidR="004259B8" w:rsidRPr="00614D1A" w14:paraId="38776452" w14:textId="77777777" w:rsidTr="00374FAF">
        <w:trPr>
          <w:gridAfter w:val="1"/>
          <w:wAfter w:w="200" w:type="dxa"/>
          <w:cantSplit/>
          <w:trHeight w:val="405"/>
        </w:trPr>
        <w:tc>
          <w:tcPr>
            <w:tcW w:w="4963" w:type="dxa"/>
            <w:tcBorders>
              <w:top w:val="single" w:sz="4" w:space="0" w:color="auto"/>
            </w:tcBorders>
          </w:tcPr>
          <w:p w14:paraId="41714B66" w14:textId="5595C05F" w:rsidR="004259B8" w:rsidRPr="00D95C07" w:rsidRDefault="004259B8">
            <w:pPr>
              <w:pStyle w:val="Caption"/>
              <w:keepNext/>
              <w:spacing w:after="120"/>
              <w:rPr>
                <w:rFonts w:ascii="Arial" w:hAnsi="Arial" w:cs="Arial"/>
                <w:color w:val="auto"/>
              </w:rPr>
            </w:pPr>
            <w:bookmarkStart w:id="39" w:name="_Toc201605994"/>
            <w:bookmarkStart w:id="40" w:name="_Toc201759610"/>
            <w:r w:rsidRPr="00E60469">
              <w:rPr>
                <w:rFonts w:ascii="Arial" w:hAnsi="Arial" w:cs="Arial"/>
                <w:color w:val="auto"/>
              </w:rPr>
              <w:lastRenderedPageBreak/>
              <w:t>Х</w:t>
            </w:r>
            <w:r w:rsidRPr="16C13C79">
              <w:rPr>
                <w:rFonts w:ascii="Arial" w:hAnsi="Arial" w:cs="Arial"/>
                <w:color w:val="auto"/>
              </w:rPr>
              <w:t xml:space="preserve">үснэгт </w:t>
            </w:r>
            <w:r w:rsidRPr="00E60469">
              <w:rPr>
                <w:rFonts w:ascii="Arial" w:hAnsi="Arial" w:cs="Arial"/>
                <w:color w:val="auto"/>
              </w:rPr>
              <w:fldChar w:fldCharType="begin"/>
            </w:r>
            <w:r w:rsidRPr="00E60469">
              <w:rPr>
                <w:rFonts w:ascii="Arial" w:hAnsi="Arial" w:cs="Arial"/>
                <w:color w:val="auto"/>
              </w:rPr>
              <w:instrText xml:space="preserve"> STYLEREF 1 \s </w:instrText>
            </w:r>
            <w:r w:rsidRPr="00E60469">
              <w:rPr>
                <w:rFonts w:ascii="Arial" w:hAnsi="Arial" w:cs="Arial"/>
                <w:color w:val="auto"/>
              </w:rPr>
              <w:fldChar w:fldCharType="separate"/>
            </w:r>
            <w:r w:rsidR="000E7C9C">
              <w:rPr>
                <w:rFonts w:ascii="Arial" w:hAnsi="Arial" w:cs="Arial"/>
                <w:noProof/>
                <w:color w:val="auto"/>
              </w:rPr>
              <w:t>1</w:t>
            </w:r>
            <w:r w:rsidRPr="00E60469">
              <w:rPr>
                <w:rFonts w:ascii="Arial" w:hAnsi="Arial" w:cs="Arial"/>
                <w:color w:val="auto"/>
              </w:rPr>
              <w:fldChar w:fldCharType="end"/>
            </w:r>
            <w:r w:rsidRPr="16C13C79">
              <w:rPr>
                <w:rFonts w:ascii="Arial" w:hAnsi="Arial" w:cs="Arial"/>
                <w:color w:val="auto"/>
              </w:rPr>
              <w:t>.</w:t>
            </w:r>
            <w:r w:rsidRPr="00E60469">
              <w:rPr>
                <w:rFonts w:ascii="Arial" w:hAnsi="Arial" w:cs="Arial"/>
                <w:color w:val="auto"/>
              </w:rPr>
              <w:fldChar w:fldCharType="begin"/>
            </w:r>
            <w:r w:rsidRPr="00E60469">
              <w:rPr>
                <w:rFonts w:ascii="Arial" w:hAnsi="Arial" w:cs="Arial"/>
                <w:color w:val="auto"/>
              </w:rPr>
              <w:instrText xml:space="preserve"> SEQ Хүснэгт \* ARABIC \s 1 </w:instrText>
            </w:r>
            <w:r w:rsidRPr="00E60469">
              <w:rPr>
                <w:rFonts w:ascii="Arial" w:hAnsi="Arial" w:cs="Arial"/>
                <w:color w:val="auto"/>
              </w:rPr>
              <w:fldChar w:fldCharType="separate"/>
            </w:r>
            <w:r w:rsidR="000E7C9C">
              <w:rPr>
                <w:rFonts w:ascii="Arial" w:hAnsi="Arial" w:cs="Arial"/>
                <w:noProof/>
                <w:color w:val="auto"/>
              </w:rPr>
              <w:t>1</w:t>
            </w:r>
            <w:r w:rsidRPr="00E60469">
              <w:rPr>
                <w:rFonts w:ascii="Arial" w:hAnsi="Arial" w:cs="Arial"/>
                <w:color w:val="auto"/>
              </w:rPr>
              <w:fldChar w:fldCharType="end"/>
            </w:r>
            <w:r w:rsidRPr="16C13C79">
              <w:rPr>
                <w:rFonts w:ascii="Arial" w:hAnsi="Arial" w:cs="Arial"/>
                <w:color w:val="auto"/>
              </w:rPr>
              <w:t xml:space="preserve"> Эдийн засгийн өсөлтийн бүтэц</w:t>
            </w:r>
            <w:bookmarkEnd w:id="39"/>
            <w:bookmarkEnd w:id="40"/>
          </w:p>
          <w:tbl>
            <w:tblPr>
              <w:tblW w:w="4682" w:type="dxa"/>
              <w:tblLayout w:type="fixed"/>
              <w:tblLook w:val="04A0" w:firstRow="1" w:lastRow="0" w:firstColumn="1" w:lastColumn="0" w:noHBand="0" w:noVBand="1"/>
            </w:tblPr>
            <w:tblGrid>
              <w:gridCol w:w="1543"/>
              <w:gridCol w:w="627"/>
              <w:gridCol w:w="628"/>
              <w:gridCol w:w="628"/>
              <w:gridCol w:w="628"/>
              <w:gridCol w:w="628"/>
            </w:tblGrid>
            <w:tr w:rsidR="004259B8" w:rsidRPr="0031039D" w14:paraId="5051FDE7" w14:textId="77777777" w:rsidTr="00374FAF">
              <w:trPr>
                <w:trHeight w:val="312"/>
              </w:trPr>
              <w:tc>
                <w:tcPr>
                  <w:tcW w:w="1543" w:type="dxa"/>
                  <w:tcBorders>
                    <w:top w:val="single" w:sz="4" w:space="0" w:color="auto"/>
                    <w:bottom w:val="single" w:sz="4" w:space="0" w:color="auto"/>
                  </w:tcBorders>
                  <w:vAlign w:val="center"/>
                  <w:hideMark/>
                </w:tcPr>
                <w:p w14:paraId="32665D40" w14:textId="77777777" w:rsidR="004259B8" w:rsidRPr="00724DE0" w:rsidRDefault="004259B8">
                  <w:pPr>
                    <w:tabs>
                      <w:tab w:val="right" w:leader="dot" w:pos="9354"/>
                    </w:tabs>
                    <w:spacing w:afterLines="0" w:after="0" w:line="240" w:lineRule="auto"/>
                    <w:jc w:val="left"/>
                    <w:rPr>
                      <w:rFonts w:eastAsia="Times New Roman" w:cs="Arial"/>
                      <w:b/>
                      <w:kern w:val="0"/>
                      <w:sz w:val="18"/>
                      <w:szCs w:val="18"/>
                      <w14:ligatures w14:val="none"/>
                    </w:rPr>
                  </w:pPr>
                  <w:r w:rsidRPr="00724DE0">
                    <w:rPr>
                      <w:rFonts w:eastAsia="Times New Roman" w:cs="Arial"/>
                      <w:b/>
                      <w:kern w:val="0"/>
                      <w:sz w:val="18"/>
                      <w:szCs w:val="18"/>
                      <w14:ligatures w14:val="none"/>
                    </w:rPr>
                    <w:t>Үзүүлэлт</w:t>
                  </w:r>
                </w:p>
              </w:tc>
              <w:tc>
                <w:tcPr>
                  <w:tcW w:w="627" w:type="dxa"/>
                  <w:tcBorders>
                    <w:top w:val="single" w:sz="4" w:space="0" w:color="auto"/>
                    <w:bottom w:val="single" w:sz="4" w:space="0" w:color="auto"/>
                  </w:tcBorders>
                  <w:vAlign w:val="center"/>
                </w:tcPr>
                <w:p w14:paraId="1C1427E2" w14:textId="77E84524" w:rsidR="004259B8" w:rsidRPr="00724DE0" w:rsidRDefault="002B5F1F">
                  <w:pPr>
                    <w:tabs>
                      <w:tab w:val="right" w:leader="dot" w:pos="9354"/>
                    </w:tabs>
                    <w:spacing w:afterLines="0" w:after="0" w:line="240" w:lineRule="auto"/>
                    <w:jc w:val="right"/>
                    <w:rPr>
                      <w:rFonts w:eastAsia="Times New Roman" w:cs="Arial"/>
                      <w:b/>
                      <w:kern w:val="0"/>
                      <w:sz w:val="18"/>
                      <w:szCs w:val="18"/>
                      <w14:ligatures w14:val="none"/>
                    </w:rPr>
                  </w:pPr>
                  <w:r w:rsidRPr="00724DE0">
                    <w:rPr>
                      <w:rFonts w:eastAsia="Times New Roman" w:cs="Arial"/>
                      <w:b/>
                      <w:kern w:val="0"/>
                      <w:sz w:val="18"/>
                      <w:szCs w:val="18"/>
                      <w14:ligatures w14:val="none"/>
                    </w:rPr>
                    <w:t>2021</w:t>
                  </w:r>
                </w:p>
              </w:tc>
              <w:tc>
                <w:tcPr>
                  <w:tcW w:w="628" w:type="dxa"/>
                  <w:tcBorders>
                    <w:top w:val="single" w:sz="4" w:space="0" w:color="auto"/>
                    <w:bottom w:val="single" w:sz="4" w:space="0" w:color="auto"/>
                  </w:tcBorders>
                  <w:vAlign w:val="center"/>
                  <w:hideMark/>
                </w:tcPr>
                <w:p w14:paraId="4C4AD574" w14:textId="4602661D" w:rsidR="004259B8" w:rsidRPr="00724DE0" w:rsidRDefault="002B5F1F">
                  <w:pPr>
                    <w:tabs>
                      <w:tab w:val="right" w:leader="dot" w:pos="9354"/>
                    </w:tabs>
                    <w:spacing w:afterLines="0" w:after="0" w:line="240" w:lineRule="auto"/>
                    <w:jc w:val="right"/>
                    <w:rPr>
                      <w:rFonts w:eastAsia="Times New Roman" w:cs="Arial"/>
                      <w:b/>
                      <w:kern w:val="0"/>
                      <w:sz w:val="18"/>
                      <w:szCs w:val="18"/>
                      <w14:ligatures w14:val="none"/>
                    </w:rPr>
                  </w:pPr>
                  <w:r w:rsidRPr="00724DE0">
                    <w:rPr>
                      <w:rFonts w:eastAsia="Times New Roman" w:cs="Arial"/>
                      <w:b/>
                      <w:kern w:val="0"/>
                      <w:sz w:val="18"/>
                      <w:szCs w:val="18"/>
                      <w14:ligatures w14:val="none"/>
                    </w:rPr>
                    <w:t>2022</w:t>
                  </w:r>
                </w:p>
              </w:tc>
              <w:tc>
                <w:tcPr>
                  <w:tcW w:w="628" w:type="dxa"/>
                  <w:tcBorders>
                    <w:top w:val="single" w:sz="4" w:space="0" w:color="auto"/>
                    <w:bottom w:val="single" w:sz="4" w:space="0" w:color="auto"/>
                  </w:tcBorders>
                  <w:vAlign w:val="center"/>
                  <w:hideMark/>
                </w:tcPr>
                <w:p w14:paraId="6DEBA080" w14:textId="561307BE" w:rsidR="004259B8" w:rsidRPr="00724DE0" w:rsidRDefault="002B5F1F">
                  <w:pPr>
                    <w:tabs>
                      <w:tab w:val="right" w:leader="dot" w:pos="9354"/>
                    </w:tabs>
                    <w:spacing w:afterLines="0" w:after="0" w:line="240" w:lineRule="auto"/>
                    <w:jc w:val="right"/>
                    <w:rPr>
                      <w:rFonts w:eastAsia="Times New Roman" w:cs="Arial"/>
                      <w:b/>
                      <w:kern w:val="0"/>
                      <w:sz w:val="18"/>
                      <w:szCs w:val="18"/>
                      <w14:ligatures w14:val="none"/>
                    </w:rPr>
                  </w:pPr>
                  <w:r w:rsidRPr="00724DE0">
                    <w:rPr>
                      <w:rFonts w:eastAsia="Times New Roman" w:cs="Arial"/>
                      <w:b/>
                      <w:kern w:val="0"/>
                      <w:sz w:val="18"/>
                      <w:szCs w:val="18"/>
                      <w14:ligatures w14:val="none"/>
                    </w:rPr>
                    <w:t>2023</w:t>
                  </w:r>
                </w:p>
              </w:tc>
              <w:tc>
                <w:tcPr>
                  <w:tcW w:w="628" w:type="dxa"/>
                  <w:tcBorders>
                    <w:top w:val="single" w:sz="4" w:space="0" w:color="auto"/>
                    <w:bottom w:val="single" w:sz="4" w:space="0" w:color="auto"/>
                  </w:tcBorders>
                  <w:vAlign w:val="center"/>
                  <w:hideMark/>
                </w:tcPr>
                <w:p w14:paraId="037934C8" w14:textId="7780818C" w:rsidR="004259B8" w:rsidRPr="00724DE0" w:rsidRDefault="002B5F1F">
                  <w:pPr>
                    <w:tabs>
                      <w:tab w:val="right" w:leader="dot" w:pos="9354"/>
                    </w:tabs>
                    <w:spacing w:afterLines="0" w:after="0" w:line="240" w:lineRule="auto"/>
                    <w:jc w:val="right"/>
                    <w:rPr>
                      <w:rFonts w:eastAsia="Times New Roman" w:cs="Arial"/>
                      <w:b/>
                      <w:kern w:val="0"/>
                      <w:sz w:val="18"/>
                      <w:szCs w:val="18"/>
                      <w14:ligatures w14:val="none"/>
                    </w:rPr>
                  </w:pPr>
                  <w:r w:rsidRPr="00724DE0">
                    <w:rPr>
                      <w:rFonts w:eastAsia="Times New Roman" w:cs="Arial"/>
                      <w:b/>
                      <w:kern w:val="0"/>
                      <w:sz w:val="18"/>
                      <w:szCs w:val="18"/>
                      <w14:ligatures w14:val="none"/>
                    </w:rPr>
                    <w:t>2024</w:t>
                  </w:r>
                </w:p>
              </w:tc>
              <w:tc>
                <w:tcPr>
                  <w:tcW w:w="628" w:type="dxa"/>
                  <w:tcBorders>
                    <w:top w:val="single" w:sz="4" w:space="0" w:color="auto"/>
                    <w:bottom w:val="single" w:sz="4" w:space="0" w:color="auto"/>
                  </w:tcBorders>
                  <w:vAlign w:val="center"/>
                </w:tcPr>
                <w:p w14:paraId="5BEA8DE2" w14:textId="64B1B2F0" w:rsidR="004259B8" w:rsidRPr="00724DE0" w:rsidRDefault="002B5F1F">
                  <w:pPr>
                    <w:tabs>
                      <w:tab w:val="right" w:leader="dot" w:pos="9354"/>
                    </w:tabs>
                    <w:spacing w:afterLines="0" w:after="0" w:line="240" w:lineRule="auto"/>
                    <w:jc w:val="right"/>
                    <w:rPr>
                      <w:rFonts w:eastAsia="Times New Roman" w:cs="Arial"/>
                      <w:b/>
                      <w:kern w:val="0"/>
                      <w:sz w:val="18"/>
                      <w:szCs w:val="18"/>
                      <w14:ligatures w14:val="none"/>
                    </w:rPr>
                  </w:pPr>
                  <w:r w:rsidRPr="00724DE0">
                    <w:rPr>
                      <w:rFonts w:eastAsia="Times New Roman" w:cs="Arial"/>
                      <w:b/>
                      <w:kern w:val="0"/>
                      <w:sz w:val="18"/>
                      <w:szCs w:val="18"/>
                      <w14:ligatures w14:val="none"/>
                    </w:rPr>
                    <w:t>2025</w:t>
                  </w:r>
                </w:p>
              </w:tc>
            </w:tr>
            <w:tr w:rsidR="004259B8" w:rsidRPr="0031039D" w14:paraId="125CDA9D" w14:textId="77777777" w:rsidTr="00374FAF">
              <w:trPr>
                <w:trHeight w:val="297"/>
              </w:trPr>
              <w:tc>
                <w:tcPr>
                  <w:tcW w:w="1543" w:type="dxa"/>
                  <w:tcBorders>
                    <w:top w:val="single" w:sz="4" w:space="0" w:color="auto"/>
                    <w:bottom w:val="single" w:sz="4" w:space="0" w:color="auto"/>
                  </w:tcBorders>
                  <w:vAlign w:val="center"/>
                  <w:hideMark/>
                </w:tcPr>
                <w:p w14:paraId="748668D9" w14:textId="77777777" w:rsidR="004259B8" w:rsidRPr="00D95C07" w:rsidRDefault="004259B8">
                  <w:pPr>
                    <w:tabs>
                      <w:tab w:val="right" w:leader="dot" w:pos="9354"/>
                    </w:tabs>
                    <w:spacing w:afterLines="0" w:after="0" w:line="240" w:lineRule="auto"/>
                    <w:jc w:val="left"/>
                    <w:rPr>
                      <w:rFonts w:eastAsia="Times New Roman" w:cs="Arial"/>
                      <w:b/>
                      <w:kern w:val="0"/>
                      <w:sz w:val="18"/>
                      <w:szCs w:val="18"/>
                      <w14:ligatures w14:val="none"/>
                    </w:rPr>
                  </w:pPr>
                  <w:r w:rsidRPr="16C13C79">
                    <w:rPr>
                      <w:rFonts w:eastAsia="Times New Roman" w:cs="Arial"/>
                      <w:b/>
                      <w:kern w:val="0"/>
                      <w:sz w:val="18"/>
                      <w:szCs w:val="18"/>
                      <w14:ligatures w14:val="none"/>
                    </w:rPr>
                    <w:t>ДНБ</w:t>
                  </w:r>
                </w:p>
              </w:tc>
              <w:tc>
                <w:tcPr>
                  <w:tcW w:w="627" w:type="dxa"/>
                  <w:tcBorders>
                    <w:top w:val="single" w:sz="4" w:space="0" w:color="auto"/>
                    <w:bottom w:val="single" w:sz="4" w:space="0" w:color="auto"/>
                  </w:tcBorders>
                  <w:vAlign w:val="center"/>
                </w:tcPr>
                <w:p w14:paraId="6371362E" w14:textId="712DEDC4" w:rsidR="004259B8" w:rsidRPr="00D95C07" w:rsidRDefault="002B5F1F">
                  <w:pPr>
                    <w:tabs>
                      <w:tab w:val="right" w:leader="dot" w:pos="9354"/>
                    </w:tabs>
                    <w:spacing w:afterLines="0" w:after="0" w:line="240" w:lineRule="auto"/>
                    <w:jc w:val="right"/>
                    <w:rPr>
                      <w:rFonts w:eastAsia="Times New Roman" w:cs="Arial"/>
                      <w:b/>
                      <w:kern w:val="0"/>
                      <w:sz w:val="18"/>
                      <w:szCs w:val="18"/>
                      <w14:ligatures w14:val="none"/>
                    </w:rPr>
                  </w:pPr>
                  <w:r w:rsidRPr="16C13C79">
                    <w:rPr>
                      <w:rFonts w:eastAsia="Times New Roman" w:cs="Arial"/>
                      <w:b/>
                      <w:kern w:val="0"/>
                      <w:sz w:val="18"/>
                      <w:szCs w:val="18"/>
                      <w14:ligatures w14:val="none"/>
                    </w:rPr>
                    <w:t>1</w:t>
                  </w:r>
                  <w:r w:rsidR="004259B8" w:rsidRPr="16C13C79">
                    <w:rPr>
                      <w:rFonts w:eastAsia="Times New Roman" w:cs="Arial"/>
                      <w:b/>
                      <w:kern w:val="0"/>
                      <w:sz w:val="18"/>
                      <w:szCs w:val="18"/>
                      <w14:ligatures w14:val="none"/>
                    </w:rPr>
                    <w:t>.6</w:t>
                  </w:r>
                </w:p>
              </w:tc>
              <w:tc>
                <w:tcPr>
                  <w:tcW w:w="628" w:type="dxa"/>
                  <w:tcBorders>
                    <w:top w:val="single" w:sz="4" w:space="0" w:color="auto"/>
                    <w:bottom w:val="single" w:sz="4" w:space="0" w:color="auto"/>
                  </w:tcBorders>
                  <w:vAlign w:val="center"/>
                  <w:hideMark/>
                </w:tcPr>
                <w:p w14:paraId="09386B8A" w14:textId="5813C899" w:rsidR="004259B8" w:rsidRPr="00D95C07" w:rsidRDefault="002B5F1F">
                  <w:pPr>
                    <w:tabs>
                      <w:tab w:val="right" w:leader="dot" w:pos="9354"/>
                    </w:tabs>
                    <w:spacing w:afterLines="0" w:after="0" w:line="240" w:lineRule="auto"/>
                    <w:jc w:val="right"/>
                    <w:rPr>
                      <w:rFonts w:eastAsia="Times New Roman" w:cs="Arial"/>
                      <w:b/>
                      <w:kern w:val="0"/>
                      <w:sz w:val="18"/>
                      <w:szCs w:val="18"/>
                      <w14:ligatures w14:val="none"/>
                    </w:rPr>
                  </w:pPr>
                  <w:r w:rsidRPr="16C13C79">
                    <w:rPr>
                      <w:rFonts w:eastAsia="Times New Roman" w:cs="Arial"/>
                      <w:b/>
                      <w:kern w:val="0"/>
                      <w:sz w:val="18"/>
                      <w:szCs w:val="18"/>
                      <w14:ligatures w14:val="none"/>
                    </w:rPr>
                    <w:t>5.0</w:t>
                  </w:r>
                </w:p>
              </w:tc>
              <w:tc>
                <w:tcPr>
                  <w:tcW w:w="628" w:type="dxa"/>
                  <w:tcBorders>
                    <w:top w:val="single" w:sz="4" w:space="0" w:color="auto"/>
                    <w:bottom w:val="single" w:sz="4" w:space="0" w:color="auto"/>
                  </w:tcBorders>
                  <w:vAlign w:val="center"/>
                  <w:hideMark/>
                </w:tcPr>
                <w:p w14:paraId="54824507" w14:textId="43295923" w:rsidR="004259B8" w:rsidRPr="00D95C07" w:rsidRDefault="002B5F1F">
                  <w:pPr>
                    <w:tabs>
                      <w:tab w:val="right" w:leader="dot" w:pos="9354"/>
                    </w:tabs>
                    <w:spacing w:afterLines="0" w:after="0" w:line="240" w:lineRule="auto"/>
                    <w:jc w:val="right"/>
                    <w:rPr>
                      <w:rFonts w:eastAsia="Times New Roman" w:cs="Arial"/>
                      <w:b/>
                      <w:kern w:val="0"/>
                      <w:sz w:val="18"/>
                      <w:szCs w:val="18"/>
                      <w14:ligatures w14:val="none"/>
                    </w:rPr>
                  </w:pPr>
                  <w:r w:rsidRPr="16C13C79">
                    <w:rPr>
                      <w:rFonts w:eastAsia="Times New Roman" w:cs="Arial"/>
                      <w:b/>
                      <w:sz w:val="18"/>
                      <w:szCs w:val="18"/>
                    </w:rPr>
                    <w:t>7.4</w:t>
                  </w:r>
                </w:p>
              </w:tc>
              <w:tc>
                <w:tcPr>
                  <w:tcW w:w="628" w:type="dxa"/>
                  <w:tcBorders>
                    <w:top w:val="single" w:sz="4" w:space="0" w:color="auto"/>
                    <w:bottom w:val="single" w:sz="4" w:space="0" w:color="auto"/>
                  </w:tcBorders>
                  <w:vAlign w:val="center"/>
                  <w:hideMark/>
                </w:tcPr>
                <w:p w14:paraId="249F0AB7" w14:textId="4803A2AF" w:rsidR="004259B8" w:rsidRPr="00D95C07" w:rsidRDefault="004259B8">
                  <w:pPr>
                    <w:tabs>
                      <w:tab w:val="right" w:leader="dot" w:pos="9354"/>
                    </w:tabs>
                    <w:spacing w:afterLines="0" w:after="0" w:line="240" w:lineRule="auto"/>
                    <w:jc w:val="right"/>
                    <w:rPr>
                      <w:rFonts w:eastAsia="Times New Roman" w:cs="Arial"/>
                      <w:b/>
                      <w:kern w:val="0"/>
                      <w:sz w:val="18"/>
                      <w:szCs w:val="18"/>
                      <w14:ligatures w14:val="none"/>
                    </w:rPr>
                  </w:pPr>
                  <w:r w:rsidRPr="16C13C79">
                    <w:rPr>
                      <w:rFonts w:cs="Arial"/>
                      <w:b/>
                      <w:sz w:val="18"/>
                      <w:szCs w:val="18"/>
                    </w:rPr>
                    <w:t>4</w:t>
                  </w:r>
                  <w:r w:rsidR="002B5F1F" w:rsidRPr="16C13C79">
                    <w:rPr>
                      <w:rFonts w:cs="Arial"/>
                      <w:b/>
                      <w:sz w:val="18"/>
                      <w:szCs w:val="18"/>
                    </w:rPr>
                    <w:t>.9</w:t>
                  </w:r>
                </w:p>
              </w:tc>
              <w:tc>
                <w:tcPr>
                  <w:tcW w:w="628" w:type="dxa"/>
                  <w:tcBorders>
                    <w:top w:val="single" w:sz="4" w:space="0" w:color="auto"/>
                    <w:bottom w:val="single" w:sz="4" w:space="0" w:color="auto"/>
                  </w:tcBorders>
                  <w:vAlign w:val="center"/>
                </w:tcPr>
                <w:p w14:paraId="046ADAE9" w14:textId="1298AD8D" w:rsidR="004259B8" w:rsidRPr="00D95C07" w:rsidRDefault="00167D4C">
                  <w:pPr>
                    <w:tabs>
                      <w:tab w:val="right" w:leader="dot" w:pos="9354"/>
                    </w:tabs>
                    <w:spacing w:afterLines="0" w:after="0" w:line="240" w:lineRule="auto"/>
                    <w:jc w:val="right"/>
                    <w:rPr>
                      <w:rFonts w:cs="Arial"/>
                      <w:b/>
                      <w:sz w:val="18"/>
                      <w:szCs w:val="18"/>
                    </w:rPr>
                  </w:pPr>
                  <w:r w:rsidRPr="16C13C79">
                    <w:rPr>
                      <w:rFonts w:cs="Arial"/>
                      <w:b/>
                      <w:sz w:val="18"/>
                      <w:szCs w:val="18"/>
                    </w:rPr>
                    <w:t>6.8</w:t>
                  </w:r>
                </w:p>
              </w:tc>
            </w:tr>
            <w:tr w:rsidR="004259B8" w:rsidRPr="0031039D" w14:paraId="011FCC3A" w14:textId="77777777" w:rsidTr="00374FAF">
              <w:trPr>
                <w:trHeight w:val="297"/>
              </w:trPr>
              <w:tc>
                <w:tcPr>
                  <w:tcW w:w="1543" w:type="dxa"/>
                  <w:tcBorders>
                    <w:top w:val="single" w:sz="4" w:space="0" w:color="auto"/>
                  </w:tcBorders>
                  <w:vAlign w:val="center"/>
                  <w:hideMark/>
                </w:tcPr>
                <w:p w14:paraId="0F3B74D5" w14:textId="77777777" w:rsidR="004259B8" w:rsidRPr="00D95C07" w:rsidRDefault="004259B8">
                  <w:pPr>
                    <w:tabs>
                      <w:tab w:val="right" w:leader="dot" w:pos="9354"/>
                    </w:tabs>
                    <w:spacing w:afterLines="0" w:after="0" w:line="240" w:lineRule="auto"/>
                    <w:jc w:val="left"/>
                    <w:rPr>
                      <w:rFonts w:eastAsia="Times New Roman" w:cs="Arial"/>
                      <w:kern w:val="0"/>
                      <w:sz w:val="18"/>
                      <w:szCs w:val="18"/>
                      <w14:ligatures w14:val="none"/>
                    </w:rPr>
                  </w:pPr>
                  <w:r w:rsidRPr="16C13C79">
                    <w:rPr>
                      <w:rFonts w:eastAsia="Times New Roman" w:cs="Arial"/>
                      <w:kern w:val="0"/>
                      <w:sz w:val="18"/>
                      <w:szCs w:val="18"/>
                      <w14:ligatures w14:val="none"/>
                    </w:rPr>
                    <w:t>ХАА</w:t>
                  </w:r>
                </w:p>
              </w:tc>
              <w:tc>
                <w:tcPr>
                  <w:tcW w:w="627" w:type="dxa"/>
                  <w:tcBorders>
                    <w:top w:val="single" w:sz="4" w:space="0" w:color="auto"/>
                  </w:tcBorders>
                  <w:vAlign w:val="center"/>
                </w:tcPr>
                <w:p w14:paraId="76FDC0E7" w14:textId="5A75859F" w:rsidR="004259B8" w:rsidRPr="00D95C07" w:rsidRDefault="002B5F1F">
                  <w:pPr>
                    <w:tabs>
                      <w:tab w:val="right" w:leader="dot" w:pos="9354"/>
                    </w:tabs>
                    <w:spacing w:afterLines="0" w:after="0" w:line="240" w:lineRule="auto"/>
                    <w:jc w:val="right"/>
                    <w:rPr>
                      <w:rFonts w:eastAsia="Times New Roman" w:cs="Arial"/>
                      <w:sz w:val="18"/>
                      <w:szCs w:val="18"/>
                    </w:rPr>
                  </w:pPr>
                  <w:r w:rsidRPr="16C13C79">
                    <w:rPr>
                      <w:rFonts w:eastAsia="Times New Roman" w:cs="Arial"/>
                      <w:kern w:val="0"/>
                      <w:sz w:val="18"/>
                      <w:szCs w:val="18"/>
                      <w14:ligatures w14:val="none"/>
                    </w:rPr>
                    <w:t>-</w:t>
                  </w:r>
                  <w:r w:rsidR="004259B8" w:rsidRPr="16C13C79">
                    <w:rPr>
                      <w:rFonts w:eastAsia="Times New Roman" w:cs="Arial"/>
                      <w:kern w:val="0"/>
                      <w:sz w:val="18"/>
                      <w:szCs w:val="18"/>
                      <w14:ligatures w14:val="none"/>
                    </w:rPr>
                    <w:t>0.8</w:t>
                  </w:r>
                </w:p>
              </w:tc>
              <w:tc>
                <w:tcPr>
                  <w:tcW w:w="628" w:type="dxa"/>
                  <w:tcBorders>
                    <w:top w:val="single" w:sz="4" w:space="0" w:color="auto"/>
                  </w:tcBorders>
                  <w:vAlign w:val="center"/>
                  <w:hideMark/>
                </w:tcPr>
                <w:p w14:paraId="7FDE6097" w14:textId="6F477858" w:rsidR="004259B8" w:rsidRPr="00D95C07" w:rsidRDefault="002B5F1F">
                  <w:pPr>
                    <w:tabs>
                      <w:tab w:val="right" w:leader="dot" w:pos="9354"/>
                    </w:tabs>
                    <w:spacing w:afterLines="0" w:after="0" w:line="240" w:lineRule="auto"/>
                    <w:jc w:val="right"/>
                    <w:rPr>
                      <w:rFonts w:eastAsia="Times New Roman" w:cs="Arial"/>
                      <w:kern w:val="0"/>
                      <w:sz w:val="18"/>
                      <w:szCs w:val="18"/>
                      <w14:ligatures w14:val="none"/>
                    </w:rPr>
                  </w:pPr>
                  <w:r w:rsidRPr="16C13C79">
                    <w:rPr>
                      <w:rFonts w:eastAsia="Times New Roman" w:cs="Arial"/>
                      <w:kern w:val="0"/>
                      <w:sz w:val="18"/>
                      <w:szCs w:val="18"/>
                      <w14:ligatures w14:val="none"/>
                    </w:rPr>
                    <w:t>1.7</w:t>
                  </w:r>
                </w:p>
              </w:tc>
              <w:tc>
                <w:tcPr>
                  <w:tcW w:w="628" w:type="dxa"/>
                  <w:tcBorders>
                    <w:top w:val="single" w:sz="4" w:space="0" w:color="auto"/>
                  </w:tcBorders>
                  <w:vAlign w:val="center"/>
                  <w:hideMark/>
                </w:tcPr>
                <w:p w14:paraId="112C78AB" w14:textId="015232F9" w:rsidR="004259B8" w:rsidRPr="00D95C07" w:rsidRDefault="002B5F1F">
                  <w:pPr>
                    <w:tabs>
                      <w:tab w:val="right" w:leader="dot" w:pos="9354"/>
                    </w:tabs>
                    <w:spacing w:afterLines="0" w:after="0" w:line="240" w:lineRule="auto"/>
                    <w:jc w:val="right"/>
                    <w:rPr>
                      <w:rFonts w:eastAsia="Times New Roman" w:cs="Arial"/>
                      <w:kern w:val="0"/>
                      <w:sz w:val="18"/>
                      <w:szCs w:val="18"/>
                      <w14:ligatures w14:val="none"/>
                    </w:rPr>
                  </w:pPr>
                  <w:r w:rsidRPr="16C13C79">
                    <w:rPr>
                      <w:rFonts w:eastAsia="Times New Roman" w:cs="Arial"/>
                      <w:sz w:val="18"/>
                      <w:szCs w:val="18"/>
                    </w:rPr>
                    <w:t>-</w:t>
                  </w:r>
                  <w:r w:rsidR="004259B8" w:rsidRPr="16C13C79">
                    <w:rPr>
                      <w:rFonts w:eastAsia="Times New Roman" w:cs="Arial"/>
                      <w:sz w:val="18"/>
                      <w:szCs w:val="18"/>
                    </w:rPr>
                    <w:t>1.</w:t>
                  </w:r>
                  <w:r w:rsidRPr="16C13C79">
                    <w:rPr>
                      <w:rFonts w:eastAsia="Times New Roman" w:cs="Arial"/>
                      <w:sz w:val="18"/>
                      <w:szCs w:val="18"/>
                    </w:rPr>
                    <w:t>3</w:t>
                  </w:r>
                </w:p>
              </w:tc>
              <w:tc>
                <w:tcPr>
                  <w:tcW w:w="628" w:type="dxa"/>
                  <w:tcBorders>
                    <w:top w:val="single" w:sz="4" w:space="0" w:color="auto"/>
                  </w:tcBorders>
                  <w:vAlign w:val="center"/>
                  <w:hideMark/>
                </w:tcPr>
                <w:p w14:paraId="721DFCAE" w14:textId="7115866A" w:rsidR="004259B8" w:rsidRPr="00D95C07" w:rsidRDefault="004259B8">
                  <w:pPr>
                    <w:tabs>
                      <w:tab w:val="right" w:leader="dot" w:pos="9354"/>
                    </w:tabs>
                    <w:spacing w:afterLines="0" w:after="0" w:line="240" w:lineRule="auto"/>
                    <w:jc w:val="right"/>
                    <w:rPr>
                      <w:rFonts w:eastAsia="Times New Roman" w:cs="Arial"/>
                      <w:kern w:val="0"/>
                      <w:sz w:val="18"/>
                      <w:szCs w:val="18"/>
                      <w14:ligatures w14:val="none"/>
                    </w:rPr>
                  </w:pPr>
                  <w:r w:rsidRPr="16C13C79">
                    <w:rPr>
                      <w:rFonts w:cs="Arial"/>
                      <w:sz w:val="18"/>
                      <w:szCs w:val="18"/>
                    </w:rPr>
                    <w:t>-3</w:t>
                  </w:r>
                  <w:r w:rsidR="002B5F1F" w:rsidRPr="16C13C79">
                    <w:rPr>
                      <w:rFonts w:cs="Arial"/>
                      <w:sz w:val="18"/>
                      <w:szCs w:val="18"/>
                    </w:rPr>
                    <w:t>.6</w:t>
                  </w:r>
                </w:p>
              </w:tc>
              <w:tc>
                <w:tcPr>
                  <w:tcW w:w="628" w:type="dxa"/>
                  <w:tcBorders>
                    <w:top w:val="single" w:sz="4" w:space="0" w:color="auto"/>
                  </w:tcBorders>
                  <w:vAlign w:val="center"/>
                </w:tcPr>
                <w:p w14:paraId="037380C6" w14:textId="6E02523B" w:rsidR="004259B8" w:rsidRPr="00D95C07" w:rsidRDefault="00FA1D33">
                  <w:pPr>
                    <w:tabs>
                      <w:tab w:val="right" w:leader="dot" w:pos="9354"/>
                    </w:tabs>
                    <w:spacing w:afterLines="0" w:after="0" w:line="240" w:lineRule="auto"/>
                    <w:jc w:val="right"/>
                    <w:rPr>
                      <w:rFonts w:cs="Arial"/>
                      <w:sz w:val="18"/>
                      <w:szCs w:val="18"/>
                    </w:rPr>
                  </w:pPr>
                  <w:r w:rsidRPr="16C13C79">
                    <w:rPr>
                      <w:rFonts w:cs="Arial"/>
                      <w:sz w:val="18"/>
                      <w:szCs w:val="18"/>
                    </w:rPr>
                    <w:t>2.9</w:t>
                  </w:r>
                </w:p>
              </w:tc>
            </w:tr>
            <w:tr w:rsidR="004259B8" w:rsidRPr="0031039D" w14:paraId="46ECF480" w14:textId="77777777" w:rsidTr="00374FAF">
              <w:trPr>
                <w:trHeight w:val="297"/>
              </w:trPr>
              <w:tc>
                <w:tcPr>
                  <w:tcW w:w="1543" w:type="dxa"/>
                  <w:vAlign w:val="center"/>
                  <w:hideMark/>
                </w:tcPr>
                <w:p w14:paraId="32F63546" w14:textId="77777777" w:rsidR="004259B8" w:rsidRPr="00D95C07" w:rsidRDefault="004259B8">
                  <w:pPr>
                    <w:spacing w:afterLines="0" w:after="0" w:line="240" w:lineRule="auto"/>
                    <w:ind w:firstLineChars="100" w:firstLine="180"/>
                    <w:jc w:val="left"/>
                    <w:rPr>
                      <w:rFonts w:eastAsia="Times New Roman" w:cs="Arial"/>
                      <w:kern w:val="0"/>
                      <w:sz w:val="18"/>
                      <w:szCs w:val="18"/>
                      <w14:ligatures w14:val="none"/>
                    </w:rPr>
                  </w:pPr>
                  <w:r w:rsidRPr="16C13C79">
                    <w:rPr>
                      <w:rFonts w:eastAsia="Times New Roman" w:cs="Arial"/>
                      <w:kern w:val="0"/>
                      <w:sz w:val="18"/>
                      <w:szCs w:val="18"/>
                      <w14:ligatures w14:val="none"/>
                    </w:rPr>
                    <w:t>Уул уурхай</w:t>
                  </w:r>
                </w:p>
              </w:tc>
              <w:tc>
                <w:tcPr>
                  <w:tcW w:w="627" w:type="dxa"/>
                  <w:vAlign w:val="center"/>
                </w:tcPr>
                <w:p w14:paraId="2A669F61" w14:textId="5EABC503" w:rsidR="004259B8" w:rsidRPr="00D95C07" w:rsidRDefault="002B5F1F">
                  <w:pPr>
                    <w:tabs>
                      <w:tab w:val="right" w:leader="dot" w:pos="9354"/>
                    </w:tabs>
                    <w:spacing w:afterLines="0" w:after="0" w:line="240" w:lineRule="auto"/>
                    <w:jc w:val="right"/>
                    <w:rPr>
                      <w:rFonts w:eastAsia="Times New Roman" w:cs="Arial"/>
                      <w:sz w:val="18"/>
                      <w:szCs w:val="18"/>
                    </w:rPr>
                  </w:pPr>
                  <w:r w:rsidRPr="16C13C79">
                    <w:rPr>
                      <w:rFonts w:eastAsia="Times New Roman" w:cs="Arial"/>
                      <w:kern w:val="0"/>
                      <w:sz w:val="18"/>
                      <w:szCs w:val="18"/>
                      <w14:ligatures w14:val="none"/>
                    </w:rPr>
                    <w:t>0.</w:t>
                  </w:r>
                  <w:r w:rsidR="004259B8" w:rsidRPr="16C13C79">
                    <w:rPr>
                      <w:rFonts w:eastAsia="Times New Roman" w:cs="Arial"/>
                      <w:kern w:val="0"/>
                      <w:sz w:val="18"/>
                      <w:szCs w:val="18"/>
                      <w14:ligatures w14:val="none"/>
                    </w:rPr>
                    <w:t>1</w:t>
                  </w:r>
                </w:p>
              </w:tc>
              <w:tc>
                <w:tcPr>
                  <w:tcW w:w="628" w:type="dxa"/>
                  <w:vAlign w:val="center"/>
                  <w:hideMark/>
                </w:tcPr>
                <w:p w14:paraId="3DFD187A" w14:textId="0CFCD2B3" w:rsidR="004259B8" w:rsidRPr="00D95C07" w:rsidRDefault="002B5F1F">
                  <w:pPr>
                    <w:tabs>
                      <w:tab w:val="right" w:leader="dot" w:pos="9354"/>
                    </w:tabs>
                    <w:spacing w:afterLines="0" w:after="0" w:line="240" w:lineRule="auto"/>
                    <w:jc w:val="right"/>
                    <w:rPr>
                      <w:rFonts w:eastAsia="Times New Roman" w:cs="Arial"/>
                      <w:kern w:val="0"/>
                      <w:sz w:val="18"/>
                      <w:szCs w:val="18"/>
                      <w14:ligatures w14:val="none"/>
                    </w:rPr>
                  </w:pPr>
                  <w:r w:rsidRPr="16C13C79">
                    <w:rPr>
                      <w:rFonts w:eastAsia="Times New Roman" w:cs="Arial"/>
                      <w:kern w:val="0"/>
                      <w:sz w:val="18"/>
                      <w:szCs w:val="18"/>
                      <w14:ligatures w14:val="none"/>
                    </w:rPr>
                    <w:t>-2</w:t>
                  </w:r>
                  <w:r w:rsidR="004259B8" w:rsidRPr="16C13C79">
                    <w:rPr>
                      <w:rFonts w:eastAsia="Times New Roman" w:cs="Arial"/>
                      <w:kern w:val="0"/>
                      <w:sz w:val="18"/>
                      <w:szCs w:val="18"/>
                      <w14:ligatures w14:val="none"/>
                    </w:rPr>
                    <w:t>.1</w:t>
                  </w:r>
                </w:p>
              </w:tc>
              <w:tc>
                <w:tcPr>
                  <w:tcW w:w="628" w:type="dxa"/>
                  <w:vAlign w:val="center"/>
                  <w:hideMark/>
                </w:tcPr>
                <w:p w14:paraId="31A0E669" w14:textId="5E74B053" w:rsidR="004259B8" w:rsidRPr="00D95C07" w:rsidRDefault="004259B8">
                  <w:pPr>
                    <w:tabs>
                      <w:tab w:val="right" w:leader="dot" w:pos="9354"/>
                    </w:tabs>
                    <w:spacing w:afterLines="0" w:after="0" w:line="240" w:lineRule="auto"/>
                    <w:jc w:val="right"/>
                    <w:rPr>
                      <w:rFonts w:eastAsia="Times New Roman" w:cs="Arial"/>
                      <w:kern w:val="0"/>
                      <w:sz w:val="18"/>
                      <w:szCs w:val="18"/>
                      <w14:ligatures w14:val="none"/>
                    </w:rPr>
                  </w:pPr>
                  <w:r w:rsidRPr="16C13C79">
                    <w:rPr>
                      <w:rFonts w:eastAsia="Times New Roman" w:cs="Arial"/>
                      <w:sz w:val="18"/>
                      <w:szCs w:val="18"/>
                    </w:rPr>
                    <w:t>2.</w:t>
                  </w:r>
                  <w:r w:rsidR="002B5F1F" w:rsidRPr="16C13C79">
                    <w:rPr>
                      <w:rFonts w:eastAsia="Times New Roman" w:cs="Arial"/>
                      <w:sz w:val="18"/>
                      <w:szCs w:val="18"/>
                    </w:rPr>
                    <w:t>6</w:t>
                  </w:r>
                </w:p>
              </w:tc>
              <w:tc>
                <w:tcPr>
                  <w:tcW w:w="628" w:type="dxa"/>
                  <w:vAlign w:val="center"/>
                  <w:hideMark/>
                </w:tcPr>
                <w:p w14:paraId="04B42377" w14:textId="588F1FDA" w:rsidR="004259B8" w:rsidRPr="00D95C07" w:rsidRDefault="002B5F1F">
                  <w:pPr>
                    <w:tabs>
                      <w:tab w:val="right" w:leader="dot" w:pos="9354"/>
                    </w:tabs>
                    <w:spacing w:afterLines="0" w:after="0" w:line="240" w:lineRule="auto"/>
                    <w:jc w:val="right"/>
                    <w:rPr>
                      <w:rFonts w:eastAsia="Times New Roman" w:cs="Arial"/>
                      <w:kern w:val="0"/>
                      <w:sz w:val="18"/>
                      <w:szCs w:val="18"/>
                      <w14:ligatures w14:val="none"/>
                    </w:rPr>
                  </w:pPr>
                  <w:r w:rsidRPr="16C13C79">
                    <w:rPr>
                      <w:rFonts w:cs="Arial"/>
                      <w:sz w:val="18"/>
                      <w:szCs w:val="18"/>
                    </w:rPr>
                    <w:t>1.4</w:t>
                  </w:r>
                </w:p>
              </w:tc>
              <w:tc>
                <w:tcPr>
                  <w:tcW w:w="628" w:type="dxa"/>
                  <w:vAlign w:val="center"/>
                </w:tcPr>
                <w:p w14:paraId="0DC12D21" w14:textId="038EA7D8" w:rsidR="004259B8" w:rsidRPr="00D95C07" w:rsidRDefault="00C72A16">
                  <w:pPr>
                    <w:tabs>
                      <w:tab w:val="right" w:leader="dot" w:pos="9354"/>
                    </w:tabs>
                    <w:spacing w:afterLines="0" w:after="0" w:line="240" w:lineRule="auto"/>
                    <w:jc w:val="right"/>
                    <w:rPr>
                      <w:rFonts w:cs="Arial"/>
                      <w:sz w:val="18"/>
                      <w:szCs w:val="18"/>
                    </w:rPr>
                  </w:pPr>
                  <w:r w:rsidRPr="16C13C79">
                    <w:rPr>
                      <w:rFonts w:cs="Arial"/>
                      <w:sz w:val="18"/>
                      <w:szCs w:val="18"/>
                    </w:rPr>
                    <w:t>1.4</w:t>
                  </w:r>
                </w:p>
              </w:tc>
            </w:tr>
            <w:tr w:rsidR="004259B8" w:rsidRPr="0031039D" w14:paraId="75CFC32C" w14:textId="77777777" w:rsidTr="00374FAF">
              <w:trPr>
                <w:trHeight w:val="297"/>
              </w:trPr>
              <w:tc>
                <w:tcPr>
                  <w:tcW w:w="1543" w:type="dxa"/>
                  <w:vAlign w:val="center"/>
                  <w:hideMark/>
                </w:tcPr>
                <w:p w14:paraId="0B6C9E1B" w14:textId="77777777" w:rsidR="004259B8" w:rsidRPr="00D95C07" w:rsidRDefault="004259B8">
                  <w:pPr>
                    <w:spacing w:afterLines="0" w:after="0" w:line="240" w:lineRule="auto"/>
                    <w:ind w:firstLineChars="100" w:firstLine="180"/>
                    <w:jc w:val="left"/>
                    <w:rPr>
                      <w:rFonts w:eastAsia="Times New Roman" w:cs="Arial"/>
                      <w:kern w:val="0"/>
                      <w:sz w:val="18"/>
                      <w:szCs w:val="18"/>
                      <w14:ligatures w14:val="none"/>
                    </w:rPr>
                  </w:pPr>
                  <w:r w:rsidRPr="16C13C79">
                    <w:rPr>
                      <w:rFonts w:eastAsia="Times New Roman" w:cs="Arial"/>
                      <w:kern w:val="0"/>
                      <w:sz w:val="18"/>
                      <w:szCs w:val="18"/>
                      <w14:ligatures w14:val="none"/>
                    </w:rPr>
                    <w:t xml:space="preserve">Боловсруулах </w:t>
                  </w:r>
                </w:p>
              </w:tc>
              <w:tc>
                <w:tcPr>
                  <w:tcW w:w="627" w:type="dxa"/>
                  <w:vAlign w:val="center"/>
                </w:tcPr>
                <w:p w14:paraId="60FA2FD9" w14:textId="10E543F1" w:rsidR="004259B8" w:rsidRPr="00D95C07" w:rsidRDefault="002B5F1F">
                  <w:pPr>
                    <w:tabs>
                      <w:tab w:val="right" w:leader="dot" w:pos="9354"/>
                    </w:tabs>
                    <w:spacing w:afterLines="0" w:after="0" w:line="240" w:lineRule="auto"/>
                    <w:jc w:val="right"/>
                    <w:rPr>
                      <w:rFonts w:eastAsia="Times New Roman" w:cs="Arial"/>
                      <w:sz w:val="18"/>
                      <w:szCs w:val="18"/>
                    </w:rPr>
                  </w:pPr>
                  <w:r w:rsidRPr="16C13C79">
                    <w:rPr>
                      <w:rFonts w:eastAsia="Times New Roman" w:cs="Arial"/>
                      <w:kern w:val="0"/>
                      <w:sz w:val="18"/>
                      <w:szCs w:val="18"/>
                      <w14:ligatures w14:val="none"/>
                    </w:rPr>
                    <w:t>-</w:t>
                  </w:r>
                  <w:r w:rsidR="004259B8" w:rsidRPr="16C13C79">
                    <w:rPr>
                      <w:rFonts w:eastAsia="Times New Roman" w:cs="Arial"/>
                      <w:kern w:val="0"/>
                      <w:sz w:val="18"/>
                      <w:szCs w:val="18"/>
                      <w14:ligatures w14:val="none"/>
                    </w:rPr>
                    <w:t>0.</w:t>
                  </w:r>
                  <w:r w:rsidRPr="16C13C79">
                    <w:rPr>
                      <w:rFonts w:eastAsia="Times New Roman" w:cs="Arial"/>
                      <w:kern w:val="0"/>
                      <w:sz w:val="18"/>
                      <w:szCs w:val="18"/>
                      <w14:ligatures w14:val="none"/>
                    </w:rPr>
                    <w:t>1</w:t>
                  </w:r>
                </w:p>
              </w:tc>
              <w:tc>
                <w:tcPr>
                  <w:tcW w:w="628" w:type="dxa"/>
                  <w:vAlign w:val="center"/>
                  <w:hideMark/>
                </w:tcPr>
                <w:p w14:paraId="790A80F4" w14:textId="4150834C" w:rsidR="004259B8" w:rsidRPr="00D95C07" w:rsidRDefault="004259B8">
                  <w:pPr>
                    <w:tabs>
                      <w:tab w:val="right" w:leader="dot" w:pos="9354"/>
                    </w:tabs>
                    <w:spacing w:afterLines="0" w:after="0" w:line="240" w:lineRule="auto"/>
                    <w:jc w:val="right"/>
                    <w:rPr>
                      <w:rFonts w:eastAsia="Times New Roman" w:cs="Arial"/>
                      <w:kern w:val="0"/>
                      <w:sz w:val="18"/>
                      <w:szCs w:val="18"/>
                      <w14:ligatures w14:val="none"/>
                    </w:rPr>
                  </w:pPr>
                  <w:r w:rsidRPr="16C13C79">
                    <w:rPr>
                      <w:rFonts w:eastAsia="Times New Roman" w:cs="Arial"/>
                      <w:kern w:val="0"/>
                      <w:sz w:val="18"/>
                      <w:szCs w:val="18"/>
                      <w14:ligatures w14:val="none"/>
                    </w:rPr>
                    <w:t>0.</w:t>
                  </w:r>
                  <w:r w:rsidR="002B5F1F" w:rsidRPr="16C13C79">
                    <w:rPr>
                      <w:rFonts w:eastAsia="Times New Roman" w:cs="Arial"/>
                      <w:kern w:val="0"/>
                      <w:sz w:val="18"/>
                      <w:szCs w:val="18"/>
                      <w14:ligatures w14:val="none"/>
                    </w:rPr>
                    <w:t>5</w:t>
                  </w:r>
                </w:p>
              </w:tc>
              <w:tc>
                <w:tcPr>
                  <w:tcW w:w="628" w:type="dxa"/>
                  <w:vAlign w:val="center"/>
                  <w:hideMark/>
                </w:tcPr>
                <w:p w14:paraId="23020AC7" w14:textId="01D1127D" w:rsidR="004259B8" w:rsidRPr="00D95C07" w:rsidRDefault="004259B8">
                  <w:pPr>
                    <w:tabs>
                      <w:tab w:val="right" w:leader="dot" w:pos="9354"/>
                    </w:tabs>
                    <w:spacing w:afterLines="0" w:after="0" w:line="240" w:lineRule="auto"/>
                    <w:jc w:val="right"/>
                    <w:rPr>
                      <w:rFonts w:eastAsia="Times New Roman" w:cs="Arial"/>
                      <w:kern w:val="0"/>
                      <w:sz w:val="18"/>
                      <w:szCs w:val="18"/>
                      <w14:ligatures w14:val="none"/>
                    </w:rPr>
                  </w:pPr>
                  <w:r w:rsidRPr="16C13C79">
                    <w:rPr>
                      <w:rFonts w:eastAsia="Times New Roman" w:cs="Arial"/>
                      <w:sz w:val="18"/>
                      <w:szCs w:val="18"/>
                    </w:rPr>
                    <w:t>0.</w:t>
                  </w:r>
                  <w:r w:rsidR="002B5F1F" w:rsidRPr="16C13C79">
                    <w:rPr>
                      <w:rFonts w:eastAsia="Times New Roman" w:cs="Arial"/>
                      <w:sz w:val="18"/>
                      <w:szCs w:val="18"/>
                    </w:rPr>
                    <w:t>4</w:t>
                  </w:r>
                </w:p>
              </w:tc>
              <w:tc>
                <w:tcPr>
                  <w:tcW w:w="628" w:type="dxa"/>
                  <w:vAlign w:val="center"/>
                  <w:hideMark/>
                </w:tcPr>
                <w:p w14:paraId="20642AC5" w14:textId="547EB83A" w:rsidR="004259B8" w:rsidRPr="00D95C07" w:rsidRDefault="002B5F1F">
                  <w:pPr>
                    <w:tabs>
                      <w:tab w:val="right" w:leader="dot" w:pos="9354"/>
                    </w:tabs>
                    <w:spacing w:afterLines="0" w:after="0" w:line="240" w:lineRule="auto"/>
                    <w:jc w:val="right"/>
                    <w:rPr>
                      <w:rFonts w:eastAsia="Times New Roman" w:cs="Arial"/>
                      <w:kern w:val="0"/>
                      <w:sz w:val="18"/>
                      <w:szCs w:val="18"/>
                      <w14:ligatures w14:val="none"/>
                    </w:rPr>
                  </w:pPr>
                  <w:r w:rsidRPr="16C13C79">
                    <w:rPr>
                      <w:rFonts w:cs="Arial"/>
                      <w:sz w:val="18"/>
                      <w:szCs w:val="18"/>
                    </w:rPr>
                    <w:t>-</w:t>
                  </w:r>
                  <w:r w:rsidR="004259B8" w:rsidRPr="16C13C79">
                    <w:rPr>
                      <w:rFonts w:cs="Arial"/>
                      <w:sz w:val="18"/>
                      <w:szCs w:val="18"/>
                    </w:rPr>
                    <w:t>0.</w:t>
                  </w:r>
                  <w:r w:rsidRPr="16C13C79">
                    <w:rPr>
                      <w:rFonts w:cs="Arial"/>
                      <w:sz w:val="18"/>
                      <w:szCs w:val="18"/>
                    </w:rPr>
                    <w:t>1</w:t>
                  </w:r>
                </w:p>
              </w:tc>
              <w:tc>
                <w:tcPr>
                  <w:tcW w:w="628" w:type="dxa"/>
                  <w:vAlign w:val="center"/>
                </w:tcPr>
                <w:p w14:paraId="3DC97D11" w14:textId="62174DED" w:rsidR="004259B8" w:rsidRPr="00D95C07" w:rsidRDefault="004259B8">
                  <w:pPr>
                    <w:tabs>
                      <w:tab w:val="right" w:leader="dot" w:pos="9354"/>
                    </w:tabs>
                    <w:spacing w:afterLines="0" w:after="0" w:line="240" w:lineRule="auto"/>
                    <w:jc w:val="right"/>
                    <w:rPr>
                      <w:rFonts w:cs="Arial"/>
                      <w:sz w:val="18"/>
                      <w:szCs w:val="18"/>
                    </w:rPr>
                  </w:pPr>
                  <w:r w:rsidRPr="16C13C79">
                    <w:rPr>
                      <w:rFonts w:cs="Arial"/>
                      <w:sz w:val="18"/>
                      <w:szCs w:val="18"/>
                    </w:rPr>
                    <w:t>0.</w:t>
                  </w:r>
                  <w:r w:rsidR="00C72A16" w:rsidRPr="16C13C79">
                    <w:rPr>
                      <w:rFonts w:cs="Arial"/>
                      <w:sz w:val="18"/>
                      <w:szCs w:val="18"/>
                    </w:rPr>
                    <w:t>7</w:t>
                  </w:r>
                </w:p>
              </w:tc>
            </w:tr>
            <w:tr w:rsidR="004259B8" w:rsidRPr="0031039D" w14:paraId="7731AAE1" w14:textId="77777777" w:rsidTr="00374FAF">
              <w:trPr>
                <w:trHeight w:val="297"/>
              </w:trPr>
              <w:tc>
                <w:tcPr>
                  <w:tcW w:w="1543" w:type="dxa"/>
                  <w:vAlign w:val="center"/>
                  <w:hideMark/>
                </w:tcPr>
                <w:p w14:paraId="3E7F728F" w14:textId="77777777" w:rsidR="004259B8" w:rsidRPr="00D95C07" w:rsidRDefault="004259B8">
                  <w:pPr>
                    <w:spacing w:afterLines="0" w:after="0" w:line="240" w:lineRule="auto"/>
                    <w:ind w:firstLineChars="100" w:firstLine="180"/>
                    <w:jc w:val="left"/>
                    <w:rPr>
                      <w:rFonts w:eastAsia="Times New Roman" w:cs="Arial"/>
                      <w:kern w:val="0"/>
                      <w:sz w:val="18"/>
                      <w:szCs w:val="18"/>
                      <w14:ligatures w14:val="none"/>
                    </w:rPr>
                  </w:pPr>
                  <w:r w:rsidRPr="16C13C79">
                    <w:rPr>
                      <w:rFonts w:eastAsia="Times New Roman" w:cs="Arial"/>
                      <w:kern w:val="0"/>
                      <w:sz w:val="18"/>
                      <w:szCs w:val="18"/>
                      <w14:ligatures w14:val="none"/>
                    </w:rPr>
                    <w:t>Цахилгаан, ус</w:t>
                  </w:r>
                </w:p>
              </w:tc>
              <w:tc>
                <w:tcPr>
                  <w:tcW w:w="627" w:type="dxa"/>
                  <w:vAlign w:val="center"/>
                </w:tcPr>
                <w:p w14:paraId="3A5AB04A" w14:textId="51A47884" w:rsidR="004259B8" w:rsidRPr="00D95C07" w:rsidRDefault="004259B8">
                  <w:pPr>
                    <w:tabs>
                      <w:tab w:val="right" w:leader="dot" w:pos="9354"/>
                    </w:tabs>
                    <w:spacing w:afterLines="0" w:after="0" w:line="240" w:lineRule="auto"/>
                    <w:jc w:val="right"/>
                    <w:rPr>
                      <w:rFonts w:eastAsia="Times New Roman" w:cs="Arial"/>
                      <w:sz w:val="18"/>
                      <w:szCs w:val="18"/>
                    </w:rPr>
                  </w:pPr>
                  <w:r w:rsidRPr="16C13C79">
                    <w:rPr>
                      <w:rFonts w:eastAsia="Times New Roman" w:cs="Arial"/>
                      <w:kern w:val="0"/>
                      <w:sz w:val="18"/>
                      <w:szCs w:val="18"/>
                      <w14:ligatures w14:val="none"/>
                    </w:rPr>
                    <w:t>0.</w:t>
                  </w:r>
                  <w:r w:rsidR="002B5F1F" w:rsidRPr="16C13C79">
                    <w:rPr>
                      <w:rFonts w:eastAsia="Times New Roman" w:cs="Arial"/>
                      <w:kern w:val="0"/>
                      <w:sz w:val="18"/>
                      <w:szCs w:val="18"/>
                      <w14:ligatures w14:val="none"/>
                    </w:rPr>
                    <w:t>2</w:t>
                  </w:r>
                </w:p>
              </w:tc>
              <w:tc>
                <w:tcPr>
                  <w:tcW w:w="628" w:type="dxa"/>
                  <w:vAlign w:val="center"/>
                  <w:hideMark/>
                </w:tcPr>
                <w:p w14:paraId="4429E6A4" w14:textId="5B94DEB4" w:rsidR="004259B8" w:rsidRPr="00D95C07" w:rsidRDefault="004259B8">
                  <w:pPr>
                    <w:tabs>
                      <w:tab w:val="right" w:leader="dot" w:pos="9354"/>
                    </w:tabs>
                    <w:spacing w:afterLines="0" w:after="0" w:line="240" w:lineRule="auto"/>
                    <w:jc w:val="right"/>
                    <w:rPr>
                      <w:rFonts w:eastAsia="Times New Roman" w:cs="Arial"/>
                      <w:kern w:val="0"/>
                      <w:sz w:val="18"/>
                      <w:szCs w:val="18"/>
                      <w14:ligatures w14:val="none"/>
                    </w:rPr>
                  </w:pPr>
                  <w:r w:rsidRPr="16C13C79">
                    <w:rPr>
                      <w:rFonts w:eastAsia="Times New Roman" w:cs="Arial"/>
                      <w:kern w:val="0"/>
                      <w:sz w:val="18"/>
                      <w:szCs w:val="18"/>
                      <w14:ligatures w14:val="none"/>
                    </w:rPr>
                    <w:t>0.</w:t>
                  </w:r>
                  <w:r w:rsidR="002B5F1F" w:rsidRPr="16C13C79">
                    <w:rPr>
                      <w:rFonts w:eastAsia="Times New Roman" w:cs="Arial"/>
                      <w:kern w:val="0"/>
                      <w:sz w:val="18"/>
                      <w:szCs w:val="18"/>
                      <w14:ligatures w14:val="none"/>
                    </w:rPr>
                    <w:t>1</w:t>
                  </w:r>
                </w:p>
              </w:tc>
              <w:tc>
                <w:tcPr>
                  <w:tcW w:w="628" w:type="dxa"/>
                  <w:vAlign w:val="center"/>
                  <w:hideMark/>
                </w:tcPr>
                <w:p w14:paraId="168200AA" w14:textId="77777777" w:rsidR="004259B8" w:rsidRPr="00D95C07" w:rsidRDefault="004259B8">
                  <w:pPr>
                    <w:tabs>
                      <w:tab w:val="right" w:leader="dot" w:pos="9354"/>
                    </w:tabs>
                    <w:spacing w:afterLines="0" w:after="0" w:line="240" w:lineRule="auto"/>
                    <w:jc w:val="right"/>
                    <w:rPr>
                      <w:rFonts w:eastAsia="Times New Roman" w:cs="Arial"/>
                      <w:kern w:val="0"/>
                      <w:sz w:val="18"/>
                      <w:szCs w:val="18"/>
                      <w14:ligatures w14:val="none"/>
                    </w:rPr>
                  </w:pPr>
                  <w:r w:rsidRPr="16C13C79">
                    <w:rPr>
                      <w:rFonts w:eastAsia="Times New Roman" w:cs="Arial"/>
                      <w:sz w:val="18"/>
                      <w:szCs w:val="18"/>
                    </w:rPr>
                    <w:t>0.1</w:t>
                  </w:r>
                </w:p>
              </w:tc>
              <w:tc>
                <w:tcPr>
                  <w:tcW w:w="628" w:type="dxa"/>
                  <w:vAlign w:val="center"/>
                  <w:hideMark/>
                </w:tcPr>
                <w:p w14:paraId="1460407E" w14:textId="77777777" w:rsidR="004259B8" w:rsidRPr="00D95C07" w:rsidRDefault="004259B8">
                  <w:pPr>
                    <w:tabs>
                      <w:tab w:val="right" w:leader="dot" w:pos="9354"/>
                    </w:tabs>
                    <w:spacing w:afterLines="0" w:after="0" w:line="240" w:lineRule="auto"/>
                    <w:jc w:val="right"/>
                    <w:rPr>
                      <w:rFonts w:eastAsia="Times New Roman" w:cs="Arial"/>
                      <w:kern w:val="0"/>
                      <w:sz w:val="18"/>
                      <w:szCs w:val="18"/>
                      <w14:ligatures w14:val="none"/>
                    </w:rPr>
                  </w:pPr>
                  <w:r w:rsidRPr="16C13C79">
                    <w:rPr>
                      <w:rFonts w:cs="Arial"/>
                      <w:sz w:val="18"/>
                      <w:szCs w:val="18"/>
                    </w:rPr>
                    <w:t>0.1</w:t>
                  </w:r>
                </w:p>
              </w:tc>
              <w:tc>
                <w:tcPr>
                  <w:tcW w:w="628" w:type="dxa"/>
                  <w:vAlign w:val="center"/>
                </w:tcPr>
                <w:p w14:paraId="4B96E73B" w14:textId="58809B25" w:rsidR="004259B8" w:rsidRPr="00D95C07" w:rsidRDefault="004259B8">
                  <w:pPr>
                    <w:tabs>
                      <w:tab w:val="right" w:leader="dot" w:pos="9354"/>
                    </w:tabs>
                    <w:spacing w:afterLines="0" w:after="0" w:line="240" w:lineRule="auto"/>
                    <w:jc w:val="right"/>
                    <w:rPr>
                      <w:rFonts w:cs="Arial"/>
                      <w:sz w:val="18"/>
                      <w:szCs w:val="18"/>
                    </w:rPr>
                  </w:pPr>
                  <w:r w:rsidRPr="16C13C79">
                    <w:rPr>
                      <w:rFonts w:cs="Arial"/>
                      <w:sz w:val="18"/>
                      <w:szCs w:val="18"/>
                    </w:rPr>
                    <w:t>0.</w:t>
                  </w:r>
                  <w:r w:rsidR="00C72A16" w:rsidRPr="16C13C79">
                    <w:rPr>
                      <w:rFonts w:cs="Arial"/>
                      <w:sz w:val="18"/>
                      <w:szCs w:val="18"/>
                    </w:rPr>
                    <w:t>2</w:t>
                  </w:r>
                </w:p>
              </w:tc>
            </w:tr>
            <w:tr w:rsidR="004259B8" w:rsidRPr="0031039D" w14:paraId="6F3B1F47" w14:textId="77777777" w:rsidTr="00374FAF">
              <w:trPr>
                <w:trHeight w:val="297"/>
              </w:trPr>
              <w:tc>
                <w:tcPr>
                  <w:tcW w:w="1543" w:type="dxa"/>
                  <w:vAlign w:val="center"/>
                  <w:hideMark/>
                </w:tcPr>
                <w:p w14:paraId="477581E2" w14:textId="77777777" w:rsidR="004259B8" w:rsidRPr="00D95C07" w:rsidRDefault="004259B8">
                  <w:pPr>
                    <w:spacing w:afterLines="0" w:after="0" w:line="240" w:lineRule="auto"/>
                    <w:ind w:firstLineChars="100" w:firstLine="180"/>
                    <w:jc w:val="left"/>
                    <w:rPr>
                      <w:rFonts w:eastAsia="Times New Roman" w:cs="Arial"/>
                      <w:kern w:val="0"/>
                      <w:sz w:val="18"/>
                      <w:szCs w:val="18"/>
                      <w14:ligatures w14:val="none"/>
                    </w:rPr>
                  </w:pPr>
                  <w:r w:rsidRPr="16C13C79">
                    <w:rPr>
                      <w:rFonts w:eastAsia="Times New Roman" w:cs="Arial"/>
                      <w:kern w:val="0"/>
                      <w:sz w:val="18"/>
                      <w:szCs w:val="18"/>
                      <w14:ligatures w14:val="none"/>
                    </w:rPr>
                    <w:t>Барилга</w:t>
                  </w:r>
                </w:p>
              </w:tc>
              <w:tc>
                <w:tcPr>
                  <w:tcW w:w="627" w:type="dxa"/>
                  <w:vAlign w:val="center"/>
                </w:tcPr>
                <w:p w14:paraId="02049698" w14:textId="0C35B492" w:rsidR="004259B8" w:rsidRPr="00D95C07" w:rsidRDefault="004259B8">
                  <w:pPr>
                    <w:tabs>
                      <w:tab w:val="right" w:leader="dot" w:pos="9354"/>
                    </w:tabs>
                    <w:spacing w:afterLines="0" w:after="0" w:line="240" w:lineRule="auto"/>
                    <w:jc w:val="right"/>
                    <w:rPr>
                      <w:rFonts w:eastAsia="Times New Roman" w:cs="Arial"/>
                      <w:sz w:val="18"/>
                      <w:szCs w:val="18"/>
                    </w:rPr>
                  </w:pPr>
                  <w:r w:rsidRPr="16C13C79">
                    <w:rPr>
                      <w:rFonts w:eastAsia="Times New Roman" w:cs="Arial"/>
                      <w:kern w:val="0"/>
                      <w:sz w:val="18"/>
                      <w:szCs w:val="18"/>
                      <w14:ligatures w14:val="none"/>
                    </w:rPr>
                    <w:t>-0.</w:t>
                  </w:r>
                  <w:r w:rsidR="002B5F1F" w:rsidRPr="16C13C79">
                    <w:rPr>
                      <w:rFonts w:eastAsia="Times New Roman" w:cs="Arial"/>
                      <w:kern w:val="0"/>
                      <w:sz w:val="18"/>
                      <w:szCs w:val="18"/>
                      <w14:ligatures w14:val="none"/>
                    </w:rPr>
                    <w:t>9</w:t>
                  </w:r>
                </w:p>
              </w:tc>
              <w:tc>
                <w:tcPr>
                  <w:tcW w:w="628" w:type="dxa"/>
                  <w:vAlign w:val="center"/>
                  <w:hideMark/>
                </w:tcPr>
                <w:p w14:paraId="0511F062" w14:textId="2049768B" w:rsidR="004259B8" w:rsidRPr="00D95C07" w:rsidRDefault="004259B8">
                  <w:pPr>
                    <w:tabs>
                      <w:tab w:val="right" w:leader="dot" w:pos="9354"/>
                    </w:tabs>
                    <w:spacing w:afterLines="0" w:after="0" w:line="240" w:lineRule="auto"/>
                    <w:jc w:val="right"/>
                    <w:rPr>
                      <w:rFonts w:eastAsia="Times New Roman" w:cs="Arial"/>
                      <w:kern w:val="0"/>
                      <w:sz w:val="18"/>
                      <w:szCs w:val="18"/>
                      <w14:ligatures w14:val="none"/>
                    </w:rPr>
                  </w:pPr>
                  <w:r w:rsidRPr="16C13C79">
                    <w:rPr>
                      <w:rFonts w:eastAsia="Times New Roman" w:cs="Arial"/>
                      <w:kern w:val="0"/>
                      <w:sz w:val="18"/>
                      <w:szCs w:val="18"/>
                      <w14:ligatures w14:val="none"/>
                    </w:rPr>
                    <w:t>0.</w:t>
                  </w:r>
                  <w:r w:rsidR="002B5F1F" w:rsidRPr="16C13C79">
                    <w:rPr>
                      <w:rFonts w:eastAsia="Times New Roman" w:cs="Arial"/>
                      <w:kern w:val="0"/>
                      <w:sz w:val="18"/>
                      <w:szCs w:val="18"/>
                      <w14:ligatures w14:val="none"/>
                    </w:rPr>
                    <w:t>2</w:t>
                  </w:r>
                </w:p>
              </w:tc>
              <w:tc>
                <w:tcPr>
                  <w:tcW w:w="628" w:type="dxa"/>
                  <w:vAlign w:val="center"/>
                  <w:hideMark/>
                </w:tcPr>
                <w:p w14:paraId="1C3F84B2" w14:textId="109D4E7A" w:rsidR="004259B8" w:rsidRPr="00D95C07" w:rsidRDefault="004259B8">
                  <w:pPr>
                    <w:tabs>
                      <w:tab w:val="right" w:leader="dot" w:pos="9354"/>
                    </w:tabs>
                    <w:spacing w:afterLines="0" w:after="0" w:line="240" w:lineRule="auto"/>
                    <w:jc w:val="right"/>
                    <w:rPr>
                      <w:rFonts w:eastAsia="Times New Roman" w:cs="Arial"/>
                      <w:kern w:val="0"/>
                      <w:sz w:val="18"/>
                      <w:szCs w:val="18"/>
                      <w14:ligatures w14:val="none"/>
                    </w:rPr>
                  </w:pPr>
                  <w:r w:rsidRPr="16C13C79">
                    <w:rPr>
                      <w:rFonts w:eastAsia="Times New Roman" w:cs="Arial"/>
                      <w:sz w:val="18"/>
                      <w:szCs w:val="18"/>
                    </w:rPr>
                    <w:t>0.</w:t>
                  </w:r>
                  <w:r w:rsidR="002B5F1F" w:rsidRPr="16C13C79">
                    <w:rPr>
                      <w:rFonts w:eastAsia="Times New Roman" w:cs="Arial"/>
                      <w:sz w:val="18"/>
                      <w:szCs w:val="18"/>
                    </w:rPr>
                    <w:t>1</w:t>
                  </w:r>
                </w:p>
              </w:tc>
              <w:tc>
                <w:tcPr>
                  <w:tcW w:w="628" w:type="dxa"/>
                  <w:vAlign w:val="center"/>
                  <w:hideMark/>
                </w:tcPr>
                <w:p w14:paraId="4BD267C3" w14:textId="6F7908C3" w:rsidR="004259B8" w:rsidRPr="00D95C07" w:rsidRDefault="004259B8">
                  <w:pPr>
                    <w:tabs>
                      <w:tab w:val="right" w:leader="dot" w:pos="9354"/>
                    </w:tabs>
                    <w:spacing w:afterLines="0" w:after="0" w:line="240" w:lineRule="auto"/>
                    <w:jc w:val="right"/>
                    <w:rPr>
                      <w:rFonts w:eastAsia="Times New Roman" w:cs="Arial"/>
                      <w:kern w:val="0"/>
                      <w:sz w:val="18"/>
                      <w:szCs w:val="18"/>
                      <w14:ligatures w14:val="none"/>
                    </w:rPr>
                  </w:pPr>
                  <w:r w:rsidRPr="16C13C79">
                    <w:rPr>
                      <w:rFonts w:cs="Arial"/>
                      <w:sz w:val="18"/>
                      <w:szCs w:val="18"/>
                    </w:rPr>
                    <w:t>0.</w:t>
                  </w:r>
                  <w:r w:rsidR="002B5F1F" w:rsidRPr="16C13C79">
                    <w:rPr>
                      <w:rFonts w:cs="Arial"/>
                      <w:sz w:val="18"/>
                      <w:szCs w:val="18"/>
                    </w:rPr>
                    <w:t>3</w:t>
                  </w:r>
                </w:p>
              </w:tc>
              <w:tc>
                <w:tcPr>
                  <w:tcW w:w="628" w:type="dxa"/>
                  <w:vAlign w:val="center"/>
                </w:tcPr>
                <w:p w14:paraId="61E37CE4" w14:textId="441552D3" w:rsidR="004259B8" w:rsidRPr="00D95C07" w:rsidRDefault="004259B8">
                  <w:pPr>
                    <w:tabs>
                      <w:tab w:val="right" w:leader="dot" w:pos="9354"/>
                    </w:tabs>
                    <w:spacing w:afterLines="0" w:after="0" w:line="240" w:lineRule="auto"/>
                    <w:jc w:val="right"/>
                    <w:rPr>
                      <w:rFonts w:cs="Arial"/>
                      <w:sz w:val="18"/>
                      <w:szCs w:val="18"/>
                    </w:rPr>
                  </w:pPr>
                  <w:r w:rsidRPr="16C13C79">
                    <w:rPr>
                      <w:rFonts w:cs="Arial"/>
                      <w:sz w:val="18"/>
                      <w:szCs w:val="18"/>
                    </w:rPr>
                    <w:t>0</w:t>
                  </w:r>
                  <w:r w:rsidR="00C72A16" w:rsidRPr="16C13C79">
                    <w:rPr>
                      <w:rFonts w:cs="Arial"/>
                      <w:sz w:val="18"/>
                      <w:szCs w:val="18"/>
                    </w:rPr>
                    <w:t>.5</w:t>
                  </w:r>
                </w:p>
              </w:tc>
            </w:tr>
            <w:tr w:rsidR="004259B8" w:rsidRPr="0031039D" w14:paraId="2D8E3F9F" w14:textId="77777777" w:rsidTr="00374FAF">
              <w:trPr>
                <w:trHeight w:val="297"/>
              </w:trPr>
              <w:tc>
                <w:tcPr>
                  <w:tcW w:w="1543" w:type="dxa"/>
                  <w:vAlign w:val="center"/>
                  <w:hideMark/>
                </w:tcPr>
                <w:p w14:paraId="45D7A2E7" w14:textId="77777777" w:rsidR="004259B8" w:rsidRPr="00D95C07" w:rsidRDefault="004259B8">
                  <w:pPr>
                    <w:spacing w:afterLines="0" w:after="0" w:line="240" w:lineRule="auto"/>
                    <w:ind w:firstLineChars="100" w:firstLine="180"/>
                    <w:jc w:val="left"/>
                    <w:rPr>
                      <w:rFonts w:eastAsia="Times New Roman" w:cs="Arial"/>
                      <w:kern w:val="0"/>
                      <w:sz w:val="18"/>
                      <w:szCs w:val="18"/>
                      <w14:ligatures w14:val="none"/>
                    </w:rPr>
                  </w:pPr>
                  <w:r w:rsidRPr="16C13C79">
                    <w:rPr>
                      <w:rFonts w:eastAsia="Times New Roman" w:cs="Arial"/>
                      <w:kern w:val="0"/>
                      <w:sz w:val="18"/>
                      <w:szCs w:val="18"/>
                      <w14:ligatures w14:val="none"/>
                    </w:rPr>
                    <w:t>Худалдаа</w:t>
                  </w:r>
                </w:p>
              </w:tc>
              <w:tc>
                <w:tcPr>
                  <w:tcW w:w="627" w:type="dxa"/>
                  <w:vAlign w:val="center"/>
                </w:tcPr>
                <w:p w14:paraId="7C91452A" w14:textId="7695012C" w:rsidR="004259B8" w:rsidRPr="00D95C07" w:rsidRDefault="002B5F1F">
                  <w:pPr>
                    <w:tabs>
                      <w:tab w:val="right" w:leader="dot" w:pos="9354"/>
                    </w:tabs>
                    <w:spacing w:afterLines="0" w:after="0" w:line="240" w:lineRule="auto"/>
                    <w:jc w:val="right"/>
                    <w:rPr>
                      <w:rFonts w:eastAsia="Times New Roman" w:cs="Arial"/>
                      <w:sz w:val="18"/>
                      <w:szCs w:val="18"/>
                    </w:rPr>
                  </w:pPr>
                  <w:r w:rsidRPr="16C13C79">
                    <w:rPr>
                      <w:rFonts w:eastAsia="Times New Roman" w:cs="Arial"/>
                      <w:kern w:val="0"/>
                      <w:sz w:val="18"/>
                      <w:szCs w:val="18"/>
                      <w14:ligatures w14:val="none"/>
                    </w:rPr>
                    <w:t>0.6</w:t>
                  </w:r>
                </w:p>
              </w:tc>
              <w:tc>
                <w:tcPr>
                  <w:tcW w:w="628" w:type="dxa"/>
                  <w:vAlign w:val="center"/>
                  <w:hideMark/>
                </w:tcPr>
                <w:p w14:paraId="6C1766DF" w14:textId="33271F16" w:rsidR="004259B8" w:rsidRPr="00D95C07" w:rsidRDefault="002B5F1F">
                  <w:pPr>
                    <w:tabs>
                      <w:tab w:val="right" w:leader="dot" w:pos="9354"/>
                    </w:tabs>
                    <w:spacing w:afterLines="0" w:after="0" w:line="240" w:lineRule="auto"/>
                    <w:jc w:val="right"/>
                    <w:rPr>
                      <w:rFonts w:eastAsia="Times New Roman" w:cs="Arial"/>
                      <w:kern w:val="0"/>
                      <w:sz w:val="18"/>
                      <w:szCs w:val="18"/>
                      <w14:ligatures w14:val="none"/>
                    </w:rPr>
                  </w:pPr>
                  <w:r w:rsidRPr="16C13C79">
                    <w:rPr>
                      <w:rFonts w:eastAsia="Times New Roman" w:cs="Arial"/>
                      <w:kern w:val="0"/>
                      <w:sz w:val="18"/>
                      <w:szCs w:val="18"/>
                      <w14:ligatures w14:val="none"/>
                    </w:rPr>
                    <w:t>1.1</w:t>
                  </w:r>
                </w:p>
              </w:tc>
              <w:tc>
                <w:tcPr>
                  <w:tcW w:w="628" w:type="dxa"/>
                  <w:vAlign w:val="center"/>
                  <w:hideMark/>
                </w:tcPr>
                <w:p w14:paraId="58D27AB6" w14:textId="7F56C540" w:rsidR="004259B8" w:rsidRPr="00D95C07" w:rsidRDefault="002B5F1F">
                  <w:pPr>
                    <w:tabs>
                      <w:tab w:val="right" w:leader="dot" w:pos="9354"/>
                    </w:tabs>
                    <w:spacing w:afterLines="0" w:after="0" w:line="240" w:lineRule="auto"/>
                    <w:jc w:val="right"/>
                    <w:rPr>
                      <w:rFonts w:eastAsia="Times New Roman" w:cs="Arial"/>
                      <w:kern w:val="0"/>
                      <w:sz w:val="18"/>
                      <w:szCs w:val="18"/>
                      <w14:ligatures w14:val="none"/>
                    </w:rPr>
                  </w:pPr>
                  <w:r w:rsidRPr="16C13C79">
                    <w:rPr>
                      <w:rFonts w:eastAsia="Times New Roman" w:cs="Arial"/>
                      <w:sz w:val="18"/>
                      <w:szCs w:val="18"/>
                    </w:rPr>
                    <w:t>0.8</w:t>
                  </w:r>
                </w:p>
              </w:tc>
              <w:tc>
                <w:tcPr>
                  <w:tcW w:w="628" w:type="dxa"/>
                  <w:vAlign w:val="center"/>
                  <w:hideMark/>
                </w:tcPr>
                <w:p w14:paraId="1DBA8225" w14:textId="50CD8D37" w:rsidR="004259B8" w:rsidRPr="00D95C07" w:rsidRDefault="004259B8">
                  <w:pPr>
                    <w:tabs>
                      <w:tab w:val="right" w:leader="dot" w:pos="9354"/>
                    </w:tabs>
                    <w:spacing w:afterLines="0" w:after="0" w:line="240" w:lineRule="auto"/>
                    <w:jc w:val="right"/>
                    <w:rPr>
                      <w:rFonts w:eastAsia="Times New Roman" w:cs="Arial"/>
                      <w:kern w:val="0"/>
                      <w:sz w:val="18"/>
                      <w:szCs w:val="18"/>
                      <w14:ligatures w14:val="none"/>
                    </w:rPr>
                  </w:pPr>
                  <w:r w:rsidRPr="16C13C79">
                    <w:rPr>
                      <w:rFonts w:cs="Arial"/>
                      <w:sz w:val="18"/>
                      <w:szCs w:val="18"/>
                    </w:rPr>
                    <w:t>0.</w:t>
                  </w:r>
                  <w:r w:rsidR="002B5F1F" w:rsidRPr="16C13C79">
                    <w:rPr>
                      <w:rFonts w:cs="Arial"/>
                      <w:sz w:val="18"/>
                      <w:szCs w:val="18"/>
                    </w:rPr>
                    <w:t>7</w:t>
                  </w:r>
                </w:p>
              </w:tc>
              <w:tc>
                <w:tcPr>
                  <w:tcW w:w="628" w:type="dxa"/>
                  <w:vAlign w:val="center"/>
                </w:tcPr>
                <w:p w14:paraId="171F79BF" w14:textId="2336BAB8" w:rsidR="004259B8" w:rsidRPr="00D95C07" w:rsidRDefault="00C72A16">
                  <w:pPr>
                    <w:tabs>
                      <w:tab w:val="right" w:leader="dot" w:pos="9354"/>
                    </w:tabs>
                    <w:spacing w:afterLines="0" w:after="0" w:line="240" w:lineRule="auto"/>
                    <w:jc w:val="right"/>
                    <w:rPr>
                      <w:rFonts w:cs="Arial"/>
                      <w:sz w:val="18"/>
                      <w:szCs w:val="18"/>
                    </w:rPr>
                  </w:pPr>
                  <w:r w:rsidRPr="16C13C79">
                    <w:rPr>
                      <w:rFonts w:cs="Arial"/>
                      <w:sz w:val="18"/>
                      <w:szCs w:val="18"/>
                    </w:rPr>
                    <w:t>-</w:t>
                  </w:r>
                  <w:r w:rsidR="004259B8" w:rsidRPr="16C13C79">
                    <w:rPr>
                      <w:rFonts w:cs="Arial"/>
                      <w:sz w:val="18"/>
                      <w:szCs w:val="18"/>
                    </w:rPr>
                    <w:t>0.</w:t>
                  </w:r>
                  <w:r w:rsidRPr="16C13C79">
                    <w:rPr>
                      <w:rFonts w:cs="Arial"/>
                      <w:sz w:val="18"/>
                      <w:szCs w:val="18"/>
                    </w:rPr>
                    <w:t>6</w:t>
                  </w:r>
                </w:p>
              </w:tc>
            </w:tr>
            <w:tr w:rsidR="004259B8" w:rsidRPr="0031039D" w14:paraId="118CF7FF" w14:textId="77777777" w:rsidTr="00374FAF">
              <w:trPr>
                <w:trHeight w:val="297"/>
              </w:trPr>
              <w:tc>
                <w:tcPr>
                  <w:tcW w:w="1543" w:type="dxa"/>
                  <w:vAlign w:val="center"/>
                  <w:hideMark/>
                </w:tcPr>
                <w:p w14:paraId="452B892F" w14:textId="77777777" w:rsidR="004259B8" w:rsidRPr="00D95C07" w:rsidRDefault="004259B8">
                  <w:pPr>
                    <w:spacing w:afterLines="0" w:after="0" w:line="240" w:lineRule="auto"/>
                    <w:ind w:firstLineChars="100" w:firstLine="180"/>
                    <w:jc w:val="left"/>
                    <w:rPr>
                      <w:rFonts w:eastAsia="Times New Roman" w:cs="Arial"/>
                      <w:kern w:val="0"/>
                      <w:sz w:val="18"/>
                      <w:szCs w:val="18"/>
                      <w14:ligatures w14:val="none"/>
                    </w:rPr>
                  </w:pPr>
                  <w:r w:rsidRPr="16C13C79">
                    <w:rPr>
                      <w:rFonts w:eastAsia="Times New Roman" w:cs="Arial"/>
                      <w:kern w:val="0"/>
                      <w:sz w:val="18"/>
                      <w:szCs w:val="18"/>
                      <w14:ligatures w14:val="none"/>
                    </w:rPr>
                    <w:t xml:space="preserve">Тээвэр </w:t>
                  </w:r>
                </w:p>
              </w:tc>
              <w:tc>
                <w:tcPr>
                  <w:tcW w:w="627" w:type="dxa"/>
                  <w:vAlign w:val="center"/>
                </w:tcPr>
                <w:p w14:paraId="323AA26C" w14:textId="7BFB1495" w:rsidR="004259B8" w:rsidRPr="00D95C07" w:rsidRDefault="004259B8">
                  <w:pPr>
                    <w:tabs>
                      <w:tab w:val="right" w:leader="dot" w:pos="9354"/>
                    </w:tabs>
                    <w:spacing w:afterLines="0" w:after="0" w:line="240" w:lineRule="auto"/>
                    <w:jc w:val="right"/>
                    <w:rPr>
                      <w:rFonts w:eastAsia="Times New Roman" w:cs="Arial"/>
                      <w:sz w:val="18"/>
                      <w:szCs w:val="18"/>
                    </w:rPr>
                  </w:pPr>
                  <w:r w:rsidRPr="16C13C79">
                    <w:rPr>
                      <w:rFonts w:eastAsia="Times New Roman" w:cs="Arial"/>
                      <w:kern w:val="0"/>
                      <w:sz w:val="18"/>
                      <w:szCs w:val="18"/>
                      <w14:ligatures w14:val="none"/>
                    </w:rPr>
                    <w:t>-0</w:t>
                  </w:r>
                  <w:r w:rsidR="002B5F1F" w:rsidRPr="16C13C79">
                    <w:rPr>
                      <w:rFonts w:eastAsia="Times New Roman" w:cs="Arial"/>
                      <w:kern w:val="0"/>
                      <w:sz w:val="18"/>
                      <w:szCs w:val="18"/>
                      <w14:ligatures w14:val="none"/>
                    </w:rPr>
                    <w:t>.3</w:t>
                  </w:r>
                </w:p>
              </w:tc>
              <w:tc>
                <w:tcPr>
                  <w:tcW w:w="628" w:type="dxa"/>
                  <w:vAlign w:val="center"/>
                  <w:hideMark/>
                </w:tcPr>
                <w:p w14:paraId="0E75D49E" w14:textId="56FD4A3F" w:rsidR="004259B8" w:rsidRPr="00D95C07" w:rsidRDefault="004259B8">
                  <w:pPr>
                    <w:tabs>
                      <w:tab w:val="right" w:leader="dot" w:pos="9354"/>
                    </w:tabs>
                    <w:spacing w:afterLines="0" w:after="0" w:line="240" w:lineRule="auto"/>
                    <w:jc w:val="right"/>
                    <w:rPr>
                      <w:rFonts w:eastAsia="Times New Roman" w:cs="Arial"/>
                      <w:kern w:val="0"/>
                      <w:sz w:val="18"/>
                      <w:szCs w:val="18"/>
                      <w14:ligatures w14:val="none"/>
                    </w:rPr>
                  </w:pPr>
                  <w:r w:rsidRPr="16C13C79">
                    <w:rPr>
                      <w:rFonts w:eastAsia="Times New Roman" w:cs="Arial"/>
                      <w:kern w:val="0"/>
                      <w:sz w:val="18"/>
                      <w:szCs w:val="18"/>
                      <w14:ligatures w14:val="none"/>
                    </w:rPr>
                    <w:t>0.</w:t>
                  </w:r>
                  <w:r w:rsidR="002B5F1F" w:rsidRPr="16C13C79">
                    <w:rPr>
                      <w:rFonts w:eastAsia="Times New Roman" w:cs="Arial"/>
                      <w:kern w:val="0"/>
                      <w:sz w:val="18"/>
                      <w:szCs w:val="18"/>
                      <w14:ligatures w14:val="none"/>
                    </w:rPr>
                    <w:t>4</w:t>
                  </w:r>
                </w:p>
              </w:tc>
              <w:tc>
                <w:tcPr>
                  <w:tcW w:w="628" w:type="dxa"/>
                  <w:vAlign w:val="center"/>
                  <w:hideMark/>
                </w:tcPr>
                <w:p w14:paraId="596A5A88" w14:textId="44C44179" w:rsidR="004259B8" w:rsidRPr="00D95C07" w:rsidRDefault="002B5F1F">
                  <w:pPr>
                    <w:tabs>
                      <w:tab w:val="right" w:leader="dot" w:pos="9354"/>
                    </w:tabs>
                    <w:spacing w:afterLines="0" w:after="0" w:line="240" w:lineRule="auto"/>
                    <w:jc w:val="right"/>
                    <w:rPr>
                      <w:rFonts w:eastAsia="Times New Roman" w:cs="Arial"/>
                      <w:kern w:val="0"/>
                      <w:sz w:val="18"/>
                      <w:szCs w:val="18"/>
                      <w14:ligatures w14:val="none"/>
                    </w:rPr>
                  </w:pPr>
                  <w:r w:rsidRPr="16C13C79">
                    <w:rPr>
                      <w:rFonts w:eastAsia="Times New Roman" w:cs="Arial"/>
                      <w:sz w:val="18"/>
                      <w:szCs w:val="18"/>
                    </w:rPr>
                    <w:t>1.8</w:t>
                  </w:r>
                </w:p>
              </w:tc>
              <w:tc>
                <w:tcPr>
                  <w:tcW w:w="628" w:type="dxa"/>
                  <w:vAlign w:val="center"/>
                  <w:hideMark/>
                </w:tcPr>
                <w:p w14:paraId="602008E4" w14:textId="70FBEDAF" w:rsidR="004259B8" w:rsidRPr="00D95C07" w:rsidRDefault="004259B8">
                  <w:pPr>
                    <w:tabs>
                      <w:tab w:val="right" w:leader="dot" w:pos="9354"/>
                    </w:tabs>
                    <w:spacing w:afterLines="0" w:after="0" w:line="240" w:lineRule="auto"/>
                    <w:jc w:val="right"/>
                    <w:rPr>
                      <w:rFonts w:eastAsia="Times New Roman" w:cs="Arial"/>
                      <w:kern w:val="0"/>
                      <w:sz w:val="18"/>
                      <w:szCs w:val="18"/>
                      <w14:ligatures w14:val="none"/>
                    </w:rPr>
                  </w:pPr>
                  <w:r w:rsidRPr="16C13C79">
                    <w:rPr>
                      <w:rFonts w:cs="Arial"/>
                      <w:sz w:val="18"/>
                      <w:szCs w:val="18"/>
                    </w:rPr>
                    <w:t>1.</w:t>
                  </w:r>
                  <w:r w:rsidR="002B5F1F" w:rsidRPr="16C13C79">
                    <w:rPr>
                      <w:rFonts w:cs="Arial"/>
                      <w:sz w:val="18"/>
                      <w:szCs w:val="18"/>
                    </w:rPr>
                    <w:t>3</w:t>
                  </w:r>
                </w:p>
              </w:tc>
              <w:tc>
                <w:tcPr>
                  <w:tcW w:w="628" w:type="dxa"/>
                  <w:vAlign w:val="center"/>
                </w:tcPr>
                <w:p w14:paraId="48020BD6" w14:textId="48513D7A" w:rsidR="004259B8" w:rsidRPr="00D95C07" w:rsidRDefault="001E417E">
                  <w:pPr>
                    <w:tabs>
                      <w:tab w:val="right" w:leader="dot" w:pos="9354"/>
                    </w:tabs>
                    <w:spacing w:afterLines="0" w:after="0" w:line="240" w:lineRule="auto"/>
                    <w:jc w:val="right"/>
                    <w:rPr>
                      <w:rFonts w:cs="Arial"/>
                      <w:sz w:val="18"/>
                      <w:szCs w:val="18"/>
                    </w:rPr>
                  </w:pPr>
                  <w:r w:rsidRPr="16C13C79">
                    <w:rPr>
                      <w:rFonts w:cs="Arial"/>
                      <w:sz w:val="18"/>
                      <w:szCs w:val="18"/>
                    </w:rPr>
                    <w:t>0.</w:t>
                  </w:r>
                  <w:r w:rsidR="00C72A16" w:rsidRPr="16C13C79">
                    <w:rPr>
                      <w:rFonts w:cs="Arial"/>
                      <w:sz w:val="18"/>
                      <w:szCs w:val="18"/>
                    </w:rPr>
                    <w:t>3</w:t>
                  </w:r>
                </w:p>
              </w:tc>
            </w:tr>
            <w:tr w:rsidR="004259B8" w:rsidRPr="0031039D" w14:paraId="6A594FDD" w14:textId="77777777" w:rsidTr="00374FAF">
              <w:trPr>
                <w:trHeight w:val="297"/>
              </w:trPr>
              <w:tc>
                <w:tcPr>
                  <w:tcW w:w="1543" w:type="dxa"/>
                  <w:vAlign w:val="center"/>
                  <w:hideMark/>
                </w:tcPr>
                <w:p w14:paraId="6812B0A6" w14:textId="77777777" w:rsidR="004259B8" w:rsidRPr="00D95C07" w:rsidRDefault="004259B8">
                  <w:pPr>
                    <w:spacing w:afterLines="0" w:after="0" w:line="240" w:lineRule="auto"/>
                    <w:ind w:firstLineChars="100" w:firstLine="180"/>
                    <w:jc w:val="left"/>
                    <w:rPr>
                      <w:rFonts w:eastAsia="Times New Roman" w:cs="Arial"/>
                      <w:kern w:val="0"/>
                      <w:sz w:val="18"/>
                      <w:szCs w:val="18"/>
                      <w14:ligatures w14:val="none"/>
                    </w:rPr>
                  </w:pPr>
                  <w:r w:rsidRPr="16C13C79">
                    <w:rPr>
                      <w:rFonts w:eastAsia="Times New Roman" w:cs="Arial"/>
                      <w:kern w:val="0"/>
                      <w:sz w:val="18"/>
                      <w:szCs w:val="18"/>
                      <w14:ligatures w14:val="none"/>
                    </w:rPr>
                    <w:t>Бусад</w:t>
                  </w:r>
                </w:p>
              </w:tc>
              <w:tc>
                <w:tcPr>
                  <w:tcW w:w="627" w:type="dxa"/>
                  <w:vAlign w:val="center"/>
                </w:tcPr>
                <w:p w14:paraId="300FC74B" w14:textId="4D81BDD6" w:rsidR="004259B8" w:rsidRPr="00D95C07" w:rsidRDefault="002B5F1F">
                  <w:pPr>
                    <w:tabs>
                      <w:tab w:val="right" w:leader="dot" w:pos="9354"/>
                    </w:tabs>
                    <w:spacing w:afterLines="0" w:after="0" w:line="240" w:lineRule="auto"/>
                    <w:jc w:val="right"/>
                    <w:rPr>
                      <w:rFonts w:eastAsia="Times New Roman" w:cs="Arial"/>
                      <w:sz w:val="18"/>
                      <w:szCs w:val="18"/>
                    </w:rPr>
                  </w:pPr>
                  <w:r w:rsidRPr="16C13C79">
                    <w:rPr>
                      <w:rFonts w:eastAsia="Times New Roman" w:cs="Arial"/>
                      <w:kern w:val="0"/>
                      <w:sz w:val="18"/>
                      <w:szCs w:val="18"/>
                      <w14:ligatures w14:val="none"/>
                    </w:rPr>
                    <w:t>1.5</w:t>
                  </w:r>
                </w:p>
              </w:tc>
              <w:tc>
                <w:tcPr>
                  <w:tcW w:w="628" w:type="dxa"/>
                  <w:vAlign w:val="center"/>
                  <w:hideMark/>
                </w:tcPr>
                <w:p w14:paraId="685D4CCE" w14:textId="4BAE8A72" w:rsidR="004259B8" w:rsidRPr="00D95C07" w:rsidRDefault="004259B8">
                  <w:pPr>
                    <w:tabs>
                      <w:tab w:val="right" w:leader="dot" w:pos="9354"/>
                    </w:tabs>
                    <w:spacing w:afterLines="0" w:after="0" w:line="240" w:lineRule="auto"/>
                    <w:jc w:val="right"/>
                    <w:rPr>
                      <w:rFonts w:eastAsia="Times New Roman" w:cs="Arial"/>
                      <w:kern w:val="0"/>
                      <w:sz w:val="18"/>
                      <w:szCs w:val="18"/>
                      <w14:ligatures w14:val="none"/>
                    </w:rPr>
                  </w:pPr>
                  <w:r w:rsidRPr="16C13C79">
                    <w:rPr>
                      <w:rFonts w:eastAsia="Times New Roman" w:cs="Arial"/>
                      <w:kern w:val="0"/>
                      <w:sz w:val="18"/>
                      <w:szCs w:val="18"/>
                      <w14:ligatures w14:val="none"/>
                    </w:rPr>
                    <w:t>1.</w:t>
                  </w:r>
                  <w:r w:rsidR="002B5F1F" w:rsidRPr="16C13C79">
                    <w:rPr>
                      <w:rFonts w:eastAsia="Times New Roman" w:cs="Arial"/>
                      <w:kern w:val="0"/>
                      <w:sz w:val="18"/>
                      <w:szCs w:val="18"/>
                      <w14:ligatures w14:val="none"/>
                    </w:rPr>
                    <w:t>7</w:t>
                  </w:r>
                </w:p>
              </w:tc>
              <w:tc>
                <w:tcPr>
                  <w:tcW w:w="628" w:type="dxa"/>
                  <w:vAlign w:val="center"/>
                  <w:hideMark/>
                </w:tcPr>
                <w:p w14:paraId="5E585C64" w14:textId="2761F980" w:rsidR="004259B8" w:rsidRPr="00D95C07" w:rsidRDefault="002B5F1F">
                  <w:pPr>
                    <w:tabs>
                      <w:tab w:val="right" w:leader="dot" w:pos="9354"/>
                    </w:tabs>
                    <w:spacing w:afterLines="0" w:after="0" w:line="240" w:lineRule="auto"/>
                    <w:jc w:val="right"/>
                    <w:rPr>
                      <w:rFonts w:eastAsia="Times New Roman" w:cs="Arial"/>
                      <w:kern w:val="0"/>
                      <w:sz w:val="18"/>
                      <w:szCs w:val="18"/>
                      <w14:ligatures w14:val="none"/>
                    </w:rPr>
                  </w:pPr>
                  <w:r w:rsidRPr="16C13C79">
                    <w:rPr>
                      <w:rFonts w:eastAsia="Times New Roman" w:cs="Arial"/>
                      <w:sz w:val="18"/>
                      <w:szCs w:val="18"/>
                    </w:rPr>
                    <w:t>2.</w:t>
                  </w:r>
                  <w:r w:rsidR="004259B8" w:rsidRPr="16C13C79">
                    <w:rPr>
                      <w:rFonts w:eastAsia="Times New Roman" w:cs="Arial"/>
                      <w:sz w:val="18"/>
                      <w:szCs w:val="18"/>
                    </w:rPr>
                    <w:t>1</w:t>
                  </w:r>
                </w:p>
              </w:tc>
              <w:tc>
                <w:tcPr>
                  <w:tcW w:w="628" w:type="dxa"/>
                  <w:vAlign w:val="center"/>
                  <w:hideMark/>
                </w:tcPr>
                <w:p w14:paraId="7EDD5532" w14:textId="3975B76B" w:rsidR="004259B8" w:rsidRPr="00D95C07" w:rsidRDefault="004259B8">
                  <w:pPr>
                    <w:tabs>
                      <w:tab w:val="right" w:leader="dot" w:pos="9354"/>
                    </w:tabs>
                    <w:spacing w:afterLines="0" w:after="0" w:line="240" w:lineRule="auto"/>
                    <w:jc w:val="right"/>
                    <w:rPr>
                      <w:rFonts w:eastAsia="Times New Roman" w:cs="Arial"/>
                      <w:kern w:val="0"/>
                      <w:sz w:val="18"/>
                      <w:szCs w:val="18"/>
                      <w14:ligatures w14:val="none"/>
                    </w:rPr>
                  </w:pPr>
                  <w:r w:rsidRPr="16C13C79">
                    <w:rPr>
                      <w:rFonts w:cs="Arial"/>
                      <w:sz w:val="18"/>
                      <w:szCs w:val="18"/>
                    </w:rPr>
                    <w:t>2.</w:t>
                  </w:r>
                  <w:r w:rsidR="002B5F1F" w:rsidRPr="16C13C79">
                    <w:rPr>
                      <w:rFonts w:cs="Arial"/>
                      <w:sz w:val="18"/>
                      <w:szCs w:val="18"/>
                    </w:rPr>
                    <w:t>8</w:t>
                  </w:r>
                </w:p>
              </w:tc>
              <w:tc>
                <w:tcPr>
                  <w:tcW w:w="628" w:type="dxa"/>
                  <w:vAlign w:val="center"/>
                </w:tcPr>
                <w:p w14:paraId="0C1A5C73" w14:textId="34A17985" w:rsidR="004259B8" w:rsidRPr="00D95C07" w:rsidRDefault="009212E4">
                  <w:pPr>
                    <w:tabs>
                      <w:tab w:val="right" w:leader="dot" w:pos="9354"/>
                    </w:tabs>
                    <w:spacing w:afterLines="0" w:after="0" w:line="240" w:lineRule="auto"/>
                    <w:jc w:val="right"/>
                    <w:rPr>
                      <w:rFonts w:cs="Arial"/>
                      <w:sz w:val="18"/>
                      <w:szCs w:val="18"/>
                    </w:rPr>
                  </w:pPr>
                  <w:r w:rsidRPr="16C13C79">
                    <w:rPr>
                      <w:rFonts w:cs="Arial"/>
                      <w:sz w:val="18"/>
                      <w:szCs w:val="18"/>
                    </w:rPr>
                    <w:t>1.</w:t>
                  </w:r>
                  <w:r w:rsidR="001E417E" w:rsidRPr="16C13C79">
                    <w:rPr>
                      <w:rFonts w:cs="Arial"/>
                      <w:sz w:val="18"/>
                      <w:szCs w:val="18"/>
                    </w:rPr>
                    <w:t>0</w:t>
                  </w:r>
                </w:p>
              </w:tc>
            </w:tr>
            <w:tr w:rsidR="004259B8" w:rsidRPr="0031039D" w14:paraId="253FE3CC" w14:textId="77777777" w:rsidTr="00374FAF">
              <w:trPr>
                <w:trHeight w:val="268"/>
              </w:trPr>
              <w:tc>
                <w:tcPr>
                  <w:tcW w:w="1543" w:type="dxa"/>
                  <w:tcBorders>
                    <w:bottom w:val="single" w:sz="4" w:space="0" w:color="auto"/>
                  </w:tcBorders>
                  <w:vAlign w:val="center"/>
                  <w:hideMark/>
                </w:tcPr>
                <w:p w14:paraId="7F59B1F0" w14:textId="77777777" w:rsidR="004259B8" w:rsidRPr="00D95C07" w:rsidRDefault="004259B8">
                  <w:pPr>
                    <w:tabs>
                      <w:tab w:val="right" w:leader="dot" w:pos="9354"/>
                    </w:tabs>
                    <w:spacing w:afterLines="0" w:after="0" w:line="240" w:lineRule="auto"/>
                    <w:jc w:val="left"/>
                    <w:rPr>
                      <w:rFonts w:eastAsia="Times New Roman" w:cs="Arial"/>
                      <w:kern w:val="0"/>
                      <w:sz w:val="18"/>
                      <w:szCs w:val="18"/>
                      <w14:ligatures w14:val="none"/>
                    </w:rPr>
                  </w:pPr>
                  <w:r w:rsidRPr="16C13C79">
                    <w:rPr>
                      <w:rFonts w:eastAsia="Times New Roman" w:cs="Arial"/>
                      <w:kern w:val="0"/>
                      <w:sz w:val="18"/>
                      <w:szCs w:val="18"/>
                      <w14:ligatures w14:val="none"/>
                    </w:rPr>
                    <w:t xml:space="preserve">Цэвэр татвар </w:t>
                  </w:r>
                </w:p>
              </w:tc>
              <w:tc>
                <w:tcPr>
                  <w:tcW w:w="627" w:type="dxa"/>
                  <w:tcBorders>
                    <w:bottom w:val="single" w:sz="4" w:space="0" w:color="auto"/>
                  </w:tcBorders>
                  <w:vAlign w:val="center"/>
                </w:tcPr>
                <w:p w14:paraId="2F0C5088" w14:textId="4B04F472" w:rsidR="004259B8" w:rsidRPr="00D95C07" w:rsidRDefault="004259B8">
                  <w:pPr>
                    <w:tabs>
                      <w:tab w:val="right" w:leader="dot" w:pos="9354"/>
                    </w:tabs>
                    <w:spacing w:afterLines="0" w:after="0" w:line="240" w:lineRule="auto"/>
                    <w:jc w:val="right"/>
                    <w:rPr>
                      <w:rFonts w:eastAsia="Times New Roman" w:cs="Arial"/>
                      <w:sz w:val="18"/>
                      <w:szCs w:val="18"/>
                    </w:rPr>
                  </w:pPr>
                  <w:r w:rsidRPr="16C13C79">
                    <w:rPr>
                      <w:rFonts w:eastAsia="Times New Roman" w:cs="Arial"/>
                      <w:kern w:val="0"/>
                      <w:sz w:val="18"/>
                      <w:szCs w:val="18"/>
                      <w14:ligatures w14:val="none"/>
                    </w:rPr>
                    <w:t>1.</w:t>
                  </w:r>
                  <w:r w:rsidR="002B5F1F" w:rsidRPr="16C13C79">
                    <w:rPr>
                      <w:rFonts w:eastAsia="Times New Roman" w:cs="Arial"/>
                      <w:kern w:val="0"/>
                      <w:sz w:val="18"/>
                      <w:szCs w:val="18"/>
                      <w14:ligatures w14:val="none"/>
                    </w:rPr>
                    <w:t>3</w:t>
                  </w:r>
                </w:p>
              </w:tc>
              <w:tc>
                <w:tcPr>
                  <w:tcW w:w="628" w:type="dxa"/>
                  <w:tcBorders>
                    <w:bottom w:val="single" w:sz="4" w:space="0" w:color="auto"/>
                  </w:tcBorders>
                  <w:vAlign w:val="center"/>
                  <w:hideMark/>
                </w:tcPr>
                <w:p w14:paraId="067A2D21" w14:textId="034F6114" w:rsidR="004259B8" w:rsidRPr="00D95C07" w:rsidRDefault="004259B8">
                  <w:pPr>
                    <w:tabs>
                      <w:tab w:val="right" w:leader="dot" w:pos="9354"/>
                    </w:tabs>
                    <w:spacing w:afterLines="0" w:after="0" w:line="240" w:lineRule="auto"/>
                    <w:jc w:val="right"/>
                    <w:rPr>
                      <w:rFonts w:eastAsia="Times New Roman" w:cs="Arial"/>
                      <w:kern w:val="0"/>
                      <w:sz w:val="18"/>
                      <w:szCs w:val="18"/>
                      <w14:ligatures w14:val="none"/>
                    </w:rPr>
                  </w:pPr>
                  <w:r w:rsidRPr="16C13C79">
                    <w:rPr>
                      <w:rFonts w:eastAsia="Times New Roman" w:cs="Arial"/>
                      <w:kern w:val="0"/>
                      <w:sz w:val="18"/>
                      <w:szCs w:val="18"/>
                      <w14:ligatures w14:val="none"/>
                    </w:rPr>
                    <w:t>1.</w:t>
                  </w:r>
                  <w:r w:rsidR="002B5F1F" w:rsidRPr="16C13C79">
                    <w:rPr>
                      <w:rFonts w:eastAsia="Times New Roman" w:cs="Arial"/>
                      <w:kern w:val="0"/>
                      <w:sz w:val="18"/>
                      <w:szCs w:val="18"/>
                      <w14:ligatures w14:val="none"/>
                    </w:rPr>
                    <w:t>4</w:t>
                  </w:r>
                </w:p>
              </w:tc>
              <w:tc>
                <w:tcPr>
                  <w:tcW w:w="628" w:type="dxa"/>
                  <w:tcBorders>
                    <w:bottom w:val="single" w:sz="4" w:space="0" w:color="auto"/>
                  </w:tcBorders>
                  <w:vAlign w:val="center"/>
                  <w:hideMark/>
                </w:tcPr>
                <w:p w14:paraId="1821F58D" w14:textId="595B4520" w:rsidR="004259B8" w:rsidRPr="00D95C07" w:rsidRDefault="002B5F1F">
                  <w:pPr>
                    <w:tabs>
                      <w:tab w:val="right" w:leader="dot" w:pos="9354"/>
                    </w:tabs>
                    <w:spacing w:afterLines="0" w:after="0" w:line="240" w:lineRule="auto"/>
                    <w:jc w:val="right"/>
                    <w:rPr>
                      <w:rFonts w:eastAsia="Times New Roman" w:cs="Arial"/>
                      <w:kern w:val="0"/>
                      <w:sz w:val="18"/>
                      <w:szCs w:val="18"/>
                      <w14:ligatures w14:val="none"/>
                    </w:rPr>
                  </w:pPr>
                  <w:r w:rsidRPr="16C13C79">
                    <w:rPr>
                      <w:rFonts w:eastAsia="Times New Roman" w:cs="Arial"/>
                      <w:sz w:val="18"/>
                      <w:szCs w:val="18"/>
                    </w:rPr>
                    <w:t>0.8</w:t>
                  </w:r>
                </w:p>
              </w:tc>
              <w:tc>
                <w:tcPr>
                  <w:tcW w:w="628" w:type="dxa"/>
                  <w:tcBorders>
                    <w:bottom w:val="single" w:sz="4" w:space="0" w:color="auto"/>
                  </w:tcBorders>
                  <w:vAlign w:val="center"/>
                  <w:hideMark/>
                </w:tcPr>
                <w:p w14:paraId="69D5DC4A" w14:textId="15A55923" w:rsidR="004259B8" w:rsidRPr="00D95C07" w:rsidRDefault="002B5F1F">
                  <w:pPr>
                    <w:tabs>
                      <w:tab w:val="right" w:leader="dot" w:pos="9354"/>
                    </w:tabs>
                    <w:spacing w:afterLines="0" w:after="0" w:line="240" w:lineRule="auto"/>
                    <w:jc w:val="right"/>
                    <w:rPr>
                      <w:rFonts w:eastAsia="Times New Roman" w:cs="Arial"/>
                      <w:kern w:val="0"/>
                      <w:sz w:val="18"/>
                      <w:szCs w:val="18"/>
                      <w14:ligatures w14:val="none"/>
                    </w:rPr>
                  </w:pPr>
                  <w:r w:rsidRPr="16C13C79">
                    <w:rPr>
                      <w:rFonts w:cs="Arial"/>
                      <w:sz w:val="18"/>
                      <w:szCs w:val="18"/>
                    </w:rPr>
                    <w:t>2.</w:t>
                  </w:r>
                  <w:r w:rsidR="004259B8" w:rsidRPr="16C13C79">
                    <w:rPr>
                      <w:rFonts w:cs="Arial"/>
                      <w:sz w:val="18"/>
                      <w:szCs w:val="18"/>
                    </w:rPr>
                    <w:t>0</w:t>
                  </w:r>
                </w:p>
              </w:tc>
              <w:tc>
                <w:tcPr>
                  <w:tcW w:w="628" w:type="dxa"/>
                  <w:tcBorders>
                    <w:bottom w:val="single" w:sz="4" w:space="0" w:color="auto"/>
                  </w:tcBorders>
                  <w:vAlign w:val="center"/>
                </w:tcPr>
                <w:p w14:paraId="4C70FA51" w14:textId="22ABE602" w:rsidR="004259B8" w:rsidRPr="00D95C07" w:rsidRDefault="009212E4">
                  <w:pPr>
                    <w:tabs>
                      <w:tab w:val="right" w:leader="dot" w:pos="9354"/>
                    </w:tabs>
                    <w:spacing w:afterLines="0" w:after="0" w:line="240" w:lineRule="auto"/>
                    <w:jc w:val="right"/>
                    <w:rPr>
                      <w:rFonts w:cs="Arial"/>
                      <w:sz w:val="18"/>
                      <w:szCs w:val="18"/>
                    </w:rPr>
                  </w:pPr>
                  <w:r w:rsidRPr="16C13C79">
                    <w:rPr>
                      <w:rFonts w:cs="Arial"/>
                      <w:sz w:val="18"/>
                      <w:szCs w:val="18"/>
                    </w:rPr>
                    <w:t>0</w:t>
                  </w:r>
                  <w:r w:rsidR="004259B8" w:rsidRPr="16C13C79">
                    <w:rPr>
                      <w:rFonts w:cs="Arial"/>
                      <w:sz w:val="18"/>
                      <w:szCs w:val="18"/>
                    </w:rPr>
                    <w:t>.0</w:t>
                  </w:r>
                </w:p>
              </w:tc>
            </w:tr>
          </w:tbl>
          <w:p w14:paraId="1F12D1F1" w14:textId="77777777" w:rsidR="004259B8" w:rsidRPr="008C5EE2" w:rsidRDefault="004259B8">
            <w:pPr>
              <w:tabs>
                <w:tab w:val="right" w:leader="dot" w:pos="9354"/>
              </w:tabs>
              <w:autoSpaceDE w:val="0"/>
              <w:autoSpaceDN w:val="0"/>
              <w:adjustRightInd w:val="0"/>
              <w:spacing w:afterLines="0" w:after="0"/>
              <w:jc w:val="left"/>
              <w:rPr>
                <w:rFonts w:eastAsia="SimSun" w:cs="Arial"/>
                <w:sz w:val="16"/>
                <w:szCs w:val="16"/>
              </w:rPr>
            </w:pPr>
          </w:p>
        </w:tc>
        <w:tc>
          <w:tcPr>
            <w:tcW w:w="4338" w:type="dxa"/>
            <w:tcBorders>
              <w:top w:val="single" w:sz="4" w:space="0" w:color="auto"/>
            </w:tcBorders>
          </w:tcPr>
          <w:p w14:paraId="300CD34F" w14:textId="629A5284" w:rsidR="004259B8" w:rsidRPr="008C5EE2" w:rsidRDefault="004259B8">
            <w:pPr>
              <w:pStyle w:val="Caption"/>
              <w:spacing w:after="120"/>
              <w:rPr>
                <w:rFonts w:ascii="Arial" w:hAnsi="Arial" w:cs="Arial"/>
                <w:color w:val="auto"/>
              </w:rPr>
            </w:pPr>
            <w:bookmarkStart w:id="41" w:name="_Toc201759620"/>
            <w:r w:rsidRPr="008C5EE2">
              <w:rPr>
                <w:rFonts w:ascii="Arial" w:hAnsi="Arial" w:cs="Arial"/>
                <w:color w:val="auto"/>
              </w:rPr>
              <w:t xml:space="preserve">Зураг </w:t>
            </w:r>
            <w:r w:rsidRPr="008C5EE2">
              <w:rPr>
                <w:rFonts w:ascii="Arial" w:hAnsi="Arial" w:cs="Arial"/>
                <w:color w:val="auto"/>
              </w:rPr>
              <w:fldChar w:fldCharType="begin"/>
            </w:r>
            <w:r w:rsidRPr="008C5EE2">
              <w:rPr>
                <w:rFonts w:ascii="Arial" w:hAnsi="Arial" w:cs="Arial"/>
                <w:color w:val="auto"/>
              </w:rPr>
              <w:instrText xml:space="preserve"> STYLEREF 1 \s </w:instrText>
            </w:r>
            <w:r w:rsidRPr="008C5EE2">
              <w:rPr>
                <w:rFonts w:ascii="Arial" w:hAnsi="Arial" w:cs="Arial"/>
                <w:color w:val="auto"/>
              </w:rPr>
              <w:fldChar w:fldCharType="separate"/>
            </w:r>
            <w:r w:rsidR="000E7C9C">
              <w:rPr>
                <w:rFonts w:ascii="Arial" w:hAnsi="Arial" w:cs="Arial"/>
                <w:noProof/>
                <w:color w:val="auto"/>
              </w:rPr>
              <w:t>1</w:t>
            </w:r>
            <w:r w:rsidRPr="008C5EE2">
              <w:rPr>
                <w:rFonts w:ascii="Arial" w:hAnsi="Arial" w:cs="Arial"/>
                <w:color w:val="auto"/>
              </w:rPr>
              <w:fldChar w:fldCharType="end"/>
            </w:r>
            <w:r w:rsidRPr="008C5EE2">
              <w:rPr>
                <w:rFonts w:ascii="Arial" w:hAnsi="Arial" w:cs="Arial"/>
                <w:color w:val="auto"/>
              </w:rPr>
              <w:t>.</w:t>
            </w:r>
            <w:r w:rsidRPr="008C5EE2">
              <w:rPr>
                <w:rFonts w:ascii="Arial" w:hAnsi="Arial" w:cs="Arial"/>
                <w:color w:val="auto"/>
              </w:rPr>
              <w:fldChar w:fldCharType="begin"/>
            </w:r>
            <w:r w:rsidRPr="008C5EE2">
              <w:rPr>
                <w:rFonts w:ascii="Arial" w:hAnsi="Arial" w:cs="Arial"/>
                <w:color w:val="auto"/>
              </w:rPr>
              <w:instrText xml:space="preserve"> SEQ Зураг \* ARABIC \s 1 </w:instrText>
            </w:r>
            <w:r w:rsidRPr="008C5EE2">
              <w:rPr>
                <w:rFonts w:ascii="Arial" w:hAnsi="Arial" w:cs="Arial"/>
                <w:color w:val="auto"/>
              </w:rPr>
              <w:fldChar w:fldCharType="separate"/>
            </w:r>
            <w:r w:rsidR="000E7C9C">
              <w:rPr>
                <w:rFonts w:ascii="Arial" w:hAnsi="Arial" w:cs="Arial"/>
                <w:noProof/>
                <w:color w:val="auto"/>
              </w:rPr>
              <w:t>1</w:t>
            </w:r>
            <w:r w:rsidRPr="008C5EE2">
              <w:rPr>
                <w:rFonts w:ascii="Arial" w:hAnsi="Arial" w:cs="Arial"/>
                <w:color w:val="auto"/>
              </w:rPr>
              <w:fldChar w:fldCharType="end"/>
            </w:r>
            <w:r w:rsidRPr="008C5EE2">
              <w:rPr>
                <w:rFonts w:ascii="Arial" w:hAnsi="Arial" w:cs="Arial"/>
                <w:color w:val="auto"/>
              </w:rPr>
              <w:t xml:space="preserve"> Эдийн засгийн өсөлтийн бүтэц</w:t>
            </w:r>
            <w:bookmarkEnd w:id="41"/>
          </w:p>
          <w:p w14:paraId="77133F7C" w14:textId="556FB8B8" w:rsidR="004259B8" w:rsidRPr="00614D1A" w:rsidRDefault="005E51C3">
            <w:pPr>
              <w:pStyle w:val="Caption"/>
              <w:spacing w:after="120"/>
              <w:rPr>
                <w:rFonts w:ascii="Arial" w:eastAsia="SimSun" w:hAnsi="Arial" w:cs="Arial"/>
                <w:szCs w:val="24"/>
              </w:rPr>
            </w:pPr>
            <w:r w:rsidRPr="00B15F4D">
              <w:rPr>
                <w:rFonts w:ascii="Arial" w:hAnsi="Arial" w:cs="Arial"/>
                <w:noProof/>
              </w:rPr>
              <w:drawing>
                <wp:inline distT="0" distB="0" distL="0" distR="0" wp14:anchorId="3A0E5E62" wp14:editId="0FE5F57F">
                  <wp:extent cx="2720340" cy="2228850"/>
                  <wp:effectExtent l="0" t="0" r="3810" b="0"/>
                  <wp:docPr id="1222725156" name="Chart 1">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4259B8" w:rsidRPr="00614D1A" w14:paraId="642FA8CE" w14:textId="77777777" w:rsidTr="00374FAF">
        <w:trPr>
          <w:cantSplit/>
          <w:trHeight w:val="218"/>
        </w:trPr>
        <w:tc>
          <w:tcPr>
            <w:tcW w:w="4963" w:type="dxa"/>
            <w:tcBorders>
              <w:bottom w:val="single" w:sz="4" w:space="0" w:color="auto"/>
            </w:tcBorders>
          </w:tcPr>
          <w:p w14:paraId="57506365" w14:textId="77777777" w:rsidR="004259B8" w:rsidRPr="008C5EE2" w:rsidRDefault="004259B8">
            <w:pPr>
              <w:tabs>
                <w:tab w:val="right" w:leader="dot" w:pos="9354"/>
              </w:tabs>
              <w:autoSpaceDE w:val="0"/>
              <w:autoSpaceDN w:val="0"/>
              <w:adjustRightInd w:val="0"/>
              <w:spacing w:afterLines="0" w:after="0" w:line="240" w:lineRule="auto"/>
              <w:jc w:val="right"/>
              <w:rPr>
                <w:rFonts w:eastAsia="SimSun" w:cs="Arial"/>
                <w:i/>
                <w:szCs w:val="24"/>
              </w:rPr>
            </w:pPr>
          </w:p>
        </w:tc>
        <w:tc>
          <w:tcPr>
            <w:tcW w:w="4538" w:type="dxa"/>
            <w:gridSpan w:val="2"/>
            <w:tcBorders>
              <w:bottom w:val="single" w:sz="4" w:space="0" w:color="auto"/>
            </w:tcBorders>
          </w:tcPr>
          <w:p w14:paraId="42021014" w14:textId="1E65F0FA" w:rsidR="004259B8" w:rsidRPr="008C5EE2" w:rsidRDefault="004259B8">
            <w:pPr>
              <w:tabs>
                <w:tab w:val="right" w:leader="dot" w:pos="9354"/>
              </w:tabs>
              <w:autoSpaceDE w:val="0"/>
              <w:autoSpaceDN w:val="0"/>
              <w:adjustRightInd w:val="0"/>
              <w:spacing w:afterLines="0" w:after="0" w:line="240" w:lineRule="auto"/>
              <w:jc w:val="right"/>
              <w:rPr>
                <w:rFonts w:cs="Arial"/>
                <w:i/>
                <w:sz w:val="20"/>
                <w:szCs w:val="20"/>
              </w:rPr>
            </w:pPr>
            <w:r w:rsidRPr="00B15F4D">
              <w:rPr>
                <w:rFonts w:eastAsia="SimSun" w:cs="Arial"/>
                <w:i/>
                <w:sz w:val="20"/>
                <w:szCs w:val="20"/>
              </w:rPr>
              <w:t>Эх сурвалж: Ү</w:t>
            </w:r>
            <w:r w:rsidR="00396141">
              <w:rPr>
                <w:rFonts w:eastAsia="SimSun" w:cs="Arial"/>
                <w:i/>
                <w:sz w:val="20"/>
                <w:szCs w:val="20"/>
              </w:rPr>
              <w:t>ндэсний статистикийн хороо</w:t>
            </w:r>
          </w:p>
        </w:tc>
      </w:tr>
    </w:tbl>
    <w:p w14:paraId="136BC300" w14:textId="118B87A2" w:rsidR="004259B8" w:rsidRPr="008C5EE2" w:rsidRDefault="004259B8" w:rsidP="00374FAF">
      <w:pPr>
        <w:pStyle w:val="Heading3"/>
      </w:pPr>
      <w:bookmarkStart w:id="42" w:name="_Hlk201682509"/>
      <w:bookmarkStart w:id="43" w:name="_Toc195605245"/>
      <w:bookmarkStart w:id="44" w:name="_Toc201605936"/>
      <w:bookmarkStart w:id="45" w:name="_Toc201755691"/>
      <w:bookmarkStart w:id="46" w:name="_Toc238120980"/>
      <w:r w:rsidRPr="008C5EE2">
        <w:t>Хэрэглээний үнийн түвшин</w:t>
      </w:r>
      <w:bookmarkEnd w:id="42"/>
      <w:r w:rsidRPr="008C5EE2">
        <w:t>, мөнгөний бодлогын үндсэн үзүүлэлт</w:t>
      </w:r>
      <w:bookmarkEnd w:id="43"/>
      <w:bookmarkEnd w:id="44"/>
      <w:bookmarkEnd w:id="45"/>
      <w:bookmarkEnd w:id="46"/>
    </w:p>
    <w:p w14:paraId="6CE90996" w14:textId="159DC439" w:rsidR="00E04868" w:rsidRDefault="004259B8" w:rsidP="00374FAF">
      <w:pPr>
        <w:tabs>
          <w:tab w:val="right" w:leader="dot" w:pos="9354"/>
        </w:tabs>
        <w:spacing w:afterLines="0" w:after="0" w:line="240" w:lineRule="auto"/>
        <w:ind w:firstLine="720"/>
        <w:rPr>
          <w:rFonts w:cs="Arial"/>
        </w:rPr>
      </w:pPr>
      <w:r w:rsidRPr="295294AF">
        <w:rPr>
          <w:rFonts w:cs="Arial"/>
        </w:rPr>
        <w:t>Инфляц 202</w:t>
      </w:r>
      <w:r w:rsidR="003F0216" w:rsidRPr="295294AF">
        <w:rPr>
          <w:rFonts w:cs="Arial"/>
        </w:rPr>
        <w:t>5</w:t>
      </w:r>
      <w:r w:rsidRPr="295294AF">
        <w:rPr>
          <w:rFonts w:cs="Arial"/>
        </w:rPr>
        <w:t xml:space="preserve"> онд дунджаар 8.</w:t>
      </w:r>
      <w:r w:rsidR="003F0216" w:rsidRPr="295294AF">
        <w:rPr>
          <w:rFonts w:cs="Arial"/>
        </w:rPr>
        <w:t>6</w:t>
      </w:r>
      <w:r w:rsidRPr="295294AF">
        <w:rPr>
          <w:rFonts w:cs="Arial"/>
        </w:rPr>
        <w:t xml:space="preserve"> хувь</w:t>
      </w:r>
      <w:r w:rsidR="001F3D3F" w:rsidRPr="295294AF">
        <w:rPr>
          <w:rFonts w:cs="Arial"/>
        </w:rPr>
        <w:t xml:space="preserve">д хүрч </w:t>
      </w:r>
      <w:r w:rsidR="00D75537" w:rsidRPr="295294AF">
        <w:rPr>
          <w:rFonts w:cs="Arial"/>
        </w:rPr>
        <w:t xml:space="preserve">өмнө жилээс </w:t>
      </w:r>
      <w:r w:rsidR="0036635E" w:rsidRPr="295294AF">
        <w:rPr>
          <w:rFonts w:cs="Arial"/>
        </w:rPr>
        <w:t>2.4 нэгж хувиар өс</w:t>
      </w:r>
      <w:r w:rsidR="008B6F7B" w:rsidRPr="295294AF">
        <w:rPr>
          <w:rFonts w:cs="Arial"/>
        </w:rPr>
        <w:t>сөн бол</w:t>
      </w:r>
      <w:r w:rsidRPr="295294AF">
        <w:rPr>
          <w:rFonts w:cs="Arial"/>
        </w:rPr>
        <w:t xml:space="preserve"> оны эцэст </w:t>
      </w:r>
      <w:r w:rsidR="003F0216" w:rsidRPr="295294AF">
        <w:rPr>
          <w:rFonts w:cs="Arial"/>
        </w:rPr>
        <w:t>7</w:t>
      </w:r>
      <w:r w:rsidRPr="295294AF">
        <w:rPr>
          <w:rFonts w:cs="Arial"/>
        </w:rPr>
        <w:t>.</w:t>
      </w:r>
      <w:r w:rsidR="003F0216" w:rsidRPr="295294AF">
        <w:rPr>
          <w:rFonts w:cs="Arial"/>
        </w:rPr>
        <w:t>5</w:t>
      </w:r>
      <w:r w:rsidRPr="295294AF">
        <w:rPr>
          <w:rFonts w:cs="Arial"/>
        </w:rPr>
        <w:t xml:space="preserve"> хувь</w:t>
      </w:r>
      <w:r w:rsidR="3F4011C1" w:rsidRPr="295294AF">
        <w:rPr>
          <w:rFonts w:cs="Arial"/>
        </w:rPr>
        <w:t xml:space="preserve"> болж өмнөх оны</w:t>
      </w:r>
      <w:r w:rsidR="002A5D95" w:rsidRPr="295294AF">
        <w:rPr>
          <w:rFonts w:cs="Arial"/>
        </w:rPr>
        <w:t xml:space="preserve"> мөн үеэс</w:t>
      </w:r>
      <w:r w:rsidR="00E36CDB" w:rsidRPr="295294AF">
        <w:rPr>
          <w:rFonts w:cs="Arial"/>
        </w:rPr>
        <w:t xml:space="preserve"> </w:t>
      </w:r>
      <w:r w:rsidR="00B876F1" w:rsidRPr="295294AF">
        <w:rPr>
          <w:rFonts w:cs="Arial"/>
        </w:rPr>
        <w:t xml:space="preserve">0.9 нэгж хувиар </w:t>
      </w:r>
      <w:r w:rsidR="3F4011C1" w:rsidRPr="295294AF">
        <w:rPr>
          <w:rFonts w:cs="Arial"/>
        </w:rPr>
        <w:t xml:space="preserve">буурснаар төв банкны зорилтот интервалд </w:t>
      </w:r>
      <w:r w:rsidR="2A5469E9" w:rsidRPr="295294AF">
        <w:rPr>
          <w:rFonts w:cs="Arial"/>
        </w:rPr>
        <w:t>орлоо.</w:t>
      </w:r>
    </w:p>
    <w:p w14:paraId="5FA8F669" w14:textId="77777777" w:rsidR="00374FAF" w:rsidRDefault="00374FAF" w:rsidP="00374FAF">
      <w:pPr>
        <w:tabs>
          <w:tab w:val="right" w:leader="dot" w:pos="9354"/>
        </w:tabs>
        <w:spacing w:afterLines="0" w:after="0" w:line="240" w:lineRule="auto"/>
        <w:ind w:firstLine="720"/>
        <w:rPr>
          <w:rFonts w:cs="Arial"/>
        </w:rPr>
      </w:pPr>
    </w:p>
    <w:p w14:paraId="4B736E48" w14:textId="16FC1471" w:rsidR="00610902" w:rsidRDefault="1528ECE9" w:rsidP="00374FAF">
      <w:pPr>
        <w:tabs>
          <w:tab w:val="right" w:leader="dot" w:pos="9354"/>
        </w:tabs>
        <w:spacing w:afterLines="0" w:after="0" w:line="240" w:lineRule="auto"/>
        <w:ind w:firstLine="720"/>
        <w:rPr>
          <w:rFonts w:cs="Arial"/>
        </w:rPr>
      </w:pPr>
      <w:r w:rsidRPr="295294AF">
        <w:rPr>
          <w:rFonts w:cs="Arial"/>
        </w:rPr>
        <w:t>Жилийн дундаж инфляцыг х</w:t>
      </w:r>
      <w:r w:rsidR="00A07461" w:rsidRPr="295294AF">
        <w:rPr>
          <w:rFonts w:cs="Arial"/>
        </w:rPr>
        <w:t>үнсний болон хүнсний бус ангиллаар</w:t>
      </w:r>
      <w:r w:rsidR="00EF7A63" w:rsidRPr="295294AF">
        <w:rPr>
          <w:rFonts w:cs="Arial"/>
        </w:rPr>
        <w:t xml:space="preserve"> </w:t>
      </w:r>
      <w:r w:rsidR="350EC4D1" w:rsidRPr="295294AF">
        <w:rPr>
          <w:rFonts w:cs="Arial"/>
        </w:rPr>
        <w:t xml:space="preserve">харвал, </w:t>
      </w:r>
      <w:r w:rsidR="00EF7A63" w:rsidRPr="295294AF">
        <w:rPr>
          <w:rFonts w:cs="Arial"/>
        </w:rPr>
        <w:t xml:space="preserve">инфляцын </w:t>
      </w:r>
      <w:r w:rsidR="00555DAF" w:rsidRPr="295294AF">
        <w:rPr>
          <w:rFonts w:cs="Arial"/>
        </w:rPr>
        <w:t xml:space="preserve">2.4 нэгж хувь </w:t>
      </w:r>
      <w:r w:rsidR="1C6ADA1E" w:rsidRPr="295294AF">
        <w:rPr>
          <w:rFonts w:cs="Arial"/>
        </w:rPr>
        <w:t xml:space="preserve">нь </w:t>
      </w:r>
      <w:r w:rsidR="00555DAF" w:rsidRPr="295294AF">
        <w:rPr>
          <w:rFonts w:cs="Arial"/>
        </w:rPr>
        <w:t xml:space="preserve">хүнсний, </w:t>
      </w:r>
      <w:r w:rsidR="00D80F23" w:rsidRPr="295294AF">
        <w:rPr>
          <w:rFonts w:cs="Arial"/>
        </w:rPr>
        <w:t xml:space="preserve">6.2 нэгж хувь нь </w:t>
      </w:r>
      <w:r w:rsidR="009C108A" w:rsidRPr="295294AF">
        <w:rPr>
          <w:rFonts w:cs="Arial"/>
        </w:rPr>
        <w:t>хүнсний бус бараа</w:t>
      </w:r>
      <w:r w:rsidR="00813B48" w:rsidRPr="295294AF">
        <w:rPr>
          <w:rFonts w:cs="Arial"/>
        </w:rPr>
        <w:t>ны үнийн өсөлтөөс шалтгаалсан</w:t>
      </w:r>
      <w:r w:rsidR="772933C9" w:rsidRPr="295294AF">
        <w:rPr>
          <w:rFonts w:cs="Arial"/>
        </w:rPr>
        <w:t xml:space="preserve"> байна</w:t>
      </w:r>
      <w:r w:rsidR="002F583E" w:rsidRPr="295294AF">
        <w:rPr>
          <w:rFonts w:cs="Arial"/>
        </w:rPr>
        <w:t xml:space="preserve">. </w:t>
      </w:r>
      <w:r w:rsidR="002A2A0F" w:rsidRPr="295294AF">
        <w:rPr>
          <w:rFonts w:cs="Arial"/>
        </w:rPr>
        <w:t xml:space="preserve">Оны эхний 7 сард хүнсний </w:t>
      </w:r>
      <w:r w:rsidR="005E3466" w:rsidRPr="295294AF">
        <w:rPr>
          <w:rFonts w:cs="Arial"/>
        </w:rPr>
        <w:t xml:space="preserve">барааны үнийн өсөлт </w:t>
      </w:r>
      <w:r w:rsidR="00E66E24" w:rsidRPr="295294AF">
        <w:rPr>
          <w:rFonts w:cs="Arial"/>
        </w:rPr>
        <w:t>ний</w:t>
      </w:r>
      <w:r w:rsidR="009D392C" w:rsidRPr="295294AF">
        <w:rPr>
          <w:rFonts w:cs="Arial"/>
        </w:rPr>
        <w:t xml:space="preserve">т инфляцын </w:t>
      </w:r>
      <w:r w:rsidR="005E79DA" w:rsidRPr="295294AF">
        <w:rPr>
          <w:rFonts w:cs="Arial"/>
        </w:rPr>
        <w:t xml:space="preserve">дунджаар </w:t>
      </w:r>
      <w:r w:rsidR="00DC1F80" w:rsidRPr="295294AF">
        <w:rPr>
          <w:rFonts w:cs="Arial"/>
        </w:rPr>
        <w:t>23 орчим хувийг бүрдүүлсэн</w:t>
      </w:r>
      <w:r w:rsidR="00C85062" w:rsidRPr="295294AF">
        <w:rPr>
          <w:rFonts w:cs="Arial"/>
        </w:rPr>
        <w:t xml:space="preserve"> б</w:t>
      </w:r>
      <w:r w:rsidR="006E253B" w:rsidRPr="295294AF">
        <w:rPr>
          <w:rFonts w:cs="Arial"/>
        </w:rPr>
        <w:t>ол</w:t>
      </w:r>
      <w:r w:rsidR="00DC1F80" w:rsidRPr="295294AF">
        <w:rPr>
          <w:rFonts w:cs="Arial"/>
        </w:rPr>
        <w:t xml:space="preserve">, 8 дугаар сараас </w:t>
      </w:r>
      <w:r w:rsidR="00506DB0" w:rsidRPr="295294AF">
        <w:rPr>
          <w:rFonts w:cs="Arial"/>
        </w:rPr>
        <w:t>өсөж</w:t>
      </w:r>
      <w:r w:rsidR="00CF5680" w:rsidRPr="295294AF">
        <w:rPr>
          <w:rFonts w:cs="Arial"/>
        </w:rPr>
        <w:t xml:space="preserve"> сүүлийн 5 сард</w:t>
      </w:r>
      <w:r w:rsidR="00FE19DB" w:rsidRPr="295294AF">
        <w:rPr>
          <w:rFonts w:cs="Arial"/>
        </w:rPr>
        <w:t xml:space="preserve"> дунджаар</w:t>
      </w:r>
      <w:r w:rsidR="00CF5680" w:rsidRPr="295294AF">
        <w:rPr>
          <w:rFonts w:cs="Arial"/>
        </w:rPr>
        <w:t xml:space="preserve"> </w:t>
      </w:r>
      <w:r w:rsidR="00517315" w:rsidRPr="295294AF">
        <w:rPr>
          <w:rFonts w:cs="Arial"/>
        </w:rPr>
        <w:t>35 орчим хув</w:t>
      </w:r>
      <w:r w:rsidR="00FE19DB" w:rsidRPr="295294AF">
        <w:rPr>
          <w:rFonts w:cs="Arial"/>
        </w:rPr>
        <w:t>ь</w:t>
      </w:r>
      <w:r w:rsidR="00517315" w:rsidRPr="295294AF">
        <w:rPr>
          <w:rFonts w:cs="Arial"/>
        </w:rPr>
        <w:t xml:space="preserve"> </w:t>
      </w:r>
      <w:r w:rsidR="00635813" w:rsidRPr="295294AF">
        <w:rPr>
          <w:rFonts w:cs="Arial"/>
        </w:rPr>
        <w:t>болсон</w:t>
      </w:r>
      <w:r w:rsidR="005230A5" w:rsidRPr="295294AF">
        <w:rPr>
          <w:rFonts w:cs="Arial"/>
        </w:rPr>
        <w:t xml:space="preserve"> байна. Үүнд </w:t>
      </w:r>
      <w:r w:rsidR="001602B6" w:rsidRPr="295294AF">
        <w:rPr>
          <w:rFonts w:cs="Arial"/>
        </w:rPr>
        <w:t xml:space="preserve">2025 оны </w:t>
      </w:r>
      <w:r w:rsidR="00D2131F" w:rsidRPr="295294AF">
        <w:rPr>
          <w:rFonts w:cs="Arial"/>
        </w:rPr>
        <w:t>ган</w:t>
      </w:r>
      <w:r w:rsidR="007D1FC9" w:rsidRPr="295294AF">
        <w:rPr>
          <w:rFonts w:cs="Arial"/>
        </w:rPr>
        <w:t>г</w:t>
      </w:r>
      <w:r w:rsidR="009A6A39" w:rsidRPr="295294AF">
        <w:rPr>
          <w:rFonts w:cs="Arial"/>
        </w:rPr>
        <w:t>ийн</w:t>
      </w:r>
      <w:r w:rsidR="00E1189A" w:rsidRPr="295294AF">
        <w:rPr>
          <w:rFonts w:cs="Arial"/>
        </w:rPr>
        <w:t xml:space="preserve"> </w:t>
      </w:r>
      <w:r w:rsidR="00396B29" w:rsidRPr="295294AF">
        <w:rPr>
          <w:rFonts w:cs="Arial"/>
        </w:rPr>
        <w:t xml:space="preserve">нөлөөгөөр </w:t>
      </w:r>
      <w:r w:rsidR="00231029" w:rsidRPr="295294AF">
        <w:rPr>
          <w:rFonts w:cs="Arial"/>
        </w:rPr>
        <w:t>хураасан ургацын хэмжээ бага</w:t>
      </w:r>
      <w:r w:rsidR="00FD74DF" w:rsidRPr="295294AF">
        <w:rPr>
          <w:rFonts w:cs="Arial"/>
        </w:rPr>
        <w:t xml:space="preserve"> гарч,</w:t>
      </w:r>
      <w:r w:rsidR="001F5E95" w:rsidRPr="295294AF">
        <w:rPr>
          <w:rFonts w:cs="Arial"/>
        </w:rPr>
        <w:t xml:space="preserve"> </w:t>
      </w:r>
      <w:r w:rsidR="00284B18" w:rsidRPr="295294AF">
        <w:rPr>
          <w:rFonts w:cs="Arial"/>
        </w:rPr>
        <w:t>хүнсний ногооны</w:t>
      </w:r>
      <w:r w:rsidR="001F5E95" w:rsidRPr="295294AF">
        <w:rPr>
          <w:rFonts w:cs="Arial"/>
        </w:rPr>
        <w:t xml:space="preserve"> үн</w:t>
      </w:r>
      <w:r w:rsidR="00B320C5" w:rsidRPr="295294AF">
        <w:rPr>
          <w:rFonts w:cs="Arial"/>
        </w:rPr>
        <w:t xml:space="preserve">э өссөн </w:t>
      </w:r>
      <w:r w:rsidR="0030264F" w:rsidRPr="295294AF">
        <w:rPr>
          <w:rFonts w:cs="Arial"/>
        </w:rPr>
        <w:t>нь нөлөөлсөн байна.</w:t>
      </w:r>
    </w:p>
    <w:p w14:paraId="17ABE8B1" w14:textId="77777777" w:rsidR="00374FAF" w:rsidRDefault="00374FAF" w:rsidP="00374FAF">
      <w:pPr>
        <w:tabs>
          <w:tab w:val="right" w:leader="dot" w:pos="9354"/>
        </w:tabs>
        <w:spacing w:afterLines="0" w:after="0" w:line="240" w:lineRule="auto"/>
        <w:ind w:firstLine="720"/>
        <w:rPr>
          <w:rFonts w:cs="Arial"/>
        </w:rPr>
      </w:pPr>
    </w:p>
    <w:p w14:paraId="774F2983" w14:textId="7001FF4C" w:rsidR="00A72F2C" w:rsidRDefault="56A319C3" w:rsidP="00374FAF">
      <w:pPr>
        <w:tabs>
          <w:tab w:val="right" w:leader="dot" w:pos="9354"/>
        </w:tabs>
        <w:spacing w:afterLines="0" w:after="0" w:line="240" w:lineRule="auto"/>
        <w:ind w:firstLine="720"/>
        <w:rPr>
          <w:rFonts w:cs="Arial"/>
        </w:rPr>
      </w:pPr>
      <w:r w:rsidRPr="295294AF">
        <w:rPr>
          <w:rFonts w:cs="Arial"/>
        </w:rPr>
        <w:t>Инфляцыг импортын, дотоодын ангиллаар харвал,</w:t>
      </w:r>
      <w:r w:rsidR="00C85062" w:rsidRPr="295294AF">
        <w:rPr>
          <w:rFonts w:cs="Arial"/>
        </w:rPr>
        <w:t xml:space="preserve"> </w:t>
      </w:r>
      <w:r w:rsidR="0038214B" w:rsidRPr="295294AF">
        <w:rPr>
          <w:rFonts w:cs="Arial"/>
        </w:rPr>
        <w:t>2.3 нэгж хувь</w:t>
      </w:r>
      <w:r w:rsidR="00C43288" w:rsidRPr="295294AF">
        <w:rPr>
          <w:rFonts w:cs="Arial"/>
        </w:rPr>
        <w:t xml:space="preserve"> нь</w:t>
      </w:r>
      <w:r w:rsidR="00494725" w:rsidRPr="295294AF">
        <w:rPr>
          <w:rFonts w:cs="Arial"/>
        </w:rPr>
        <w:t xml:space="preserve"> </w:t>
      </w:r>
      <w:r w:rsidR="003C638F" w:rsidRPr="295294AF">
        <w:rPr>
          <w:rFonts w:cs="Arial"/>
        </w:rPr>
        <w:t xml:space="preserve">импортын </w:t>
      </w:r>
      <w:r w:rsidR="00E2318F" w:rsidRPr="295294AF">
        <w:rPr>
          <w:rFonts w:cs="Arial"/>
        </w:rPr>
        <w:t>гаралтай</w:t>
      </w:r>
      <w:r w:rsidR="006E253B" w:rsidRPr="295294AF">
        <w:rPr>
          <w:rFonts w:cs="Arial"/>
        </w:rPr>
        <w:t xml:space="preserve"> барааны </w:t>
      </w:r>
      <w:r w:rsidR="000A64DA" w:rsidRPr="295294AF">
        <w:rPr>
          <w:rFonts w:cs="Arial"/>
        </w:rPr>
        <w:t>үнийн өсөлт</w:t>
      </w:r>
      <w:r w:rsidR="00DA5F4A" w:rsidRPr="295294AF">
        <w:rPr>
          <w:rFonts w:cs="Arial"/>
        </w:rPr>
        <w:t xml:space="preserve">, 6.3 нэгж хувь нь </w:t>
      </w:r>
      <w:r w:rsidR="009F2082" w:rsidRPr="295294AF">
        <w:rPr>
          <w:rFonts w:cs="Arial"/>
        </w:rPr>
        <w:t>дотоодын бараа, үйлчилгээний үнийн өсөлтөөр тайлбарлагдаж байна.</w:t>
      </w:r>
      <w:r w:rsidR="00E2318F" w:rsidRPr="295294AF">
        <w:rPr>
          <w:rFonts w:cs="Arial"/>
        </w:rPr>
        <w:t xml:space="preserve"> </w:t>
      </w:r>
      <w:r w:rsidR="007062B1" w:rsidRPr="295294AF">
        <w:rPr>
          <w:rFonts w:cs="Arial"/>
        </w:rPr>
        <w:t xml:space="preserve">2025 онд импортын гаралтай барааны </w:t>
      </w:r>
      <w:r w:rsidR="00986BA2" w:rsidRPr="295294AF">
        <w:rPr>
          <w:rFonts w:cs="Arial"/>
        </w:rPr>
        <w:t>инфл</w:t>
      </w:r>
      <w:r w:rsidR="00997DCE" w:rsidRPr="295294AF">
        <w:rPr>
          <w:rFonts w:cs="Arial"/>
        </w:rPr>
        <w:t xml:space="preserve">яц </w:t>
      </w:r>
      <w:r w:rsidR="0017616D" w:rsidRPr="295294AF">
        <w:rPr>
          <w:rFonts w:cs="Arial"/>
        </w:rPr>
        <w:t xml:space="preserve">хэлбэлзэл бага </w:t>
      </w:r>
      <w:r w:rsidR="00997DCE" w:rsidRPr="295294AF">
        <w:rPr>
          <w:rFonts w:cs="Arial"/>
        </w:rPr>
        <w:t xml:space="preserve">байсан нь </w:t>
      </w:r>
      <w:r w:rsidR="0033001B" w:rsidRPr="295294AF">
        <w:rPr>
          <w:rFonts w:cs="Arial"/>
        </w:rPr>
        <w:t>валютын</w:t>
      </w:r>
      <w:r w:rsidR="00DB1703" w:rsidRPr="295294AF">
        <w:rPr>
          <w:rFonts w:cs="Arial"/>
        </w:rPr>
        <w:t xml:space="preserve"> </w:t>
      </w:r>
      <w:r w:rsidR="00A24065" w:rsidRPr="295294AF">
        <w:rPr>
          <w:rFonts w:cs="Arial"/>
        </w:rPr>
        <w:t>зах зээл</w:t>
      </w:r>
      <w:r w:rsidR="00A80981" w:rsidRPr="295294AF">
        <w:rPr>
          <w:rFonts w:cs="Arial"/>
        </w:rPr>
        <w:t xml:space="preserve"> харьцангуй тогтвортой </w:t>
      </w:r>
      <w:r w:rsidR="00682E0D" w:rsidRPr="295294AF">
        <w:rPr>
          <w:rFonts w:cs="Arial"/>
        </w:rPr>
        <w:t>бай</w:t>
      </w:r>
      <w:r w:rsidR="5DAECB1B" w:rsidRPr="295294AF">
        <w:rPr>
          <w:rFonts w:cs="Arial"/>
        </w:rPr>
        <w:t>сан</w:t>
      </w:r>
      <w:r w:rsidR="6895F66B" w:rsidRPr="295294AF">
        <w:rPr>
          <w:rFonts w:cs="Arial"/>
        </w:rPr>
        <w:t>тай холбоотой</w:t>
      </w:r>
      <w:r w:rsidR="004D3590" w:rsidRPr="295294AF">
        <w:rPr>
          <w:rFonts w:cs="Arial"/>
        </w:rPr>
        <w:t xml:space="preserve"> байна.</w:t>
      </w:r>
    </w:p>
    <w:p w14:paraId="678E0E02" w14:textId="77777777" w:rsidR="00374FAF" w:rsidRDefault="00374FAF" w:rsidP="00374FAF">
      <w:pPr>
        <w:tabs>
          <w:tab w:val="right" w:leader="dot" w:pos="9354"/>
        </w:tabs>
        <w:spacing w:afterLines="0" w:after="0" w:line="240" w:lineRule="auto"/>
        <w:ind w:firstLine="720"/>
        <w:rPr>
          <w:rFonts w:cs="Arial"/>
        </w:rPr>
      </w:pPr>
    </w:p>
    <w:p w14:paraId="3B1018BC" w14:textId="390A9F4D" w:rsidR="785E18A6" w:rsidRDefault="43EDBF40" w:rsidP="00374FAF">
      <w:pPr>
        <w:tabs>
          <w:tab w:val="right" w:leader="dot" w:pos="9354"/>
        </w:tabs>
        <w:spacing w:afterLines="0" w:after="0" w:line="240" w:lineRule="auto"/>
        <w:ind w:firstLine="720"/>
        <w:rPr>
          <w:rFonts w:cs="Arial"/>
        </w:rPr>
      </w:pPr>
      <w:r w:rsidRPr="00D8766C">
        <w:rPr>
          <w:rFonts w:cs="Arial"/>
        </w:rPr>
        <w:t xml:space="preserve">Инфляцыг эрэлт, нийлүүлэлтийн ангиллаар харвал, </w:t>
      </w:r>
      <w:r w:rsidR="00880AC9" w:rsidRPr="00D8766C">
        <w:rPr>
          <w:rFonts w:cs="Arial"/>
        </w:rPr>
        <w:t xml:space="preserve">5.1 нэгж хувь нь эрэлтийн </w:t>
      </w:r>
      <w:r w:rsidR="00C65C73" w:rsidRPr="00D8766C">
        <w:rPr>
          <w:rFonts w:cs="Arial"/>
        </w:rPr>
        <w:t xml:space="preserve">гаралтай, 3.5 нэгж хувь нь </w:t>
      </w:r>
      <w:r w:rsidR="00484729" w:rsidRPr="00D8766C">
        <w:rPr>
          <w:rFonts w:cs="Arial"/>
        </w:rPr>
        <w:t>нийлүүлэлтийн гара</w:t>
      </w:r>
      <w:r w:rsidR="00D86248" w:rsidRPr="00D8766C">
        <w:rPr>
          <w:rFonts w:cs="Arial"/>
        </w:rPr>
        <w:t xml:space="preserve">лтай </w:t>
      </w:r>
      <w:r w:rsidR="0090245D" w:rsidRPr="00D8766C">
        <w:rPr>
          <w:rFonts w:cs="Arial"/>
        </w:rPr>
        <w:t xml:space="preserve">барааны үнийн өсөлт </w:t>
      </w:r>
      <w:r w:rsidR="00550699">
        <w:rPr>
          <w:rFonts w:cs="Arial"/>
        </w:rPr>
        <w:t>байв</w:t>
      </w:r>
      <w:r w:rsidR="2DFDDB18" w:rsidRPr="00D8766C">
        <w:rPr>
          <w:rFonts w:cs="Arial"/>
        </w:rPr>
        <w:t>.</w:t>
      </w:r>
      <w:r w:rsidR="2DFDDB18" w:rsidRPr="295294AF">
        <w:rPr>
          <w:rFonts w:cs="Arial"/>
        </w:rPr>
        <w:t xml:space="preserve"> </w:t>
      </w:r>
      <w:r w:rsidR="001667FF">
        <w:rPr>
          <w:rFonts w:cs="Arial"/>
        </w:rPr>
        <w:t>Ц</w:t>
      </w:r>
      <w:r w:rsidR="00AF3521" w:rsidRPr="00D8766C">
        <w:rPr>
          <w:rFonts w:cs="Arial"/>
        </w:rPr>
        <w:t>ахилгааны</w:t>
      </w:r>
      <w:r w:rsidR="00AF3521" w:rsidRPr="295294AF">
        <w:rPr>
          <w:rFonts w:cs="Arial"/>
        </w:rPr>
        <w:t xml:space="preserve"> </w:t>
      </w:r>
      <w:r w:rsidR="00791477" w:rsidRPr="295294AF">
        <w:rPr>
          <w:rFonts w:cs="Arial"/>
        </w:rPr>
        <w:t xml:space="preserve">төлбөр болон </w:t>
      </w:r>
      <w:r w:rsidR="008E2AEB" w:rsidRPr="295294AF">
        <w:rPr>
          <w:rFonts w:cs="Arial"/>
        </w:rPr>
        <w:t>шатахууны үнийн өсөлтийн</w:t>
      </w:r>
      <w:r w:rsidR="004259B8" w:rsidRPr="295294AF">
        <w:rPr>
          <w:rFonts w:cs="Arial"/>
        </w:rPr>
        <w:t xml:space="preserve"> </w:t>
      </w:r>
      <w:r w:rsidR="001A6123" w:rsidRPr="295294AF">
        <w:rPr>
          <w:rFonts w:cs="Arial"/>
        </w:rPr>
        <w:t xml:space="preserve">нөлөөнөөс </w:t>
      </w:r>
      <w:r w:rsidR="004259B8" w:rsidRPr="295294AF">
        <w:rPr>
          <w:rFonts w:cs="Arial"/>
        </w:rPr>
        <w:t xml:space="preserve">үүдэлтэйгээр </w:t>
      </w:r>
      <w:r w:rsidR="001A6123" w:rsidRPr="295294AF">
        <w:rPr>
          <w:rFonts w:cs="Arial"/>
        </w:rPr>
        <w:t>нийлүүлэлтийн</w:t>
      </w:r>
      <w:r w:rsidR="004259B8" w:rsidRPr="295294AF">
        <w:rPr>
          <w:rFonts w:cs="Arial"/>
        </w:rPr>
        <w:t xml:space="preserve"> шалтгаантай инфляц өссөн</w:t>
      </w:r>
      <w:r w:rsidR="5C425E1D" w:rsidRPr="295294AF">
        <w:rPr>
          <w:rFonts w:cs="Arial"/>
        </w:rPr>
        <w:t xml:space="preserve"> бол эрэлтийн инфляц </w:t>
      </w:r>
      <w:r w:rsidR="6C72423F" w:rsidRPr="295294AF">
        <w:rPr>
          <w:rFonts w:cs="Arial"/>
        </w:rPr>
        <w:t xml:space="preserve">оны турш саарч, </w:t>
      </w:r>
      <w:r w:rsidR="3C8C00E0" w:rsidRPr="295294AF">
        <w:rPr>
          <w:rFonts w:cs="Arial"/>
        </w:rPr>
        <w:t xml:space="preserve">оны эхний улиралд </w:t>
      </w:r>
      <w:r w:rsidR="6C72423F" w:rsidRPr="295294AF">
        <w:rPr>
          <w:rFonts w:cs="Arial"/>
        </w:rPr>
        <w:t xml:space="preserve">бодлогын хүүг чангаруулах, </w:t>
      </w:r>
      <w:r w:rsidR="61F9685B" w:rsidRPr="295294AF">
        <w:rPr>
          <w:rFonts w:cs="Arial"/>
        </w:rPr>
        <w:t xml:space="preserve">оны сүүл хагаст </w:t>
      </w:r>
      <w:r w:rsidR="14C50714" w:rsidRPr="295294AF">
        <w:rPr>
          <w:rFonts w:cs="Arial"/>
        </w:rPr>
        <w:t xml:space="preserve">зардал бууруулах </w:t>
      </w:r>
      <w:r w:rsidR="6C72423F" w:rsidRPr="295294AF">
        <w:rPr>
          <w:rFonts w:cs="Arial"/>
        </w:rPr>
        <w:t xml:space="preserve">төсвийн тодотгол хийх зэрэг төсөв, мөнгөний бодлогын арга хэмжээнүүд инфляцын дарамтыг бууруулахад хувь нэмэр оруулсан байна. </w:t>
      </w:r>
    </w:p>
    <w:p w14:paraId="073DAC61" w14:textId="77777777" w:rsidR="00374FAF" w:rsidRDefault="00374FAF" w:rsidP="00374FAF">
      <w:pPr>
        <w:tabs>
          <w:tab w:val="right" w:leader="dot" w:pos="9354"/>
        </w:tabs>
        <w:spacing w:afterLines="0" w:after="0" w:line="240" w:lineRule="auto"/>
        <w:ind w:firstLine="720"/>
        <w:rPr>
          <w:rFonts w:cs="Arial"/>
        </w:rPr>
      </w:pPr>
    </w:p>
    <w:p w14:paraId="5A54530E" w14:textId="4FBC560A" w:rsidR="00CA1935" w:rsidRPr="00CA1935" w:rsidRDefault="00CA1935" w:rsidP="00374FAF">
      <w:pPr>
        <w:tabs>
          <w:tab w:val="right" w:leader="dot" w:pos="9354"/>
        </w:tabs>
        <w:spacing w:afterLines="0" w:after="0" w:line="240" w:lineRule="auto"/>
        <w:ind w:firstLine="720"/>
        <w:rPr>
          <w:rFonts w:cs="Arial"/>
        </w:rPr>
      </w:pPr>
      <w:r w:rsidRPr="295294AF">
        <w:rPr>
          <w:rFonts w:cs="Arial"/>
        </w:rPr>
        <w:t>Мөнгөний нийлүүлэлт 2025 оны эцэст 46.8 их наяд төгрөгт хүрч, өмнөх оны мөн үеэс 9.9 хувиар өслөө. Арилжааны банкнуудын зээлийн үлдэгдэл 2025 оны эцэст 43.8 их наяд төгрөгт хүр</w:t>
      </w:r>
      <w:r w:rsidR="7F6E264D" w:rsidRPr="295294AF">
        <w:rPr>
          <w:rFonts w:cs="Arial"/>
        </w:rPr>
        <w:t>снээр</w:t>
      </w:r>
      <w:r w:rsidRPr="295294AF">
        <w:rPr>
          <w:rFonts w:cs="Arial"/>
        </w:rPr>
        <w:t>, зээлийн өсөлт 19.0 хувьд хүрч, өсөлтийн хурд саарсан</w:t>
      </w:r>
      <w:r w:rsidR="14E5B5B9" w:rsidRPr="295294AF">
        <w:rPr>
          <w:rFonts w:cs="Arial"/>
        </w:rPr>
        <w:t xml:space="preserve"> байна</w:t>
      </w:r>
      <w:r w:rsidRPr="295294AF">
        <w:rPr>
          <w:rFonts w:cs="Arial"/>
        </w:rPr>
        <w:t xml:space="preserve">. Зээлийн өсөлтөд цалин, үл хөдлөх хөрөнгийн үйл ажиллагаа болон уул уурхайн салбарын зээлийн өсөлт голлон нөлөөллөө. </w:t>
      </w:r>
    </w:p>
    <w:p w14:paraId="0D093760" w14:textId="77777777" w:rsidR="00374FAF" w:rsidRDefault="00374FAF" w:rsidP="00374FAF">
      <w:pPr>
        <w:tabs>
          <w:tab w:val="right" w:leader="dot" w:pos="9354"/>
        </w:tabs>
        <w:spacing w:afterLines="0" w:after="0" w:line="240" w:lineRule="auto"/>
        <w:ind w:firstLine="720"/>
        <w:rPr>
          <w:rFonts w:cs="Arial"/>
        </w:rPr>
      </w:pPr>
    </w:p>
    <w:p w14:paraId="1F486052" w14:textId="640ACA8C" w:rsidR="004259B8" w:rsidRDefault="004259B8" w:rsidP="00374FAF">
      <w:pPr>
        <w:tabs>
          <w:tab w:val="right" w:leader="dot" w:pos="9354"/>
        </w:tabs>
        <w:spacing w:afterLines="0" w:after="0" w:line="240" w:lineRule="auto"/>
        <w:ind w:firstLine="720"/>
        <w:rPr>
          <w:rFonts w:cs="Arial"/>
        </w:rPr>
      </w:pPr>
      <w:r w:rsidRPr="295294AF">
        <w:rPr>
          <w:rFonts w:cs="Arial"/>
        </w:rPr>
        <w:t xml:space="preserve">Эх үүсвэр талаас төгрөгийн эх үүсвэр нэмэгдсэн нь мөнгөний нийлүүлэлтийн өсөлтөд голлон нөлөөлөв. Тухайлбал, мөнгөний нийлүүлэлтийн өсөлтийн </w:t>
      </w:r>
      <w:r w:rsidR="006A623D" w:rsidRPr="295294AF">
        <w:rPr>
          <w:rFonts w:cs="Arial"/>
        </w:rPr>
        <w:t>7.6</w:t>
      </w:r>
      <w:r w:rsidRPr="295294AF">
        <w:rPr>
          <w:rFonts w:cs="Arial"/>
        </w:rPr>
        <w:t xml:space="preserve"> нэгж хувийг төгрөгийн харилцах, хадгаламж, 2.</w:t>
      </w:r>
      <w:r w:rsidR="00175E4C" w:rsidRPr="295294AF">
        <w:rPr>
          <w:rFonts w:cs="Arial"/>
        </w:rPr>
        <w:t>2</w:t>
      </w:r>
      <w:r w:rsidRPr="295294AF">
        <w:rPr>
          <w:rFonts w:cs="Arial"/>
        </w:rPr>
        <w:t xml:space="preserve"> нэгж хувийг гадаад валютын харилцах, хадгаламж тус тус бүрдүүлсэн байна. </w:t>
      </w:r>
    </w:p>
    <w:p w14:paraId="36A3DD44" w14:textId="5E3C449F" w:rsidR="004259B8" w:rsidRPr="008C5EE2" w:rsidRDefault="004259B8" w:rsidP="00374FAF">
      <w:pPr>
        <w:pStyle w:val="Caption"/>
        <w:keepNext/>
        <w:spacing w:after="120"/>
        <w:jc w:val="right"/>
        <w:rPr>
          <w:rFonts w:ascii="Arial" w:hAnsi="Arial" w:cs="Arial"/>
          <w:color w:val="000000" w:themeColor="text1"/>
        </w:rPr>
      </w:pPr>
      <w:bookmarkStart w:id="47" w:name="_Toc195366772"/>
      <w:bookmarkStart w:id="48" w:name="_Toc195515844"/>
      <w:bookmarkStart w:id="49" w:name="_Toc195606105"/>
      <w:bookmarkStart w:id="50" w:name="_Toc195607501"/>
      <w:bookmarkStart w:id="51" w:name="_Toc195612510"/>
      <w:bookmarkStart w:id="52" w:name="_Toc201605975"/>
      <w:bookmarkStart w:id="53" w:name="_Toc201759621"/>
      <w:r w:rsidRPr="008C5EE2">
        <w:rPr>
          <w:rFonts w:ascii="Arial" w:hAnsi="Arial" w:cs="Arial"/>
          <w:color w:val="000000" w:themeColor="text1"/>
        </w:rPr>
        <w:lastRenderedPageBreak/>
        <w:t xml:space="preserve">Зураг </w:t>
      </w:r>
      <w:r w:rsidRPr="008C5EE2">
        <w:rPr>
          <w:rFonts w:ascii="Arial" w:hAnsi="Arial" w:cs="Arial"/>
          <w:color w:val="000000" w:themeColor="text1"/>
        </w:rPr>
        <w:fldChar w:fldCharType="begin"/>
      </w:r>
      <w:r w:rsidRPr="008C5EE2">
        <w:rPr>
          <w:rFonts w:ascii="Arial" w:hAnsi="Arial" w:cs="Arial"/>
          <w:color w:val="000000" w:themeColor="text1"/>
        </w:rPr>
        <w:instrText xml:space="preserve"> STYLEREF 1 \s </w:instrText>
      </w:r>
      <w:r w:rsidRPr="008C5EE2">
        <w:rPr>
          <w:rFonts w:ascii="Arial" w:hAnsi="Arial" w:cs="Arial"/>
          <w:color w:val="000000" w:themeColor="text1"/>
        </w:rPr>
        <w:fldChar w:fldCharType="separate"/>
      </w:r>
      <w:r w:rsidR="000E7C9C">
        <w:rPr>
          <w:rFonts w:ascii="Arial" w:hAnsi="Arial" w:cs="Arial"/>
          <w:noProof/>
          <w:color w:val="000000" w:themeColor="text1"/>
        </w:rPr>
        <w:t>1</w:t>
      </w:r>
      <w:r w:rsidRPr="008C5EE2">
        <w:rPr>
          <w:rFonts w:ascii="Arial" w:hAnsi="Arial" w:cs="Arial"/>
          <w:color w:val="000000" w:themeColor="text1"/>
        </w:rPr>
        <w:fldChar w:fldCharType="end"/>
      </w:r>
      <w:r w:rsidRPr="008C5EE2">
        <w:rPr>
          <w:rFonts w:ascii="Arial" w:hAnsi="Arial" w:cs="Arial"/>
          <w:color w:val="000000" w:themeColor="text1"/>
        </w:rPr>
        <w:t>.</w:t>
      </w:r>
      <w:r w:rsidRPr="008C5EE2">
        <w:rPr>
          <w:rFonts w:ascii="Arial" w:hAnsi="Arial" w:cs="Arial"/>
          <w:color w:val="000000" w:themeColor="text1"/>
        </w:rPr>
        <w:fldChar w:fldCharType="begin"/>
      </w:r>
      <w:r w:rsidRPr="008C5EE2">
        <w:rPr>
          <w:rFonts w:ascii="Arial" w:hAnsi="Arial" w:cs="Arial"/>
          <w:color w:val="000000" w:themeColor="text1"/>
        </w:rPr>
        <w:instrText xml:space="preserve"> SEQ Зураг \* ARABIC \s 1 </w:instrText>
      </w:r>
      <w:r w:rsidRPr="008C5EE2">
        <w:rPr>
          <w:rFonts w:ascii="Arial" w:hAnsi="Arial" w:cs="Arial"/>
          <w:color w:val="000000" w:themeColor="text1"/>
        </w:rPr>
        <w:fldChar w:fldCharType="separate"/>
      </w:r>
      <w:r w:rsidR="000E7C9C">
        <w:rPr>
          <w:rFonts w:ascii="Arial" w:hAnsi="Arial" w:cs="Arial"/>
          <w:noProof/>
          <w:color w:val="000000" w:themeColor="text1"/>
        </w:rPr>
        <w:t>2</w:t>
      </w:r>
      <w:r w:rsidRPr="008C5EE2">
        <w:rPr>
          <w:rFonts w:ascii="Arial" w:hAnsi="Arial" w:cs="Arial"/>
          <w:color w:val="000000" w:themeColor="text1"/>
        </w:rPr>
        <w:fldChar w:fldCharType="end"/>
      </w:r>
      <w:r w:rsidRPr="008C5EE2">
        <w:rPr>
          <w:rFonts w:ascii="Arial" w:hAnsi="Arial" w:cs="Arial"/>
          <w:noProof/>
          <w:color w:val="000000" w:themeColor="text1"/>
        </w:rPr>
        <w:t xml:space="preserve"> Инфляц, мөнгөний нийлүүлэлт, зээлийн үлдэгдэл</w:t>
      </w:r>
      <w:bookmarkEnd w:id="47"/>
      <w:bookmarkEnd w:id="48"/>
      <w:bookmarkEnd w:id="49"/>
      <w:bookmarkEnd w:id="50"/>
      <w:bookmarkEnd w:id="51"/>
      <w:bookmarkEnd w:id="52"/>
      <w:bookmarkEnd w:id="53"/>
    </w:p>
    <w:tbl>
      <w:tblPr>
        <w:tblpPr w:leftFromText="180" w:rightFromText="180" w:vertAnchor="text" w:tblpY="1"/>
        <w:tblOverlap w:val="never"/>
        <w:tblW w:w="9356" w:type="dxa"/>
        <w:tblLayout w:type="fixed"/>
        <w:tblLook w:val="04A0" w:firstRow="1" w:lastRow="0" w:firstColumn="1" w:lastColumn="0" w:noHBand="0" w:noVBand="1"/>
      </w:tblPr>
      <w:tblGrid>
        <w:gridCol w:w="2977"/>
        <w:gridCol w:w="3119"/>
        <w:gridCol w:w="3260"/>
      </w:tblGrid>
      <w:tr w:rsidR="004259B8" w:rsidRPr="0031039D" w14:paraId="49F1C3C2" w14:textId="77777777" w:rsidTr="00374FAF">
        <w:trPr>
          <w:cantSplit/>
        </w:trPr>
        <w:tc>
          <w:tcPr>
            <w:tcW w:w="2977" w:type="dxa"/>
            <w:tcBorders>
              <w:top w:val="single" w:sz="4" w:space="0" w:color="auto"/>
            </w:tcBorders>
          </w:tcPr>
          <w:p w14:paraId="476C4B60" w14:textId="77777777" w:rsidR="004259B8" w:rsidRPr="00564E66" w:rsidRDefault="004259B8">
            <w:pPr>
              <w:tabs>
                <w:tab w:val="right" w:leader="dot" w:pos="9354"/>
              </w:tabs>
              <w:spacing w:afterLines="0" w:after="0" w:line="240" w:lineRule="auto"/>
              <w:jc w:val="left"/>
              <w:rPr>
                <w:rFonts w:eastAsiaTheme="minorEastAsia" w:cs="Arial"/>
                <w:kern w:val="0"/>
                <w:sz w:val="20"/>
                <w:szCs w:val="20"/>
              </w:rPr>
            </w:pPr>
            <w:r w:rsidRPr="00564E66">
              <w:rPr>
                <w:rFonts w:eastAsiaTheme="minorEastAsia" w:cs="Arial"/>
                <w:kern w:val="0"/>
                <w:sz w:val="20"/>
                <w:szCs w:val="20"/>
              </w:rPr>
              <w:t xml:space="preserve">1. Инфляц </w:t>
            </w:r>
          </w:p>
          <w:p w14:paraId="20947B44" w14:textId="77777777" w:rsidR="004259B8" w:rsidRPr="00564E66" w:rsidRDefault="004259B8">
            <w:pPr>
              <w:tabs>
                <w:tab w:val="right" w:leader="dot" w:pos="9354"/>
              </w:tabs>
              <w:spacing w:afterLines="0" w:after="0" w:line="240" w:lineRule="auto"/>
              <w:jc w:val="left"/>
              <w:rPr>
                <w:rFonts w:eastAsia="Yu Gothic" w:cs="Arial"/>
                <w:kern w:val="0"/>
                <w:sz w:val="20"/>
                <w:szCs w:val="20"/>
                <w:lang w:eastAsia="ja-JP"/>
              </w:rPr>
            </w:pPr>
            <w:r w:rsidRPr="00564E66">
              <w:rPr>
                <w:rFonts w:eastAsia="Yu Gothic" w:cs="Arial"/>
                <w:kern w:val="0"/>
                <w:sz w:val="20"/>
                <w:szCs w:val="20"/>
                <w:lang w:eastAsia="ja-JP"/>
              </w:rPr>
              <w:t>(хувь)</w:t>
            </w:r>
          </w:p>
        </w:tc>
        <w:tc>
          <w:tcPr>
            <w:tcW w:w="3119" w:type="dxa"/>
            <w:tcBorders>
              <w:top w:val="single" w:sz="4" w:space="0" w:color="auto"/>
            </w:tcBorders>
          </w:tcPr>
          <w:p w14:paraId="7B49ADED" w14:textId="77777777" w:rsidR="004259B8" w:rsidRPr="00564E66" w:rsidRDefault="004259B8">
            <w:pPr>
              <w:tabs>
                <w:tab w:val="right" w:leader="dot" w:pos="9354"/>
              </w:tabs>
              <w:spacing w:afterLines="0" w:after="0" w:line="240" w:lineRule="auto"/>
              <w:jc w:val="left"/>
              <w:rPr>
                <w:rFonts w:eastAsiaTheme="minorEastAsia" w:cs="Arial"/>
                <w:kern w:val="0"/>
                <w:sz w:val="20"/>
                <w:szCs w:val="20"/>
              </w:rPr>
            </w:pPr>
            <w:r w:rsidRPr="00564E66">
              <w:rPr>
                <w:rFonts w:eastAsiaTheme="minorEastAsia" w:cs="Arial"/>
                <w:kern w:val="0"/>
                <w:sz w:val="20"/>
                <w:szCs w:val="20"/>
              </w:rPr>
              <w:t xml:space="preserve">2. Мөнгөний нийлүүлэлтийн өсөлт пассив тал </w:t>
            </w:r>
            <w:r w:rsidRPr="00564E66">
              <w:rPr>
                <w:rFonts w:eastAsia="Yu Gothic" w:cs="Arial"/>
                <w:kern w:val="0"/>
                <w:sz w:val="20"/>
                <w:szCs w:val="20"/>
                <w:lang w:eastAsia="ja-JP"/>
              </w:rPr>
              <w:t>(хувь)</w:t>
            </w:r>
          </w:p>
        </w:tc>
        <w:tc>
          <w:tcPr>
            <w:tcW w:w="3260" w:type="dxa"/>
            <w:tcBorders>
              <w:top w:val="single" w:sz="4" w:space="0" w:color="auto"/>
            </w:tcBorders>
          </w:tcPr>
          <w:p w14:paraId="54A24F36" w14:textId="77777777" w:rsidR="004259B8" w:rsidRPr="00564E66" w:rsidRDefault="004259B8">
            <w:pPr>
              <w:tabs>
                <w:tab w:val="right" w:leader="dot" w:pos="9354"/>
              </w:tabs>
              <w:spacing w:afterLines="0" w:after="0" w:line="240" w:lineRule="auto"/>
              <w:rPr>
                <w:rFonts w:eastAsiaTheme="minorEastAsia" w:cs="Arial"/>
                <w:kern w:val="0"/>
                <w:sz w:val="20"/>
                <w:szCs w:val="20"/>
              </w:rPr>
            </w:pPr>
            <w:r w:rsidRPr="00564E66">
              <w:rPr>
                <w:rFonts w:eastAsiaTheme="minorEastAsia" w:cs="Arial"/>
                <w:kern w:val="0"/>
                <w:sz w:val="20"/>
                <w:szCs w:val="20"/>
              </w:rPr>
              <w:t xml:space="preserve">3. Зээлийн үлдэгдлийн өсөлт </w:t>
            </w:r>
          </w:p>
          <w:p w14:paraId="71C5BD08" w14:textId="77777777" w:rsidR="004259B8" w:rsidRPr="00564E66" w:rsidRDefault="004259B8">
            <w:pPr>
              <w:tabs>
                <w:tab w:val="right" w:leader="dot" w:pos="9354"/>
              </w:tabs>
              <w:spacing w:afterLines="0" w:after="0" w:line="240" w:lineRule="auto"/>
              <w:rPr>
                <w:rFonts w:eastAsiaTheme="minorEastAsia" w:cs="Arial"/>
                <w:kern w:val="0"/>
                <w:sz w:val="20"/>
                <w:szCs w:val="20"/>
              </w:rPr>
            </w:pPr>
            <w:r w:rsidRPr="00564E66">
              <w:rPr>
                <w:rFonts w:eastAsiaTheme="minorEastAsia" w:cs="Arial"/>
                <w:kern w:val="0"/>
                <w:sz w:val="20"/>
                <w:szCs w:val="20"/>
              </w:rPr>
              <w:t xml:space="preserve">(хувь) </w:t>
            </w:r>
          </w:p>
        </w:tc>
      </w:tr>
      <w:tr w:rsidR="004259B8" w:rsidRPr="0031039D" w14:paraId="1C3F7B0B" w14:textId="77777777" w:rsidTr="00374FAF">
        <w:trPr>
          <w:trHeight w:val="2778"/>
        </w:trPr>
        <w:tc>
          <w:tcPr>
            <w:tcW w:w="2977" w:type="dxa"/>
          </w:tcPr>
          <w:p w14:paraId="5AEFBA06" w14:textId="242852D5" w:rsidR="004259B8" w:rsidRPr="00564E66" w:rsidRDefault="006A47C2">
            <w:pPr>
              <w:numPr>
                <w:ilvl w:val="0"/>
                <w:numId w:val="1"/>
              </w:numPr>
              <w:tabs>
                <w:tab w:val="left" w:pos="454"/>
                <w:tab w:val="right" w:leader="dot" w:pos="9354"/>
              </w:tabs>
              <w:spacing w:afterLines="0" w:after="0" w:line="240" w:lineRule="auto"/>
              <w:ind w:left="0"/>
              <w:mirrorIndents/>
              <w:rPr>
                <w:rFonts w:cs="Arial"/>
                <w:sz w:val="20"/>
                <w:szCs w:val="20"/>
              </w:rPr>
            </w:pPr>
            <w:r w:rsidRPr="0031039D">
              <w:rPr>
                <w:rFonts w:cs="Arial"/>
                <w:noProof/>
                <w:sz w:val="20"/>
                <w:szCs w:val="20"/>
              </w:rPr>
              <w:drawing>
                <wp:inline distT="0" distB="0" distL="0" distR="0" wp14:anchorId="39FE69AE" wp14:editId="0989DE05">
                  <wp:extent cx="1924050" cy="1971675"/>
                  <wp:effectExtent l="0" t="0" r="0" b="0"/>
                  <wp:docPr id="1467809520" name="Chart 1">
                    <a:extLst xmlns:a="http://schemas.openxmlformats.org/drawingml/2006/main">
                      <a:ext uri="{FF2B5EF4-FFF2-40B4-BE49-F238E27FC236}">
                        <a16:creationId xmlns:a16="http://schemas.microsoft.com/office/drawing/2014/main" id="{4420A146-9F79-4912-8CAC-F065A609CF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c>
          <w:tcPr>
            <w:tcW w:w="3119" w:type="dxa"/>
          </w:tcPr>
          <w:p w14:paraId="39C05C22" w14:textId="2CD448F8" w:rsidR="004259B8" w:rsidRPr="00564E66" w:rsidRDefault="006B5E5E">
            <w:pPr>
              <w:tabs>
                <w:tab w:val="left" w:pos="454"/>
                <w:tab w:val="right" w:leader="dot" w:pos="9354"/>
              </w:tabs>
              <w:spacing w:afterLines="0" w:after="0"/>
              <w:mirrorIndents/>
              <w:rPr>
                <w:rFonts w:cs="Arial"/>
                <w:sz w:val="20"/>
                <w:szCs w:val="20"/>
              </w:rPr>
            </w:pPr>
            <w:r w:rsidRPr="0031039D">
              <w:rPr>
                <w:rFonts w:cs="Arial"/>
                <w:noProof/>
                <w:sz w:val="20"/>
                <w:szCs w:val="20"/>
              </w:rPr>
              <w:drawing>
                <wp:inline distT="0" distB="0" distL="0" distR="0" wp14:anchorId="6700160D" wp14:editId="1E84F6C2">
                  <wp:extent cx="1891665" cy="1955165"/>
                  <wp:effectExtent l="0" t="0" r="0" b="6985"/>
                  <wp:docPr id="2081971002" name="Chart 1">
                    <a:extLst xmlns:a="http://schemas.openxmlformats.org/drawingml/2006/main">
                      <a:ext uri="{FF2B5EF4-FFF2-40B4-BE49-F238E27FC236}">
                        <a16:creationId xmlns:a16="http://schemas.microsoft.com/office/drawing/2014/main" id="{ACD558E2-C13A-AF24-4476-2D80EF5D93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c>
          <w:tcPr>
            <w:tcW w:w="3260" w:type="dxa"/>
          </w:tcPr>
          <w:p w14:paraId="239B6A08" w14:textId="171CE5A2" w:rsidR="004259B8" w:rsidRPr="00564E66" w:rsidRDefault="00E55762">
            <w:pPr>
              <w:tabs>
                <w:tab w:val="right" w:leader="dot" w:pos="9354"/>
              </w:tabs>
              <w:spacing w:afterLines="0" w:after="0"/>
              <w:ind w:right="86"/>
              <w:jc w:val="right"/>
              <w:rPr>
                <w:rFonts w:cs="Arial"/>
                <w:sz w:val="20"/>
                <w:szCs w:val="20"/>
              </w:rPr>
            </w:pPr>
            <w:r w:rsidRPr="0031039D">
              <w:rPr>
                <w:rFonts w:cs="Arial"/>
                <w:noProof/>
                <w:sz w:val="20"/>
                <w:szCs w:val="20"/>
              </w:rPr>
              <w:drawing>
                <wp:inline distT="0" distB="0" distL="0" distR="0" wp14:anchorId="4AA247CD" wp14:editId="364F97CB">
                  <wp:extent cx="1986253" cy="1955218"/>
                  <wp:effectExtent l="0" t="0" r="0" b="6985"/>
                  <wp:docPr id="1083555646" name="Chart 1">
                    <a:extLst xmlns:a="http://schemas.openxmlformats.org/drawingml/2006/main">
                      <a:ext uri="{FF2B5EF4-FFF2-40B4-BE49-F238E27FC236}">
                        <a16:creationId xmlns:a16="http://schemas.microsoft.com/office/drawing/2014/main" id="{DBF822C2-BA91-4CBA-9FEA-E4A9F6E46A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4259B8" w:rsidRPr="0031039D" w14:paraId="12C96F97" w14:textId="77777777" w:rsidTr="00374FAF">
        <w:trPr>
          <w:trHeight w:val="132"/>
        </w:trPr>
        <w:tc>
          <w:tcPr>
            <w:tcW w:w="2977" w:type="dxa"/>
            <w:tcBorders>
              <w:bottom w:val="single" w:sz="4" w:space="0" w:color="auto"/>
            </w:tcBorders>
          </w:tcPr>
          <w:p w14:paraId="4A600912" w14:textId="77777777" w:rsidR="004259B8" w:rsidRPr="00564E66" w:rsidRDefault="004259B8">
            <w:pPr>
              <w:tabs>
                <w:tab w:val="right" w:leader="dot" w:pos="9354"/>
              </w:tabs>
              <w:spacing w:afterLines="0"/>
              <w:ind w:right="90"/>
              <w:jc w:val="right"/>
              <w:rPr>
                <w:rFonts w:cs="Arial"/>
                <w:i/>
                <w:sz w:val="20"/>
                <w:szCs w:val="20"/>
                <w:lang w:eastAsia="ja-JP"/>
              </w:rPr>
            </w:pPr>
          </w:p>
        </w:tc>
        <w:tc>
          <w:tcPr>
            <w:tcW w:w="3119" w:type="dxa"/>
            <w:tcBorders>
              <w:bottom w:val="single" w:sz="4" w:space="0" w:color="auto"/>
            </w:tcBorders>
          </w:tcPr>
          <w:p w14:paraId="6148DA98" w14:textId="77777777" w:rsidR="004259B8" w:rsidRPr="00564E66" w:rsidRDefault="004259B8">
            <w:pPr>
              <w:tabs>
                <w:tab w:val="right" w:leader="dot" w:pos="9354"/>
              </w:tabs>
              <w:spacing w:afterLines="0"/>
              <w:ind w:right="180"/>
              <w:jc w:val="right"/>
              <w:rPr>
                <w:rFonts w:cs="Arial"/>
                <w:i/>
                <w:sz w:val="20"/>
                <w:szCs w:val="20"/>
              </w:rPr>
            </w:pPr>
          </w:p>
        </w:tc>
        <w:tc>
          <w:tcPr>
            <w:tcW w:w="3260" w:type="dxa"/>
            <w:tcBorders>
              <w:bottom w:val="single" w:sz="4" w:space="0" w:color="auto"/>
            </w:tcBorders>
          </w:tcPr>
          <w:p w14:paraId="42F6D801" w14:textId="77777777" w:rsidR="004259B8" w:rsidRPr="008C5EE2" w:rsidRDefault="004259B8">
            <w:pPr>
              <w:tabs>
                <w:tab w:val="right" w:leader="dot" w:pos="9354"/>
              </w:tabs>
              <w:spacing w:before="120" w:afterLines="0" w:after="0"/>
              <w:jc w:val="right"/>
              <w:rPr>
                <w:rFonts w:cs="Arial"/>
                <w:i/>
                <w:color w:val="000000" w:themeColor="text1"/>
                <w:sz w:val="20"/>
                <w:szCs w:val="20"/>
                <w:lang w:eastAsia="ja-JP"/>
              </w:rPr>
            </w:pPr>
            <w:r w:rsidRPr="008C5EE2">
              <w:rPr>
                <w:rFonts w:cs="Arial"/>
                <w:i/>
                <w:color w:val="000000" w:themeColor="text1"/>
                <w:sz w:val="20"/>
                <w:szCs w:val="20"/>
              </w:rPr>
              <w:t>Эх сурвалж</w:t>
            </w:r>
            <w:r w:rsidRPr="008C5EE2">
              <w:rPr>
                <w:rFonts w:cs="Arial" w:hint="eastAsia"/>
                <w:i/>
                <w:color w:val="000000" w:themeColor="text1"/>
                <w:sz w:val="20"/>
                <w:szCs w:val="20"/>
                <w:lang w:eastAsia="ja-JP"/>
              </w:rPr>
              <w:t>:</w:t>
            </w:r>
            <w:r w:rsidRPr="008C5EE2">
              <w:rPr>
                <w:rFonts w:cs="Arial"/>
                <w:i/>
                <w:color w:val="000000" w:themeColor="text1"/>
                <w:sz w:val="20"/>
                <w:szCs w:val="20"/>
                <w:lang w:eastAsia="ja-JP"/>
              </w:rPr>
              <w:t xml:space="preserve"> Монголбанк</w:t>
            </w:r>
          </w:p>
        </w:tc>
      </w:tr>
    </w:tbl>
    <w:p w14:paraId="54CAA36F" w14:textId="410A29AA" w:rsidR="004259B8" w:rsidRPr="008C5EE2" w:rsidRDefault="004259B8" w:rsidP="00374FAF">
      <w:pPr>
        <w:pStyle w:val="Heading3"/>
      </w:pPr>
      <w:bookmarkStart w:id="54" w:name="_Toc195605246"/>
      <w:bookmarkStart w:id="55" w:name="_Toc201605937"/>
      <w:bookmarkStart w:id="56" w:name="_Toc201755692"/>
      <w:bookmarkStart w:id="57" w:name="_Toc238120981"/>
      <w:r w:rsidRPr="008C5EE2">
        <w:t>Ажил эрхлэлт, ажилгүйдлийн түвшин</w:t>
      </w:r>
      <w:bookmarkEnd w:id="54"/>
      <w:bookmarkEnd w:id="55"/>
      <w:bookmarkEnd w:id="56"/>
      <w:bookmarkEnd w:id="57"/>
    </w:p>
    <w:p w14:paraId="27C32503" w14:textId="277A4FA5" w:rsidR="00F42277" w:rsidRPr="00E17AA6" w:rsidRDefault="00BD538B" w:rsidP="00374FAF">
      <w:pPr>
        <w:spacing w:afterLines="0" w:after="0" w:line="240" w:lineRule="auto"/>
        <w:ind w:firstLine="720"/>
        <w:rPr>
          <w:rFonts w:eastAsia="Arial" w:cs="Arial"/>
        </w:rPr>
      </w:pPr>
      <w:r w:rsidRPr="40ADC04C">
        <w:rPr>
          <w:rFonts w:eastAsia="Arial" w:cs="Arial"/>
        </w:rPr>
        <w:t>2025 оны байдлаар</w:t>
      </w:r>
      <w:r w:rsidR="00B96E03" w:rsidRPr="40ADC04C">
        <w:rPr>
          <w:rFonts w:eastAsia="Arial" w:cs="Arial"/>
        </w:rPr>
        <w:t xml:space="preserve"> ажил</w:t>
      </w:r>
      <w:r w:rsidR="002D02B6" w:rsidRPr="40ADC04C">
        <w:rPr>
          <w:rFonts w:eastAsia="Arial" w:cs="Arial"/>
        </w:rPr>
        <w:t>лагч</w:t>
      </w:r>
      <w:r w:rsidR="00B96E03" w:rsidRPr="40ADC04C">
        <w:rPr>
          <w:rFonts w:eastAsia="Arial" w:cs="Arial"/>
        </w:rPr>
        <w:t xml:space="preserve">дын тоо </w:t>
      </w:r>
      <w:r w:rsidR="5D4F6316" w:rsidRPr="40ADC04C">
        <w:rPr>
          <w:rFonts w:eastAsia="Arial" w:cs="Arial"/>
        </w:rPr>
        <w:t xml:space="preserve">1 сая 359 мянгад хүрч, </w:t>
      </w:r>
      <w:r w:rsidR="002D02B6" w:rsidRPr="40ADC04C">
        <w:rPr>
          <w:rFonts w:eastAsia="Arial" w:cs="Arial"/>
        </w:rPr>
        <w:t>өмнөх он</w:t>
      </w:r>
      <w:r w:rsidR="3D9334C6" w:rsidRPr="40ADC04C">
        <w:rPr>
          <w:rFonts w:eastAsia="Arial" w:cs="Arial"/>
        </w:rPr>
        <w:t>оо</w:t>
      </w:r>
      <w:r w:rsidR="002D02B6" w:rsidRPr="40ADC04C">
        <w:rPr>
          <w:rFonts w:eastAsia="Arial" w:cs="Arial"/>
        </w:rPr>
        <w:t xml:space="preserve">с </w:t>
      </w:r>
      <w:r w:rsidR="00374FAF">
        <w:rPr>
          <w:rFonts w:eastAsia="Arial" w:cs="Arial"/>
        </w:rPr>
        <w:t xml:space="preserve">     </w:t>
      </w:r>
      <w:r w:rsidR="002D02B6" w:rsidRPr="40ADC04C">
        <w:rPr>
          <w:rFonts w:eastAsia="Arial" w:cs="Arial"/>
        </w:rPr>
        <w:t>3.3</w:t>
      </w:r>
      <w:r w:rsidR="00B96E03" w:rsidRPr="40ADC04C">
        <w:rPr>
          <w:rFonts w:eastAsia="Arial" w:cs="Arial"/>
        </w:rPr>
        <w:t xml:space="preserve"> мянг</w:t>
      </w:r>
      <w:r w:rsidR="12D6B550" w:rsidRPr="40ADC04C">
        <w:rPr>
          <w:rFonts w:eastAsia="Arial" w:cs="Arial"/>
        </w:rPr>
        <w:t>ан хүнээр</w:t>
      </w:r>
      <w:r w:rsidR="00B96E03" w:rsidRPr="40ADC04C">
        <w:rPr>
          <w:rFonts w:eastAsia="Arial" w:cs="Arial"/>
        </w:rPr>
        <w:t xml:space="preserve"> буюу </w:t>
      </w:r>
      <w:r w:rsidR="007166BC" w:rsidRPr="40ADC04C">
        <w:rPr>
          <w:rFonts w:eastAsia="Arial" w:cs="Arial"/>
        </w:rPr>
        <w:t>0.2</w:t>
      </w:r>
      <w:r w:rsidR="00B96E03" w:rsidRPr="40ADC04C">
        <w:rPr>
          <w:rFonts w:eastAsia="Arial" w:cs="Arial"/>
        </w:rPr>
        <w:t xml:space="preserve"> хувиар </w:t>
      </w:r>
      <w:r w:rsidR="3440700C" w:rsidRPr="40ADC04C">
        <w:rPr>
          <w:rFonts w:eastAsia="Arial" w:cs="Arial"/>
        </w:rPr>
        <w:t>өссөн</w:t>
      </w:r>
      <w:r w:rsidR="00F42277" w:rsidRPr="40ADC04C">
        <w:rPr>
          <w:rFonts w:eastAsia="Arial" w:cs="Arial"/>
        </w:rPr>
        <w:t xml:space="preserve"> </w:t>
      </w:r>
      <w:r w:rsidR="000F4349" w:rsidRPr="40ADC04C">
        <w:rPr>
          <w:rFonts w:eastAsia="Arial" w:cs="Arial"/>
        </w:rPr>
        <w:t>байна.</w:t>
      </w:r>
      <w:r w:rsidR="00B86BCC" w:rsidRPr="40ADC04C">
        <w:rPr>
          <w:rFonts w:eastAsia="Arial" w:cs="Arial"/>
        </w:rPr>
        <w:t xml:space="preserve"> </w:t>
      </w:r>
      <w:r w:rsidR="1F763912" w:rsidRPr="40ADC04C">
        <w:rPr>
          <w:rFonts w:eastAsia="Arial" w:cs="Arial"/>
        </w:rPr>
        <w:t>Харин ажилгүй иргэдийн тоо 78.4 мянга болж өмнөх оноос 8.3 хувиар буурсан үзүүлэлттэй байна. Ингэснээр ажилгүй</w:t>
      </w:r>
      <w:r w:rsidR="0C6E3631" w:rsidRPr="40ADC04C">
        <w:rPr>
          <w:rFonts w:eastAsia="Arial" w:cs="Arial"/>
        </w:rPr>
        <w:t>длийн түвшин 5.5 хувь болж</w:t>
      </w:r>
      <w:r w:rsidR="000F4349" w:rsidRPr="40ADC04C">
        <w:rPr>
          <w:rFonts w:eastAsia="Arial" w:cs="Arial"/>
        </w:rPr>
        <w:t xml:space="preserve"> </w:t>
      </w:r>
      <w:r w:rsidR="0C6E3631" w:rsidRPr="40ADC04C">
        <w:rPr>
          <w:rFonts w:eastAsia="Arial" w:cs="Arial"/>
        </w:rPr>
        <w:t>буурсан бол ажиллах хүчний оролцооны түвшин 61.1</w:t>
      </w:r>
      <w:r w:rsidR="000F4349" w:rsidRPr="40ADC04C">
        <w:rPr>
          <w:rFonts w:eastAsia="Arial" w:cs="Arial"/>
        </w:rPr>
        <w:t xml:space="preserve"> </w:t>
      </w:r>
      <w:r w:rsidR="0C6E3631" w:rsidRPr="40ADC04C">
        <w:rPr>
          <w:rFonts w:eastAsia="Arial" w:cs="Arial"/>
        </w:rPr>
        <w:t>хувьд хүрч, хөдөлмөрийн зах зээл</w:t>
      </w:r>
      <w:r w:rsidR="7F45280D" w:rsidRPr="40ADC04C">
        <w:rPr>
          <w:rFonts w:eastAsia="Arial" w:cs="Arial"/>
        </w:rPr>
        <w:t xml:space="preserve">ийн идэвх тогтвортой хадгалагдсан байна. </w:t>
      </w:r>
      <w:r w:rsidR="000F4349" w:rsidRPr="40ADC04C">
        <w:rPr>
          <w:rFonts w:eastAsia="Arial" w:cs="Arial"/>
        </w:rPr>
        <w:t xml:space="preserve"> </w:t>
      </w:r>
    </w:p>
    <w:tbl>
      <w:tblPr>
        <w:tblpPr w:leftFromText="180" w:rightFromText="180" w:vertAnchor="text" w:horzAnchor="margin" w:tblpY="105"/>
        <w:tblW w:w="5000" w:type="pct"/>
        <w:tblLook w:val="04A0" w:firstRow="1" w:lastRow="0" w:firstColumn="1" w:lastColumn="0" w:noHBand="0" w:noVBand="1"/>
      </w:tblPr>
      <w:tblGrid>
        <w:gridCol w:w="4642"/>
        <w:gridCol w:w="4490"/>
        <w:gridCol w:w="222"/>
      </w:tblGrid>
      <w:tr w:rsidR="00F42277" w:rsidRPr="00614D1A" w14:paraId="30C054BF" w14:textId="77777777">
        <w:trPr>
          <w:trHeight w:val="312"/>
        </w:trPr>
        <w:tc>
          <w:tcPr>
            <w:tcW w:w="5000" w:type="pct"/>
            <w:gridSpan w:val="3"/>
            <w:tcBorders>
              <w:bottom w:val="single" w:sz="4" w:space="0" w:color="auto"/>
            </w:tcBorders>
            <w:hideMark/>
          </w:tcPr>
          <w:p w14:paraId="62F6CA6B" w14:textId="6365BE9E" w:rsidR="00F42277" w:rsidRPr="00027E2D" w:rsidRDefault="00F42277" w:rsidP="00374FAF">
            <w:pPr>
              <w:pStyle w:val="Caption"/>
              <w:keepNext/>
              <w:jc w:val="right"/>
              <w:rPr>
                <w:rFonts w:ascii="Arial" w:hAnsi="Arial" w:cs="Arial"/>
                <w:color w:val="auto"/>
                <w:highlight w:val="yellow"/>
              </w:rPr>
            </w:pPr>
            <w:bookmarkStart w:id="58" w:name="_Toc201747670"/>
            <w:bookmarkStart w:id="59" w:name="_Toc206426393"/>
            <w:r w:rsidRPr="00F10FE2">
              <w:rPr>
                <w:rFonts w:ascii="Arial" w:hAnsi="Arial" w:cs="Arial"/>
                <w:color w:val="000000" w:themeColor="text1"/>
              </w:rPr>
              <w:t xml:space="preserve">Зураг </w:t>
            </w:r>
            <w:r w:rsidRPr="00F10FE2">
              <w:rPr>
                <w:rFonts w:ascii="Arial" w:hAnsi="Arial" w:cs="Arial"/>
                <w:color w:val="000000" w:themeColor="text1"/>
              </w:rPr>
              <w:fldChar w:fldCharType="begin"/>
            </w:r>
            <w:r w:rsidRPr="00E17AA6">
              <w:rPr>
                <w:rFonts w:ascii="Arial" w:hAnsi="Arial" w:cs="Arial"/>
                <w:color w:val="000000" w:themeColor="text1"/>
              </w:rPr>
              <w:instrText xml:space="preserve"> STYLEREF 1 \s </w:instrText>
            </w:r>
            <w:r w:rsidRPr="00F10FE2">
              <w:rPr>
                <w:rFonts w:ascii="Arial" w:hAnsi="Arial" w:cs="Arial"/>
                <w:color w:val="000000" w:themeColor="text1"/>
              </w:rPr>
              <w:fldChar w:fldCharType="separate"/>
            </w:r>
            <w:r w:rsidR="000E7C9C">
              <w:rPr>
                <w:rFonts w:ascii="Arial" w:hAnsi="Arial" w:cs="Arial"/>
                <w:color w:val="000000" w:themeColor="text1"/>
              </w:rPr>
              <w:t>1</w:t>
            </w:r>
            <w:r w:rsidRPr="00F10FE2">
              <w:rPr>
                <w:rFonts w:ascii="Arial" w:hAnsi="Arial" w:cs="Arial"/>
                <w:color w:val="000000" w:themeColor="text1"/>
              </w:rPr>
              <w:fldChar w:fldCharType="end"/>
            </w:r>
            <w:r w:rsidRPr="00F10FE2">
              <w:rPr>
                <w:rFonts w:ascii="Arial" w:hAnsi="Arial" w:cs="Arial"/>
                <w:color w:val="000000" w:themeColor="text1"/>
              </w:rPr>
              <w:t>.</w:t>
            </w:r>
            <w:r w:rsidRPr="00F10FE2">
              <w:rPr>
                <w:rFonts w:ascii="Arial" w:hAnsi="Arial" w:cs="Arial"/>
                <w:color w:val="000000" w:themeColor="text1"/>
              </w:rPr>
              <w:fldChar w:fldCharType="begin"/>
            </w:r>
            <w:r w:rsidRPr="00F10FE2">
              <w:rPr>
                <w:rFonts w:ascii="Arial" w:hAnsi="Arial" w:cs="Arial"/>
                <w:color w:val="000000" w:themeColor="text1"/>
              </w:rPr>
              <w:instrText xml:space="preserve"> SEQ Зураг \* ARABIC \s 1 </w:instrText>
            </w:r>
            <w:r w:rsidRPr="00F10FE2">
              <w:rPr>
                <w:rFonts w:ascii="Arial" w:hAnsi="Arial" w:cs="Arial"/>
                <w:color w:val="000000" w:themeColor="text1"/>
              </w:rPr>
              <w:fldChar w:fldCharType="separate"/>
            </w:r>
            <w:r w:rsidR="000E7C9C">
              <w:rPr>
                <w:rFonts w:ascii="Arial" w:hAnsi="Arial" w:cs="Arial"/>
                <w:noProof/>
                <w:color w:val="000000" w:themeColor="text1"/>
              </w:rPr>
              <w:t>3</w:t>
            </w:r>
            <w:r w:rsidRPr="00F10FE2">
              <w:rPr>
                <w:rFonts w:ascii="Arial" w:hAnsi="Arial" w:cs="Arial"/>
                <w:color w:val="000000" w:themeColor="text1"/>
              </w:rPr>
              <w:fldChar w:fldCharType="end"/>
            </w:r>
            <w:r w:rsidRPr="00F10FE2">
              <w:rPr>
                <w:rFonts w:ascii="Arial" w:hAnsi="Arial" w:cs="Arial"/>
                <w:color w:val="000000" w:themeColor="text1"/>
              </w:rPr>
              <w:t xml:space="preserve"> Ажил эрхлэлтийн үзүүлэлтүүд</w:t>
            </w:r>
            <w:bookmarkEnd w:id="58"/>
            <w:bookmarkEnd w:id="59"/>
          </w:p>
        </w:tc>
      </w:tr>
      <w:tr w:rsidR="00F42277" w:rsidRPr="00614D1A" w14:paraId="1F29F3D3" w14:textId="77777777" w:rsidTr="00865BBA">
        <w:trPr>
          <w:trHeight w:val="3770"/>
        </w:trPr>
        <w:tc>
          <w:tcPr>
            <w:tcW w:w="2484" w:type="pct"/>
            <w:tcBorders>
              <w:top w:val="single" w:sz="4" w:space="0" w:color="auto"/>
            </w:tcBorders>
            <w:hideMark/>
          </w:tcPr>
          <w:p w14:paraId="5D7FF01D" w14:textId="68160326" w:rsidR="00F42277" w:rsidRPr="00E52201" w:rsidRDefault="00F42277" w:rsidP="00545AF8">
            <w:pPr>
              <w:tabs>
                <w:tab w:val="left" w:pos="454"/>
                <w:tab w:val="right" w:leader="dot" w:pos="9354"/>
              </w:tabs>
              <w:spacing w:afterLines="0" w:after="0"/>
              <w:mirrorIndents/>
              <w:rPr>
                <w:rFonts w:cs="Arial"/>
                <w:sz w:val="20"/>
                <w:szCs w:val="20"/>
                <w:lang w:eastAsia="ja-JP"/>
              </w:rPr>
            </w:pPr>
            <w:r w:rsidRPr="00E52201">
              <w:rPr>
                <w:rFonts w:cs="Arial"/>
                <w:sz w:val="20"/>
                <w:szCs w:val="20"/>
                <w:lang w:eastAsia="ja-JP"/>
              </w:rPr>
              <w:t xml:space="preserve">1. </w:t>
            </w:r>
            <w:r w:rsidRPr="00E52201">
              <w:rPr>
                <w:rFonts w:cs="Arial"/>
                <w:sz w:val="28"/>
                <w:szCs w:val="24"/>
              </w:rPr>
              <w:t xml:space="preserve"> </w:t>
            </w:r>
            <w:r w:rsidR="002B0968" w:rsidRPr="00E52201">
              <w:rPr>
                <w:rFonts w:cs="Arial"/>
                <w:sz w:val="20"/>
                <w:szCs w:val="20"/>
                <w:lang w:eastAsia="ja-JP"/>
              </w:rPr>
              <w:t>Ажиллагчид, ажилгүй хүний тоо (мянган хүн)</w:t>
            </w:r>
          </w:p>
          <w:p w14:paraId="102B6261" w14:textId="3BFF7413" w:rsidR="00F42277" w:rsidRPr="00027E2D" w:rsidRDefault="005A1C09" w:rsidP="0028079A">
            <w:pPr>
              <w:tabs>
                <w:tab w:val="left" w:pos="454"/>
                <w:tab w:val="right" w:leader="dot" w:pos="9354"/>
              </w:tabs>
              <w:spacing w:afterLines="0" w:after="0"/>
              <w:mirrorIndents/>
              <w:rPr>
                <w:rFonts w:cs="Arial"/>
                <w:color w:val="FFFFFF" w:themeColor="background1"/>
                <w:sz w:val="20"/>
                <w:szCs w:val="20"/>
                <w:highlight w:val="yellow"/>
              </w:rPr>
            </w:pPr>
            <w:r w:rsidRPr="00A52C67">
              <w:rPr>
                <w:rFonts w:cs="Arial"/>
                <w:noProof/>
              </w:rPr>
              <w:drawing>
                <wp:inline distT="0" distB="0" distL="0" distR="0" wp14:anchorId="5214D76A" wp14:editId="21420F9D">
                  <wp:extent cx="3028950" cy="2219012"/>
                  <wp:effectExtent l="0" t="0" r="0" b="0"/>
                  <wp:docPr id="327250557" name="Chart 1">
                    <a:extLst xmlns:a="http://schemas.openxmlformats.org/drawingml/2006/main">
                      <a:ext uri="{FF2B5EF4-FFF2-40B4-BE49-F238E27FC236}">
                        <a16:creationId xmlns:a16="http://schemas.microsoft.com/office/drawing/2014/main" id="{B1AD54FE-37DE-0727-9647-BF8B6D17F6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B69CE8B" w14:textId="77777777" w:rsidR="00F42277" w:rsidRPr="00614D1A" w:rsidRDefault="00F42277" w:rsidP="00545AF8">
            <w:pPr>
              <w:spacing w:afterLines="0" w:after="0"/>
              <w:rPr>
                <w:rFonts w:cs="Arial"/>
              </w:rPr>
            </w:pPr>
          </w:p>
        </w:tc>
        <w:tc>
          <w:tcPr>
            <w:tcW w:w="2402" w:type="pct"/>
            <w:tcBorders>
              <w:top w:val="single" w:sz="4" w:space="0" w:color="auto"/>
            </w:tcBorders>
            <w:hideMark/>
          </w:tcPr>
          <w:p w14:paraId="44571EF2" w14:textId="493E981D" w:rsidR="00F42277" w:rsidRPr="0028079A" w:rsidRDefault="00DF653C" w:rsidP="002E785F">
            <w:pPr>
              <w:pStyle w:val="ListParagraph"/>
              <w:numPr>
                <w:ilvl w:val="0"/>
                <w:numId w:val="1"/>
              </w:numPr>
              <w:tabs>
                <w:tab w:val="left" w:pos="454"/>
                <w:tab w:val="right" w:leader="dot" w:pos="9354"/>
              </w:tabs>
              <w:spacing w:afterLines="0" w:after="0"/>
              <w:mirrorIndents/>
              <w:jc w:val="left"/>
              <w:rPr>
                <w:rFonts w:cs="Arial"/>
                <w:sz w:val="18"/>
                <w:szCs w:val="18"/>
                <w:lang w:eastAsia="ja-JP"/>
              </w:rPr>
            </w:pPr>
            <w:r w:rsidRPr="00E52201">
              <w:rPr>
                <w:rFonts w:cs="Arial"/>
                <w:sz w:val="20"/>
                <w:szCs w:val="20"/>
                <w:lang w:eastAsia="ja-JP"/>
              </w:rPr>
              <w:t>Ажиллах хүчний оролцооны түвшин, ажилгүйдлийн түвшин (баруун тэнхлэг), (хувь)</w:t>
            </w:r>
            <w:r w:rsidR="009449C3" w:rsidRPr="00E52201">
              <w:rPr>
                <w:rFonts w:cs="Arial"/>
                <w:sz w:val="28"/>
                <w:szCs w:val="24"/>
              </w:rPr>
              <w:t xml:space="preserve"> </w:t>
            </w:r>
            <w:r w:rsidR="00551C31" w:rsidRPr="00A52C67">
              <w:rPr>
                <w:rFonts w:cs="Arial"/>
                <w:noProof/>
              </w:rPr>
              <w:drawing>
                <wp:inline distT="0" distB="0" distL="0" distR="0" wp14:anchorId="64E5557B" wp14:editId="68ACA6B0">
                  <wp:extent cx="2695575" cy="2232837"/>
                  <wp:effectExtent l="0" t="0" r="0" b="0"/>
                  <wp:docPr id="1934875349" name="Chart 1">
                    <a:extLst xmlns:a="http://schemas.openxmlformats.org/drawingml/2006/main">
                      <a:ext uri="{FF2B5EF4-FFF2-40B4-BE49-F238E27FC236}">
                        <a16:creationId xmlns:a16="http://schemas.microsoft.com/office/drawing/2014/main" id="{B9883902-C7E8-4FD8-95C4-D3A38497D3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114" w:type="pct"/>
            <w:tcBorders>
              <w:top w:val="single" w:sz="4" w:space="0" w:color="auto"/>
            </w:tcBorders>
          </w:tcPr>
          <w:p w14:paraId="5D4AF1C5" w14:textId="77777777" w:rsidR="00F42277" w:rsidRPr="00027E2D" w:rsidRDefault="00F42277" w:rsidP="00545AF8">
            <w:pPr>
              <w:tabs>
                <w:tab w:val="left" w:pos="454"/>
                <w:tab w:val="right" w:leader="dot" w:pos="9354"/>
              </w:tabs>
              <w:spacing w:afterLines="0" w:after="0"/>
              <w:ind w:left="720"/>
              <w:contextualSpacing/>
              <w:mirrorIndents/>
              <w:rPr>
                <w:rFonts w:cs="Arial"/>
                <w:i/>
                <w:color w:val="055957"/>
                <w:szCs w:val="24"/>
                <w:highlight w:val="yellow"/>
              </w:rPr>
            </w:pPr>
          </w:p>
        </w:tc>
      </w:tr>
      <w:tr w:rsidR="00F42277" w:rsidRPr="00614D1A" w14:paraId="32EB1DB5" w14:textId="77777777" w:rsidTr="0028079A">
        <w:trPr>
          <w:trHeight w:val="119"/>
        </w:trPr>
        <w:tc>
          <w:tcPr>
            <w:tcW w:w="4886" w:type="pct"/>
            <w:gridSpan w:val="2"/>
            <w:tcBorders>
              <w:bottom w:val="single" w:sz="4" w:space="0" w:color="auto"/>
            </w:tcBorders>
          </w:tcPr>
          <w:p w14:paraId="277BB6A7" w14:textId="54262944" w:rsidR="00F42277" w:rsidRPr="00027E2D" w:rsidRDefault="00F42277" w:rsidP="00545AF8">
            <w:pPr>
              <w:tabs>
                <w:tab w:val="left" w:pos="454"/>
                <w:tab w:val="right" w:leader="dot" w:pos="9354"/>
              </w:tabs>
              <w:spacing w:afterLines="0" w:after="0"/>
              <w:ind w:left="720"/>
              <w:contextualSpacing/>
              <w:mirrorIndents/>
              <w:jc w:val="right"/>
              <w:rPr>
                <w:rFonts w:cs="Arial"/>
                <w:i/>
                <w:sz w:val="20"/>
                <w:szCs w:val="20"/>
              </w:rPr>
            </w:pPr>
            <w:r w:rsidRPr="00A52C67">
              <w:rPr>
                <w:rFonts w:cs="Arial"/>
                <w:i/>
                <w:sz w:val="20"/>
                <w:szCs w:val="20"/>
              </w:rPr>
              <w:t xml:space="preserve">Эх сурвалж: </w:t>
            </w:r>
            <w:r w:rsidR="00396141" w:rsidRPr="00B15F4D">
              <w:rPr>
                <w:rFonts w:eastAsia="SimSun" w:cs="Arial"/>
                <w:i/>
                <w:sz w:val="20"/>
                <w:szCs w:val="20"/>
              </w:rPr>
              <w:t xml:space="preserve"> Ү</w:t>
            </w:r>
            <w:r w:rsidR="00396141">
              <w:rPr>
                <w:rFonts w:eastAsia="SimSun" w:cs="Arial"/>
                <w:i/>
                <w:sz w:val="20"/>
                <w:szCs w:val="20"/>
              </w:rPr>
              <w:t>ндэсний статистикийн хороо</w:t>
            </w:r>
          </w:p>
        </w:tc>
        <w:tc>
          <w:tcPr>
            <w:tcW w:w="114" w:type="pct"/>
          </w:tcPr>
          <w:p w14:paraId="501AE5B4" w14:textId="77777777" w:rsidR="00F42277" w:rsidRPr="00027E2D" w:rsidRDefault="00F42277" w:rsidP="00545AF8">
            <w:pPr>
              <w:keepNext/>
              <w:tabs>
                <w:tab w:val="left" w:pos="454"/>
                <w:tab w:val="right" w:leader="dot" w:pos="9354"/>
              </w:tabs>
              <w:spacing w:afterLines="0" w:after="0"/>
              <w:ind w:left="720"/>
              <w:contextualSpacing/>
              <w:mirrorIndents/>
              <w:rPr>
                <w:rFonts w:cs="Arial"/>
                <w:i/>
                <w:color w:val="055957"/>
                <w:szCs w:val="24"/>
              </w:rPr>
            </w:pPr>
          </w:p>
        </w:tc>
      </w:tr>
    </w:tbl>
    <w:p w14:paraId="55B60721" w14:textId="32E9F3AC" w:rsidR="00110EEE" w:rsidRDefault="000B2397" w:rsidP="00374FAF">
      <w:pPr>
        <w:pStyle w:val="Heading3"/>
      </w:pPr>
      <w:bookmarkStart w:id="60" w:name="_Toc238120982"/>
      <w:r>
        <w:t>Нэгдсэн төсөв</w:t>
      </w:r>
      <w:bookmarkEnd w:id="60"/>
    </w:p>
    <w:p w14:paraId="7A4A61D1" w14:textId="65A3BEC0" w:rsidR="00806F91" w:rsidRPr="00614D1A" w:rsidRDefault="00F57330" w:rsidP="00374FAF">
      <w:pPr>
        <w:spacing w:afterLines="0" w:after="0" w:line="240" w:lineRule="auto"/>
        <w:ind w:firstLine="720"/>
        <w:rPr>
          <w:rFonts w:cs="Arial"/>
        </w:rPr>
      </w:pPr>
      <w:r w:rsidRPr="00614D1A">
        <w:rPr>
          <w:rFonts w:cs="Arial"/>
        </w:rPr>
        <w:t>Н</w:t>
      </w:r>
      <w:r w:rsidR="00806F91" w:rsidRPr="00614D1A">
        <w:rPr>
          <w:rFonts w:cs="Arial"/>
        </w:rPr>
        <w:t xml:space="preserve">эгдсэн төсвийн тэнцвэржүүлсэн орлого 2025 оны гүйцэтгэлээр 30,303.2 тэрбум төгрөгт хүрч өмнөх оноос 632.3 тэрбум төгрөг буюу 2.1 хувиар өсөж, батлагдсан дүнгээс 1,428.4 тэрбум төгрөг буюу 4.5 хувиар дутуу гүйцэтгэлтэй гарлаа.  </w:t>
      </w:r>
    </w:p>
    <w:p w14:paraId="2ACC0030" w14:textId="77777777" w:rsidR="00374FAF" w:rsidRDefault="00374FAF" w:rsidP="00374FAF">
      <w:pPr>
        <w:spacing w:afterLines="0" w:after="0" w:line="240" w:lineRule="auto"/>
        <w:ind w:firstLine="720"/>
        <w:rPr>
          <w:rFonts w:cs="Arial"/>
        </w:rPr>
      </w:pPr>
    </w:p>
    <w:p w14:paraId="5FECB472" w14:textId="1FA8D3A4" w:rsidR="00D32166" w:rsidRPr="00614D1A" w:rsidRDefault="008C751E" w:rsidP="00374FAF">
      <w:pPr>
        <w:spacing w:afterLines="0" w:after="0" w:line="240" w:lineRule="auto"/>
        <w:ind w:firstLine="720"/>
        <w:rPr>
          <w:rFonts w:cs="Arial"/>
        </w:rPr>
      </w:pPr>
      <w:r w:rsidRPr="00614D1A">
        <w:rPr>
          <w:rFonts w:cs="Arial"/>
        </w:rPr>
        <w:t>Э</w:t>
      </w:r>
      <w:r w:rsidR="00D32166" w:rsidRPr="00614D1A">
        <w:rPr>
          <w:rFonts w:cs="Arial"/>
        </w:rPr>
        <w:t xml:space="preserve">дийн засгийн ерөнхий идэвхжил сэргэж, дотоодын үйлдвэрлэл, үйлчилгээний борлуулалт тэлсэнтэй холбоотойгоор </w:t>
      </w:r>
      <w:r w:rsidR="00A8585D" w:rsidRPr="00614D1A">
        <w:rPr>
          <w:rFonts w:cs="Arial"/>
        </w:rPr>
        <w:t>хөдөлмөр эрхлэлт</w:t>
      </w:r>
      <w:r w:rsidR="006019E1" w:rsidRPr="00614D1A">
        <w:rPr>
          <w:rFonts w:cs="Arial"/>
        </w:rPr>
        <w:t xml:space="preserve"> нэмэгдэж</w:t>
      </w:r>
      <w:r w:rsidR="00763239" w:rsidRPr="00614D1A">
        <w:rPr>
          <w:rFonts w:cs="Arial"/>
        </w:rPr>
        <w:t>, дундаж цалингийн өсөлт</w:t>
      </w:r>
      <w:r w:rsidR="00266085" w:rsidRPr="00614D1A">
        <w:rPr>
          <w:rFonts w:cs="Arial"/>
        </w:rPr>
        <w:t>ийн нөлөөгөөр</w:t>
      </w:r>
      <w:r w:rsidR="00D32166" w:rsidRPr="00614D1A">
        <w:rPr>
          <w:rFonts w:cs="Arial"/>
        </w:rPr>
        <w:t xml:space="preserve"> нийгмийн даатгалын орлого 891.3 тэрбум </w:t>
      </w:r>
      <w:r w:rsidR="00D32166" w:rsidRPr="00614D1A">
        <w:rPr>
          <w:rFonts w:cs="Arial"/>
        </w:rPr>
        <w:lastRenderedPageBreak/>
        <w:t xml:space="preserve">төгрөгөөр буюу 18.8 хувиар, НӨАТ 340.6 тэрбум төгрөгөөр буюу 5.8 хувиар тус тус өссөн </w:t>
      </w:r>
      <w:r w:rsidR="00046620" w:rsidRPr="00614D1A">
        <w:rPr>
          <w:rFonts w:cs="Arial"/>
        </w:rPr>
        <w:t>нь орлогын өсөлтөд гол нөлөө үзүүлсэн.</w:t>
      </w:r>
    </w:p>
    <w:p w14:paraId="1FB4E569" w14:textId="77777777" w:rsidR="00374FAF" w:rsidRDefault="00374FAF" w:rsidP="00374FAF">
      <w:pPr>
        <w:spacing w:afterLines="0" w:after="0" w:line="240" w:lineRule="auto"/>
        <w:ind w:firstLine="720"/>
        <w:rPr>
          <w:rFonts w:cs="Arial"/>
          <w:lang w:eastAsia="ja-JP"/>
        </w:rPr>
      </w:pPr>
    </w:p>
    <w:p w14:paraId="191B7352" w14:textId="6F300175" w:rsidR="00126196" w:rsidRPr="00614D1A" w:rsidRDefault="00BE2DDC" w:rsidP="00374FAF">
      <w:pPr>
        <w:spacing w:afterLines="0" w:after="0" w:line="240" w:lineRule="auto"/>
        <w:ind w:firstLine="720"/>
        <w:rPr>
          <w:rFonts w:cs="Arial"/>
          <w:lang w:eastAsia="ja-JP"/>
        </w:rPr>
      </w:pPr>
      <w:r w:rsidRPr="00614D1A">
        <w:rPr>
          <w:rFonts w:cs="Arial"/>
          <w:lang w:eastAsia="ja-JP"/>
        </w:rPr>
        <w:t>Төсвийн нийт зарлага 2025 оны гүйцэтгэлээр 31,</w:t>
      </w:r>
      <w:r w:rsidR="00D66BAF" w:rsidRPr="00614D1A">
        <w:rPr>
          <w:rFonts w:cs="Arial"/>
          <w:lang w:eastAsia="ja-JP"/>
        </w:rPr>
        <w:t>331</w:t>
      </w:r>
      <w:r w:rsidRPr="00614D1A">
        <w:rPr>
          <w:rFonts w:cs="Arial"/>
          <w:lang w:eastAsia="ja-JP"/>
        </w:rPr>
        <w:t>.</w:t>
      </w:r>
      <w:r w:rsidR="00D66BAF" w:rsidRPr="00614D1A">
        <w:rPr>
          <w:rFonts w:cs="Arial"/>
          <w:lang w:eastAsia="ja-JP"/>
        </w:rPr>
        <w:t>0</w:t>
      </w:r>
      <w:r w:rsidRPr="00614D1A">
        <w:rPr>
          <w:rFonts w:cs="Arial"/>
          <w:lang w:eastAsia="ja-JP"/>
        </w:rPr>
        <w:t xml:space="preserve"> тэрбум төгрөгт хүрч, өмнөх оноос </w:t>
      </w:r>
      <w:r w:rsidR="00192D3A" w:rsidRPr="00614D1A">
        <w:rPr>
          <w:rFonts w:cs="Arial"/>
          <w:lang w:eastAsia="ja-JP"/>
        </w:rPr>
        <w:t>0</w:t>
      </w:r>
      <w:r w:rsidRPr="00614D1A">
        <w:rPr>
          <w:rFonts w:cs="Arial"/>
          <w:lang w:eastAsia="ja-JP"/>
        </w:rPr>
        <w:t>.</w:t>
      </w:r>
      <w:r w:rsidR="00192D3A" w:rsidRPr="00614D1A">
        <w:rPr>
          <w:rFonts w:cs="Arial"/>
          <w:lang w:eastAsia="ja-JP"/>
        </w:rPr>
        <w:t>1</w:t>
      </w:r>
      <w:r w:rsidRPr="00614D1A">
        <w:rPr>
          <w:rFonts w:cs="Arial"/>
          <w:lang w:eastAsia="ja-JP"/>
        </w:rPr>
        <w:t xml:space="preserve"> хувиар өссөн гүйцэтгэлтэй га</w:t>
      </w:r>
      <w:r w:rsidR="008264A5" w:rsidRPr="00614D1A">
        <w:rPr>
          <w:rFonts w:cs="Arial"/>
          <w:lang w:eastAsia="ja-JP"/>
        </w:rPr>
        <w:t>рсан</w:t>
      </w:r>
      <w:r w:rsidR="002C656A" w:rsidRPr="00614D1A">
        <w:rPr>
          <w:rFonts w:cs="Arial"/>
        </w:rPr>
        <w:t xml:space="preserve">. </w:t>
      </w:r>
      <w:r w:rsidR="00126196" w:rsidRPr="00614D1A">
        <w:rPr>
          <w:rFonts w:cs="Arial"/>
          <w:lang w:eastAsia="ja-JP"/>
        </w:rPr>
        <w:t xml:space="preserve">Нийт зардлын 77.4 хувийг урсгал зардал, 22.6 хувийг хөрөнгийн зардал бүрдүүлж байна. Урсгал зардлын </w:t>
      </w:r>
      <w:r w:rsidR="00E74624" w:rsidRPr="00614D1A">
        <w:rPr>
          <w:rFonts w:cs="Arial"/>
          <w:lang w:eastAsia="ja-JP"/>
        </w:rPr>
        <w:t>25</w:t>
      </w:r>
      <w:r w:rsidR="00126196" w:rsidRPr="00614D1A">
        <w:rPr>
          <w:rFonts w:cs="Arial"/>
          <w:lang w:eastAsia="ja-JP"/>
        </w:rPr>
        <w:t>.</w:t>
      </w:r>
      <w:r w:rsidR="00AF1AD6" w:rsidRPr="00614D1A">
        <w:rPr>
          <w:rFonts w:cs="Arial"/>
          <w:lang w:eastAsia="ja-JP"/>
        </w:rPr>
        <w:t>7</w:t>
      </w:r>
      <w:r w:rsidR="00126196" w:rsidRPr="00614D1A">
        <w:rPr>
          <w:rFonts w:cs="Arial"/>
          <w:lang w:eastAsia="ja-JP"/>
        </w:rPr>
        <w:t xml:space="preserve"> хувийг цалин хөлс, нэмэгдэл, урамшууллын зардал, </w:t>
      </w:r>
      <w:r w:rsidR="00120EBA" w:rsidRPr="00614D1A">
        <w:rPr>
          <w:rFonts w:cs="Arial"/>
          <w:lang w:eastAsia="ja-JP"/>
        </w:rPr>
        <w:t>16</w:t>
      </w:r>
      <w:r w:rsidR="00126196" w:rsidRPr="00614D1A">
        <w:rPr>
          <w:rFonts w:cs="Arial"/>
          <w:lang w:eastAsia="ja-JP"/>
        </w:rPr>
        <w:t>.</w:t>
      </w:r>
      <w:r w:rsidR="00120EBA" w:rsidRPr="00614D1A">
        <w:rPr>
          <w:rFonts w:cs="Arial"/>
          <w:lang w:eastAsia="ja-JP"/>
        </w:rPr>
        <w:t>1</w:t>
      </w:r>
      <w:r w:rsidR="00126196" w:rsidRPr="00614D1A">
        <w:rPr>
          <w:rFonts w:cs="Arial"/>
          <w:lang w:eastAsia="ja-JP"/>
        </w:rPr>
        <w:t xml:space="preserve"> хувийг төсвийн байгууллагын хэвийн үйл ажиллагаатай холбоотой зардал, 6.4 хувийг гадаад, дотоод зээлийн хүүгийн төлбөр, 3.3 хувийг төрөөс иргэн, аж ахуй нэгжид олгох хөнгөлөлт татаас, урсгал </w:t>
      </w:r>
      <w:r w:rsidR="00182EC8" w:rsidRPr="00614D1A">
        <w:rPr>
          <w:rFonts w:cs="Arial"/>
          <w:lang w:eastAsia="ja-JP"/>
        </w:rPr>
        <w:t>шилжүүлэг</w:t>
      </w:r>
      <w:r w:rsidR="00126196" w:rsidRPr="00614D1A">
        <w:rPr>
          <w:rFonts w:cs="Arial"/>
          <w:lang w:eastAsia="ja-JP"/>
        </w:rPr>
        <w:t xml:space="preserve"> </w:t>
      </w:r>
      <w:r w:rsidR="00387A88" w:rsidRPr="00614D1A">
        <w:rPr>
          <w:rFonts w:cs="Arial"/>
          <w:lang w:eastAsia="ja-JP"/>
        </w:rPr>
        <w:t>48</w:t>
      </w:r>
      <w:r w:rsidR="00126196" w:rsidRPr="00614D1A">
        <w:rPr>
          <w:rFonts w:cs="Arial"/>
          <w:lang w:eastAsia="ja-JP"/>
        </w:rPr>
        <w:t>.</w:t>
      </w:r>
      <w:r w:rsidR="00387A88" w:rsidRPr="00614D1A">
        <w:rPr>
          <w:rFonts w:cs="Arial"/>
          <w:lang w:eastAsia="ja-JP"/>
        </w:rPr>
        <w:t>5</w:t>
      </w:r>
      <w:r w:rsidR="00126196" w:rsidRPr="00614D1A">
        <w:rPr>
          <w:rFonts w:cs="Arial"/>
          <w:lang w:eastAsia="ja-JP"/>
        </w:rPr>
        <w:t xml:space="preserve"> хувийг тус тус эзэлж байна. </w:t>
      </w:r>
    </w:p>
    <w:p w14:paraId="7A67C14B" w14:textId="77777777" w:rsidR="00374FAF" w:rsidRDefault="00374FAF" w:rsidP="00374FAF">
      <w:pPr>
        <w:spacing w:afterLines="0" w:after="0" w:line="240" w:lineRule="auto"/>
        <w:ind w:firstLine="720"/>
        <w:rPr>
          <w:rFonts w:cs="Arial"/>
        </w:rPr>
      </w:pPr>
    </w:p>
    <w:p w14:paraId="5C091A8B" w14:textId="74760575" w:rsidR="002C656A" w:rsidRPr="00FB56B6" w:rsidRDefault="002C656A" w:rsidP="00374FAF">
      <w:pPr>
        <w:spacing w:afterLines="0" w:after="0" w:line="240" w:lineRule="auto"/>
        <w:ind w:firstLine="720"/>
        <w:rPr>
          <w:rFonts w:cs="Arial"/>
        </w:rPr>
      </w:pPr>
      <w:r w:rsidRPr="00FB56B6">
        <w:rPr>
          <w:rFonts w:cs="Arial"/>
        </w:rPr>
        <w:t>Нэгдсэн төсвийн тэнцвэржүүлсэн тэнцэл 2025 оны гүйцэтгэлээр</w:t>
      </w:r>
      <w:r w:rsidR="00374FAF">
        <w:rPr>
          <w:rFonts w:cs="Arial"/>
        </w:rPr>
        <w:t xml:space="preserve">                               </w:t>
      </w:r>
      <w:r w:rsidRPr="00FB56B6">
        <w:rPr>
          <w:rFonts w:cs="Arial"/>
        </w:rPr>
        <w:t xml:space="preserve"> -</w:t>
      </w:r>
      <w:r w:rsidR="00261AB3" w:rsidRPr="00FB56B6">
        <w:rPr>
          <w:rFonts w:cs="Arial"/>
        </w:rPr>
        <w:t>1,027</w:t>
      </w:r>
      <w:r w:rsidRPr="00FB56B6">
        <w:rPr>
          <w:rFonts w:cs="Arial"/>
        </w:rPr>
        <w:t>.</w:t>
      </w:r>
      <w:r w:rsidR="00261AB3" w:rsidRPr="00FB56B6">
        <w:rPr>
          <w:rFonts w:cs="Arial"/>
        </w:rPr>
        <w:t>9</w:t>
      </w:r>
      <w:r w:rsidRPr="00FB56B6">
        <w:rPr>
          <w:rFonts w:cs="Arial"/>
        </w:rPr>
        <w:t xml:space="preserve"> тэрбум төгрөг</w:t>
      </w:r>
      <w:r w:rsidR="00374FAF">
        <w:rPr>
          <w:rFonts w:cs="Arial"/>
        </w:rPr>
        <w:t>ийн</w:t>
      </w:r>
      <w:r w:rsidRPr="00FB56B6">
        <w:rPr>
          <w:rFonts w:cs="Arial"/>
        </w:rPr>
        <w:t xml:space="preserve"> </w:t>
      </w:r>
      <w:r w:rsidR="0078455F" w:rsidRPr="00FB56B6">
        <w:rPr>
          <w:rFonts w:cs="Arial"/>
        </w:rPr>
        <w:t xml:space="preserve">алдагдалтай гарахад нүүрсний үнийн бууралттай холбоотойгоор АМНАТ болон ААНОАТ-ын орлого буурснаар төсвийн орлого төвлөрүүлэлт саарсан нь голлох нөлөө үзүүллээ. </w:t>
      </w:r>
      <w:r w:rsidR="00664B99" w:rsidRPr="00FB56B6">
        <w:rPr>
          <w:rFonts w:cs="Arial"/>
        </w:rPr>
        <w:t xml:space="preserve">Тэнцвэржүүлсэн тэнцэл ДНБ-ий 1.1 хувьтай тэнцэх хэмжээний алдагдалтай гарсан нь </w:t>
      </w:r>
      <w:r w:rsidRPr="00FB56B6">
        <w:rPr>
          <w:rFonts w:cs="Arial"/>
        </w:rPr>
        <w:t>Төсвийн тогтвортой байдлын тухай хуулийн 19 дүгээр зүйлийн 19.9-д заасан зорилтот түвшний үзүүлэлтийг хангасан  байна.</w:t>
      </w:r>
    </w:p>
    <w:p w14:paraId="3D589D45" w14:textId="77777777" w:rsidR="00374FAF" w:rsidRDefault="00374FAF" w:rsidP="00374FAF">
      <w:pPr>
        <w:spacing w:afterLines="0" w:after="0" w:line="240" w:lineRule="auto"/>
        <w:ind w:firstLine="720"/>
        <w:rPr>
          <w:rFonts w:cs="Arial"/>
        </w:rPr>
      </w:pPr>
    </w:p>
    <w:p w14:paraId="3E6B7ECD" w14:textId="78E7388B" w:rsidR="00696298" w:rsidRPr="00FB56B6" w:rsidRDefault="007C0776" w:rsidP="00374FAF">
      <w:pPr>
        <w:spacing w:afterLines="0" w:after="0" w:line="240" w:lineRule="auto"/>
        <w:ind w:firstLine="720"/>
        <w:rPr>
          <w:rFonts w:cs="Arial"/>
          <w:shd w:val="clear" w:color="auto" w:fill="FFFFFF"/>
        </w:rPr>
      </w:pPr>
      <w:r w:rsidRPr="00FB56B6">
        <w:rPr>
          <w:rFonts w:cs="Arial"/>
        </w:rPr>
        <w:t xml:space="preserve">Засгийн газрын өрийн нэрлэсэн үлдэгдэл </w:t>
      </w:r>
      <w:r w:rsidR="00696298" w:rsidRPr="00FB56B6">
        <w:rPr>
          <w:rFonts w:cs="Arial"/>
        </w:rPr>
        <w:t xml:space="preserve">2025 оны жилийн эцсийн гүйцэтгэлээр 35.4 их наяд төгрөг буюу нэрлэсэн ДНБ-ий 39.4 хувь хүрч, өмнөх оны мөн үеэс 2.0 их наяд төгрөгөөр өссөн байна. </w:t>
      </w:r>
      <w:r w:rsidR="00696298" w:rsidRPr="00FB56B6">
        <w:rPr>
          <w:rFonts w:cs="Arial"/>
          <w:shd w:val="clear" w:color="auto" w:fill="FFFFFF"/>
        </w:rPr>
        <w:t>Засгийн газрын нийт өрийн 25.3 хувийг гадаад үнэт цаас, 65.2 хувийг гадаад зээл, 1.9 хувийг дотоод үнэт цаас үлдсэн</w:t>
      </w:r>
      <w:r w:rsidR="00374FAF">
        <w:rPr>
          <w:rFonts w:cs="Arial"/>
          <w:shd w:val="clear" w:color="auto" w:fill="FFFFFF"/>
        </w:rPr>
        <w:t xml:space="preserve">          </w:t>
      </w:r>
      <w:r w:rsidR="00696298" w:rsidRPr="00FB56B6">
        <w:rPr>
          <w:rFonts w:cs="Arial"/>
          <w:shd w:val="clear" w:color="auto" w:fill="FFFFFF"/>
        </w:rPr>
        <w:t xml:space="preserve"> 7.6 </w:t>
      </w:r>
      <w:r w:rsidR="00696298" w:rsidRPr="00FB56B6">
        <w:rPr>
          <w:rFonts w:cs="Arial"/>
        </w:rPr>
        <w:t xml:space="preserve">хувийн бусад өр төлбөр </w:t>
      </w:r>
      <w:r w:rsidR="00696298" w:rsidRPr="00FB56B6">
        <w:rPr>
          <w:rFonts w:cs="Arial"/>
          <w:shd w:val="clear" w:color="auto" w:fill="FFFFFF"/>
        </w:rPr>
        <w:t>бүрдүүлж байна.</w:t>
      </w:r>
    </w:p>
    <w:p w14:paraId="1C8612F9" w14:textId="77777777" w:rsidR="00374FAF" w:rsidRDefault="00374FAF" w:rsidP="00374FAF">
      <w:pPr>
        <w:tabs>
          <w:tab w:val="left" w:pos="1134"/>
        </w:tabs>
        <w:spacing w:afterLines="0" w:after="0" w:line="240" w:lineRule="auto"/>
        <w:ind w:firstLine="720"/>
        <w:rPr>
          <w:rFonts w:cs="Arial"/>
        </w:rPr>
      </w:pPr>
    </w:p>
    <w:p w14:paraId="52953FCB" w14:textId="0B963543" w:rsidR="00696298" w:rsidRPr="00FB56B6" w:rsidRDefault="00696298" w:rsidP="00374FAF">
      <w:pPr>
        <w:tabs>
          <w:tab w:val="left" w:pos="1134"/>
        </w:tabs>
        <w:spacing w:afterLines="0" w:after="0" w:line="240" w:lineRule="auto"/>
        <w:ind w:firstLine="720"/>
        <w:rPr>
          <w:rFonts w:cs="Arial"/>
        </w:rPr>
      </w:pPr>
      <w:r w:rsidRPr="00FB56B6">
        <w:rPr>
          <w:rFonts w:cs="Arial"/>
        </w:rPr>
        <w:t xml:space="preserve">Орон нутгийн нийт өр </w:t>
      </w:r>
      <w:r w:rsidR="00175994" w:rsidRPr="00FB56B6">
        <w:rPr>
          <w:rFonts w:cs="Arial"/>
        </w:rPr>
        <w:t>төлбөрийн</w:t>
      </w:r>
      <w:r w:rsidRPr="00FB56B6">
        <w:rPr>
          <w:rFonts w:cs="Arial"/>
        </w:rPr>
        <w:t xml:space="preserve"> үлдэгдэл 2025 оны гүйцэтгэлээр 2.5 их наяд төгрөгт хүрч өмнөх оны мөн үеэс 1.7 хувиар буурлаа. Нийслэлийн Засаг даргын Тамгын газраас 2024 оны 4 дүгээр улиралд нийт 798.0 тэрбум төгрөгийн дотоод үнэт цаасыг “Бөөрөлжүүтийн ДЦС-ыг барих төсөл”, “Батарей хуримтлуурын төсөл” болон Улаанбаатар хотын авто зам, замын байгууламжийн засвар, шинэчлэлийн ажил төслүүдийг санхүүжүүлэх зорилгоор гаргасан. Харин Сэлбэ дэд төв”-ийн төслийг санхүүжүүлэх хүрээнд 500.0 сая ам.долларын гадаад үнэт цаасыг олон улсын зах зээлд арилжаалсан. </w:t>
      </w:r>
    </w:p>
    <w:p w14:paraId="169B1846" w14:textId="77777777" w:rsidR="004259B8" w:rsidRPr="008C5EE2" w:rsidRDefault="004259B8" w:rsidP="00374FAF">
      <w:pPr>
        <w:pStyle w:val="Heading3"/>
      </w:pPr>
      <w:bookmarkStart w:id="61" w:name="_Toc195605247"/>
      <w:bookmarkStart w:id="62" w:name="_Toc201605938"/>
      <w:bookmarkStart w:id="63" w:name="_Toc201755693"/>
      <w:bookmarkStart w:id="64" w:name="_Toc238120983"/>
      <w:r w:rsidRPr="008C5EE2">
        <w:t>Гадаад худалдааны урсгал тэнцэл</w:t>
      </w:r>
      <w:bookmarkEnd w:id="61"/>
      <w:bookmarkEnd w:id="62"/>
      <w:bookmarkEnd w:id="63"/>
      <w:bookmarkEnd w:id="64"/>
    </w:p>
    <w:p w14:paraId="1E52B1D5" w14:textId="77777777" w:rsidR="005A406C" w:rsidRPr="00FB56B6" w:rsidRDefault="005A406C" w:rsidP="00374FAF">
      <w:pPr>
        <w:tabs>
          <w:tab w:val="left" w:pos="1134"/>
        </w:tabs>
        <w:spacing w:afterLines="0" w:after="0" w:line="240" w:lineRule="auto"/>
        <w:ind w:firstLine="720"/>
        <w:rPr>
          <w:rFonts w:cs="Arial"/>
        </w:rPr>
      </w:pPr>
      <w:r w:rsidRPr="00FB56B6">
        <w:rPr>
          <w:rFonts w:cs="Arial"/>
        </w:rPr>
        <w:t>Гадаад худалдааны нийт бараа эргэлт 2025 онд 27.0 тэрбум ам.долларт хүрсэн бол гадаад худалдааны тэнцэл 4.4 тэрбум ам.долларын ашигтай гарлаа.</w:t>
      </w:r>
    </w:p>
    <w:p w14:paraId="02DC8C99" w14:textId="77777777" w:rsidR="00374FAF" w:rsidRDefault="00374FAF" w:rsidP="00374FAF">
      <w:pPr>
        <w:tabs>
          <w:tab w:val="left" w:pos="1134"/>
        </w:tabs>
        <w:spacing w:afterLines="0" w:after="0" w:line="240" w:lineRule="auto"/>
        <w:ind w:firstLine="720"/>
        <w:rPr>
          <w:rFonts w:cs="Arial"/>
        </w:rPr>
      </w:pPr>
    </w:p>
    <w:p w14:paraId="657CED6D" w14:textId="47CC476A" w:rsidR="005A406C" w:rsidRPr="00FB56B6" w:rsidRDefault="005A406C" w:rsidP="00374FAF">
      <w:pPr>
        <w:tabs>
          <w:tab w:val="left" w:pos="1134"/>
        </w:tabs>
        <w:spacing w:afterLines="0" w:after="0" w:line="240" w:lineRule="auto"/>
        <w:ind w:firstLine="720"/>
        <w:rPr>
          <w:rFonts w:cs="Arial"/>
        </w:rPr>
      </w:pPr>
      <w:r w:rsidRPr="00FB56B6">
        <w:rPr>
          <w:rFonts w:cs="Arial"/>
        </w:rPr>
        <w:t>Экспорт 2025 онд 15.8 тэрбум ам.долларт хүрч, өмнөх оны түвшинд хадгалагдав. Нүүрс, зэсийн баяжмал, төмрийн хүдрийн экспортын биет хэмжээ өссөн нь нүүрсний үнийн бууралтаас шалтгаалсан экспортын орлогын алдагдлыг нөхлөө.</w:t>
      </w:r>
    </w:p>
    <w:p w14:paraId="448F7B1A" w14:textId="77777777" w:rsidR="00374FAF" w:rsidRDefault="00374FAF" w:rsidP="00374FAF">
      <w:pPr>
        <w:tabs>
          <w:tab w:val="left" w:pos="1134"/>
        </w:tabs>
        <w:spacing w:afterLines="0" w:after="0" w:line="240" w:lineRule="auto"/>
        <w:ind w:firstLine="720"/>
        <w:rPr>
          <w:rFonts w:cs="Arial"/>
        </w:rPr>
      </w:pPr>
    </w:p>
    <w:p w14:paraId="04AD5F85" w14:textId="0C2F776B" w:rsidR="005A406C" w:rsidRPr="00FB56B6" w:rsidRDefault="005A406C" w:rsidP="00374FAF">
      <w:pPr>
        <w:tabs>
          <w:tab w:val="left" w:pos="1134"/>
        </w:tabs>
        <w:spacing w:afterLines="0" w:after="0" w:line="240" w:lineRule="auto"/>
        <w:ind w:firstLine="720"/>
        <w:rPr>
          <w:rFonts w:cs="Arial"/>
        </w:rPr>
      </w:pPr>
      <w:r w:rsidRPr="00FB56B6">
        <w:rPr>
          <w:rFonts w:cs="Arial"/>
        </w:rPr>
        <w:t xml:space="preserve">Уул уурхайн гаралтай бүтээгдэхүүний экспорт 14.6 тэрбум ам.долларт хүрч, өмнөх оны түвшинд байна. Уул уурхайн биржээр арилжаалсан бүтээгдэхүүнийг хилийн боомтоор саадгүй нэвтрүүлэх нөхцөлийг бүрдүүлж, хил, гаалийн үйл ажиллагааг цахимжуулснаар нүүрсний экспорт 90.0 сая тоннд хүрч, өмнөх оноос </w:t>
      </w:r>
      <w:r w:rsidR="00374FAF">
        <w:rPr>
          <w:rFonts w:cs="Arial"/>
        </w:rPr>
        <w:t xml:space="preserve">      </w:t>
      </w:r>
      <w:r w:rsidRPr="00FB56B6">
        <w:rPr>
          <w:rFonts w:cs="Arial"/>
        </w:rPr>
        <w:t>7 хувиар өссөн байна. Түүнчлэн далд уурхайн олборлолт нэмэгдэж, тээвэр зохион байгуулалт сайжирсантай холбоотойгоор зэсийн баяжмалын экспортын хэмжээ өмнөх оноос 35 хувиар, төмрийн хүдрийн экспорт 17 хувиар тус тус өсөж, нүүрсний үнийн бууралтаас үүдэлтэй орлогын алдагдлыг нөхсөн байна.</w:t>
      </w:r>
    </w:p>
    <w:p w14:paraId="1BDFD689" w14:textId="77777777" w:rsidR="00374FAF" w:rsidRDefault="00374FAF" w:rsidP="00374FAF">
      <w:pPr>
        <w:tabs>
          <w:tab w:val="left" w:pos="454"/>
          <w:tab w:val="right" w:leader="dot" w:pos="9354"/>
        </w:tabs>
        <w:spacing w:afterLines="0" w:after="0" w:line="240" w:lineRule="auto"/>
        <w:ind w:firstLine="454"/>
        <w:mirrorIndents/>
        <w:rPr>
          <w:rFonts w:cs="Arial"/>
        </w:rPr>
      </w:pPr>
    </w:p>
    <w:p w14:paraId="482134E2" w14:textId="75360142" w:rsidR="00672C39" w:rsidRDefault="005A406C" w:rsidP="00374FAF">
      <w:pPr>
        <w:tabs>
          <w:tab w:val="left" w:pos="454"/>
          <w:tab w:val="right" w:leader="dot" w:pos="9354"/>
        </w:tabs>
        <w:spacing w:afterLines="0" w:after="0" w:line="240" w:lineRule="auto"/>
        <w:ind w:firstLine="454"/>
        <w:mirrorIndents/>
        <w:rPr>
          <w:rFonts w:cs="Arial"/>
        </w:rPr>
      </w:pPr>
      <w:r w:rsidRPr="00FB56B6">
        <w:rPr>
          <w:rFonts w:cs="Arial"/>
        </w:rPr>
        <w:lastRenderedPageBreak/>
        <w:t>Уул уурхайн бус экспорт 1.2 тэрбум ам.долларт хүрч, өмнөх оноос 5.3 хувиар өсөв. Үүнээс хөдөө аж ахуйн гаралтай бүтээгдэхүүний экспорт 705 сая ам.долларт хүрч 9 хувиар, аж үйлдвэрийн салбарын экспорт 378 сая ам.долларт хүрч 5 хувиар тус тус нэмэгдсэн байна. Боловсруулах салбарын өсөлтийн нөлөөгөөр ноолуур, мах болон аж үйлдвэрийн зарим бүтээгдэхүүний экспорт нэмэгдсэн. Түүнчлэн түүхий ноолуурын экспортод хязгаарлалт тавьж, самнасан ноолуурын үйлдвэрлэлийг дэмжсэн бодлогын үр дүнд ноолуурын экспортын орлого өсөхөд эерэг нөлөө үзүүлжээ.</w:t>
      </w:r>
    </w:p>
    <w:p w14:paraId="7EA804B6" w14:textId="77777777" w:rsidR="00374FAF" w:rsidRPr="00E17AA6" w:rsidRDefault="00374FAF" w:rsidP="00374FAF">
      <w:pPr>
        <w:tabs>
          <w:tab w:val="left" w:pos="454"/>
          <w:tab w:val="right" w:leader="dot" w:pos="9354"/>
        </w:tabs>
        <w:spacing w:afterLines="0" w:after="0" w:line="240" w:lineRule="auto"/>
        <w:ind w:firstLine="454"/>
        <w:mirrorIndents/>
        <w:rPr>
          <w:rFonts w:cs="Arial"/>
        </w:rPr>
      </w:pPr>
    </w:p>
    <w:tbl>
      <w:tblPr>
        <w:tblpPr w:leftFromText="180" w:rightFromText="180" w:vertAnchor="text" w:tblpY="1"/>
        <w:tblOverlap w:val="never"/>
        <w:tblW w:w="9464" w:type="dxa"/>
        <w:tblLayout w:type="fixed"/>
        <w:tblLook w:val="04A0" w:firstRow="1" w:lastRow="0" w:firstColumn="1" w:lastColumn="0" w:noHBand="0" w:noVBand="1"/>
      </w:tblPr>
      <w:tblGrid>
        <w:gridCol w:w="3154"/>
        <w:gridCol w:w="3155"/>
        <w:gridCol w:w="3155"/>
      </w:tblGrid>
      <w:tr w:rsidR="004259B8" w:rsidRPr="00614D1A" w14:paraId="53A3FC54" w14:textId="77777777">
        <w:trPr>
          <w:cantSplit/>
        </w:trPr>
        <w:tc>
          <w:tcPr>
            <w:tcW w:w="9464" w:type="dxa"/>
            <w:gridSpan w:val="3"/>
            <w:tcBorders>
              <w:bottom w:val="single" w:sz="4" w:space="0" w:color="auto"/>
            </w:tcBorders>
          </w:tcPr>
          <w:p w14:paraId="507FD890" w14:textId="15918204" w:rsidR="004259B8" w:rsidRPr="008C5EE2" w:rsidRDefault="004259B8" w:rsidP="00374FAF">
            <w:pPr>
              <w:pStyle w:val="Caption"/>
              <w:keepNext/>
              <w:spacing w:after="120"/>
              <w:jc w:val="right"/>
              <w:rPr>
                <w:rFonts w:ascii="Arial" w:hAnsi="Arial" w:cs="Arial"/>
                <w:szCs w:val="20"/>
              </w:rPr>
            </w:pPr>
            <w:bookmarkStart w:id="65" w:name="_Toc201759623"/>
            <w:r w:rsidRPr="008C5EE2">
              <w:rPr>
                <w:rFonts w:ascii="Arial" w:hAnsi="Arial" w:cs="Arial"/>
                <w:color w:val="auto"/>
              </w:rPr>
              <w:t xml:space="preserve">Зураг </w:t>
            </w:r>
            <w:r w:rsidRPr="008C5EE2">
              <w:rPr>
                <w:rFonts w:ascii="Arial" w:hAnsi="Arial" w:cs="Arial"/>
                <w:color w:val="auto"/>
              </w:rPr>
              <w:fldChar w:fldCharType="begin"/>
            </w:r>
            <w:r w:rsidRPr="008C5EE2">
              <w:rPr>
                <w:rFonts w:ascii="Arial" w:hAnsi="Arial" w:cs="Arial"/>
                <w:color w:val="auto"/>
              </w:rPr>
              <w:instrText xml:space="preserve"> STYLEREF 1 \s </w:instrText>
            </w:r>
            <w:r w:rsidRPr="008C5EE2">
              <w:rPr>
                <w:rFonts w:ascii="Arial" w:hAnsi="Arial" w:cs="Arial"/>
                <w:color w:val="auto"/>
              </w:rPr>
              <w:fldChar w:fldCharType="separate"/>
            </w:r>
            <w:r w:rsidR="000E7C9C">
              <w:rPr>
                <w:rFonts w:ascii="Arial" w:hAnsi="Arial" w:cs="Arial"/>
                <w:noProof/>
                <w:color w:val="auto"/>
              </w:rPr>
              <w:t>1</w:t>
            </w:r>
            <w:r w:rsidRPr="008C5EE2">
              <w:rPr>
                <w:rFonts w:ascii="Arial" w:hAnsi="Arial" w:cs="Arial"/>
                <w:color w:val="auto"/>
              </w:rPr>
              <w:fldChar w:fldCharType="end"/>
            </w:r>
            <w:r w:rsidRPr="008C5EE2">
              <w:rPr>
                <w:rFonts w:ascii="Arial" w:hAnsi="Arial" w:cs="Arial"/>
                <w:color w:val="auto"/>
              </w:rPr>
              <w:t>.</w:t>
            </w:r>
            <w:r w:rsidRPr="008C5EE2">
              <w:rPr>
                <w:rFonts w:ascii="Arial" w:hAnsi="Arial" w:cs="Arial"/>
                <w:color w:val="auto"/>
              </w:rPr>
              <w:fldChar w:fldCharType="begin"/>
            </w:r>
            <w:r w:rsidRPr="008C5EE2">
              <w:rPr>
                <w:rFonts w:ascii="Arial" w:hAnsi="Arial" w:cs="Arial"/>
                <w:color w:val="auto"/>
              </w:rPr>
              <w:instrText xml:space="preserve"> SEQ Зураг \* ARABIC \s 1 </w:instrText>
            </w:r>
            <w:r w:rsidRPr="008C5EE2">
              <w:rPr>
                <w:rFonts w:ascii="Arial" w:hAnsi="Arial" w:cs="Arial"/>
                <w:color w:val="auto"/>
              </w:rPr>
              <w:fldChar w:fldCharType="separate"/>
            </w:r>
            <w:r w:rsidR="000E7C9C">
              <w:rPr>
                <w:rFonts w:ascii="Arial" w:hAnsi="Arial" w:cs="Arial"/>
                <w:noProof/>
                <w:color w:val="auto"/>
              </w:rPr>
              <w:t>4</w:t>
            </w:r>
            <w:r w:rsidRPr="008C5EE2">
              <w:rPr>
                <w:rFonts w:ascii="Arial" w:hAnsi="Arial" w:cs="Arial"/>
                <w:color w:val="auto"/>
              </w:rPr>
              <w:fldChar w:fldCharType="end"/>
            </w:r>
            <w:r w:rsidRPr="008C5EE2">
              <w:rPr>
                <w:rFonts w:ascii="Arial" w:hAnsi="Arial" w:cs="Arial"/>
                <w:color w:val="auto"/>
              </w:rPr>
              <w:t xml:space="preserve"> Гадаад худалдааны үзүүлэлт</w:t>
            </w:r>
            <w:bookmarkEnd w:id="65"/>
          </w:p>
        </w:tc>
      </w:tr>
      <w:tr w:rsidR="004259B8" w:rsidRPr="00614D1A" w14:paraId="670808D7" w14:textId="77777777">
        <w:trPr>
          <w:cantSplit/>
        </w:trPr>
        <w:tc>
          <w:tcPr>
            <w:tcW w:w="3154" w:type="dxa"/>
            <w:tcBorders>
              <w:top w:val="single" w:sz="4" w:space="0" w:color="auto"/>
            </w:tcBorders>
          </w:tcPr>
          <w:p w14:paraId="5514118F" w14:textId="77777777" w:rsidR="004259B8" w:rsidRPr="005338FA" w:rsidRDefault="004259B8">
            <w:pPr>
              <w:tabs>
                <w:tab w:val="right" w:leader="dot" w:pos="9354"/>
              </w:tabs>
              <w:spacing w:afterLines="0" w:after="0" w:line="240" w:lineRule="auto"/>
              <w:jc w:val="left"/>
              <w:rPr>
                <w:rFonts w:eastAsiaTheme="minorEastAsia" w:cs="Arial"/>
                <w:kern w:val="0"/>
                <w:sz w:val="20"/>
                <w:szCs w:val="20"/>
              </w:rPr>
            </w:pPr>
            <w:r w:rsidRPr="005338FA">
              <w:rPr>
                <w:rFonts w:eastAsiaTheme="minorEastAsia" w:cs="Arial"/>
                <w:kern w:val="0"/>
                <w:sz w:val="20"/>
                <w:szCs w:val="20"/>
              </w:rPr>
              <w:t xml:space="preserve">1.Гадаад худалдаа </w:t>
            </w:r>
          </w:p>
          <w:p w14:paraId="7DF27C21" w14:textId="77777777" w:rsidR="004259B8" w:rsidRPr="008C5EE2" w:rsidRDefault="004259B8">
            <w:pPr>
              <w:spacing w:afterLines="0" w:after="0" w:line="240" w:lineRule="auto"/>
              <w:rPr>
                <w:rFonts w:eastAsiaTheme="minorEastAsia" w:cs="Arial"/>
                <w:i/>
                <w:color w:val="055957"/>
                <w:kern w:val="0"/>
                <w:sz w:val="20"/>
                <w:szCs w:val="20"/>
              </w:rPr>
            </w:pPr>
            <w:r w:rsidRPr="005338FA">
              <w:rPr>
                <w:rFonts w:eastAsiaTheme="minorEastAsia" w:cs="Arial"/>
                <w:kern w:val="0"/>
                <w:sz w:val="20"/>
                <w:szCs w:val="20"/>
              </w:rPr>
              <w:t>(тэрбум ам.доллар)</w:t>
            </w:r>
          </w:p>
        </w:tc>
        <w:tc>
          <w:tcPr>
            <w:tcW w:w="3155" w:type="dxa"/>
            <w:tcBorders>
              <w:top w:val="single" w:sz="4" w:space="0" w:color="auto"/>
            </w:tcBorders>
          </w:tcPr>
          <w:p w14:paraId="5A90EE61" w14:textId="77777777" w:rsidR="004259B8" w:rsidRPr="001A148A" w:rsidRDefault="004259B8">
            <w:pPr>
              <w:tabs>
                <w:tab w:val="right" w:leader="dot" w:pos="9354"/>
              </w:tabs>
              <w:spacing w:afterLines="0" w:after="0" w:line="240" w:lineRule="auto"/>
              <w:rPr>
                <w:rFonts w:eastAsiaTheme="minorEastAsia" w:cs="Arial"/>
                <w:kern w:val="0"/>
                <w:sz w:val="20"/>
                <w:szCs w:val="20"/>
              </w:rPr>
            </w:pPr>
            <w:r w:rsidRPr="001A148A">
              <w:rPr>
                <w:rFonts w:eastAsiaTheme="minorEastAsia" w:cs="Arial"/>
                <w:kern w:val="0"/>
                <w:sz w:val="20"/>
                <w:szCs w:val="20"/>
              </w:rPr>
              <w:t xml:space="preserve">2.Экспортын жилийн өсөлт </w:t>
            </w:r>
          </w:p>
          <w:p w14:paraId="0515EAC4" w14:textId="77777777" w:rsidR="004259B8" w:rsidRPr="008C5EE2" w:rsidRDefault="004259B8">
            <w:pPr>
              <w:spacing w:afterLines="0" w:after="0" w:line="240" w:lineRule="auto"/>
              <w:rPr>
                <w:rFonts w:eastAsiaTheme="minorEastAsia" w:cs="Arial"/>
                <w:kern w:val="0"/>
                <w:sz w:val="20"/>
                <w:szCs w:val="20"/>
              </w:rPr>
            </w:pPr>
            <w:r w:rsidRPr="001A148A">
              <w:rPr>
                <w:rFonts w:eastAsiaTheme="minorEastAsia" w:cs="Arial"/>
                <w:kern w:val="0"/>
                <w:sz w:val="20"/>
                <w:szCs w:val="20"/>
                <w:lang w:eastAsia="ja-JP"/>
              </w:rPr>
              <w:t>(</w:t>
            </w:r>
            <w:r w:rsidRPr="001A148A">
              <w:rPr>
                <w:rFonts w:eastAsiaTheme="minorEastAsia" w:cs="Arial"/>
                <w:kern w:val="0"/>
                <w:sz w:val="20"/>
                <w:szCs w:val="20"/>
              </w:rPr>
              <w:t>хувь)</w:t>
            </w:r>
          </w:p>
        </w:tc>
        <w:tc>
          <w:tcPr>
            <w:tcW w:w="3155" w:type="dxa"/>
            <w:tcBorders>
              <w:top w:val="single" w:sz="4" w:space="0" w:color="auto"/>
            </w:tcBorders>
          </w:tcPr>
          <w:p w14:paraId="34DC076B" w14:textId="77777777" w:rsidR="004259B8" w:rsidRPr="001A148A" w:rsidRDefault="004259B8">
            <w:pPr>
              <w:tabs>
                <w:tab w:val="right" w:leader="dot" w:pos="9354"/>
              </w:tabs>
              <w:spacing w:afterLines="0" w:after="0" w:line="240" w:lineRule="auto"/>
              <w:rPr>
                <w:rFonts w:eastAsiaTheme="minorEastAsia" w:cs="Arial"/>
                <w:kern w:val="0"/>
                <w:sz w:val="20"/>
                <w:szCs w:val="20"/>
              </w:rPr>
            </w:pPr>
            <w:r w:rsidRPr="001A148A">
              <w:rPr>
                <w:rFonts w:eastAsiaTheme="minorEastAsia" w:cs="Arial"/>
                <w:kern w:val="0"/>
                <w:sz w:val="20"/>
                <w:szCs w:val="20"/>
              </w:rPr>
              <w:t xml:space="preserve">3.Импортын жилийн өсөлт </w:t>
            </w:r>
          </w:p>
          <w:p w14:paraId="78155FC5" w14:textId="77777777" w:rsidR="004259B8" w:rsidRPr="008C5EE2" w:rsidRDefault="004259B8">
            <w:pPr>
              <w:spacing w:afterLines="0" w:after="0" w:line="240" w:lineRule="auto"/>
              <w:rPr>
                <w:rFonts w:eastAsiaTheme="minorEastAsia" w:cs="Arial"/>
                <w:kern w:val="0"/>
                <w:sz w:val="20"/>
                <w:szCs w:val="20"/>
              </w:rPr>
            </w:pPr>
            <w:r w:rsidRPr="001A148A">
              <w:rPr>
                <w:rFonts w:eastAsiaTheme="minorEastAsia" w:cs="Arial"/>
                <w:kern w:val="0"/>
                <w:sz w:val="20"/>
                <w:szCs w:val="20"/>
              </w:rPr>
              <w:t xml:space="preserve">(хувь) </w:t>
            </w:r>
          </w:p>
        </w:tc>
      </w:tr>
      <w:tr w:rsidR="004259B8" w:rsidRPr="00614D1A" w14:paraId="732B91F9" w14:textId="77777777">
        <w:trPr>
          <w:trHeight w:val="3228"/>
        </w:trPr>
        <w:tc>
          <w:tcPr>
            <w:tcW w:w="3154" w:type="dxa"/>
          </w:tcPr>
          <w:p w14:paraId="3A481F1C" w14:textId="405E7A3D" w:rsidR="004259B8" w:rsidRPr="008C5EE2" w:rsidRDefault="00CD5CDE">
            <w:pPr>
              <w:tabs>
                <w:tab w:val="left" w:pos="454"/>
              </w:tabs>
              <w:spacing w:afterLines="0" w:after="0" w:line="240" w:lineRule="auto"/>
              <w:mirrorIndents/>
              <w:rPr>
                <w:rFonts w:cs="Arial"/>
                <w:sz w:val="20"/>
                <w:szCs w:val="20"/>
              </w:rPr>
            </w:pPr>
            <w:r w:rsidRPr="00A52C67">
              <w:rPr>
                <w:rFonts w:cs="Arial"/>
                <w:noProof/>
              </w:rPr>
              <w:drawing>
                <wp:inline distT="0" distB="0" distL="0" distR="0" wp14:anchorId="03844331" wp14:editId="59234D5B">
                  <wp:extent cx="1921267" cy="2142490"/>
                  <wp:effectExtent l="0" t="0" r="3175" b="0"/>
                  <wp:docPr id="705944662" name="Chart 1">
                    <a:extLst xmlns:a="http://schemas.openxmlformats.org/drawingml/2006/main">
                      <a:ext uri="{FF2B5EF4-FFF2-40B4-BE49-F238E27FC236}">
                        <a16:creationId xmlns:a16="http://schemas.microsoft.com/office/drawing/2014/main" id="{7F953984-9FEB-3D4F-9400-16DA8D2FE9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c>
          <w:tcPr>
            <w:tcW w:w="3155" w:type="dxa"/>
          </w:tcPr>
          <w:p w14:paraId="7BDE4A70" w14:textId="743C1799" w:rsidR="004259B8" w:rsidRPr="008C5EE2" w:rsidRDefault="00EF38F6">
            <w:pPr>
              <w:numPr>
                <w:ilvl w:val="0"/>
                <w:numId w:val="2"/>
              </w:numPr>
              <w:tabs>
                <w:tab w:val="left" w:pos="454"/>
              </w:tabs>
              <w:spacing w:afterLines="0" w:after="0" w:line="240" w:lineRule="auto"/>
              <w:ind w:left="0"/>
              <w:mirrorIndents/>
              <w:rPr>
                <w:rFonts w:cs="Arial"/>
                <w:sz w:val="20"/>
                <w:szCs w:val="20"/>
              </w:rPr>
            </w:pPr>
            <w:r w:rsidRPr="00A52C67">
              <w:rPr>
                <w:rFonts w:cs="Arial"/>
                <w:noProof/>
              </w:rPr>
              <w:drawing>
                <wp:inline distT="0" distB="0" distL="0" distR="0" wp14:anchorId="40622DE3" wp14:editId="107E522D">
                  <wp:extent cx="1941816" cy="2242185"/>
                  <wp:effectExtent l="0" t="0" r="1905" b="5715"/>
                  <wp:docPr id="1212819185" name="Chart 1">
                    <a:extLst xmlns:a="http://schemas.openxmlformats.org/drawingml/2006/main">
                      <a:ext uri="{FF2B5EF4-FFF2-40B4-BE49-F238E27FC236}">
                        <a16:creationId xmlns:a16="http://schemas.microsoft.com/office/drawing/2014/main" id="{63F8338E-3A96-4120-8FC1-FF265F9888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c>
          <w:tcPr>
            <w:tcW w:w="3155" w:type="dxa"/>
          </w:tcPr>
          <w:p w14:paraId="19DA9FA7" w14:textId="26302BA8" w:rsidR="004259B8" w:rsidRPr="008C5EE2" w:rsidRDefault="00C32CC6">
            <w:pPr>
              <w:spacing w:afterLines="0"/>
              <w:ind w:right="86"/>
              <w:jc w:val="left"/>
              <w:rPr>
                <w:rFonts w:cs="Arial"/>
                <w:sz w:val="20"/>
                <w:szCs w:val="20"/>
              </w:rPr>
            </w:pPr>
            <w:r w:rsidRPr="00A52C67">
              <w:rPr>
                <w:rFonts w:cs="Arial"/>
                <w:noProof/>
              </w:rPr>
              <w:drawing>
                <wp:inline distT="0" distB="0" distL="0" distR="0" wp14:anchorId="2107874D" wp14:editId="3A5B8110">
                  <wp:extent cx="1962000" cy="2242800"/>
                  <wp:effectExtent l="0" t="0" r="635" b="5715"/>
                  <wp:docPr id="298384002" name="Chart 1">
                    <a:extLst xmlns:a="http://schemas.openxmlformats.org/drawingml/2006/main">
                      <a:ext uri="{FF2B5EF4-FFF2-40B4-BE49-F238E27FC236}">
                        <a16:creationId xmlns:a16="http://schemas.microsoft.com/office/drawing/2014/main" id="{2554E49E-4A29-5941-7B11-6A9EEA60AC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r w:rsidR="004259B8" w:rsidRPr="00614D1A" w14:paraId="0629ADB2" w14:textId="77777777">
        <w:trPr>
          <w:trHeight w:val="227"/>
        </w:trPr>
        <w:tc>
          <w:tcPr>
            <w:tcW w:w="9464" w:type="dxa"/>
            <w:gridSpan w:val="3"/>
            <w:tcBorders>
              <w:bottom w:val="single" w:sz="4" w:space="0" w:color="auto"/>
            </w:tcBorders>
          </w:tcPr>
          <w:p w14:paraId="698BE229" w14:textId="77777777" w:rsidR="004259B8" w:rsidRPr="008C5EE2" w:rsidRDefault="004259B8">
            <w:pPr>
              <w:spacing w:afterLines="0" w:after="0"/>
              <w:ind w:right="43"/>
              <w:jc w:val="right"/>
              <w:rPr>
                <w:rFonts w:cs="Arial"/>
                <w:i/>
                <w:sz w:val="20"/>
                <w:szCs w:val="20"/>
                <w:lang w:eastAsia="ja-JP"/>
              </w:rPr>
            </w:pPr>
            <w:r w:rsidRPr="008C5EE2">
              <w:rPr>
                <w:rFonts w:cs="Arial"/>
                <w:i/>
                <w:sz w:val="20"/>
                <w:szCs w:val="20"/>
              </w:rPr>
              <w:t>Эх сурвалж</w:t>
            </w:r>
            <w:r w:rsidRPr="008C5EE2">
              <w:rPr>
                <w:rFonts w:cs="Arial" w:hint="eastAsia"/>
                <w:i/>
                <w:sz w:val="20"/>
                <w:szCs w:val="20"/>
                <w:lang w:eastAsia="ja-JP"/>
              </w:rPr>
              <w:t>:</w:t>
            </w:r>
            <w:r w:rsidRPr="008C5EE2">
              <w:rPr>
                <w:rFonts w:cs="Arial"/>
                <w:i/>
                <w:sz w:val="20"/>
                <w:szCs w:val="20"/>
                <w:lang w:eastAsia="ja-JP"/>
              </w:rPr>
              <w:t xml:space="preserve"> Гаалийн ерөнхий газар</w:t>
            </w:r>
          </w:p>
          <w:p w14:paraId="36701D88" w14:textId="77777777" w:rsidR="004259B8" w:rsidRPr="008C5EE2" w:rsidRDefault="004259B8">
            <w:pPr>
              <w:spacing w:afterLines="0" w:after="0"/>
              <w:jc w:val="right"/>
              <w:rPr>
                <w:rFonts w:cs="Arial"/>
                <w:i/>
                <w:sz w:val="20"/>
                <w:szCs w:val="20"/>
                <w:lang w:eastAsia="ja-JP"/>
              </w:rPr>
            </w:pPr>
            <w:r w:rsidRPr="008C5EE2">
              <w:rPr>
                <w:rFonts w:cs="Arial"/>
                <w:i/>
                <w:sz w:val="20"/>
                <w:szCs w:val="20"/>
                <w:lang w:eastAsia="ja-JP"/>
              </w:rPr>
              <w:t>Тэмдэглэл: Импортын бараа, бүтээгдэхүүнийг хэрэглээний зориулалтаар ангилав.</w:t>
            </w:r>
          </w:p>
        </w:tc>
      </w:tr>
    </w:tbl>
    <w:p w14:paraId="07F93D7D" w14:textId="77777777" w:rsidR="004259B8" w:rsidRPr="00614D1A" w:rsidRDefault="004259B8" w:rsidP="004259B8">
      <w:pPr>
        <w:tabs>
          <w:tab w:val="right" w:leader="dot" w:pos="9354"/>
        </w:tabs>
        <w:spacing w:before="120" w:afterLines="0" w:after="0"/>
        <w:rPr>
          <w:rFonts w:cs="Arial"/>
        </w:rPr>
      </w:pPr>
    </w:p>
    <w:p w14:paraId="34035F51" w14:textId="1F80769B" w:rsidR="003929BA" w:rsidRPr="00614D1A" w:rsidRDefault="003929BA" w:rsidP="00374FAF">
      <w:pPr>
        <w:tabs>
          <w:tab w:val="right" w:leader="dot" w:pos="9354"/>
        </w:tabs>
        <w:spacing w:afterLines="0" w:after="0" w:line="240" w:lineRule="auto"/>
        <w:ind w:firstLine="720"/>
        <w:rPr>
          <w:rFonts w:cs="Arial"/>
        </w:rPr>
      </w:pPr>
      <w:r w:rsidRPr="00614D1A">
        <w:rPr>
          <w:rFonts w:cs="Arial"/>
        </w:rPr>
        <w:t>Импорт 2025 онд 11.4 тэрбум ам.долларт хүрч өмнөх оноос 2.3 хувиар буурсан байна.</w:t>
      </w:r>
      <w:r w:rsidR="000B0DAA" w:rsidRPr="00614D1A">
        <w:rPr>
          <w:rFonts w:cs="Arial"/>
        </w:rPr>
        <w:t xml:space="preserve"> Үүнээс</w:t>
      </w:r>
      <w:r w:rsidRPr="00614D1A">
        <w:rPr>
          <w:rFonts w:cs="Arial"/>
        </w:rPr>
        <w:t xml:space="preserve"> хэрэглээний бүтээгдэхүүний импорт 2 хувиар, аж үйлдвэрлэлийн орц бүтээгдэхүүний импорт 1 хувиар, хөрөнгө оруулалтын зориулалттай бүтээгдэхүүний импорт 3.9 хувиар тус тус буурсан байна. </w:t>
      </w:r>
    </w:p>
    <w:p w14:paraId="38901F0E" w14:textId="77777777" w:rsidR="00374FAF" w:rsidRDefault="00374FAF" w:rsidP="00374FAF">
      <w:pPr>
        <w:tabs>
          <w:tab w:val="right" w:leader="dot" w:pos="9354"/>
        </w:tabs>
        <w:spacing w:afterLines="0" w:after="0" w:line="240" w:lineRule="auto"/>
        <w:ind w:firstLine="720"/>
        <w:rPr>
          <w:rFonts w:cs="Arial"/>
        </w:rPr>
      </w:pPr>
    </w:p>
    <w:p w14:paraId="73E4EE73" w14:textId="2ED40B0E" w:rsidR="0020746F" w:rsidRPr="004E317E" w:rsidRDefault="0020746F" w:rsidP="00374FAF">
      <w:pPr>
        <w:tabs>
          <w:tab w:val="right" w:leader="dot" w:pos="9354"/>
        </w:tabs>
        <w:spacing w:afterLines="0" w:after="0" w:line="240" w:lineRule="auto"/>
        <w:ind w:firstLine="720"/>
      </w:pPr>
      <w:r w:rsidRPr="00614D1A">
        <w:rPr>
          <w:rFonts w:cs="Arial"/>
        </w:rPr>
        <w:t xml:space="preserve">Импортыг бүтцээр нь авч үзвэл хөрөнгө оруулалтын зориулалттай бүтээгдэхүүн 41 хувь буюу 4.7 тэрбум ам.доллар, хэрэглээний бүтээгдэхүүн 36 хувь буюу 4.1 тэрбум ам.доллар, аж үйлдвэрлэлийн орц бүтээгдэхүүн 22 хувь буюу </w:t>
      </w:r>
      <w:r w:rsidR="00374FAF">
        <w:rPr>
          <w:rFonts w:cs="Arial"/>
        </w:rPr>
        <w:t xml:space="preserve">         </w:t>
      </w:r>
      <w:r w:rsidRPr="00614D1A">
        <w:rPr>
          <w:rFonts w:cs="Arial"/>
        </w:rPr>
        <w:t xml:space="preserve">2.5 тэрбум ам.долларыг тус тус бүрдүүлж байна </w:t>
      </w:r>
    </w:p>
    <w:p w14:paraId="14F5DDCD" w14:textId="77777777" w:rsidR="004259B8" w:rsidRPr="008C5EE2" w:rsidRDefault="004259B8" w:rsidP="00374FAF">
      <w:pPr>
        <w:pStyle w:val="Heading3"/>
      </w:pPr>
      <w:bookmarkStart w:id="66" w:name="_Toc195605248"/>
      <w:bookmarkStart w:id="67" w:name="_Toc201605939"/>
      <w:bookmarkStart w:id="68" w:name="_Toc201755694"/>
      <w:bookmarkStart w:id="69" w:name="_Toc238120984"/>
      <w:r w:rsidRPr="008C5EE2">
        <w:t>Төлбөрийн тэнцэл</w:t>
      </w:r>
      <w:bookmarkEnd w:id="66"/>
      <w:bookmarkEnd w:id="67"/>
      <w:bookmarkEnd w:id="68"/>
      <w:bookmarkEnd w:id="69"/>
    </w:p>
    <w:p w14:paraId="1077C508" w14:textId="77777777" w:rsidR="00374FAF" w:rsidRDefault="006E7DC9" w:rsidP="00374FAF">
      <w:pPr>
        <w:tabs>
          <w:tab w:val="left" w:pos="454"/>
          <w:tab w:val="right" w:leader="dot" w:pos="9354"/>
        </w:tabs>
        <w:spacing w:afterLines="0" w:after="0" w:line="240" w:lineRule="auto"/>
        <w:ind w:firstLine="720"/>
        <w:mirrorIndents/>
        <w:rPr>
          <w:rFonts w:cs="Arial"/>
          <w:szCs w:val="24"/>
        </w:rPr>
      </w:pPr>
      <w:r w:rsidRPr="00FB56B6">
        <w:rPr>
          <w:rFonts w:cs="Arial"/>
          <w:szCs w:val="24"/>
        </w:rPr>
        <w:t>Экспортын</w:t>
      </w:r>
      <w:r w:rsidR="004259B8" w:rsidRPr="00FB56B6">
        <w:rPr>
          <w:rFonts w:cs="Arial"/>
          <w:szCs w:val="24"/>
        </w:rPr>
        <w:t xml:space="preserve"> өсөлтийн нөлөөгөөр барааны худалдааны ашиг өмнөх оноос </w:t>
      </w:r>
      <w:r w:rsidR="00374FAF">
        <w:rPr>
          <w:rFonts w:cs="Arial"/>
          <w:szCs w:val="24"/>
        </w:rPr>
        <w:t xml:space="preserve">       </w:t>
      </w:r>
      <w:r w:rsidR="004259B8" w:rsidRPr="00FB56B6">
        <w:rPr>
          <w:rFonts w:cs="Arial"/>
          <w:szCs w:val="24"/>
        </w:rPr>
        <w:t>1.</w:t>
      </w:r>
      <w:r w:rsidR="00576C1F" w:rsidRPr="00FB56B6">
        <w:rPr>
          <w:rFonts w:cs="Arial"/>
          <w:szCs w:val="24"/>
        </w:rPr>
        <w:t>0</w:t>
      </w:r>
      <w:r w:rsidR="004259B8" w:rsidRPr="00FB56B6">
        <w:rPr>
          <w:rFonts w:cs="Arial"/>
          <w:szCs w:val="24"/>
        </w:rPr>
        <w:t xml:space="preserve"> тэрбум ам.доллароор </w:t>
      </w:r>
      <w:r w:rsidR="00E019B0" w:rsidRPr="00FB56B6">
        <w:rPr>
          <w:rFonts w:cs="Arial"/>
          <w:szCs w:val="24"/>
        </w:rPr>
        <w:t>өссөнөөр</w:t>
      </w:r>
      <w:r w:rsidR="004259B8" w:rsidRPr="00FB56B6">
        <w:rPr>
          <w:rFonts w:cs="Arial"/>
          <w:szCs w:val="24"/>
        </w:rPr>
        <w:t xml:space="preserve"> урсгал дансны тэнцэл 202</w:t>
      </w:r>
      <w:r w:rsidR="000E1FCF" w:rsidRPr="00FB56B6">
        <w:rPr>
          <w:rFonts w:cs="Arial"/>
          <w:szCs w:val="24"/>
        </w:rPr>
        <w:t>5</w:t>
      </w:r>
      <w:r w:rsidR="004259B8" w:rsidRPr="00FB56B6">
        <w:rPr>
          <w:rFonts w:cs="Arial"/>
          <w:szCs w:val="24"/>
        </w:rPr>
        <w:t xml:space="preserve"> онд 2.</w:t>
      </w:r>
      <w:r w:rsidR="00E4484D" w:rsidRPr="00FB56B6">
        <w:rPr>
          <w:rFonts w:cs="Arial"/>
          <w:szCs w:val="24"/>
        </w:rPr>
        <w:t>1</w:t>
      </w:r>
      <w:r w:rsidR="004259B8" w:rsidRPr="00FB56B6">
        <w:rPr>
          <w:rFonts w:cs="Arial"/>
          <w:szCs w:val="24"/>
        </w:rPr>
        <w:t xml:space="preserve"> тэрбум ам.долларын алдагдалтай гар</w:t>
      </w:r>
      <w:r w:rsidR="00C27082" w:rsidRPr="00FB56B6">
        <w:rPr>
          <w:rFonts w:cs="Arial"/>
          <w:szCs w:val="24"/>
        </w:rPr>
        <w:t>ч, өмнөх оны гүйцэтгэлтэй харьцуулахад алдагдал буурсан байна</w:t>
      </w:r>
      <w:r w:rsidR="004259B8" w:rsidRPr="00FB56B6">
        <w:rPr>
          <w:rFonts w:cs="Arial"/>
          <w:szCs w:val="24"/>
        </w:rPr>
        <w:t xml:space="preserve">. </w:t>
      </w:r>
      <w:r w:rsidR="0062488E" w:rsidRPr="00FB56B6">
        <w:rPr>
          <w:rFonts w:cs="Arial"/>
          <w:szCs w:val="24"/>
        </w:rPr>
        <w:t xml:space="preserve">Мөн </w:t>
      </w:r>
      <w:r w:rsidR="004259B8" w:rsidRPr="00FB56B6">
        <w:rPr>
          <w:rFonts w:cs="Arial"/>
          <w:szCs w:val="24"/>
        </w:rPr>
        <w:t xml:space="preserve">санхүүгийн дансны ашиг </w:t>
      </w:r>
      <w:r w:rsidR="00A33122" w:rsidRPr="00FB56B6">
        <w:rPr>
          <w:rFonts w:cs="Arial"/>
          <w:szCs w:val="24"/>
        </w:rPr>
        <w:t>өмнөх оны түвшинд хадгалагдсанаар</w:t>
      </w:r>
      <w:r w:rsidR="004259B8" w:rsidRPr="00FB56B6">
        <w:rPr>
          <w:rFonts w:cs="Arial"/>
          <w:szCs w:val="24"/>
        </w:rPr>
        <w:t xml:space="preserve"> 202</w:t>
      </w:r>
      <w:r w:rsidR="00A33122" w:rsidRPr="00FB56B6">
        <w:rPr>
          <w:rFonts w:cs="Arial"/>
          <w:szCs w:val="24"/>
        </w:rPr>
        <w:t>5</w:t>
      </w:r>
      <w:r w:rsidR="004259B8" w:rsidRPr="00FB56B6">
        <w:rPr>
          <w:rFonts w:cs="Arial"/>
          <w:szCs w:val="24"/>
        </w:rPr>
        <w:t xml:space="preserve"> онд төлбөрийн тэнцэл </w:t>
      </w:r>
      <w:r w:rsidR="0002538F" w:rsidRPr="00FB56B6">
        <w:rPr>
          <w:rFonts w:cs="Arial"/>
          <w:szCs w:val="24"/>
          <w:lang w:eastAsia="ja-JP"/>
        </w:rPr>
        <w:t>1.0</w:t>
      </w:r>
      <w:r w:rsidR="004259B8" w:rsidRPr="00FB56B6">
        <w:rPr>
          <w:rFonts w:cs="Arial"/>
          <w:szCs w:val="24"/>
        </w:rPr>
        <w:t xml:space="preserve"> </w:t>
      </w:r>
      <w:r w:rsidR="0002538F" w:rsidRPr="00FB56B6">
        <w:rPr>
          <w:rFonts w:cs="Arial"/>
          <w:szCs w:val="24"/>
        </w:rPr>
        <w:t>тэрбум</w:t>
      </w:r>
      <w:r w:rsidR="004259B8" w:rsidRPr="00FB56B6">
        <w:rPr>
          <w:rFonts w:cs="Arial"/>
          <w:szCs w:val="24"/>
        </w:rPr>
        <w:t xml:space="preserve"> ам.долларын ашигтай гарч, гадаад валютын нөөц оны эцэст </w:t>
      </w:r>
      <w:r w:rsidR="002C024B" w:rsidRPr="00FB56B6">
        <w:rPr>
          <w:rFonts w:cs="Arial"/>
          <w:szCs w:val="24"/>
        </w:rPr>
        <w:t>7</w:t>
      </w:r>
      <w:r w:rsidR="004259B8" w:rsidRPr="00FB56B6">
        <w:rPr>
          <w:rFonts w:cs="Arial"/>
          <w:szCs w:val="24"/>
        </w:rPr>
        <w:t>.</w:t>
      </w:r>
      <w:r w:rsidR="002C024B" w:rsidRPr="00FB56B6">
        <w:rPr>
          <w:rFonts w:cs="Arial"/>
          <w:szCs w:val="24"/>
        </w:rPr>
        <w:t>0</w:t>
      </w:r>
      <w:r w:rsidR="004259B8" w:rsidRPr="00FB56B6">
        <w:rPr>
          <w:rFonts w:cs="Arial"/>
          <w:szCs w:val="24"/>
        </w:rPr>
        <w:t xml:space="preserve"> тэрбум ам.долларт хүрч нэмэгдлээ.</w:t>
      </w:r>
    </w:p>
    <w:p w14:paraId="539BC9B9" w14:textId="77777777" w:rsidR="00374FAF" w:rsidRDefault="00374FAF" w:rsidP="00374FAF">
      <w:pPr>
        <w:tabs>
          <w:tab w:val="left" w:pos="454"/>
          <w:tab w:val="right" w:leader="dot" w:pos="9354"/>
        </w:tabs>
        <w:spacing w:afterLines="0" w:after="0" w:line="240" w:lineRule="auto"/>
        <w:ind w:firstLine="720"/>
        <w:mirrorIndents/>
        <w:rPr>
          <w:rFonts w:cs="Arial"/>
          <w:szCs w:val="24"/>
        </w:rPr>
      </w:pPr>
    </w:p>
    <w:p w14:paraId="39EED0A0" w14:textId="42AB0D98" w:rsidR="004259B8" w:rsidRDefault="009014CF" w:rsidP="00374FAF">
      <w:pPr>
        <w:tabs>
          <w:tab w:val="left" w:pos="454"/>
          <w:tab w:val="right" w:leader="dot" w:pos="9354"/>
        </w:tabs>
        <w:spacing w:afterLines="0" w:after="0" w:line="240" w:lineRule="auto"/>
        <w:ind w:firstLine="720"/>
        <w:mirrorIndents/>
        <w:rPr>
          <w:rFonts w:cs="Arial"/>
          <w:szCs w:val="24"/>
        </w:rPr>
      </w:pPr>
      <w:r w:rsidRPr="00FB56B6">
        <w:rPr>
          <w:rFonts w:cs="Arial"/>
          <w:szCs w:val="24"/>
        </w:rPr>
        <w:t>Хөгжлийн банк</w:t>
      </w:r>
      <w:r w:rsidR="004259B8" w:rsidRPr="00FB56B6">
        <w:rPr>
          <w:rFonts w:cs="Arial"/>
          <w:szCs w:val="24"/>
        </w:rPr>
        <w:t xml:space="preserve"> гадаад зах зээлд шинэ бонд гарга</w:t>
      </w:r>
      <w:r w:rsidR="003D3CA2" w:rsidRPr="00FB56B6">
        <w:rPr>
          <w:rFonts w:cs="Arial"/>
          <w:szCs w:val="24"/>
        </w:rPr>
        <w:t xml:space="preserve">ж, </w:t>
      </w:r>
      <w:r w:rsidR="0051562C" w:rsidRPr="00FB56B6">
        <w:rPr>
          <w:rFonts w:cs="Arial"/>
          <w:szCs w:val="24"/>
        </w:rPr>
        <w:t>376 сая ам</w:t>
      </w:r>
      <w:r w:rsidR="00CB1DD9" w:rsidRPr="00FB56B6">
        <w:rPr>
          <w:rFonts w:cs="Arial"/>
          <w:szCs w:val="24"/>
        </w:rPr>
        <w:t xml:space="preserve">.долларын цэвэр эх үүсвэр </w:t>
      </w:r>
      <w:r w:rsidR="004833AC" w:rsidRPr="00FB56B6">
        <w:rPr>
          <w:rFonts w:cs="Arial"/>
          <w:szCs w:val="24"/>
        </w:rPr>
        <w:t>татсан</w:t>
      </w:r>
      <w:r w:rsidR="004412CC" w:rsidRPr="00FB56B6">
        <w:rPr>
          <w:rFonts w:cs="Arial"/>
          <w:szCs w:val="24"/>
        </w:rPr>
        <w:t xml:space="preserve"> бөгөөд</w:t>
      </w:r>
      <w:r w:rsidR="004833AC" w:rsidRPr="00FB56B6">
        <w:rPr>
          <w:rFonts w:cs="Arial"/>
          <w:szCs w:val="24"/>
        </w:rPr>
        <w:t xml:space="preserve"> </w:t>
      </w:r>
      <w:r w:rsidR="00736024" w:rsidRPr="00FB56B6">
        <w:rPr>
          <w:rFonts w:cs="Arial"/>
          <w:szCs w:val="24"/>
        </w:rPr>
        <w:t xml:space="preserve">уул уурхайн </w:t>
      </w:r>
      <w:r w:rsidR="002B0857" w:rsidRPr="00FB56B6">
        <w:rPr>
          <w:rFonts w:cs="Arial"/>
          <w:szCs w:val="24"/>
        </w:rPr>
        <w:t>компаниудын</w:t>
      </w:r>
      <w:r w:rsidR="00AD254B" w:rsidRPr="00FB56B6">
        <w:rPr>
          <w:rFonts w:cs="Arial"/>
          <w:szCs w:val="24"/>
        </w:rPr>
        <w:t xml:space="preserve"> экспортын </w:t>
      </w:r>
      <w:r w:rsidR="002B0857" w:rsidRPr="00FB56B6">
        <w:rPr>
          <w:rFonts w:cs="Arial"/>
          <w:szCs w:val="24"/>
        </w:rPr>
        <w:t xml:space="preserve">урьдчилгаа болон импортын худалдааны зээлийн </w:t>
      </w:r>
      <w:r w:rsidR="004412CC" w:rsidRPr="00FB56B6">
        <w:rPr>
          <w:rFonts w:cs="Arial"/>
          <w:szCs w:val="24"/>
        </w:rPr>
        <w:t>дотогшлох</w:t>
      </w:r>
      <w:r w:rsidR="002B0857" w:rsidRPr="00FB56B6">
        <w:rPr>
          <w:rFonts w:cs="Arial"/>
          <w:szCs w:val="24"/>
        </w:rPr>
        <w:t xml:space="preserve"> урсгал </w:t>
      </w:r>
      <w:r w:rsidR="00487BAE" w:rsidRPr="00FB56B6">
        <w:rPr>
          <w:rFonts w:cs="Arial"/>
          <w:szCs w:val="24"/>
        </w:rPr>
        <w:t xml:space="preserve">өссөн зэргээс шалтгаалан </w:t>
      </w:r>
      <w:r w:rsidR="004259B8" w:rsidRPr="00FB56B6">
        <w:rPr>
          <w:rFonts w:cs="Arial"/>
          <w:szCs w:val="24"/>
        </w:rPr>
        <w:t>гадаад валютын орох урсгал нэмэгдэж, санхүүгийн данс</w:t>
      </w:r>
      <w:r w:rsidR="00AB6F4E" w:rsidRPr="00FB56B6">
        <w:rPr>
          <w:rFonts w:cs="Arial"/>
          <w:szCs w:val="24"/>
        </w:rPr>
        <w:t xml:space="preserve"> </w:t>
      </w:r>
      <w:r w:rsidR="004259B8" w:rsidRPr="00FB56B6">
        <w:rPr>
          <w:rFonts w:cs="Arial"/>
          <w:szCs w:val="24"/>
        </w:rPr>
        <w:t>202</w:t>
      </w:r>
      <w:r w:rsidR="006870AB" w:rsidRPr="00FB56B6">
        <w:rPr>
          <w:rFonts w:cs="Arial"/>
          <w:szCs w:val="24"/>
        </w:rPr>
        <w:t>5</w:t>
      </w:r>
      <w:r w:rsidR="004259B8" w:rsidRPr="00FB56B6">
        <w:rPr>
          <w:rFonts w:cs="Arial"/>
          <w:szCs w:val="24"/>
        </w:rPr>
        <w:t xml:space="preserve"> онд 3.3 тэрбум ам.доллар</w:t>
      </w:r>
      <w:r w:rsidR="00AB6F4E" w:rsidRPr="00FB56B6">
        <w:rPr>
          <w:rFonts w:cs="Arial"/>
          <w:szCs w:val="24"/>
        </w:rPr>
        <w:t>ын ашигтай гарлаа</w:t>
      </w:r>
      <w:r w:rsidR="004259B8" w:rsidRPr="00FB56B6">
        <w:rPr>
          <w:rFonts w:cs="Arial"/>
          <w:szCs w:val="24"/>
        </w:rPr>
        <w:t xml:space="preserve">. </w:t>
      </w:r>
    </w:p>
    <w:p w14:paraId="2F3AD123" w14:textId="063ADC03" w:rsidR="004259B8" w:rsidRPr="008C5EE2" w:rsidRDefault="004259B8" w:rsidP="00374FAF">
      <w:pPr>
        <w:pStyle w:val="Caption"/>
        <w:keepNext/>
        <w:spacing w:after="120"/>
        <w:jc w:val="right"/>
        <w:rPr>
          <w:rFonts w:ascii="Arial" w:hAnsi="Arial" w:cs="Arial"/>
          <w:color w:val="auto"/>
        </w:rPr>
      </w:pPr>
      <w:bookmarkStart w:id="70" w:name="_Toc195366775"/>
      <w:bookmarkStart w:id="71" w:name="_Toc195515847"/>
      <w:bookmarkStart w:id="72" w:name="_Toc195606109"/>
      <w:bookmarkStart w:id="73" w:name="_Toc195607505"/>
      <w:bookmarkStart w:id="74" w:name="_Toc195612514"/>
      <w:bookmarkStart w:id="75" w:name="_Toc201605979"/>
      <w:bookmarkStart w:id="76" w:name="_Toc201759624"/>
      <w:r w:rsidRPr="008C5EE2">
        <w:rPr>
          <w:rFonts w:ascii="Arial" w:hAnsi="Arial" w:cs="Arial"/>
          <w:color w:val="auto"/>
        </w:rPr>
        <w:lastRenderedPageBreak/>
        <w:t xml:space="preserve">Зураг </w:t>
      </w:r>
      <w:r w:rsidRPr="008C5EE2">
        <w:rPr>
          <w:rFonts w:ascii="Arial" w:hAnsi="Arial" w:cs="Arial"/>
          <w:color w:val="auto"/>
        </w:rPr>
        <w:fldChar w:fldCharType="begin"/>
      </w:r>
      <w:r w:rsidRPr="008C5EE2">
        <w:rPr>
          <w:rFonts w:ascii="Arial" w:hAnsi="Arial" w:cs="Arial"/>
          <w:color w:val="auto"/>
        </w:rPr>
        <w:instrText xml:space="preserve"> STYLEREF 1 \s </w:instrText>
      </w:r>
      <w:r w:rsidRPr="008C5EE2">
        <w:rPr>
          <w:rFonts w:ascii="Arial" w:hAnsi="Arial" w:cs="Arial"/>
          <w:color w:val="auto"/>
        </w:rPr>
        <w:fldChar w:fldCharType="separate"/>
      </w:r>
      <w:r w:rsidR="000E7C9C">
        <w:rPr>
          <w:rFonts w:ascii="Arial" w:hAnsi="Arial" w:cs="Arial"/>
          <w:noProof/>
          <w:color w:val="auto"/>
        </w:rPr>
        <w:t>1</w:t>
      </w:r>
      <w:r w:rsidRPr="008C5EE2">
        <w:rPr>
          <w:rFonts w:ascii="Arial" w:hAnsi="Arial" w:cs="Arial"/>
          <w:color w:val="auto"/>
        </w:rPr>
        <w:fldChar w:fldCharType="end"/>
      </w:r>
      <w:r w:rsidRPr="008C5EE2">
        <w:rPr>
          <w:rFonts w:ascii="Arial" w:hAnsi="Arial" w:cs="Arial"/>
          <w:color w:val="auto"/>
        </w:rPr>
        <w:t>.</w:t>
      </w:r>
      <w:r w:rsidRPr="008C5EE2">
        <w:rPr>
          <w:rFonts w:ascii="Arial" w:hAnsi="Arial" w:cs="Arial"/>
          <w:color w:val="auto"/>
        </w:rPr>
        <w:fldChar w:fldCharType="begin"/>
      </w:r>
      <w:r w:rsidRPr="008C5EE2">
        <w:rPr>
          <w:rFonts w:ascii="Arial" w:hAnsi="Arial" w:cs="Arial"/>
          <w:color w:val="auto"/>
        </w:rPr>
        <w:instrText xml:space="preserve"> SEQ Зураг \* ARABIC \s 1 </w:instrText>
      </w:r>
      <w:r w:rsidRPr="008C5EE2">
        <w:rPr>
          <w:rFonts w:ascii="Arial" w:hAnsi="Arial" w:cs="Arial"/>
          <w:color w:val="auto"/>
        </w:rPr>
        <w:fldChar w:fldCharType="separate"/>
      </w:r>
      <w:r w:rsidR="000E7C9C">
        <w:rPr>
          <w:rFonts w:ascii="Arial" w:hAnsi="Arial" w:cs="Arial"/>
          <w:noProof/>
          <w:color w:val="auto"/>
        </w:rPr>
        <w:t>5</w:t>
      </w:r>
      <w:r w:rsidRPr="008C5EE2">
        <w:rPr>
          <w:rFonts w:ascii="Arial" w:hAnsi="Arial" w:cs="Arial"/>
          <w:color w:val="auto"/>
        </w:rPr>
        <w:fldChar w:fldCharType="end"/>
      </w:r>
      <w:r w:rsidRPr="008C5EE2">
        <w:rPr>
          <w:rFonts w:ascii="Arial" w:hAnsi="Arial" w:cs="Arial"/>
          <w:color w:val="auto"/>
        </w:rPr>
        <w:t xml:space="preserve"> Төлбөрийн тэнцэл, гадаад валютын нөөц</w:t>
      </w:r>
      <w:bookmarkEnd w:id="70"/>
      <w:bookmarkEnd w:id="71"/>
      <w:bookmarkEnd w:id="72"/>
      <w:bookmarkEnd w:id="73"/>
      <w:bookmarkEnd w:id="74"/>
      <w:bookmarkEnd w:id="75"/>
      <w:bookmarkEnd w:id="76"/>
    </w:p>
    <w:tbl>
      <w:tblPr>
        <w:tblpPr w:leftFromText="180" w:rightFromText="180" w:vertAnchor="text" w:horzAnchor="margin" w:tblpY="66"/>
        <w:tblOverlap w:val="never"/>
        <w:tblW w:w="4873" w:type="pct"/>
        <w:tblLook w:val="04A0" w:firstRow="1" w:lastRow="0" w:firstColumn="1" w:lastColumn="0" w:noHBand="0" w:noVBand="1"/>
      </w:tblPr>
      <w:tblGrid>
        <w:gridCol w:w="4704"/>
        <w:gridCol w:w="222"/>
        <w:gridCol w:w="4428"/>
      </w:tblGrid>
      <w:tr w:rsidR="004259B8" w:rsidRPr="00614D1A" w14:paraId="5E89E127" w14:textId="77777777" w:rsidTr="00C421FF">
        <w:trPr>
          <w:cantSplit/>
        </w:trPr>
        <w:tc>
          <w:tcPr>
            <w:tcW w:w="2492" w:type="pct"/>
            <w:tcBorders>
              <w:top w:val="single" w:sz="4" w:space="0" w:color="auto"/>
            </w:tcBorders>
          </w:tcPr>
          <w:p w14:paraId="7E75FF2E" w14:textId="77777777" w:rsidR="004259B8" w:rsidRPr="00C421FF" w:rsidRDefault="004259B8">
            <w:pPr>
              <w:tabs>
                <w:tab w:val="right" w:leader="dot" w:pos="9354"/>
              </w:tabs>
              <w:spacing w:afterLines="0" w:after="0" w:line="240" w:lineRule="auto"/>
              <w:jc w:val="left"/>
              <w:rPr>
                <w:rFonts w:eastAsiaTheme="minorEastAsia" w:cs="Arial"/>
                <w:kern w:val="0"/>
                <w:sz w:val="20"/>
                <w:szCs w:val="20"/>
              </w:rPr>
            </w:pPr>
            <w:r w:rsidRPr="00C421FF">
              <w:rPr>
                <w:rFonts w:eastAsiaTheme="minorEastAsia" w:cs="Arial"/>
                <w:kern w:val="0"/>
                <w:sz w:val="20"/>
                <w:szCs w:val="20"/>
              </w:rPr>
              <w:t>1.</w:t>
            </w:r>
            <w:r w:rsidRPr="00C421FF">
              <w:rPr>
                <w:rFonts w:eastAsiaTheme="minorEastAsia" w:cs="Arial"/>
                <w:i/>
                <w:color w:val="055957"/>
                <w:kern w:val="0"/>
                <w:sz w:val="20"/>
                <w:szCs w:val="20"/>
              </w:rPr>
              <w:t xml:space="preserve"> </w:t>
            </w:r>
            <w:r w:rsidRPr="00C421FF">
              <w:rPr>
                <w:rFonts w:eastAsiaTheme="minorEastAsia" w:cs="Arial"/>
                <w:kern w:val="0"/>
                <w:sz w:val="20"/>
                <w:szCs w:val="20"/>
              </w:rPr>
              <w:t xml:space="preserve">Төлбөрийн тэнцэл </w:t>
            </w:r>
          </w:p>
          <w:p w14:paraId="0FCB9541" w14:textId="77777777" w:rsidR="004259B8" w:rsidRPr="008C5EE2" w:rsidRDefault="004259B8">
            <w:pPr>
              <w:tabs>
                <w:tab w:val="right" w:leader="dot" w:pos="9354"/>
              </w:tabs>
              <w:spacing w:afterLines="0" w:after="0" w:line="240" w:lineRule="auto"/>
              <w:jc w:val="left"/>
              <w:rPr>
                <w:rFonts w:eastAsia="Yu Gothic" w:cs="Arial"/>
                <w:iCs/>
                <w:kern w:val="0"/>
                <w:sz w:val="18"/>
                <w:szCs w:val="18"/>
                <w:lang w:eastAsia="ja-JP"/>
              </w:rPr>
            </w:pPr>
            <w:r w:rsidRPr="00C421FF">
              <w:rPr>
                <w:rFonts w:eastAsiaTheme="minorEastAsia" w:cs="Arial"/>
                <w:kern w:val="0"/>
                <w:sz w:val="20"/>
                <w:szCs w:val="20"/>
              </w:rPr>
              <w:t>(сая ам.доллар)</w:t>
            </w:r>
          </w:p>
        </w:tc>
        <w:tc>
          <w:tcPr>
            <w:tcW w:w="117" w:type="pct"/>
            <w:tcBorders>
              <w:top w:val="single" w:sz="4" w:space="0" w:color="auto"/>
            </w:tcBorders>
          </w:tcPr>
          <w:p w14:paraId="4D6254AF" w14:textId="77777777" w:rsidR="00C421FF" w:rsidRPr="00C421FF" w:rsidRDefault="00C421FF">
            <w:pPr>
              <w:tabs>
                <w:tab w:val="right" w:leader="dot" w:pos="9354"/>
              </w:tabs>
              <w:spacing w:afterLines="0" w:after="0" w:line="240" w:lineRule="auto"/>
              <w:jc w:val="left"/>
              <w:rPr>
                <w:rFonts w:eastAsiaTheme="minorEastAsia" w:cs="Arial"/>
                <w:iCs/>
                <w:kern w:val="0"/>
                <w:sz w:val="20"/>
                <w:szCs w:val="20"/>
              </w:rPr>
            </w:pPr>
          </w:p>
        </w:tc>
        <w:tc>
          <w:tcPr>
            <w:tcW w:w="2392" w:type="pct"/>
            <w:tcBorders>
              <w:top w:val="single" w:sz="4" w:space="0" w:color="auto"/>
            </w:tcBorders>
          </w:tcPr>
          <w:p w14:paraId="102996BD" w14:textId="77777777" w:rsidR="004259B8" w:rsidRPr="00C421FF" w:rsidRDefault="004259B8">
            <w:pPr>
              <w:tabs>
                <w:tab w:val="right" w:leader="dot" w:pos="9354"/>
              </w:tabs>
              <w:spacing w:afterLines="0" w:after="0" w:line="240" w:lineRule="auto"/>
              <w:jc w:val="left"/>
              <w:rPr>
                <w:rFonts w:eastAsiaTheme="minorEastAsia" w:cs="Arial"/>
                <w:kern w:val="0"/>
                <w:sz w:val="20"/>
                <w:szCs w:val="20"/>
              </w:rPr>
            </w:pPr>
            <w:r w:rsidRPr="00C421FF">
              <w:rPr>
                <w:rFonts w:eastAsiaTheme="minorEastAsia" w:cs="Arial"/>
                <w:kern w:val="0"/>
                <w:sz w:val="20"/>
                <w:szCs w:val="20"/>
              </w:rPr>
              <w:t>2.</w:t>
            </w:r>
            <w:r w:rsidRPr="00C421FF">
              <w:rPr>
                <w:rFonts w:eastAsiaTheme="minorEastAsia" w:cs="Arial"/>
                <w:i/>
                <w:color w:val="055957"/>
                <w:kern w:val="0"/>
                <w:sz w:val="20"/>
                <w:szCs w:val="20"/>
              </w:rPr>
              <w:t xml:space="preserve"> </w:t>
            </w:r>
            <w:r w:rsidRPr="00C421FF">
              <w:rPr>
                <w:rFonts w:eastAsiaTheme="minorEastAsia" w:cs="Arial"/>
                <w:kern w:val="0"/>
                <w:sz w:val="20"/>
                <w:szCs w:val="20"/>
              </w:rPr>
              <w:t xml:space="preserve">Гадаад валютын улсын нөөц </w:t>
            </w:r>
          </w:p>
          <w:p w14:paraId="26888603" w14:textId="77777777" w:rsidR="004259B8" w:rsidRPr="008C5EE2" w:rsidRDefault="004259B8">
            <w:pPr>
              <w:tabs>
                <w:tab w:val="right" w:leader="dot" w:pos="9354"/>
              </w:tabs>
              <w:spacing w:afterLines="0" w:after="0" w:line="240" w:lineRule="auto"/>
              <w:jc w:val="left"/>
              <w:rPr>
                <w:rFonts w:eastAsiaTheme="minorEastAsia" w:cs="Arial"/>
                <w:iCs/>
                <w:kern w:val="0"/>
                <w:sz w:val="18"/>
                <w:szCs w:val="18"/>
              </w:rPr>
            </w:pPr>
            <w:r w:rsidRPr="00C421FF">
              <w:rPr>
                <w:rFonts w:eastAsiaTheme="minorEastAsia" w:cs="Arial"/>
                <w:kern w:val="0"/>
                <w:sz w:val="20"/>
                <w:szCs w:val="20"/>
              </w:rPr>
              <w:t>(сая ам.доллар)</w:t>
            </w:r>
          </w:p>
        </w:tc>
      </w:tr>
      <w:tr w:rsidR="004259B8" w:rsidRPr="00614D1A" w14:paraId="06874C80" w14:textId="77777777" w:rsidTr="00C421FF">
        <w:trPr>
          <w:trHeight w:val="2836"/>
        </w:trPr>
        <w:tc>
          <w:tcPr>
            <w:tcW w:w="2492" w:type="pct"/>
          </w:tcPr>
          <w:p w14:paraId="6A8F7A9E" w14:textId="46314E36" w:rsidR="004259B8" w:rsidRPr="008C5EE2" w:rsidRDefault="00C421FF">
            <w:pPr>
              <w:numPr>
                <w:ilvl w:val="0"/>
                <w:numId w:val="2"/>
              </w:numPr>
              <w:tabs>
                <w:tab w:val="left" w:pos="454"/>
                <w:tab w:val="right" w:leader="dot" w:pos="9354"/>
              </w:tabs>
              <w:spacing w:afterLines="0" w:after="0" w:line="240" w:lineRule="auto"/>
              <w:ind w:left="0"/>
              <w:mirrorIndents/>
              <w:rPr>
                <w:rFonts w:cs="Arial"/>
                <w:szCs w:val="24"/>
              </w:rPr>
            </w:pPr>
            <w:r w:rsidRPr="00A52C67">
              <w:rPr>
                <w:rFonts w:cs="Arial"/>
                <w:noProof/>
              </w:rPr>
              <w:drawing>
                <wp:inline distT="0" distB="0" distL="0" distR="0" wp14:anchorId="6C925970" wp14:editId="211D6C82">
                  <wp:extent cx="3084394" cy="1828800"/>
                  <wp:effectExtent l="0" t="0" r="1905" b="0"/>
                  <wp:docPr id="92776132" name="Chart 1">
                    <a:extLst xmlns:a="http://schemas.openxmlformats.org/drawingml/2006/main">
                      <a:ext uri="{FF2B5EF4-FFF2-40B4-BE49-F238E27FC236}">
                        <a16:creationId xmlns:a16="http://schemas.microsoft.com/office/drawing/2014/main" id="{B0341CDE-1166-1DCC-39F7-A68B68C2C1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c>
          <w:tcPr>
            <w:tcW w:w="117" w:type="pct"/>
          </w:tcPr>
          <w:p w14:paraId="71615D18" w14:textId="77777777" w:rsidR="00C421FF" w:rsidRPr="00A52C67" w:rsidRDefault="00C421FF">
            <w:pPr>
              <w:tabs>
                <w:tab w:val="left" w:pos="454"/>
                <w:tab w:val="right" w:leader="dot" w:pos="9354"/>
              </w:tabs>
              <w:spacing w:afterLines="0"/>
              <w:mirrorIndents/>
              <w:rPr>
                <w:rFonts w:cs="Arial"/>
              </w:rPr>
            </w:pPr>
          </w:p>
        </w:tc>
        <w:tc>
          <w:tcPr>
            <w:tcW w:w="2392" w:type="pct"/>
          </w:tcPr>
          <w:p w14:paraId="1D5FFD5B" w14:textId="56305088" w:rsidR="004259B8" w:rsidRPr="008C5EE2" w:rsidRDefault="00C421FF">
            <w:pPr>
              <w:tabs>
                <w:tab w:val="left" w:pos="454"/>
                <w:tab w:val="right" w:leader="dot" w:pos="9354"/>
              </w:tabs>
              <w:spacing w:afterLines="0"/>
              <w:mirrorIndents/>
              <w:rPr>
                <w:rFonts w:cs="Arial"/>
                <w:szCs w:val="24"/>
              </w:rPr>
            </w:pPr>
            <w:r w:rsidRPr="00A52C67">
              <w:rPr>
                <w:rFonts w:cs="Arial"/>
                <w:noProof/>
              </w:rPr>
              <w:drawing>
                <wp:inline distT="0" distB="0" distL="0" distR="0" wp14:anchorId="168E5BF5" wp14:editId="7F78B690">
                  <wp:extent cx="2890254" cy="1746885"/>
                  <wp:effectExtent l="0" t="0" r="5715" b="5715"/>
                  <wp:docPr id="1957746053" name="Chart 1">
                    <a:extLst xmlns:a="http://schemas.openxmlformats.org/drawingml/2006/main">
                      <a:ext uri="{FF2B5EF4-FFF2-40B4-BE49-F238E27FC236}">
                        <a16:creationId xmlns:a16="http://schemas.microsoft.com/office/drawing/2014/main" id="{DD52EC56-E482-1576-DB72-DC8EC22F86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r>
      <w:tr w:rsidR="004259B8" w:rsidRPr="00614D1A" w14:paraId="24F1B45B" w14:textId="77777777" w:rsidTr="00C421FF">
        <w:trPr>
          <w:trHeight w:val="250"/>
        </w:trPr>
        <w:tc>
          <w:tcPr>
            <w:tcW w:w="2492" w:type="pct"/>
            <w:tcBorders>
              <w:bottom w:val="single" w:sz="4" w:space="0" w:color="auto"/>
            </w:tcBorders>
          </w:tcPr>
          <w:p w14:paraId="0F8E8612" w14:textId="77777777" w:rsidR="004259B8" w:rsidRPr="008C5EE2" w:rsidRDefault="004259B8">
            <w:pPr>
              <w:tabs>
                <w:tab w:val="right" w:leader="dot" w:pos="9354"/>
              </w:tabs>
              <w:spacing w:afterLines="0" w:after="0"/>
              <w:ind w:right="90"/>
              <w:jc w:val="right"/>
              <w:rPr>
                <w:rFonts w:cs="Arial"/>
                <w:i/>
                <w:szCs w:val="24"/>
                <w:lang w:eastAsia="ja-JP"/>
              </w:rPr>
            </w:pPr>
          </w:p>
        </w:tc>
        <w:tc>
          <w:tcPr>
            <w:tcW w:w="117" w:type="pct"/>
            <w:tcBorders>
              <w:bottom w:val="single" w:sz="4" w:space="0" w:color="auto"/>
            </w:tcBorders>
          </w:tcPr>
          <w:p w14:paraId="7CF7A47B" w14:textId="77777777" w:rsidR="00C421FF" w:rsidRPr="00A52C67" w:rsidRDefault="00C421FF">
            <w:pPr>
              <w:tabs>
                <w:tab w:val="right" w:leader="dot" w:pos="9354"/>
              </w:tabs>
              <w:spacing w:afterLines="0" w:after="0"/>
              <w:ind w:right="180"/>
              <w:jc w:val="right"/>
              <w:rPr>
                <w:rFonts w:cs="Arial"/>
                <w:i/>
                <w:sz w:val="20"/>
                <w:szCs w:val="20"/>
              </w:rPr>
            </w:pPr>
          </w:p>
        </w:tc>
        <w:tc>
          <w:tcPr>
            <w:tcW w:w="2392" w:type="pct"/>
            <w:tcBorders>
              <w:bottom w:val="single" w:sz="4" w:space="0" w:color="auto"/>
            </w:tcBorders>
          </w:tcPr>
          <w:p w14:paraId="69BA2386" w14:textId="77777777" w:rsidR="004259B8" w:rsidRPr="008C5EE2" w:rsidRDefault="004259B8">
            <w:pPr>
              <w:tabs>
                <w:tab w:val="right" w:leader="dot" w:pos="9354"/>
              </w:tabs>
              <w:spacing w:afterLines="0" w:after="0"/>
              <w:ind w:right="180"/>
              <w:jc w:val="right"/>
              <w:rPr>
                <w:rFonts w:cs="Arial"/>
                <w:i/>
                <w:sz w:val="20"/>
                <w:szCs w:val="20"/>
              </w:rPr>
            </w:pPr>
            <w:r w:rsidRPr="008C5EE2">
              <w:rPr>
                <w:rFonts w:cs="Arial"/>
                <w:i/>
                <w:sz w:val="20"/>
                <w:szCs w:val="20"/>
              </w:rPr>
              <w:t xml:space="preserve">Эх сурвалж: Монголбанк </w:t>
            </w:r>
          </w:p>
        </w:tc>
      </w:tr>
    </w:tbl>
    <w:p w14:paraId="67A0D761" w14:textId="581B0511" w:rsidR="004259B8" w:rsidRPr="00614D1A" w:rsidRDefault="004259B8" w:rsidP="00374FAF">
      <w:pPr>
        <w:pStyle w:val="Heading2"/>
        <w:spacing w:before="240" w:afterLines="0" w:after="120" w:line="240" w:lineRule="auto"/>
        <w:ind w:left="0" w:firstLine="720"/>
        <w:rPr>
          <w:rFonts w:cs="Arial"/>
        </w:rPr>
      </w:pPr>
      <w:bookmarkStart w:id="77" w:name="_Toc201755695"/>
      <w:bookmarkStart w:id="78" w:name="_Toc238120985"/>
      <w:r w:rsidRPr="00614D1A">
        <w:rPr>
          <w:rFonts w:cs="Arial"/>
        </w:rPr>
        <w:t>Монгол Улсын эдийн засгийн 202</w:t>
      </w:r>
      <w:r w:rsidR="00F34CCD" w:rsidRPr="00614D1A">
        <w:rPr>
          <w:rFonts w:cs="Arial"/>
        </w:rPr>
        <w:t>6</w:t>
      </w:r>
      <w:r w:rsidRPr="00614D1A">
        <w:rPr>
          <w:rFonts w:cs="Arial"/>
        </w:rPr>
        <w:t xml:space="preserve"> оны хүлээгдэж буй гүйцэтгэл</w:t>
      </w:r>
      <w:bookmarkEnd w:id="77"/>
      <w:bookmarkEnd w:id="78"/>
    </w:p>
    <w:p w14:paraId="6E6D5C66" w14:textId="77777777" w:rsidR="004D4BE6" w:rsidRPr="008C5EE2" w:rsidRDefault="004D4BE6" w:rsidP="00374FAF">
      <w:pPr>
        <w:pStyle w:val="Heading3"/>
        <w:numPr>
          <w:ilvl w:val="2"/>
          <w:numId w:val="41"/>
        </w:numPr>
        <w:ind w:left="0" w:firstLine="720"/>
      </w:pPr>
      <w:bookmarkStart w:id="79" w:name="_Toc238120986"/>
      <w:r w:rsidRPr="008C5EE2">
        <w:t>Дэлхийн эдийн засгийн төлөв</w:t>
      </w:r>
      <w:bookmarkEnd w:id="79"/>
    </w:p>
    <w:p w14:paraId="747EB2DB" w14:textId="44278A1C" w:rsidR="004D4BE6" w:rsidRDefault="004D4BE6" w:rsidP="00374FAF">
      <w:pPr>
        <w:spacing w:afterLines="0" w:after="0" w:line="240" w:lineRule="auto"/>
        <w:ind w:firstLine="720"/>
        <w:rPr>
          <w:rFonts w:cs="Arial"/>
          <w:szCs w:val="24"/>
        </w:rPr>
      </w:pPr>
      <w:r w:rsidRPr="00FB56B6">
        <w:rPr>
          <w:rFonts w:cs="Arial"/>
          <w:szCs w:val="24"/>
        </w:rPr>
        <w:t>Сүүлийн жилүүдэд дэлхийн улс орнуудад бодлогын болон бүтцийн өөрчлөлтүүд явагдаж, худалдаа, хөрөнгө оруулалтын урсгал эрчимтэй өөрчлөгдөж буй энэ цаг үед дэлхийн улс төр, эдийн засгийн өрнөлд тодорхой бус байдал эрчимтэй нэмэгдэж байна.</w:t>
      </w:r>
      <w:r w:rsidRPr="00614D1A">
        <w:rPr>
          <w:rFonts w:cs="Arial"/>
        </w:rPr>
        <w:t xml:space="preserve"> </w:t>
      </w:r>
      <w:r w:rsidRPr="00FB56B6">
        <w:rPr>
          <w:rFonts w:cs="Arial"/>
          <w:szCs w:val="24"/>
        </w:rPr>
        <w:t xml:space="preserve">ОУВС дэлхийн эдийн засгийн өсөлт 2026 онд 3.0 хувь, 2027 онд 3.4 хувь буюу </w:t>
      </w:r>
      <w:r w:rsidRPr="00FB56B6">
        <w:rPr>
          <w:rFonts w:eastAsia="Times New Roman" w:cs="Arial"/>
        </w:rPr>
        <w:t>цар тахлын өмнөх 3.7 хувийн дундаж өсөлтөөс бага байхаар төсөөлж</w:t>
      </w:r>
      <w:r w:rsidRPr="00FB56B6">
        <w:rPr>
          <w:rFonts w:cs="Arial"/>
          <w:szCs w:val="24"/>
        </w:rPr>
        <w:t xml:space="preserve"> байна. БНХАУ-ын үл хөдлөх салбарын уналт, ОХУ-Украйны дайн болон Ойрх Дорнодын тогтворгүй байдал зэрэг эдийн засаг, геополитикийн тогтворгүй байдал зэрэг нь дэлхийн эдийн засгийн идэвхжилийг хязгаарлах, инфляцыг өдөөх эрсдэлийг нэмэгдүүлж байна.</w:t>
      </w:r>
    </w:p>
    <w:p w14:paraId="58D75E3C" w14:textId="77777777" w:rsidR="00374FAF" w:rsidRPr="0044511B" w:rsidRDefault="00374FAF" w:rsidP="00374FAF">
      <w:pPr>
        <w:spacing w:afterLines="0" w:after="0" w:line="240" w:lineRule="auto"/>
        <w:ind w:firstLine="720"/>
        <w:rPr>
          <w:rFonts w:cs="Arial"/>
          <w:szCs w:val="24"/>
        </w:rPr>
      </w:pPr>
    </w:p>
    <w:tbl>
      <w:tblPr>
        <w:tblpPr w:leftFromText="180" w:rightFromText="180" w:vertAnchor="text" w:tblpY="1"/>
        <w:tblOverlap w:val="never"/>
        <w:tblW w:w="9639" w:type="dxa"/>
        <w:tblLook w:val="04A0" w:firstRow="1" w:lastRow="0" w:firstColumn="1" w:lastColumn="0" w:noHBand="0" w:noVBand="1"/>
      </w:tblPr>
      <w:tblGrid>
        <w:gridCol w:w="4595"/>
        <w:gridCol w:w="5044"/>
      </w:tblGrid>
      <w:tr w:rsidR="004D4BE6" w:rsidRPr="00614D1A" w14:paraId="7FB6FA05" w14:textId="77777777" w:rsidTr="002F577C">
        <w:trPr>
          <w:trHeight w:val="1145"/>
        </w:trPr>
        <w:tc>
          <w:tcPr>
            <w:tcW w:w="4595" w:type="dxa"/>
            <w:tcBorders>
              <w:top w:val="single" w:sz="4" w:space="0" w:color="auto"/>
            </w:tcBorders>
          </w:tcPr>
          <w:p w14:paraId="3BA07ADD" w14:textId="649D67A7" w:rsidR="004D4BE6" w:rsidRPr="008C5EE2" w:rsidRDefault="004D4BE6">
            <w:pPr>
              <w:pStyle w:val="Caption"/>
              <w:keepNext/>
              <w:spacing w:before="120" w:after="120"/>
              <w:rPr>
                <w:rFonts w:ascii="Arial" w:hAnsi="Arial" w:cs="Arial"/>
                <w:color w:val="auto"/>
              </w:rPr>
            </w:pPr>
            <w:r w:rsidRPr="008C5EE2">
              <w:rPr>
                <w:rFonts w:ascii="Arial" w:hAnsi="Arial" w:cs="Arial"/>
                <w:color w:val="auto"/>
              </w:rPr>
              <w:t xml:space="preserve">Хүснэгт </w:t>
            </w:r>
            <w:r w:rsidRPr="008C5EE2">
              <w:rPr>
                <w:rFonts w:ascii="Arial" w:hAnsi="Arial" w:cs="Arial"/>
                <w:color w:val="auto"/>
              </w:rPr>
              <w:fldChar w:fldCharType="begin"/>
            </w:r>
            <w:r w:rsidRPr="008C5EE2">
              <w:rPr>
                <w:rFonts w:ascii="Arial" w:hAnsi="Arial" w:cs="Arial"/>
                <w:color w:val="auto"/>
              </w:rPr>
              <w:instrText xml:space="preserve"> STYLEREF 1 \s </w:instrText>
            </w:r>
            <w:r w:rsidRPr="008C5EE2">
              <w:rPr>
                <w:rFonts w:ascii="Arial" w:hAnsi="Arial" w:cs="Arial"/>
                <w:color w:val="auto"/>
              </w:rPr>
              <w:fldChar w:fldCharType="separate"/>
            </w:r>
            <w:r w:rsidR="000E7C9C">
              <w:rPr>
                <w:rFonts w:ascii="Arial" w:hAnsi="Arial" w:cs="Arial"/>
                <w:noProof/>
                <w:color w:val="auto"/>
              </w:rPr>
              <w:t>1</w:t>
            </w:r>
            <w:r w:rsidRPr="008C5EE2">
              <w:rPr>
                <w:rFonts w:ascii="Arial" w:hAnsi="Arial" w:cs="Arial"/>
                <w:color w:val="auto"/>
              </w:rPr>
              <w:fldChar w:fldCharType="end"/>
            </w:r>
            <w:r w:rsidRPr="008C5EE2">
              <w:rPr>
                <w:rFonts w:ascii="Arial" w:hAnsi="Arial" w:cs="Arial"/>
                <w:color w:val="auto"/>
              </w:rPr>
              <w:t>.</w:t>
            </w:r>
            <w:r w:rsidRPr="008C5EE2">
              <w:rPr>
                <w:rFonts w:ascii="Arial" w:hAnsi="Arial" w:cs="Arial"/>
                <w:color w:val="auto"/>
              </w:rPr>
              <w:fldChar w:fldCharType="begin"/>
            </w:r>
            <w:r w:rsidRPr="008C5EE2">
              <w:rPr>
                <w:rFonts w:ascii="Arial" w:hAnsi="Arial" w:cs="Arial"/>
                <w:color w:val="auto"/>
              </w:rPr>
              <w:instrText xml:space="preserve"> SEQ Хүснэгт \* ARABIC \s 1 </w:instrText>
            </w:r>
            <w:r w:rsidRPr="008C5EE2">
              <w:rPr>
                <w:rFonts w:ascii="Arial" w:hAnsi="Arial" w:cs="Arial"/>
                <w:color w:val="auto"/>
              </w:rPr>
              <w:fldChar w:fldCharType="separate"/>
            </w:r>
            <w:r w:rsidR="000E7C9C">
              <w:rPr>
                <w:rFonts w:ascii="Arial" w:hAnsi="Arial" w:cs="Arial"/>
                <w:noProof/>
                <w:color w:val="auto"/>
              </w:rPr>
              <w:t>2</w:t>
            </w:r>
            <w:r w:rsidRPr="008C5EE2">
              <w:rPr>
                <w:rFonts w:ascii="Arial" w:hAnsi="Arial" w:cs="Arial"/>
                <w:color w:val="auto"/>
              </w:rPr>
              <w:fldChar w:fldCharType="end"/>
            </w:r>
            <w:r w:rsidRPr="008C5EE2">
              <w:rPr>
                <w:rFonts w:ascii="Arial" w:hAnsi="Arial" w:cs="Arial"/>
                <w:color w:val="auto"/>
              </w:rPr>
              <w:t xml:space="preserve"> Дэлхийн эдийн засгийн өсөлтийн төсөөлөл</w:t>
            </w:r>
          </w:p>
          <w:tbl>
            <w:tblPr>
              <w:tblW w:w="4032" w:type="dxa"/>
              <w:tblLook w:val="04A0" w:firstRow="1" w:lastRow="0" w:firstColumn="1" w:lastColumn="0" w:noHBand="0" w:noVBand="1"/>
            </w:tblPr>
            <w:tblGrid>
              <w:gridCol w:w="1781"/>
              <w:gridCol w:w="758"/>
              <w:gridCol w:w="782"/>
              <w:gridCol w:w="739"/>
            </w:tblGrid>
            <w:tr w:rsidR="004D4BE6" w:rsidRPr="0031039D" w14:paraId="2F317106" w14:textId="77777777" w:rsidTr="002F577C">
              <w:trPr>
                <w:trHeight w:val="474"/>
              </w:trPr>
              <w:tc>
                <w:tcPr>
                  <w:tcW w:w="1781" w:type="dxa"/>
                  <w:tcBorders>
                    <w:top w:val="single" w:sz="4" w:space="0" w:color="auto"/>
                    <w:bottom w:val="single" w:sz="4" w:space="0" w:color="auto"/>
                  </w:tcBorders>
                  <w:shd w:val="clear" w:color="auto" w:fill="045957"/>
                  <w:noWrap/>
                  <w:vAlign w:val="center"/>
                  <w:hideMark/>
                </w:tcPr>
                <w:p w14:paraId="16963B24" w14:textId="77777777" w:rsidR="004D4BE6" w:rsidRPr="00FB56B6" w:rsidRDefault="004D4BE6" w:rsidP="00374FAF">
                  <w:pPr>
                    <w:framePr w:hSpace="180" w:wrap="around" w:vAnchor="text" w:hAnchor="text" w:y="1"/>
                    <w:spacing w:after="288" w:line="240" w:lineRule="auto"/>
                    <w:suppressOverlap/>
                    <w:rPr>
                      <w:rFonts w:eastAsia="Times New Roman" w:cs="Arial"/>
                      <w:kern w:val="0"/>
                      <w:sz w:val="18"/>
                      <w:szCs w:val="18"/>
                      <w:lang w:eastAsia="ja-JP"/>
                      <w14:ligatures w14:val="none"/>
                    </w:rPr>
                  </w:pPr>
                  <w:r w:rsidRPr="00FB56B6">
                    <w:rPr>
                      <w:rFonts w:eastAsia="Times New Roman" w:cs="Arial"/>
                      <w:kern w:val="0"/>
                      <w:sz w:val="18"/>
                      <w:szCs w:val="18"/>
                      <w:lang w:eastAsia="ja-JP"/>
                      <w14:ligatures w14:val="none"/>
                    </w:rPr>
                    <w:t> </w:t>
                  </w:r>
                </w:p>
              </w:tc>
              <w:tc>
                <w:tcPr>
                  <w:tcW w:w="758" w:type="dxa"/>
                  <w:tcBorders>
                    <w:top w:val="single" w:sz="4" w:space="0" w:color="auto"/>
                    <w:bottom w:val="single" w:sz="4" w:space="0" w:color="auto"/>
                  </w:tcBorders>
                  <w:shd w:val="clear" w:color="auto" w:fill="045957"/>
                  <w:noWrap/>
                  <w:vAlign w:val="center"/>
                  <w:hideMark/>
                </w:tcPr>
                <w:p w14:paraId="1C67992A" w14:textId="77777777" w:rsidR="004D4BE6" w:rsidRPr="00433507" w:rsidRDefault="004D4BE6" w:rsidP="00374FAF">
                  <w:pPr>
                    <w:framePr w:hSpace="180" w:wrap="around" w:vAnchor="text" w:hAnchor="text" w:y="1"/>
                    <w:spacing w:after="288" w:line="240" w:lineRule="auto"/>
                    <w:suppressOverlap/>
                    <w:rPr>
                      <w:rFonts w:eastAsia="Times New Roman" w:cs="Arial"/>
                      <w:b/>
                      <w:color w:val="FFFFFF" w:themeColor="background1"/>
                      <w:kern w:val="0"/>
                      <w:sz w:val="20"/>
                      <w:szCs w:val="20"/>
                      <w:lang w:eastAsia="ja-JP"/>
                      <w14:ligatures w14:val="none"/>
                    </w:rPr>
                  </w:pPr>
                  <w:r w:rsidRPr="00433507">
                    <w:rPr>
                      <w:rFonts w:eastAsia="Times New Roman" w:cs="Arial"/>
                      <w:b/>
                      <w:color w:val="FFFFFF" w:themeColor="background1"/>
                      <w:kern w:val="0"/>
                      <w:sz w:val="20"/>
                      <w:szCs w:val="20"/>
                      <w:lang w:eastAsia="ja-JP"/>
                      <w14:ligatures w14:val="none"/>
                    </w:rPr>
                    <w:t>2025</w:t>
                  </w:r>
                </w:p>
              </w:tc>
              <w:tc>
                <w:tcPr>
                  <w:tcW w:w="782" w:type="dxa"/>
                  <w:tcBorders>
                    <w:top w:val="single" w:sz="4" w:space="0" w:color="auto"/>
                    <w:bottom w:val="single" w:sz="4" w:space="0" w:color="auto"/>
                  </w:tcBorders>
                  <w:shd w:val="clear" w:color="auto" w:fill="045957"/>
                  <w:noWrap/>
                  <w:vAlign w:val="center"/>
                  <w:hideMark/>
                </w:tcPr>
                <w:p w14:paraId="4D6BA5DE" w14:textId="77777777" w:rsidR="004D4BE6" w:rsidRPr="00433507" w:rsidRDefault="004D4BE6" w:rsidP="00374FAF">
                  <w:pPr>
                    <w:framePr w:hSpace="180" w:wrap="around" w:vAnchor="text" w:hAnchor="text" w:y="1"/>
                    <w:spacing w:after="288" w:line="240" w:lineRule="auto"/>
                    <w:suppressOverlap/>
                    <w:rPr>
                      <w:rFonts w:eastAsia="Times New Roman" w:cs="Arial"/>
                      <w:b/>
                      <w:color w:val="FFFFFF" w:themeColor="background1"/>
                      <w:kern w:val="0"/>
                      <w:sz w:val="20"/>
                      <w:szCs w:val="20"/>
                      <w:lang w:eastAsia="ja-JP"/>
                      <w14:ligatures w14:val="none"/>
                    </w:rPr>
                  </w:pPr>
                  <w:r w:rsidRPr="00433507">
                    <w:rPr>
                      <w:rFonts w:eastAsia="Times New Roman" w:cs="Arial"/>
                      <w:b/>
                      <w:color w:val="FFFFFF" w:themeColor="background1"/>
                      <w:kern w:val="0"/>
                      <w:sz w:val="20"/>
                      <w:szCs w:val="20"/>
                      <w:lang w:eastAsia="ja-JP"/>
                      <w14:ligatures w14:val="none"/>
                    </w:rPr>
                    <w:t>2026*</w:t>
                  </w:r>
                </w:p>
              </w:tc>
              <w:tc>
                <w:tcPr>
                  <w:tcW w:w="711" w:type="dxa"/>
                  <w:tcBorders>
                    <w:top w:val="single" w:sz="4" w:space="0" w:color="auto"/>
                    <w:bottom w:val="single" w:sz="4" w:space="0" w:color="auto"/>
                  </w:tcBorders>
                  <w:shd w:val="clear" w:color="auto" w:fill="045957"/>
                  <w:noWrap/>
                  <w:vAlign w:val="center"/>
                  <w:hideMark/>
                </w:tcPr>
                <w:p w14:paraId="35C705AC" w14:textId="77777777" w:rsidR="004D4BE6" w:rsidRPr="00433507" w:rsidRDefault="004D4BE6" w:rsidP="00374FAF">
                  <w:pPr>
                    <w:framePr w:hSpace="180" w:wrap="around" w:vAnchor="text" w:hAnchor="text" w:y="1"/>
                    <w:spacing w:after="288" w:line="240" w:lineRule="auto"/>
                    <w:suppressOverlap/>
                    <w:rPr>
                      <w:rFonts w:eastAsia="Times New Roman" w:cs="Arial"/>
                      <w:b/>
                      <w:color w:val="FFFFFF" w:themeColor="background1"/>
                      <w:kern w:val="0"/>
                      <w:sz w:val="20"/>
                      <w:szCs w:val="20"/>
                      <w:lang w:eastAsia="ja-JP"/>
                      <w14:ligatures w14:val="none"/>
                    </w:rPr>
                  </w:pPr>
                  <w:r w:rsidRPr="00433507">
                    <w:rPr>
                      <w:rFonts w:eastAsia="Times New Roman" w:cs="Arial"/>
                      <w:b/>
                      <w:color w:val="FFFFFF" w:themeColor="background1"/>
                      <w:kern w:val="0"/>
                      <w:sz w:val="20"/>
                      <w:szCs w:val="20"/>
                      <w:lang w:eastAsia="ja-JP"/>
                      <w14:ligatures w14:val="none"/>
                    </w:rPr>
                    <w:t>2027*</w:t>
                  </w:r>
                </w:p>
              </w:tc>
            </w:tr>
            <w:tr w:rsidR="004D4BE6" w:rsidRPr="0031039D" w14:paraId="552BC738" w14:textId="77777777" w:rsidTr="002F577C">
              <w:trPr>
                <w:trHeight w:val="532"/>
              </w:trPr>
              <w:tc>
                <w:tcPr>
                  <w:tcW w:w="1781" w:type="dxa"/>
                  <w:tcBorders>
                    <w:top w:val="single" w:sz="4" w:space="0" w:color="auto"/>
                  </w:tcBorders>
                  <w:noWrap/>
                  <w:vAlign w:val="center"/>
                  <w:hideMark/>
                </w:tcPr>
                <w:p w14:paraId="16C9CF58" w14:textId="77777777" w:rsidR="004D4BE6" w:rsidRPr="00FB56B6" w:rsidRDefault="004D4BE6" w:rsidP="00374FAF">
                  <w:pPr>
                    <w:framePr w:hSpace="180" w:wrap="around" w:vAnchor="text" w:hAnchor="text" w:y="1"/>
                    <w:spacing w:after="288" w:line="240" w:lineRule="auto"/>
                    <w:suppressOverlap/>
                    <w:rPr>
                      <w:rFonts w:eastAsia="Times New Roman" w:cs="Arial"/>
                      <w:kern w:val="0"/>
                      <w:sz w:val="20"/>
                      <w:szCs w:val="20"/>
                      <w:lang w:eastAsia="ja-JP"/>
                      <w14:ligatures w14:val="none"/>
                    </w:rPr>
                  </w:pPr>
                  <w:r w:rsidRPr="00FB56B6">
                    <w:rPr>
                      <w:rFonts w:eastAsia="Times New Roman" w:cs="Arial"/>
                      <w:kern w:val="0"/>
                      <w:sz w:val="20"/>
                      <w:szCs w:val="20"/>
                      <w:lang w:eastAsia="ja-JP"/>
                      <w14:ligatures w14:val="none"/>
                    </w:rPr>
                    <w:t>ОУВС</w:t>
                  </w:r>
                  <w:r w:rsidRPr="00FB56B6">
                    <w:rPr>
                      <w:rFonts w:eastAsia="Yu Gothic" w:cs="Arial"/>
                      <w:kern w:val="0"/>
                      <w:sz w:val="20"/>
                      <w:szCs w:val="20"/>
                      <w:lang w:eastAsia="ja-JP"/>
                      <w14:ligatures w14:val="none"/>
                    </w:rPr>
                    <w:t xml:space="preserve"> (%)</w:t>
                  </w:r>
                </w:p>
              </w:tc>
              <w:tc>
                <w:tcPr>
                  <w:tcW w:w="758" w:type="dxa"/>
                  <w:tcBorders>
                    <w:top w:val="single" w:sz="4" w:space="0" w:color="auto"/>
                  </w:tcBorders>
                  <w:noWrap/>
                  <w:vAlign w:val="center"/>
                  <w:hideMark/>
                </w:tcPr>
                <w:p w14:paraId="5724267A" w14:textId="77777777" w:rsidR="004D4BE6" w:rsidRPr="00FB56B6" w:rsidRDefault="004D4BE6" w:rsidP="00374FAF">
                  <w:pPr>
                    <w:framePr w:hSpace="180" w:wrap="around" w:vAnchor="text" w:hAnchor="text" w:y="1"/>
                    <w:spacing w:after="288" w:line="240" w:lineRule="auto"/>
                    <w:suppressOverlap/>
                    <w:rPr>
                      <w:rFonts w:eastAsia="Yu Gothic" w:cs="Arial"/>
                      <w:kern w:val="0"/>
                      <w:sz w:val="20"/>
                      <w:szCs w:val="20"/>
                      <w:lang w:eastAsia="ja-JP"/>
                      <w14:ligatures w14:val="none"/>
                    </w:rPr>
                  </w:pPr>
                  <w:r w:rsidRPr="00FB56B6">
                    <w:rPr>
                      <w:rFonts w:eastAsia="Times New Roman" w:cs="Arial"/>
                      <w:kern w:val="0"/>
                      <w:sz w:val="20"/>
                      <w:szCs w:val="20"/>
                      <w:lang w:eastAsia="ja-JP"/>
                      <w14:ligatures w14:val="none"/>
                    </w:rPr>
                    <w:t>3.5</w:t>
                  </w:r>
                </w:p>
              </w:tc>
              <w:tc>
                <w:tcPr>
                  <w:tcW w:w="782" w:type="dxa"/>
                  <w:tcBorders>
                    <w:top w:val="single" w:sz="4" w:space="0" w:color="auto"/>
                  </w:tcBorders>
                  <w:noWrap/>
                  <w:vAlign w:val="center"/>
                  <w:hideMark/>
                </w:tcPr>
                <w:p w14:paraId="20E5096A" w14:textId="77777777" w:rsidR="004D4BE6" w:rsidRPr="00FB56B6" w:rsidRDefault="004D4BE6" w:rsidP="00374FAF">
                  <w:pPr>
                    <w:framePr w:hSpace="180" w:wrap="around" w:vAnchor="text" w:hAnchor="text" w:y="1"/>
                    <w:spacing w:after="288" w:line="240" w:lineRule="auto"/>
                    <w:suppressOverlap/>
                    <w:rPr>
                      <w:rFonts w:eastAsia="Times New Roman" w:cs="Arial"/>
                      <w:kern w:val="0"/>
                      <w:sz w:val="20"/>
                      <w:szCs w:val="20"/>
                      <w:lang w:eastAsia="ja-JP"/>
                      <w14:ligatures w14:val="none"/>
                    </w:rPr>
                  </w:pPr>
                  <w:r w:rsidRPr="00FB56B6">
                    <w:rPr>
                      <w:rFonts w:eastAsia="Times New Roman" w:cs="Arial"/>
                      <w:kern w:val="0"/>
                      <w:sz w:val="20"/>
                      <w:szCs w:val="20"/>
                      <w:lang w:eastAsia="ja-JP"/>
                      <w14:ligatures w14:val="none"/>
                    </w:rPr>
                    <w:t>3.0</w:t>
                  </w:r>
                </w:p>
              </w:tc>
              <w:tc>
                <w:tcPr>
                  <w:tcW w:w="711" w:type="dxa"/>
                  <w:tcBorders>
                    <w:top w:val="single" w:sz="4" w:space="0" w:color="auto"/>
                  </w:tcBorders>
                  <w:noWrap/>
                  <w:vAlign w:val="center"/>
                  <w:hideMark/>
                </w:tcPr>
                <w:p w14:paraId="0DA6DAFD" w14:textId="77777777" w:rsidR="004D4BE6" w:rsidRPr="00FB56B6" w:rsidRDefault="004D4BE6" w:rsidP="00374FAF">
                  <w:pPr>
                    <w:framePr w:hSpace="180" w:wrap="around" w:vAnchor="text" w:hAnchor="text" w:y="1"/>
                    <w:spacing w:after="288" w:line="240" w:lineRule="auto"/>
                    <w:suppressOverlap/>
                    <w:rPr>
                      <w:rFonts w:eastAsia="Yu Gothic" w:cs="Arial"/>
                      <w:kern w:val="0"/>
                      <w:sz w:val="20"/>
                      <w:szCs w:val="20"/>
                      <w:lang w:eastAsia="ja-JP"/>
                      <w14:ligatures w14:val="none"/>
                    </w:rPr>
                  </w:pPr>
                  <w:r w:rsidRPr="00FB56B6">
                    <w:rPr>
                      <w:rFonts w:eastAsia="Times New Roman" w:cs="Arial"/>
                      <w:kern w:val="0"/>
                      <w:sz w:val="20"/>
                      <w:szCs w:val="20"/>
                      <w:lang w:eastAsia="ja-JP"/>
                      <w14:ligatures w14:val="none"/>
                    </w:rPr>
                    <w:t>3.4</w:t>
                  </w:r>
                </w:p>
              </w:tc>
            </w:tr>
            <w:tr w:rsidR="004D4BE6" w:rsidRPr="0031039D" w14:paraId="27F72ADB" w14:textId="77777777" w:rsidTr="002F577C">
              <w:trPr>
                <w:trHeight w:val="532"/>
              </w:trPr>
              <w:tc>
                <w:tcPr>
                  <w:tcW w:w="1781" w:type="dxa"/>
                  <w:shd w:val="clear" w:color="auto" w:fill="F2F2F2" w:themeFill="background1" w:themeFillShade="F2"/>
                  <w:noWrap/>
                  <w:vAlign w:val="center"/>
                  <w:hideMark/>
                </w:tcPr>
                <w:p w14:paraId="0B8688BD" w14:textId="77777777" w:rsidR="004D4BE6" w:rsidRPr="00FB56B6" w:rsidRDefault="004D4BE6" w:rsidP="00374FAF">
                  <w:pPr>
                    <w:framePr w:hSpace="180" w:wrap="around" w:vAnchor="text" w:hAnchor="text" w:y="1"/>
                    <w:spacing w:after="288" w:line="240" w:lineRule="auto"/>
                    <w:suppressOverlap/>
                    <w:rPr>
                      <w:rFonts w:eastAsia="Yu Gothic" w:cs="Arial"/>
                      <w:kern w:val="0"/>
                      <w:sz w:val="20"/>
                      <w:szCs w:val="20"/>
                      <w:lang w:eastAsia="ja-JP"/>
                      <w14:ligatures w14:val="none"/>
                    </w:rPr>
                  </w:pPr>
                  <w:r w:rsidRPr="00FB56B6">
                    <w:rPr>
                      <w:rFonts w:eastAsia="Times New Roman" w:cs="Arial"/>
                      <w:kern w:val="0"/>
                      <w:sz w:val="20"/>
                      <w:szCs w:val="20"/>
                      <w:lang w:eastAsia="ja-JP"/>
                      <w14:ligatures w14:val="none"/>
                    </w:rPr>
                    <w:t xml:space="preserve">Дэлхийн банк </w:t>
                  </w:r>
                  <w:r w:rsidRPr="00FB56B6">
                    <w:rPr>
                      <w:rFonts w:eastAsia="Yu Gothic" w:cs="Arial"/>
                      <w:kern w:val="0"/>
                      <w:sz w:val="20"/>
                      <w:szCs w:val="20"/>
                      <w:lang w:eastAsia="ja-JP"/>
                      <w14:ligatures w14:val="none"/>
                    </w:rPr>
                    <w:t>(%)</w:t>
                  </w:r>
                </w:p>
              </w:tc>
              <w:tc>
                <w:tcPr>
                  <w:tcW w:w="758" w:type="dxa"/>
                  <w:shd w:val="clear" w:color="auto" w:fill="F2F2F2" w:themeFill="background1" w:themeFillShade="F2"/>
                  <w:noWrap/>
                  <w:vAlign w:val="center"/>
                  <w:hideMark/>
                </w:tcPr>
                <w:p w14:paraId="43386286" w14:textId="77777777" w:rsidR="004D4BE6" w:rsidRPr="00FB56B6" w:rsidRDefault="004D4BE6" w:rsidP="00374FAF">
                  <w:pPr>
                    <w:framePr w:hSpace="180" w:wrap="around" w:vAnchor="text" w:hAnchor="text" w:y="1"/>
                    <w:spacing w:after="288" w:line="240" w:lineRule="auto"/>
                    <w:suppressOverlap/>
                    <w:rPr>
                      <w:rFonts w:eastAsia="Times New Roman" w:cs="Arial"/>
                      <w:kern w:val="0"/>
                      <w:sz w:val="20"/>
                      <w:szCs w:val="20"/>
                      <w:lang w:eastAsia="ja-JP"/>
                      <w14:ligatures w14:val="none"/>
                    </w:rPr>
                  </w:pPr>
                  <w:r w:rsidRPr="00FB56B6">
                    <w:rPr>
                      <w:rFonts w:eastAsia="Times New Roman" w:cs="Arial"/>
                      <w:kern w:val="0"/>
                      <w:sz w:val="20"/>
                      <w:szCs w:val="20"/>
                      <w:lang w:eastAsia="ja-JP"/>
                      <w14:ligatures w14:val="none"/>
                    </w:rPr>
                    <w:t>2.9</w:t>
                  </w:r>
                </w:p>
              </w:tc>
              <w:tc>
                <w:tcPr>
                  <w:tcW w:w="782" w:type="dxa"/>
                  <w:shd w:val="clear" w:color="auto" w:fill="F2F2F2" w:themeFill="background1" w:themeFillShade="F2"/>
                  <w:noWrap/>
                  <w:vAlign w:val="center"/>
                  <w:hideMark/>
                </w:tcPr>
                <w:p w14:paraId="65287A6E" w14:textId="77777777" w:rsidR="004D4BE6" w:rsidRPr="00FB56B6" w:rsidRDefault="004D4BE6" w:rsidP="00374FAF">
                  <w:pPr>
                    <w:framePr w:hSpace="180" w:wrap="around" w:vAnchor="text" w:hAnchor="text" w:y="1"/>
                    <w:spacing w:after="288" w:line="240" w:lineRule="auto"/>
                    <w:suppressOverlap/>
                    <w:rPr>
                      <w:rFonts w:eastAsia="Times New Roman" w:cs="Arial"/>
                      <w:kern w:val="0"/>
                      <w:sz w:val="20"/>
                      <w:szCs w:val="20"/>
                      <w:lang w:eastAsia="ja-JP"/>
                      <w14:ligatures w14:val="none"/>
                    </w:rPr>
                  </w:pPr>
                  <w:r w:rsidRPr="00FB56B6">
                    <w:rPr>
                      <w:rFonts w:eastAsia="Times New Roman" w:cs="Arial"/>
                      <w:kern w:val="0"/>
                      <w:sz w:val="20"/>
                      <w:szCs w:val="20"/>
                      <w:lang w:eastAsia="ja-JP"/>
                      <w14:ligatures w14:val="none"/>
                    </w:rPr>
                    <w:t>2.5</w:t>
                  </w:r>
                </w:p>
              </w:tc>
              <w:tc>
                <w:tcPr>
                  <w:tcW w:w="711" w:type="dxa"/>
                  <w:shd w:val="clear" w:color="auto" w:fill="F2F2F2" w:themeFill="background1" w:themeFillShade="F2"/>
                  <w:noWrap/>
                  <w:vAlign w:val="center"/>
                  <w:hideMark/>
                </w:tcPr>
                <w:p w14:paraId="5CEDC04D" w14:textId="77777777" w:rsidR="004D4BE6" w:rsidRPr="00FB56B6" w:rsidRDefault="004D4BE6" w:rsidP="00374FAF">
                  <w:pPr>
                    <w:framePr w:hSpace="180" w:wrap="around" w:vAnchor="text" w:hAnchor="text" w:y="1"/>
                    <w:spacing w:after="288" w:line="240" w:lineRule="auto"/>
                    <w:suppressOverlap/>
                    <w:rPr>
                      <w:rFonts w:eastAsia="Times New Roman" w:cs="Arial"/>
                      <w:kern w:val="0"/>
                      <w:sz w:val="20"/>
                      <w:szCs w:val="20"/>
                      <w:lang w:eastAsia="ja-JP"/>
                      <w14:ligatures w14:val="none"/>
                    </w:rPr>
                  </w:pPr>
                  <w:r w:rsidRPr="00FB56B6">
                    <w:rPr>
                      <w:rFonts w:eastAsia="Times New Roman" w:cs="Arial"/>
                      <w:kern w:val="0"/>
                      <w:sz w:val="20"/>
                      <w:szCs w:val="20"/>
                      <w:lang w:eastAsia="ja-JP"/>
                      <w14:ligatures w14:val="none"/>
                    </w:rPr>
                    <w:t>2.8</w:t>
                  </w:r>
                </w:p>
              </w:tc>
            </w:tr>
            <w:tr w:rsidR="004D4BE6" w:rsidRPr="0031039D" w14:paraId="18672D84" w14:textId="77777777" w:rsidTr="002F577C">
              <w:trPr>
                <w:trHeight w:val="532"/>
              </w:trPr>
              <w:tc>
                <w:tcPr>
                  <w:tcW w:w="1781" w:type="dxa"/>
                  <w:noWrap/>
                  <w:vAlign w:val="center"/>
                  <w:hideMark/>
                </w:tcPr>
                <w:p w14:paraId="5033E814" w14:textId="77777777" w:rsidR="004D4BE6" w:rsidRPr="00FB56B6" w:rsidRDefault="004D4BE6" w:rsidP="00374FAF">
                  <w:pPr>
                    <w:framePr w:hSpace="180" w:wrap="around" w:vAnchor="text" w:hAnchor="text" w:y="1"/>
                    <w:spacing w:after="288" w:line="240" w:lineRule="auto"/>
                    <w:suppressOverlap/>
                    <w:rPr>
                      <w:rFonts w:eastAsia="Times New Roman" w:cs="Arial"/>
                      <w:kern w:val="0"/>
                      <w:sz w:val="20"/>
                      <w:szCs w:val="20"/>
                      <w:lang w:eastAsia="ja-JP"/>
                      <w14:ligatures w14:val="none"/>
                    </w:rPr>
                  </w:pPr>
                  <w:r w:rsidRPr="00FB56B6">
                    <w:rPr>
                      <w:rFonts w:eastAsia="Times New Roman" w:cs="Arial"/>
                      <w:kern w:val="0"/>
                      <w:sz w:val="20"/>
                      <w:szCs w:val="20"/>
                      <w:lang w:eastAsia="ja-JP"/>
                      <w14:ligatures w14:val="none"/>
                    </w:rPr>
                    <w:t>OECD</w:t>
                  </w:r>
                  <w:r w:rsidRPr="00FB56B6">
                    <w:rPr>
                      <w:rFonts w:eastAsia="Yu Gothic" w:cs="Arial"/>
                      <w:kern w:val="0"/>
                      <w:sz w:val="20"/>
                      <w:szCs w:val="20"/>
                      <w:lang w:eastAsia="ja-JP"/>
                      <w14:ligatures w14:val="none"/>
                    </w:rPr>
                    <w:t xml:space="preserve"> (%)</w:t>
                  </w:r>
                </w:p>
              </w:tc>
              <w:tc>
                <w:tcPr>
                  <w:tcW w:w="758" w:type="dxa"/>
                  <w:noWrap/>
                  <w:vAlign w:val="center"/>
                  <w:hideMark/>
                </w:tcPr>
                <w:p w14:paraId="725B1CE8" w14:textId="77777777" w:rsidR="004D4BE6" w:rsidRPr="00FB56B6" w:rsidRDefault="004D4BE6" w:rsidP="00374FAF">
                  <w:pPr>
                    <w:framePr w:hSpace="180" w:wrap="around" w:vAnchor="text" w:hAnchor="text" w:y="1"/>
                    <w:spacing w:after="288" w:line="240" w:lineRule="auto"/>
                    <w:suppressOverlap/>
                    <w:rPr>
                      <w:rFonts w:eastAsia="Times New Roman" w:cs="Arial"/>
                      <w:kern w:val="0"/>
                      <w:sz w:val="20"/>
                      <w:szCs w:val="20"/>
                      <w:lang w:eastAsia="ja-JP"/>
                      <w14:ligatures w14:val="none"/>
                    </w:rPr>
                  </w:pPr>
                  <w:r w:rsidRPr="00FB56B6">
                    <w:rPr>
                      <w:rFonts w:eastAsia="Times New Roman" w:cs="Arial"/>
                      <w:kern w:val="0"/>
                      <w:sz w:val="20"/>
                      <w:szCs w:val="20"/>
                      <w:lang w:eastAsia="ja-JP"/>
                      <w14:ligatures w14:val="none"/>
                    </w:rPr>
                    <w:t>3.4</w:t>
                  </w:r>
                </w:p>
              </w:tc>
              <w:tc>
                <w:tcPr>
                  <w:tcW w:w="782" w:type="dxa"/>
                  <w:noWrap/>
                  <w:vAlign w:val="center"/>
                  <w:hideMark/>
                </w:tcPr>
                <w:p w14:paraId="2C70E1B9" w14:textId="77777777" w:rsidR="004D4BE6" w:rsidRPr="00FB56B6" w:rsidRDefault="004D4BE6" w:rsidP="00374FAF">
                  <w:pPr>
                    <w:framePr w:hSpace="180" w:wrap="around" w:vAnchor="text" w:hAnchor="text" w:y="1"/>
                    <w:spacing w:after="288" w:line="240" w:lineRule="auto"/>
                    <w:suppressOverlap/>
                    <w:rPr>
                      <w:rFonts w:eastAsia="Times New Roman" w:cs="Arial"/>
                      <w:kern w:val="0"/>
                      <w:sz w:val="20"/>
                      <w:szCs w:val="20"/>
                      <w:lang w:eastAsia="ja-JP"/>
                      <w14:ligatures w14:val="none"/>
                    </w:rPr>
                  </w:pPr>
                  <w:r w:rsidRPr="00FB56B6">
                    <w:rPr>
                      <w:rFonts w:eastAsia="Times New Roman" w:cs="Arial"/>
                      <w:kern w:val="0"/>
                      <w:sz w:val="20"/>
                      <w:szCs w:val="20"/>
                      <w:lang w:eastAsia="ja-JP"/>
                      <w14:ligatures w14:val="none"/>
                    </w:rPr>
                    <w:t>2.8</w:t>
                  </w:r>
                </w:p>
              </w:tc>
              <w:tc>
                <w:tcPr>
                  <w:tcW w:w="711" w:type="dxa"/>
                  <w:noWrap/>
                  <w:vAlign w:val="center"/>
                  <w:hideMark/>
                </w:tcPr>
                <w:p w14:paraId="0190505A" w14:textId="77777777" w:rsidR="004D4BE6" w:rsidRPr="00FB56B6" w:rsidRDefault="004D4BE6" w:rsidP="00374FAF">
                  <w:pPr>
                    <w:framePr w:hSpace="180" w:wrap="around" w:vAnchor="text" w:hAnchor="text" w:y="1"/>
                    <w:spacing w:after="288" w:line="240" w:lineRule="auto"/>
                    <w:suppressOverlap/>
                    <w:rPr>
                      <w:rFonts w:eastAsia="Times New Roman" w:cs="Arial"/>
                      <w:kern w:val="0"/>
                      <w:sz w:val="20"/>
                      <w:szCs w:val="20"/>
                      <w:lang w:eastAsia="ja-JP"/>
                      <w14:ligatures w14:val="none"/>
                    </w:rPr>
                  </w:pPr>
                  <w:r w:rsidRPr="00FB56B6">
                    <w:rPr>
                      <w:rFonts w:eastAsia="Times New Roman" w:cs="Arial"/>
                      <w:kern w:val="0"/>
                      <w:sz w:val="20"/>
                      <w:szCs w:val="20"/>
                      <w:lang w:eastAsia="ja-JP"/>
                      <w14:ligatures w14:val="none"/>
                    </w:rPr>
                    <w:t>3.1</w:t>
                  </w:r>
                </w:p>
              </w:tc>
            </w:tr>
          </w:tbl>
          <w:p w14:paraId="4949E9DC" w14:textId="77777777" w:rsidR="004D4BE6" w:rsidRPr="008C5EE2" w:rsidRDefault="004D4BE6">
            <w:pPr>
              <w:tabs>
                <w:tab w:val="left" w:pos="454"/>
              </w:tabs>
              <w:spacing w:afterLines="0" w:after="0"/>
              <w:mirrorIndents/>
              <w:rPr>
                <w:rFonts w:cs="Arial"/>
                <w:szCs w:val="24"/>
              </w:rPr>
            </w:pPr>
          </w:p>
        </w:tc>
        <w:tc>
          <w:tcPr>
            <w:tcW w:w="5044" w:type="dxa"/>
            <w:tcBorders>
              <w:top w:val="single" w:sz="4" w:space="0" w:color="auto"/>
            </w:tcBorders>
          </w:tcPr>
          <w:p w14:paraId="339D7826" w14:textId="3F4BB347" w:rsidR="004D4BE6" w:rsidRPr="008C5EE2" w:rsidRDefault="004D4BE6">
            <w:pPr>
              <w:pStyle w:val="Caption"/>
              <w:keepNext/>
              <w:spacing w:before="120" w:after="120"/>
              <w:jc w:val="left"/>
              <w:rPr>
                <w:rFonts w:ascii="Arial" w:hAnsi="Arial" w:cs="Arial"/>
                <w:color w:val="auto"/>
              </w:rPr>
            </w:pPr>
            <w:r w:rsidRPr="008C5EE2">
              <w:rPr>
                <w:rFonts w:ascii="Arial" w:hAnsi="Arial" w:cs="Arial"/>
                <w:color w:val="auto"/>
              </w:rPr>
              <w:t xml:space="preserve">Зураг </w:t>
            </w:r>
            <w:r w:rsidRPr="008C5EE2">
              <w:rPr>
                <w:rFonts w:ascii="Arial" w:hAnsi="Arial" w:cs="Arial"/>
                <w:color w:val="auto"/>
              </w:rPr>
              <w:fldChar w:fldCharType="begin"/>
            </w:r>
            <w:r w:rsidRPr="008C5EE2">
              <w:rPr>
                <w:rFonts w:ascii="Arial" w:hAnsi="Arial" w:cs="Arial"/>
                <w:color w:val="auto"/>
              </w:rPr>
              <w:instrText xml:space="preserve"> STYLEREF 1 \s </w:instrText>
            </w:r>
            <w:r w:rsidRPr="008C5EE2">
              <w:rPr>
                <w:rFonts w:ascii="Arial" w:hAnsi="Arial" w:cs="Arial"/>
                <w:color w:val="auto"/>
              </w:rPr>
              <w:fldChar w:fldCharType="separate"/>
            </w:r>
            <w:r w:rsidR="000E7C9C">
              <w:rPr>
                <w:rFonts w:ascii="Arial" w:hAnsi="Arial" w:cs="Arial"/>
                <w:noProof/>
                <w:color w:val="auto"/>
              </w:rPr>
              <w:t>1</w:t>
            </w:r>
            <w:r w:rsidRPr="008C5EE2">
              <w:rPr>
                <w:rFonts w:ascii="Arial" w:hAnsi="Arial" w:cs="Arial"/>
                <w:color w:val="auto"/>
              </w:rPr>
              <w:fldChar w:fldCharType="end"/>
            </w:r>
            <w:r w:rsidRPr="008C5EE2">
              <w:rPr>
                <w:rFonts w:ascii="Arial" w:hAnsi="Arial" w:cs="Arial"/>
                <w:color w:val="auto"/>
              </w:rPr>
              <w:t>.</w:t>
            </w:r>
            <w:r w:rsidRPr="008C5EE2">
              <w:rPr>
                <w:rFonts w:ascii="Arial" w:hAnsi="Arial" w:cs="Arial"/>
                <w:color w:val="auto"/>
              </w:rPr>
              <w:fldChar w:fldCharType="begin"/>
            </w:r>
            <w:r w:rsidRPr="008C5EE2">
              <w:rPr>
                <w:rFonts w:ascii="Arial" w:hAnsi="Arial" w:cs="Arial"/>
                <w:color w:val="auto"/>
              </w:rPr>
              <w:instrText xml:space="preserve"> SEQ Зураг \* ARABIC \s 1 </w:instrText>
            </w:r>
            <w:r w:rsidRPr="008C5EE2">
              <w:rPr>
                <w:rFonts w:ascii="Arial" w:hAnsi="Arial" w:cs="Arial"/>
                <w:color w:val="auto"/>
              </w:rPr>
              <w:fldChar w:fldCharType="separate"/>
            </w:r>
            <w:r w:rsidR="000E7C9C">
              <w:rPr>
                <w:rFonts w:ascii="Arial" w:hAnsi="Arial" w:cs="Arial"/>
                <w:noProof/>
                <w:color w:val="auto"/>
              </w:rPr>
              <w:t>6</w:t>
            </w:r>
            <w:r w:rsidRPr="008C5EE2">
              <w:rPr>
                <w:rFonts w:ascii="Arial" w:hAnsi="Arial" w:cs="Arial"/>
                <w:color w:val="auto"/>
              </w:rPr>
              <w:fldChar w:fldCharType="end"/>
            </w:r>
            <w:r w:rsidRPr="008C5EE2">
              <w:rPr>
                <w:rFonts w:ascii="Arial" w:hAnsi="Arial" w:cs="Arial"/>
                <w:color w:val="auto"/>
              </w:rPr>
              <w:t xml:space="preserve"> Дэлхийн тодорхой бус байдлын индекс</w:t>
            </w:r>
          </w:p>
          <w:p w14:paraId="3B171615" w14:textId="77777777" w:rsidR="004D4BE6" w:rsidRPr="008C5EE2" w:rsidRDefault="004D4BE6">
            <w:pPr>
              <w:tabs>
                <w:tab w:val="left" w:pos="454"/>
              </w:tabs>
              <w:spacing w:afterLines="0" w:after="0"/>
              <w:mirrorIndents/>
              <w:rPr>
                <w:rFonts w:cs="Arial"/>
                <w:szCs w:val="24"/>
              </w:rPr>
            </w:pPr>
            <w:r w:rsidRPr="00A52C67">
              <w:rPr>
                <w:rFonts w:cs="Arial"/>
                <w:noProof/>
              </w:rPr>
              <w:drawing>
                <wp:inline distT="0" distB="0" distL="0" distR="0" wp14:anchorId="0DA1EFC2" wp14:editId="1858A314">
                  <wp:extent cx="3040380" cy="1653872"/>
                  <wp:effectExtent l="0" t="0" r="7620" b="3810"/>
                  <wp:docPr id="1444078409" name="Chart 1">
                    <a:extLst xmlns:a="http://schemas.openxmlformats.org/drawingml/2006/main">
                      <a:ext uri="{FF2B5EF4-FFF2-40B4-BE49-F238E27FC236}">
                        <a16:creationId xmlns:a16="http://schemas.microsoft.com/office/drawing/2014/main" id="{75855150-CC74-E3F9-AE97-229D8951DB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4D4BE6" w:rsidRPr="00614D1A" w14:paraId="3CF7859E" w14:textId="77777777" w:rsidTr="002F577C">
        <w:trPr>
          <w:trHeight w:val="297"/>
        </w:trPr>
        <w:tc>
          <w:tcPr>
            <w:tcW w:w="4595" w:type="dxa"/>
            <w:tcBorders>
              <w:bottom w:val="single" w:sz="4" w:space="0" w:color="auto"/>
            </w:tcBorders>
          </w:tcPr>
          <w:p w14:paraId="29A27C37" w14:textId="77777777" w:rsidR="004D4BE6" w:rsidRPr="008C5EE2" w:rsidRDefault="004D4BE6">
            <w:pPr>
              <w:tabs>
                <w:tab w:val="left" w:pos="454"/>
              </w:tabs>
              <w:spacing w:afterLines="0" w:after="0"/>
              <w:mirrorIndents/>
              <w:jc w:val="right"/>
              <w:rPr>
                <w:rFonts w:cs="Arial"/>
                <w:i/>
                <w:sz w:val="20"/>
                <w:szCs w:val="20"/>
                <w:lang w:eastAsia="ja-JP"/>
              </w:rPr>
            </w:pPr>
            <w:r w:rsidRPr="008C5EE2">
              <w:rPr>
                <w:rFonts w:cs="Arial"/>
                <w:i/>
                <w:sz w:val="20"/>
                <w:szCs w:val="20"/>
              </w:rPr>
              <w:t>Эх сурвалж</w:t>
            </w:r>
            <w:r w:rsidRPr="008C5EE2">
              <w:rPr>
                <w:rFonts w:cs="Arial" w:hint="eastAsia"/>
                <w:i/>
                <w:sz w:val="20"/>
                <w:szCs w:val="20"/>
                <w:lang w:eastAsia="ja-JP"/>
              </w:rPr>
              <w:t>:</w:t>
            </w:r>
            <w:r w:rsidRPr="008C5EE2">
              <w:rPr>
                <w:rFonts w:cs="Arial"/>
                <w:i/>
                <w:sz w:val="20"/>
                <w:szCs w:val="20"/>
                <w:lang w:eastAsia="ja-JP"/>
              </w:rPr>
              <w:t xml:space="preserve"> Дэлхийн эдийн засгийн төлөвийн тайлангууд, 202</w:t>
            </w:r>
            <w:r>
              <w:rPr>
                <w:rFonts w:cs="Arial"/>
                <w:i/>
                <w:sz w:val="20"/>
                <w:szCs w:val="20"/>
                <w:lang w:eastAsia="ja-JP"/>
              </w:rPr>
              <w:t>6</w:t>
            </w:r>
            <w:r w:rsidRPr="008C5EE2">
              <w:rPr>
                <w:rFonts w:cs="Arial"/>
                <w:i/>
                <w:sz w:val="20"/>
                <w:szCs w:val="20"/>
                <w:lang w:eastAsia="ja-JP"/>
              </w:rPr>
              <w:t xml:space="preserve"> оны 6-</w:t>
            </w:r>
            <w:r>
              <w:rPr>
                <w:rFonts w:cs="Arial"/>
                <w:i/>
                <w:sz w:val="20"/>
                <w:szCs w:val="20"/>
                <w:lang w:eastAsia="ja-JP"/>
              </w:rPr>
              <w:t>7</w:t>
            </w:r>
            <w:r w:rsidRPr="008C5EE2">
              <w:rPr>
                <w:rFonts w:cs="Arial"/>
                <w:i/>
                <w:sz w:val="20"/>
                <w:szCs w:val="20"/>
                <w:lang w:eastAsia="ja-JP"/>
              </w:rPr>
              <w:t xml:space="preserve"> дугаар сар</w:t>
            </w:r>
          </w:p>
        </w:tc>
        <w:tc>
          <w:tcPr>
            <w:tcW w:w="5044" w:type="dxa"/>
            <w:tcBorders>
              <w:bottom w:val="single" w:sz="4" w:space="0" w:color="auto"/>
            </w:tcBorders>
            <w:vAlign w:val="bottom"/>
          </w:tcPr>
          <w:p w14:paraId="5984211F" w14:textId="77777777" w:rsidR="004D4BE6" w:rsidRPr="008C5EE2" w:rsidRDefault="004D4BE6">
            <w:pPr>
              <w:tabs>
                <w:tab w:val="left" w:pos="454"/>
              </w:tabs>
              <w:spacing w:afterLines="0" w:after="0"/>
              <w:mirrorIndents/>
              <w:jc w:val="right"/>
              <w:rPr>
                <w:rFonts w:cs="Arial"/>
                <w:i/>
                <w:sz w:val="20"/>
                <w:szCs w:val="20"/>
                <w:lang w:eastAsia="ja-JP"/>
              </w:rPr>
            </w:pPr>
            <w:r w:rsidRPr="008C5EE2">
              <w:rPr>
                <w:rFonts w:cs="Arial"/>
                <w:i/>
                <w:sz w:val="20"/>
                <w:szCs w:val="20"/>
              </w:rPr>
              <w:t>Эх сурвалж</w:t>
            </w:r>
            <w:r w:rsidRPr="008C5EE2">
              <w:rPr>
                <w:rFonts w:cs="Arial" w:hint="eastAsia"/>
                <w:i/>
                <w:sz w:val="20"/>
                <w:szCs w:val="20"/>
                <w:lang w:eastAsia="ja-JP"/>
              </w:rPr>
              <w:t>:</w:t>
            </w:r>
            <w:r w:rsidRPr="008C5EE2">
              <w:rPr>
                <w:rFonts w:cs="Arial"/>
                <w:i/>
                <w:sz w:val="20"/>
                <w:szCs w:val="20"/>
                <w:lang w:eastAsia="ja-JP"/>
              </w:rPr>
              <w:t xml:space="preserve"> World Uncertainty Index</w:t>
            </w:r>
          </w:p>
        </w:tc>
      </w:tr>
    </w:tbl>
    <w:p w14:paraId="11C79EF2" w14:textId="77777777" w:rsidR="00374FAF" w:rsidRDefault="00374FAF" w:rsidP="00374FAF">
      <w:pPr>
        <w:tabs>
          <w:tab w:val="right" w:leader="dot" w:pos="9354"/>
        </w:tabs>
        <w:spacing w:afterLines="0" w:after="0" w:line="240" w:lineRule="auto"/>
        <w:ind w:firstLine="720"/>
        <w:rPr>
          <w:rFonts w:cs="Arial"/>
          <w:b/>
          <w:i/>
          <w:szCs w:val="24"/>
        </w:rPr>
      </w:pPr>
    </w:p>
    <w:p w14:paraId="7ECDD2B0" w14:textId="6A747C0B" w:rsidR="004D4BE6" w:rsidRPr="00FB56B6" w:rsidRDefault="004D4BE6" w:rsidP="00374FAF">
      <w:pPr>
        <w:tabs>
          <w:tab w:val="right" w:leader="dot" w:pos="9354"/>
        </w:tabs>
        <w:spacing w:afterLines="0" w:after="0" w:line="240" w:lineRule="auto"/>
        <w:ind w:firstLine="720"/>
        <w:rPr>
          <w:rFonts w:cs="Arial"/>
          <w:szCs w:val="24"/>
        </w:rPr>
      </w:pPr>
      <w:r w:rsidRPr="00FB56B6">
        <w:rPr>
          <w:rFonts w:cs="Arial"/>
          <w:b/>
          <w:i/>
          <w:szCs w:val="24"/>
        </w:rPr>
        <w:t>БНХАУ:</w:t>
      </w:r>
      <w:r w:rsidRPr="00FB56B6">
        <w:rPr>
          <w:rFonts w:cs="Arial"/>
          <w:szCs w:val="24"/>
        </w:rPr>
        <w:t xml:space="preserve"> БНХАУ-ын эдийн засгийн өсөлт 2026 оны эхний хагаст 4.7 хувьд хүрч, тус улсын засгийн газрын зорилтод түвшинд байгаа хэдий ч үл хөдлөх хөрөнгийн салбар уналттай, дотоод эрэлт сул хэвээр байгаа нь эдийн засгийн идэвхжилийг хязгаарлаж байна. Тус улсын засгийн газраас эдийн засгийн идэвхжилийг нэмэгдүүлэх хүрээнд хэрэглээг дэмжихэд чиглэсэн татаас, урамшуулал, татварын дэмжлэгийг хэрэгжүүлэхийн зэрэгцээ 2026 онд төсвийн алдагдлыг ДНБ-ий ойролцоогоор 4 хувьд, засгийн газрын урт хугацаат бондын хэмжээг 1.3 их наяд юань, орон нутгийн бондын хэмжээг 4.4 их наяд юань</w:t>
      </w:r>
      <w:r w:rsidRPr="00FB56B6">
        <w:rPr>
          <w:rFonts w:cs="Arial"/>
          <w:szCs w:val="24"/>
          <w:lang w:eastAsia="ja-JP"/>
        </w:rPr>
        <w:t xml:space="preserve">д хүргэж тус тус </w:t>
      </w:r>
      <w:r w:rsidRPr="00FB56B6">
        <w:rPr>
          <w:rFonts w:cs="Arial"/>
          <w:szCs w:val="24"/>
        </w:rPr>
        <w:t xml:space="preserve">нэмэгдүүлэхээ </w:t>
      </w:r>
      <w:r w:rsidRPr="00FB56B6">
        <w:rPr>
          <w:rFonts w:cs="Arial"/>
          <w:szCs w:val="24"/>
        </w:rPr>
        <w:lastRenderedPageBreak/>
        <w:t xml:space="preserve">зарлаад байна. БНХАУ-ын эдийн засгийн өсөлтийг ОУВС 2026 </w:t>
      </w:r>
      <w:r w:rsidRPr="00FB56B6">
        <w:rPr>
          <w:rFonts w:cs="Arial"/>
          <w:szCs w:val="24"/>
          <w:lang w:eastAsia="ja-JP"/>
        </w:rPr>
        <w:t>онд 4.6 хувь</w:t>
      </w:r>
      <w:r w:rsidRPr="00FB56B6">
        <w:rPr>
          <w:rFonts w:cs="Arial"/>
          <w:szCs w:val="24"/>
        </w:rPr>
        <w:t xml:space="preserve"> 2027 онд 4.1 хувь байх төсөөллийг энэ оны 7 дугаар сард зарлаад байна. </w:t>
      </w:r>
    </w:p>
    <w:p w14:paraId="788BD003" w14:textId="77777777" w:rsidR="00374FAF" w:rsidRDefault="00374FAF" w:rsidP="00374FAF">
      <w:pPr>
        <w:tabs>
          <w:tab w:val="right" w:leader="dot" w:pos="9354"/>
        </w:tabs>
        <w:spacing w:afterLines="0" w:after="0" w:line="240" w:lineRule="auto"/>
        <w:ind w:firstLine="720"/>
        <w:rPr>
          <w:rFonts w:cs="Arial"/>
          <w:b/>
          <w:i/>
          <w:szCs w:val="24"/>
        </w:rPr>
      </w:pPr>
    </w:p>
    <w:p w14:paraId="3918B767" w14:textId="32296170" w:rsidR="004D4BE6" w:rsidRPr="00FB56B6" w:rsidRDefault="004D4BE6" w:rsidP="00374FAF">
      <w:pPr>
        <w:tabs>
          <w:tab w:val="right" w:leader="dot" w:pos="9354"/>
        </w:tabs>
        <w:spacing w:afterLines="0" w:after="0" w:line="240" w:lineRule="auto"/>
        <w:ind w:firstLine="720"/>
        <w:rPr>
          <w:rFonts w:cs="Arial"/>
          <w:szCs w:val="24"/>
        </w:rPr>
      </w:pPr>
      <w:r w:rsidRPr="00FB56B6">
        <w:rPr>
          <w:rFonts w:cs="Arial"/>
          <w:b/>
          <w:i/>
          <w:szCs w:val="24"/>
        </w:rPr>
        <w:t>ОХУ:</w:t>
      </w:r>
      <w:r w:rsidRPr="00FB56B6">
        <w:rPr>
          <w:rFonts w:cs="Arial"/>
          <w:i/>
          <w:szCs w:val="24"/>
        </w:rPr>
        <w:t xml:space="preserve"> </w:t>
      </w:r>
      <w:r w:rsidRPr="00FB56B6">
        <w:rPr>
          <w:rFonts w:cs="Arial"/>
          <w:szCs w:val="24"/>
        </w:rPr>
        <w:t xml:space="preserve">Дайнтай холбоотой цэрэг армийн зардлын өсөлтөөс шалтгаалсан төсвийн тэлэлтийн голлох нөлөөгөөр ОХУ-ын эдийн засаг 2024 онд 4.9 хувиар өссөн бол өндөр бодлогын хүү, барууны хориг арга хэмжээ, рублийн ханшийн чангаралт зэргээс шалтгаалан 2025 онд 1.0 хувьд хүрч эрс саарсан байна. ОХУ-ын Төв банкны мэдээлснээр дайнтай холбоотойгоор тус улсын эдийн засагт тогтворгүй байдал үргэлжилсээр 2026 оны эхний хагас жилд эдийн засгийн өсөлт 0.5 хувьд хүрсэн байна. ОХУ-ын эдийн засгийн өсөлт 2026 онд 1.1 хувь, 2027 онд 1.1 хувь орчимд байна гэж ОУВС тооцоолж байна. </w:t>
      </w:r>
    </w:p>
    <w:p w14:paraId="7D771993" w14:textId="77777777" w:rsidR="00374FAF" w:rsidRDefault="00374FAF" w:rsidP="00374FAF">
      <w:pPr>
        <w:tabs>
          <w:tab w:val="left" w:pos="454"/>
          <w:tab w:val="right" w:leader="dot" w:pos="9354"/>
        </w:tabs>
        <w:spacing w:afterLines="0" w:after="0" w:line="240" w:lineRule="auto"/>
        <w:ind w:firstLine="720"/>
        <w:mirrorIndents/>
        <w:rPr>
          <w:rFonts w:cs="Arial"/>
          <w:b/>
          <w:i/>
          <w:szCs w:val="24"/>
        </w:rPr>
      </w:pPr>
    </w:p>
    <w:p w14:paraId="0440C1DD" w14:textId="26B80A7D" w:rsidR="004D4BE6" w:rsidRPr="00FB56B6" w:rsidRDefault="004D4BE6" w:rsidP="00374FAF">
      <w:pPr>
        <w:tabs>
          <w:tab w:val="left" w:pos="454"/>
          <w:tab w:val="right" w:leader="dot" w:pos="9354"/>
        </w:tabs>
        <w:spacing w:afterLines="0" w:after="0" w:line="240" w:lineRule="auto"/>
        <w:ind w:firstLine="720"/>
        <w:mirrorIndents/>
        <w:rPr>
          <w:rFonts w:cs="Arial"/>
          <w:i/>
          <w:szCs w:val="24"/>
        </w:rPr>
      </w:pPr>
      <w:r w:rsidRPr="00FB56B6">
        <w:rPr>
          <w:rFonts w:cs="Arial"/>
          <w:b/>
          <w:i/>
          <w:szCs w:val="24"/>
        </w:rPr>
        <w:t>АНУ:</w:t>
      </w:r>
      <w:r w:rsidRPr="00FB56B6">
        <w:rPr>
          <w:rFonts w:cs="Arial"/>
          <w:i/>
          <w:szCs w:val="24"/>
        </w:rPr>
        <w:t xml:space="preserve"> </w:t>
      </w:r>
      <w:r w:rsidRPr="00FB56B6">
        <w:rPr>
          <w:rFonts w:cs="Arial"/>
          <w:szCs w:val="24"/>
        </w:rPr>
        <w:t>Хэрэглээ, хөрөнгө оруулалтын өсөлтийн нөлөөгөөр АНУ-ын эдийн засаг 2025 онд 2.1 хувиар тэлсэн ба 2026 оны эхний хагас жилийн байдлаар өсөлт ойролцоогоор 1.8 хувьд хүрч, дотоод эрэлт харьцангуй тогтвортой байна. ОУВС тус улсын эдийн засгийн 2026 оны өсөлтийн төсөөллийг 2.3 хувь, 2027 оны өсөлтийн төсөөллийг 2.2 хувь болгож, өмнөх төсөөллийн орчимд хадгалсан байна. АНУ-ын өрнүүлж буй худалдааны дайны улмаас дэлхийн худалдаа, хөрөнгө оруулалтын урсгал хумигдах, инфляц өсөх эрсдэл нэмэгдсээр байна.</w:t>
      </w:r>
      <w:r w:rsidRPr="00FB56B6">
        <w:rPr>
          <w:rFonts w:cs="Arial"/>
          <w:i/>
          <w:szCs w:val="24"/>
        </w:rPr>
        <w:t xml:space="preserve"> </w:t>
      </w:r>
    </w:p>
    <w:p w14:paraId="1664BC5D" w14:textId="77777777" w:rsidR="00374FAF" w:rsidRDefault="00374FAF" w:rsidP="00374FAF">
      <w:pPr>
        <w:spacing w:afterLines="0" w:after="0" w:line="240" w:lineRule="auto"/>
        <w:ind w:firstLine="720"/>
        <w:rPr>
          <w:rFonts w:cs="Arial"/>
          <w:b/>
          <w:i/>
          <w:szCs w:val="24"/>
        </w:rPr>
      </w:pPr>
    </w:p>
    <w:p w14:paraId="4359EDC9" w14:textId="400D616C" w:rsidR="004D4BE6" w:rsidRPr="00FB56B6" w:rsidRDefault="004D4BE6" w:rsidP="00374FAF">
      <w:pPr>
        <w:spacing w:afterLines="0" w:after="0" w:line="240" w:lineRule="auto"/>
        <w:ind w:firstLine="720"/>
        <w:rPr>
          <w:rFonts w:eastAsia="Yu Mincho" w:cs="Arial"/>
          <w:lang w:eastAsia="ja-JP"/>
        </w:rPr>
      </w:pPr>
      <w:r w:rsidRPr="00FB56B6">
        <w:rPr>
          <w:rFonts w:cs="Arial"/>
          <w:b/>
          <w:i/>
          <w:szCs w:val="24"/>
        </w:rPr>
        <w:t>Евро бүс:</w:t>
      </w:r>
      <w:r w:rsidRPr="00FB56B6">
        <w:rPr>
          <w:rFonts w:cs="Arial"/>
          <w:i/>
          <w:szCs w:val="24"/>
        </w:rPr>
        <w:t xml:space="preserve"> </w:t>
      </w:r>
      <w:r w:rsidRPr="00FB56B6">
        <w:rPr>
          <w:rFonts w:cs="Arial"/>
          <w:szCs w:val="24"/>
        </w:rPr>
        <w:t>Евро бүсийн эдийн засаг</w:t>
      </w:r>
      <w:r w:rsidRPr="00FB56B6">
        <w:rPr>
          <w:rFonts w:cs="Arial"/>
          <w:szCs w:val="24"/>
          <w:lang w:eastAsia="ja-JP"/>
        </w:rPr>
        <w:t xml:space="preserve"> </w:t>
      </w:r>
      <w:r w:rsidRPr="00FB56B6">
        <w:rPr>
          <w:rFonts w:cs="Arial"/>
          <w:szCs w:val="24"/>
        </w:rPr>
        <w:t xml:space="preserve">2026 оны </w:t>
      </w:r>
      <w:r w:rsidRPr="00FB56B6">
        <w:rPr>
          <w:rFonts w:cs="Arial"/>
          <w:szCs w:val="24"/>
          <w:lang w:eastAsia="ja-JP"/>
        </w:rPr>
        <w:t>2 дугаар</w:t>
      </w:r>
      <w:r w:rsidRPr="00FB56B6">
        <w:rPr>
          <w:rFonts w:cs="Arial"/>
          <w:szCs w:val="24"/>
        </w:rPr>
        <w:t xml:space="preserve"> улиралд </w:t>
      </w:r>
      <w:r w:rsidRPr="00FB56B6">
        <w:rPr>
          <w:rFonts w:cs="Arial"/>
          <w:szCs w:val="24"/>
          <w:lang w:eastAsia="ja-JP"/>
        </w:rPr>
        <w:t xml:space="preserve">өмнөх оны мөн үеэс </w:t>
      </w:r>
      <w:r w:rsidRPr="00FB56B6">
        <w:rPr>
          <w:rFonts w:cs="Arial"/>
          <w:szCs w:val="24"/>
        </w:rPr>
        <w:t xml:space="preserve">1.0 хувиар өслөө. Бүсийн эдийн засгийн 30 орчим хувийг бүрдүүлдэг ХБНГУ-ын </w:t>
      </w:r>
      <w:r w:rsidRPr="00FB56B6">
        <w:rPr>
          <w:rFonts w:cs="Arial"/>
          <w:szCs w:val="24"/>
          <w:lang w:eastAsia="ja-JP"/>
        </w:rPr>
        <w:t>эдийн засгийн</w:t>
      </w:r>
      <w:r w:rsidRPr="00FB56B6">
        <w:rPr>
          <w:rFonts w:cs="Arial"/>
          <w:szCs w:val="24"/>
        </w:rPr>
        <w:t xml:space="preserve"> идэвхжил сул хэвээр байгаа бөгөөд Ирландын эдийн засгийн агшилт, эрчим хүчний үнийн өсөлт зэргээс шалтгаалан бүс нутгийн эдийн засгийн өсөл 2026 онд 0.9 хувьд хүрч, саарах хүлээлттэй байгаа бол төсвийн бодлогын дэмжлэгээр 2027 онд өсөлт 1.2 хувьд хүрч эрчимжинэ гэж ОУВС тооцоолж байна.</w:t>
      </w:r>
    </w:p>
    <w:p w14:paraId="6C042231" w14:textId="77777777" w:rsidR="004D4BE6" w:rsidRPr="008C5EE2" w:rsidRDefault="004D4BE6" w:rsidP="002F577C">
      <w:pPr>
        <w:pStyle w:val="Heading3"/>
        <w:numPr>
          <w:ilvl w:val="2"/>
          <w:numId w:val="34"/>
        </w:numPr>
        <w:ind w:left="0" w:firstLine="720"/>
      </w:pPr>
      <w:bookmarkStart w:id="80" w:name="_Toc238120987"/>
      <w:r w:rsidRPr="008C5EE2">
        <w:t>Уул уурхайн бүтээгдэхүүний зах зээлийн хандлага</w:t>
      </w:r>
      <w:bookmarkEnd w:id="80"/>
    </w:p>
    <w:p w14:paraId="75A09A66" w14:textId="5FF7B5F4" w:rsidR="004D4BE6" w:rsidRPr="00FB56B6" w:rsidRDefault="004D4BE6" w:rsidP="002F577C">
      <w:pPr>
        <w:spacing w:afterLines="0" w:after="0" w:line="240" w:lineRule="auto"/>
        <w:ind w:firstLine="720"/>
        <w:rPr>
          <w:rFonts w:eastAsia="Times New Roman" w:cs="Arial"/>
          <w:szCs w:val="24"/>
        </w:rPr>
      </w:pPr>
      <w:r w:rsidRPr="00FB56B6">
        <w:rPr>
          <w:rFonts w:cs="Arial"/>
          <w:b/>
          <w:i/>
          <w:szCs w:val="24"/>
        </w:rPr>
        <w:t>Зэсийн үнэ:</w:t>
      </w:r>
      <w:r w:rsidRPr="00FB56B6">
        <w:rPr>
          <w:rFonts w:cs="Arial"/>
          <w:i/>
          <w:szCs w:val="24"/>
        </w:rPr>
        <w:t xml:space="preserve"> </w:t>
      </w:r>
      <w:r w:rsidRPr="00FB56B6">
        <w:rPr>
          <w:rFonts w:eastAsia="Times New Roman" w:cs="Arial"/>
          <w:szCs w:val="24"/>
        </w:rPr>
        <w:t xml:space="preserve">Лондоны металлын бирж дээрх цэвэр зэсийн дундаж үнэ </w:t>
      </w:r>
      <w:r w:rsidR="002F577C">
        <w:rPr>
          <w:rFonts w:eastAsia="Times New Roman" w:cs="Arial"/>
          <w:szCs w:val="24"/>
        </w:rPr>
        <w:t xml:space="preserve">       </w:t>
      </w:r>
      <w:r w:rsidRPr="00FB56B6">
        <w:rPr>
          <w:rFonts w:eastAsia="Times New Roman" w:cs="Arial"/>
          <w:szCs w:val="24"/>
        </w:rPr>
        <w:t xml:space="preserve">2025 онд 9,947 ам.доллар/тонн болж, өмнөх оноос 8.8 хувиар өссөн байна. Харин 2026 оны эхний 7 сарын байдлаар цэвэр зэсийн дундаж үнэ 13,200 ам.доллар/тонн болж, өмнөх оноос 38.5 хувиар өссөн байна. Индонези, Чили улсад байрлах зэсийн томоохон уурхайнуудын үйл ажиллагаа ослын улмаас доголдож, зэсийн нийлүүлэлт буурснаар оны эхэнд дэлхийн зах зээл дэх зэсийн үнэ өсөхөд голлон нөлөөлөв. </w:t>
      </w:r>
      <w:r w:rsidR="002F577C">
        <w:rPr>
          <w:rFonts w:eastAsia="Times New Roman" w:cs="Arial"/>
          <w:szCs w:val="24"/>
        </w:rPr>
        <w:t xml:space="preserve">  </w:t>
      </w:r>
      <w:r w:rsidRPr="00FB56B6">
        <w:rPr>
          <w:rFonts w:eastAsia="Times New Roman" w:cs="Arial"/>
          <w:szCs w:val="24"/>
        </w:rPr>
        <w:t xml:space="preserve">2027 онд нийлүүлэлт буцан тогтворжсоноор үнэ бага зэрэг буурах хэдий ч дунд хугацаанд цахилгаан эрчим хүч болон технологид суурилсан салбаруудын өсөлтөөс шалтгаалан зэсийн эрэлт нэмэгдэж, үнэ өсөх хүлээлттэй байна. Олон улсын шинжээчдийн таамаглалаар зэсийн дундаж үнэ 2026 онд 12,700 ам.доллар, </w:t>
      </w:r>
      <w:r w:rsidR="002F577C">
        <w:rPr>
          <w:rFonts w:eastAsia="Times New Roman" w:cs="Arial"/>
          <w:szCs w:val="24"/>
        </w:rPr>
        <w:t xml:space="preserve">         </w:t>
      </w:r>
      <w:r w:rsidRPr="00FB56B6">
        <w:rPr>
          <w:rFonts w:eastAsia="Times New Roman" w:cs="Arial"/>
          <w:szCs w:val="24"/>
        </w:rPr>
        <w:t>2027 онд 12,200 ам.долларт хүрэхээр байна.</w:t>
      </w:r>
    </w:p>
    <w:p w14:paraId="0947D377" w14:textId="77777777" w:rsidR="002F577C" w:rsidRDefault="002F577C" w:rsidP="002F577C">
      <w:pPr>
        <w:spacing w:afterLines="0" w:after="0" w:line="240" w:lineRule="auto"/>
        <w:ind w:firstLine="720"/>
        <w:rPr>
          <w:rFonts w:cs="Arial"/>
          <w:b/>
          <w:i/>
          <w:szCs w:val="24"/>
        </w:rPr>
      </w:pPr>
    </w:p>
    <w:p w14:paraId="2D502AC6" w14:textId="2FAF7A99" w:rsidR="004D4BE6" w:rsidRDefault="004D4BE6" w:rsidP="002F577C">
      <w:pPr>
        <w:spacing w:afterLines="0" w:after="0" w:line="240" w:lineRule="auto"/>
        <w:ind w:firstLine="720"/>
        <w:rPr>
          <w:rFonts w:eastAsia="Times New Roman" w:cs="Arial"/>
          <w:szCs w:val="24"/>
        </w:rPr>
      </w:pPr>
      <w:r w:rsidRPr="00FB56B6">
        <w:rPr>
          <w:rFonts w:cs="Arial"/>
          <w:b/>
          <w:i/>
          <w:szCs w:val="24"/>
        </w:rPr>
        <w:t>Алтны үнэ:</w:t>
      </w:r>
      <w:r w:rsidRPr="00FB56B6">
        <w:rPr>
          <w:rFonts w:cs="Arial"/>
          <w:i/>
          <w:szCs w:val="24"/>
        </w:rPr>
        <w:t xml:space="preserve"> </w:t>
      </w:r>
      <w:r w:rsidRPr="00FB56B6">
        <w:rPr>
          <w:rFonts w:eastAsia="Times New Roman" w:cs="Arial"/>
          <w:szCs w:val="24"/>
        </w:rPr>
        <w:t xml:space="preserve">Лондоны металлын бирж дэх алтны дундаж үнэ 2025 онд </w:t>
      </w:r>
      <w:r w:rsidR="002F577C">
        <w:rPr>
          <w:rFonts w:eastAsia="Times New Roman" w:cs="Arial"/>
          <w:szCs w:val="24"/>
        </w:rPr>
        <w:t xml:space="preserve">         </w:t>
      </w:r>
      <w:r w:rsidRPr="00FB56B6">
        <w:rPr>
          <w:rFonts w:eastAsia="Times New Roman" w:cs="Arial"/>
          <w:szCs w:val="24"/>
        </w:rPr>
        <w:t xml:space="preserve">3,446 ам.доллар/унц болж, өмнөх оноос 44.3 хувиар өссөн байна. Харин 2026 оны эхний 7 сарын байдлаар 4,576 ам.доллар/унц болж, өмнөх оноос 48.3 хувиар өссөн байна. Геополитикийн зөрчил нэмэгдэж, олон улсын хурцадмал байдал өндөр хэвээр байгаа энэ үед дэлхийн төв банкнуудын алтны худалдан авалт нэмэгдсэн нь алтны үнэ өсөхөд нөлөөллөө. Дэлхийн тодорхой бус байдал нэмэгдэж байгаатай холбоотойгоор алтны үнэ тогтвортой байх төлөвтэй байна. Олон улсын шинжээчдийн таамаглалаар алтны дундаж үнэ 2026 онд 4,500 ам.доллар, 2027 онд 4,000 ам.долларт хүрэхээр байна. </w:t>
      </w:r>
    </w:p>
    <w:p w14:paraId="3B197EBC" w14:textId="77777777" w:rsidR="002F577C" w:rsidRDefault="002F577C" w:rsidP="002F577C">
      <w:pPr>
        <w:spacing w:afterLines="0" w:after="0" w:line="240" w:lineRule="auto"/>
        <w:ind w:firstLine="720"/>
        <w:rPr>
          <w:rFonts w:eastAsia="Times New Roman" w:cs="Arial"/>
          <w:szCs w:val="24"/>
        </w:rPr>
      </w:pPr>
    </w:p>
    <w:p w14:paraId="4C685B0E" w14:textId="77777777" w:rsidR="002F577C" w:rsidRPr="00FB56B6" w:rsidRDefault="002F577C" w:rsidP="002F577C">
      <w:pPr>
        <w:spacing w:afterLines="0" w:after="0" w:line="240" w:lineRule="auto"/>
        <w:ind w:firstLine="720"/>
        <w:rPr>
          <w:rFonts w:eastAsia="Times New Roman" w:cs="Arial"/>
          <w:szCs w:val="24"/>
        </w:rPr>
      </w:pPr>
    </w:p>
    <w:tbl>
      <w:tblPr>
        <w:tblW w:w="9419" w:type="dxa"/>
        <w:tblLook w:val="04A0" w:firstRow="1" w:lastRow="0" w:firstColumn="1" w:lastColumn="0" w:noHBand="0" w:noVBand="1"/>
      </w:tblPr>
      <w:tblGrid>
        <w:gridCol w:w="4776"/>
        <w:gridCol w:w="4776"/>
      </w:tblGrid>
      <w:tr w:rsidR="004D4BE6" w:rsidRPr="00614D1A" w14:paraId="6F217152" w14:textId="77777777" w:rsidTr="002F577C">
        <w:trPr>
          <w:trHeight w:val="19"/>
        </w:trPr>
        <w:tc>
          <w:tcPr>
            <w:tcW w:w="4732" w:type="dxa"/>
            <w:tcBorders>
              <w:bottom w:val="single" w:sz="4" w:space="0" w:color="auto"/>
            </w:tcBorders>
          </w:tcPr>
          <w:p w14:paraId="7785C12C" w14:textId="77777777" w:rsidR="004D4BE6" w:rsidRPr="00614D1A" w:rsidRDefault="004D4BE6" w:rsidP="00027A5C">
            <w:pPr>
              <w:spacing w:afterLines="0" w:after="0"/>
              <w:rPr>
                <w:rFonts w:cs="Arial"/>
                <w:lang w:eastAsia="ja-JP"/>
              </w:rPr>
            </w:pPr>
          </w:p>
        </w:tc>
        <w:tc>
          <w:tcPr>
            <w:tcW w:w="4687" w:type="dxa"/>
            <w:tcBorders>
              <w:bottom w:val="single" w:sz="4" w:space="0" w:color="auto"/>
            </w:tcBorders>
          </w:tcPr>
          <w:p w14:paraId="6150AD9E" w14:textId="77777777" w:rsidR="004D4BE6" w:rsidRPr="00FB56B6" w:rsidRDefault="004D4BE6">
            <w:pPr>
              <w:pStyle w:val="Caption"/>
              <w:keepNext/>
              <w:rPr>
                <w:rFonts w:ascii="Arial" w:eastAsia="Yu Gothic" w:hAnsi="Arial" w:cs="Arial"/>
                <w:color w:val="auto"/>
                <w:lang w:eastAsia="ja-JP"/>
              </w:rPr>
            </w:pPr>
          </w:p>
        </w:tc>
      </w:tr>
      <w:tr w:rsidR="004D4BE6" w:rsidRPr="00614D1A" w14:paraId="185A5A51" w14:textId="77777777" w:rsidTr="002F577C">
        <w:trPr>
          <w:trHeight w:val="2217"/>
        </w:trPr>
        <w:tc>
          <w:tcPr>
            <w:tcW w:w="4732" w:type="dxa"/>
          </w:tcPr>
          <w:p w14:paraId="71053858" w14:textId="1AE44B45" w:rsidR="004D4BE6" w:rsidRPr="00FB56B6" w:rsidRDefault="004D4BE6">
            <w:pPr>
              <w:pStyle w:val="Caption"/>
              <w:keepNext/>
              <w:spacing w:after="288"/>
              <w:rPr>
                <w:rFonts w:ascii="Arial" w:hAnsi="Arial" w:cs="Arial"/>
                <w:color w:val="auto"/>
              </w:rPr>
            </w:pPr>
            <w:r w:rsidRPr="00FB56B6">
              <w:rPr>
                <w:rFonts w:ascii="Arial" w:hAnsi="Arial" w:cs="Arial"/>
                <w:color w:val="auto"/>
              </w:rPr>
              <w:t xml:space="preserve">Зураг </w:t>
            </w:r>
            <w:r w:rsidRPr="00FB56B6">
              <w:rPr>
                <w:rFonts w:ascii="Arial" w:hAnsi="Arial" w:cs="Arial"/>
                <w:color w:val="auto"/>
              </w:rPr>
              <w:fldChar w:fldCharType="begin"/>
            </w:r>
            <w:r w:rsidRPr="00FB56B6">
              <w:rPr>
                <w:rFonts w:ascii="Arial" w:hAnsi="Arial" w:cs="Arial"/>
                <w:color w:val="auto"/>
              </w:rPr>
              <w:instrText xml:space="preserve"> STYLEREF 1 \s </w:instrText>
            </w:r>
            <w:r w:rsidRPr="00FB56B6">
              <w:rPr>
                <w:rFonts w:ascii="Arial" w:hAnsi="Arial" w:cs="Arial"/>
                <w:color w:val="auto"/>
              </w:rPr>
              <w:fldChar w:fldCharType="separate"/>
            </w:r>
            <w:r w:rsidR="000E7C9C">
              <w:rPr>
                <w:rFonts w:ascii="Arial" w:hAnsi="Arial" w:cs="Arial"/>
                <w:noProof/>
                <w:color w:val="auto"/>
              </w:rPr>
              <w:t>1</w:t>
            </w:r>
            <w:r w:rsidRPr="00FB56B6">
              <w:rPr>
                <w:rFonts w:ascii="Arial" w:hAnsi="Arial" w:cs="Arial"/>
                <w:color w:val="auto"/>
              </w:rPr>
              <w:fldChar w:fldCharType="end"/>
            </w:r>
            <w:r w:rsidRPr="00FB56B6">
              <w:rPr>
                <w:rFonts w:ascii="Arial" w:hAnsi="Arial" w:cs="Arial"/>
                <w:color w:val="auto"/>
              </w:rPr>
              <w:t>.</w:t>
            </w:r>
            <w:r w:rsidRPr="00FB56B6">
              <w:rPr>
                <w:rFonts w:ascii="Arial" w:hAnsi="Arial" w:cs="Arial"/>
                <w:color w:val="auto"/>
              </w:rPr>
              <w:fldChar w:fldCharType="begin"/>
            </w:r>
            <w:r w:rsidRPr="00614D1A">
              <w:rPr>
                <w:rFonts w:ascii="Arial" w:hAnsi="Arial" w:cs="Arial"/>
                <w:color w:val="auto"/>
              </w:rPr>
              <w:instrText xml:space="preserve"> SEQ Зураг \* ARABIC \s 1 </w:instrText>
            </w:r>
            <w:r w:rsidRPr="00FB56B6">
              <w:rPr>
                <w:rFonts w:ascii="Arial" w:hAnsi="Arial" w:cs="Arial"/>
                <w:color w:val="auto"/>
              </w:rPr>
              <w:fldChar w:fldCharType="separate"/>
            </w:r>
            <w:r w:rsidR="000E7C9C">
              <w:rPr>
                <w:rFonts w:ascii="Arial" w:hAnsi="Arial" w:cs="Arial"/>
                <w:noProof/>
                <w:color w:val="auto"/>
              </w:rPr>
              <w:t>7</w:t>
            </w:r>
            <w:r w:rsidRPr="00FB56B6">
              <w:rPr>
                <w:rFonts w:ascii="Arial" w:hAnsi="Arial" w:cs="Arial"/>
                <w:color w:val="auto"/>
              </w:rPr>
              <w:fldChar w:fldCharType="end"/>
            </w:r>
            <w:r w:rsidRPr="00FB56B6">
              <w:rPr>
                <w:rFonts w:ascii="Arial" w:hAnsi="Arial" w:cs="Arial"/>
                <w:color w:val="auto"/>
              </w:rPr>
              <w:t xml:space="preserve"> Зэсийн үнийн хөдөлгөөн, төсөөлөл (ам.доллар/тонн)</w:t>
            </w:r>
          </w:p>
          <w:p w14:paraId="704F74FD" w14:textId="77777777" w:rsidR="004D4BE6" w:rsidRPr="00FB56B6" w:rsidRDefault="004D4BE6" w:rsidP="00027A5C">
            <w:pPr>
              <w:tabs>
                <w:tab w:val="right" w:leader="dot" w:pos="9354"/>
              </w:tabs>
              <w:spacing w:afterLines="50" w:line="276" w:lineRule="auto"/>
              <w:rPr>
                <w:rFonts w:eastAsia="Yu Mincho" w:cs="Arial"/>
              </w:rPr>
            </w:pPr>
            <w:r w:rsidRPr="00A52C67">
              <w:rPr>
                <w:rFonts w:cs="Arial"/>
                <w:noProof/>
              </w:rPr>
              <w:drawing>
                <wp:inline distT="0" distB="0" distL="0" distR="0" wp14:anchorId="4238D786" wp14:editId="7B078517">
                  <wp:extent cx="2889250" cy="1600200"/>
                  <wp:effectExtent l="0" t="0" r="6350" b="0"/>
                  <wp:docPr id="1796577798" name="Chart 1">
                    <a:extLst xmlns:a="http://schemas.openxmlformats.org/drawingml/2006/main">
                      <a:ext uri="{FF2B5EF4-FFF2-40B4-BE49-F238E27FC236}">
                        <a16:creationId xmlns:a16="http://schemas.microsoft.com/office/drawing/2014/main" id="{990C0CBC-6039-41B1-A1BF-C609C11803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c>
          <w:tcPr>
            <w:tcW w:w="4687" w:type="dxa"/>
          </w:tcPr>
          <w:p w14:paraId="3347F2D7" w14:textId="1AEF0B4A" w:rsidR="004D4BE6" w:rsidRPr="00FB56B6" w:rsidRDefault="004D4BE6">
            <w:pPr>
              <w:pStyle w:val="Caption"/>
              <w:keepNext/>
              <w:spacing w:after="288"/>
              <w:rPr>
                <w:rFonts w:ascii="Arial" w:hAnsi="Arial" w:cs="Arial"/>
                <w:color w:val="auto"/>
              </w:rPr>
            </w:pPr>
            <w:r w:rsidRPr="00FB56B6">
              <w:rPr>
                <w:rFonts w:ascii="Arial" w:hAnsi="Arial" w:cs="Arial"/>
                <w:color w:val="auto"/>
              </w:rPr>
              <w:t xml:space="preserve">Зураг </w:t>
            </w:r>
            <w:r w:rsidRPr="00FB56B6">
              <w:rPr>
                <w:rFonts w:ascii="Arial" w:hAnsi="Arial" w:cs="Arial"/>
                <w:color w:val="auto"/>
              </w:rPr>
              <w:fldChar w:fldCharType="begin"/>
            </w:r>
            <w:r w:rsidRPr="00FB56B6">
              <w:rPr>
                <w:rFonts w:ascii="Arial" w:hAnsi="Arial" w:cs="Arial"/>
                <w:color w:val="auto"/>
              </w:rPr>
              <w:instrText xml:space="preserve"> STYLEREF 1 \s </w:instrText>
            </w:r>
            <w:r w:rsidRPr="00FB56B6">
              <w:rPr>
                <w:rFonts w:ascii="Arial" w:hAnsi="Arial" w:cs="Arial"/>
                <w:color w:val="auto"/>
              </w:rPr>
              <w:fldChar w:fldCharType="separate"/>
            </w:r>
            <w:r w:rsidR="000E7C9C">
              <w:rPr>
                <w:rFonts w:ascii="Arial" w:hAnsi="Arial" w:cs="Arial"/>
                <w:noProof/>
                <w:color w:val="auto"/>
              </w:rPr>
              <w:t>1</w:t>
            </w:r>
            <w:r w:rsidRPr="00FB56B6">
              <w:rPr>
                <w:rFonts w:ascii="Arial" w:hAnsi="Arial" w:cs="Arial"/>
                <w:color w:val="auto"/>
              </w:rPr>
              <w:fldChar w:fldCharType="end"/>
            </w:r>
            <w:r w:rsidRPr="00FB56B6">
              <w:rPr>
                <w:rFonts w:ascii="Arial" w:hAnsi="Arial" w:cs="Arial"/>
                <w:color w:val="auto"/>
              </w:rPr>
              <w:t>.</w:t>
            </w:r>
            <w:r w:rsidRPr="00FB56B6">
              <w:rPr>
                <w:rFonts w:ascii="Arial" w:hAnsi="Arial" w:cs="Arial"/>
                <w:color w:val="auto"/>
              </w:rPr>
              <w:fldChar w:fldCharType="begin"/>
            </w:r>
            <w:r w:rsidRPr="00614D1A">
              <w:rPr>
                <w:rFonts w:ascii="Arial" w:hAnsi="Arial" w:cs="Arial"/>
                <w:color w:val="auto"/>
              </w:rPr>
              <w:instrText xml:space="preserve"> SEQ Зураг \* ARABIC \s 1 </w:instrText>
            </w:r>
            <w:r w:rsidRPr="00FB56B6">
              <w:rPr>
                <w:rFonts w:ascii="Arial" w:hAnsi="Arial" w:cs="Arial"/>
                <w:color w:val="auto"/>
              </w:rPr>
              <w:fldChar w:fldCharType="separate"/>
            </w:r>
            <w:r w:rsidR="000E7C9C">
              <w:rPr>
                <w:rFonts w:ascii="Arial" w:hAnsi="Arial" w:cs="Arial"/>
                <w:noProof/>
                <w:color w:val="auto"/>
              </w:rPr>
              <w:t>8</w:t>
            </w:r>
            <w:r w:rsidRPr="00FB56B6">
              <w:rPr>
                <w:rFonts w:ascii="Arial" w:hAnsi="Arial" w:cs="Arial"/>
                <w:color w:val="auto"/>
              </w:rPr>
              <w:fldChar w:fldCharType="end"/>
            </w:r>
            <w:r w:rsidRPr="00FB56B6">
              <w:rPr>
                <w:rFonts w:ascii="Arial" w:hAnsi="Arial" w:cs="Arial"/>
                <w:color w:val="auto"/>
              </w:rPr>
              <w:t xml:space="preserve"> Алтны үнийн хөдөлгөөн, төсөөлөл (ам.доллар/унц)</w:t>
            </w:r>
          </w:p>
          <w:p w14:paraId="6A3BEF5B" w14:textId="77777777" w:rsidR="004D4BE6" w:rsidRPr="00FB56B6" w:rsidRDefault="004D4BE6" w:rsidP="00027A5C">
            <w:pPr>
              <w:tabs>
                <w:tab w:val="left" w:pos="1005"/>
              </w:tabs>
              <w:spacing w:afterLines="50" w:line="276" w:lineRule="auto"/>
              <w:rPr>
                <w:rFonts w:eastAsia="Yu Gothic" w:cs="Arial"/>
                <w:lang w:eastAsia="ja-JP"/>
              </w:rPr>
            </w:pPr>
            <w:r w:rsidRPr="00A52C67">
              <w:rPr>
                <w:rFonts w:cs="Arial"/>
                <w:noProof/>
              </w:rPr>
              <w:drawing>
                <wp:inline distT="0" distB="0" distL="0" distR="0" wp14:anchorId="384E1EE9" wp14:editId="18972F8A">
                  <wp:extent cx="2889250" cy="1600200"/>
                  <wp:effectExtent l="0" t="0" r="6350" b="0"/>
                  <wp:docPr id="348728922" name="Chart 1">
                    <a:extLst xmlns:a="http://schemas.openxmlformats.org/drawingml/2006/main">
                      <a:ext uri="{FF2B5EF4-FFF2-40B4-BE49-F238E27FC236}">
                        <a16:creationId xmlns:a16="http://schemas.microsoft.com/office/drawing/2014/main" id="{5ABB6C29-484A-4A33-BC78-04527839F7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r>
      <w:tr w:rsidR="004D4BE6" w:rsidRPr="00614D1A" w14:paraId="1C8F9544" w14:textId="77777777" w:rsidTr="002F577C">
        <w:trPr>
          <w:trHeight w:val="90"/>
        </w:trPr>
        <w:tc>
          <w:tcPr>
            <w:tcW w:w="9419" w:type="dxa"/>
            <w:gridSpan w:val="2"/>
            <w:tcBorders>
              <w:bottom w:val="single" w:sz="4" w:space="0" w:color="auto"/>
            </w:tcBorders>
          </w:tcPr>
          <w:p w14:paraId="5D478A40" w14:textId="77777777" w:rsidR="004D4BE6" w:rsidRPr="00FB56B6" w:rsidRDefault="004D4BE6" w:rsidP="00027A5C">
            <w:pPr>
              <w:tabs>
                <w:tab w:val="right" w:leader="dot" w:pos="9354"/>
              </w:tabs>
              <w:spacing w:afterLines="0" w:line="276" w:lineRule="auto"/>
              <w:jc w:val="right"/>
              <w:rPr>
                <w:rFonts w:eastAsia="Times New Roman" w:cs="Arial"/>
                <w:sz w:val="20"/>
                <w:szCs w:val="20"/>
              </w:rPr>
            </w:pPr>
            <w:r w:rsidRPr="00FB56B6">
              <w:rPr>
                <w:rFonts w:eastAsia="SimSun" w:cs="Arial"/>
                <w:i/>
                <w:sz w:val="20"/>
                <w:szCs w:val="20"/>
              </w:rPr>
              <w:t>Эх сурвалж: Блүүмберг терминал</w:t>
            </w:r>
          </w:p>
        </w:tc>
      </w:tr>
    </w:tbl>
    <w:p w14:paraId="6D719D99" w14:textId="77777777" w:rsidR="002F577C" w:rsidRDefault="002F577C" w:rsidP="002F577C">
      <w:pPr>
        <w:tabs>
          <w:tab w:val="right" w:leader="dot" w:pos="9354"/>
        </w:tabs>
        <w:spacing w:afterLines="0" w:after="0" w:line="240" w:lineRule="auto"/>
        <w:ind w:firstLine="720"/>
        <w:rPr>
          <w:rFonts w:cs="Arial"/>
          <w:b/>
          <w:i/>
          <w:szCs w:val="24"/>
        </w:rPr>
      </w:pPr>
    </w:p>
    <w:p w14:paraId="4B5E0747" w14:textId="119EF93D" w:rsidR="004D4BE6" w:rsidRDefault="004D4BE6" w:rsidP="002F577C">
      <w:pPr>
        <w:tabs>
          <w:tab w:val="right" w:leader="dot" w:pos="9354"/>
        </w:tabs>
        <w:spacing w:afterLines="0" w:after="0" w:line="240" w:lineRule="auto"/>
        <w:ind w:firstLine="720"/>
        <w:rPr>
          <w:rFonts w:cs="Arial"/>
          <w:szCs w:val="24"/>
        </w:rPr>
      </w:pPr>
      <w:r w:rsidRPr="00FB56B6">
        <w:rPr>
          <w:rFonts w:cs="Arial"/>
          <w:b/>
          <w:i/>
          <w:szCs w:val="24"/>
        </w:rPr>
        <w:t>Коксжих нүүрсний үнэ:</w:t>
      </w:r>
      <w:r w:rsidRPr="00FB56B6">
        <w:rPr>
          <w:rFonts w:cs="Arial"/>
          <w:i/>
          <w:szCs w:val="24"/>
        </w:rPr>
        <w:t xml:space="preserve"> </w:t>
      </w:r>
      <w:r w:rsidRPr="00FB56B6">
        <w:rPr>
          <w:rFonts w:cs="Arial"/>
          <w:szCs w:val="24"/>
        </w:rPr>
        <w:t xml:space="preserve">Сингапурын бирж дэх Австралийн сайн чанарын коксжих нүүрсний дундаж үнэ 2025 онд 189 ам.доллар/тонн болж, өмнөх оноос </w:t>
      </w:r>
      <w:r w:rsidR="002F577C">
        <w:rPr>
          <w:rFonts w:cs="Arial"/>
          <w:szCs w:val="24"/>
        </w:rPr>
        <w:t xml:space="preserve">     </w:t>
      </w:r>
      <w:r w:rsidRPr="00FB56B6">
        <w:rPr>
          <w:rFonts w:cs="Arial"/>
          <w:szCs w:val="24"/>
        </w:rPr>
        <w:t>22.4 хувиар буурсан байна. Харин 2026 оны эхний 7 сарын байдлаар 234 ам.доллар/тонн болж, өмнөх оноос 27.3 хувиар өслөө. Австрали улсад их хэмжээний бороо орсноос шалтгаалан уурхай, тээвэр логистикийн үйл ажиллагаа доголдож, мөн уурхайн засвар үйлчилгээний саатлууд давхацсанаар нийлүүлэлт богино хугацаанд хумигдаж, үнэ өслөө. Олон улсын шинжээчдийн таамаглалаар коксжих нүүрсний дундаж үнэ 2026 онд 210 ам.доллар, 2027 онд 215 ам.долларт хүрэхээр байна.</w:t>
      </w:r>
    </w:p>
    <w:p w14:paraId="3D2A5E49" w14:textId="77777777" w:rsidR="002F577C" w:rsidRPr="00FB56B6" w:rsidRDefault="002F577C" w:rsidP="002F577C">
      <w:pPr>
        <w:tabs>
          <w:tab w:val="right" w:leader="dot" w:pos="9354"/>
        </w:tabs>
        <w:spacing w:afterLines="0" w:after="0" w:line="240" w:lineRule="auto"/>
        <w:ind w:firstLine="720"/>
        <w:rPr>
          <w:rFonts w:cs="Arial"/>
          <w:szCs w:val="24"/>
        </w:rPr>
      </w:pPr>
    </w:p>
    <w:tbl>
      <w:tblPr>
        <w:tblW w:w="9746" w:type="dxa"/>
        <w:tblLook w:val="04A0" w:firstRow="1" w:lastRow="0" w:firstColumn="1" w:lastColumn="0" w:noHBand="0" w:noVBand="1"/>
      </w:tblPr>
      <w:tblGrid>
        <w:gridCol w:w="4896"/>
        <w:gridCol w:w="4850"/>
      </w:tblGrid>
      <w:tr w:rsidR="004D4BE6" w:rsidRPr="00614D1A" w14:paraId="3BEE43DD" w14:textId="77777777">
        <w:trPr>
          <w:trHeight w:val="2240"/>
        </w:trPr>
        <w:tc>
          <w:tcPr>
            <w:tcW w:w="4896" w:type="dxa"/>
            <w:tcBorders>
              <w:top w:val="single" w:sz="4" w:space="0" w:color="auto"/>
            </w:tcBorders>
          </w:tcPr>
          <w:p w14:paraId="714A03C2" w14:textId="209F7CD6" w:rsidR="004D4BE6" w:rsidRPr="00FB56B6" w:rsidRDefault="004D4BE6" w:rsidP="009621FF">
            <w:pPr>
              <w:pStyle w:val="Caption"/>
              <w:keepNext/>
              <w:spacing w:after="120"/>
              <w:rPr>
                <w:rFonts w:ascii="Arial" w:hAnsi="Arial" w:cs="Arial"/>
                <w:color w:val="auto"/>
              </w:rPr>
            </w:pPr>
            <w:r w:rsidRPr="00FB56B6">
              <w:rPr>
                <w:rFonts w:ascii="Arial" w:hAnsi="Arial" w:cs="Arial"/>
                <w:color w:val="auto"/>
              </w:rPr>
              <w:t xml:space="preserve">Зураг </w:t>
            </w:r>
            <w:r w:rsidRPr="00FB56B6">
              <w:rPr>
                <w:rFonts w:ascii="Arial" w:hAnsi="Arial" w:cs="Arial"/>
                <w:color w:val="auto"/>
              </w:rPr>
              <w:fldChar w:fldCharType="begin"/>
            </w:r>
            <w:r w:rsidRPr="00FB56B6">
              <w:rPr>
                <w:rFonts w:ascii="Arial" w:hAnsi="Arial" w:cs="Arial"/>
                <w:color w:val="auto"/>
              </w:rPr>
              <w:instrText xml:space="preserve"> STYLEREF 1 \s </w:instrText>
            </w:r>
            <w:r w:rsidRPr="00FB56B6">
              <w:rPr>
                <w:rFonts w:ascii="Arial" w:hAnsi="Arial" w:cs="Arial"/>
                <w:color w:val="auto"/>
              </w:rPr>
              <w:fldChar w:fldCharType="separate"/>
            </w:r>
            <w:r w:rsidR="000E7C9C">
              <w:rPr>
                <w:rFonts w:ascii="Arial" w:hAnsi="Arial" w:cs="Arial"/>
                <w:noProof/>
                <w:color w:val="auto"/>
              </w:rPr>
              <w:t>1</w:t>
            </w:r>
            <w:r w:rsidRPr="00FB56B6">
              <w:rPr>
                <w:rFonts w:ascii="Arial" w:hAnsi="Arial" w:cs="Arial"/>
                <w:color w:val="auto"/>
              </w:rPr>
              <w:fldChar w:fldCharType="end"/>
            </w:r>
            <w:r w:rsidRPr="00FB56B6">
              <w:rPr>
                <w:rFonts w:ascii="Arial" w:hAnsi="Arial" w:cs="Arial"/>
                <w:color w:val="auto"/>
              </w:rPr>
              <w:t>.</w:t>
            </w:r>
            <w:r w:rsidRPr="00FB56B6">
              <w:rPr>
                <w:rFonts w:ascii="Arial" w:hAnsi="Arial" w:cs="Arial"/>
                <w:color w:val="auto"/>
              </w:rPr>
              <w:fldChar w:fldCharType="begin"/>
            </w:r>
            <w:r w:rsidRPr="00614D1A">
              <w:rPr>
                <w:rFonts w:ascii="Arial" w:hAnsi="Arial" w:cs="Arial"/>
                <w:color w:val="auto"/>
              </w:rPr>
              <w:instrText xml:space="preserve"> SEQ Зураг \* ARABIC \s 1 </w:instrText>
            </w:r>
            <w:r w:rsidRPr="00FB56B6">
              <w:rPr>
                <w:rFonts w:ascii="Arial" w:hAnsi="Arial" w:cs="Arial"/>
                <w:color w:val="auto"/>
              </w:rPr>
              <w:fldChar w:fldCharType="separate"/>
            </w:r>
            <w:r w:rsidR="000E7C9C">
              <w:rPr>
                <w:rFonts w:ascii="Arial" w:hAnsi="Arial" w:cs="Arial"/>
                <w:noProof/>
                <w:color w:val="auto"/>
              </w:rPr>
              <w:t>9</w:t>
            </w:r>
            <w:r w:rsidRPr="00FB56B6">
              <w:rPr>
                <w:rFonts w:ascii="Arial" w:hAnsi="Arial" w:cs="Arial"/>
                <w:color w:val="auto"/>
              </w:rPr>
              <w:fldChar w:fldCharType="end"/>
            </w:r>
            <w:r w:rsidRPr="00FB56B6">
              <w:rPr>
                <w:rFonts w:ascii="Arial" w:hAnsi="Arial" w:cs="Arial"/>
                <w:color w:val="auto"/>
              </w:rPr>
              <w:t xml:space="preserve"> Нүүрсний үнийн хөдөлгөөн, төсөөлөл (ам.доллар/тонн)</w:t>
            </w:r>
          </w:p>
          <w:p w14:paraId="3F7F28EE" w14:textId="77777777" w:rsidR="004D4BE6" w:rsidRPr="00FB56B6" w:rsidRDefault="004D4BE6" w:rsidP="009621FF">
            <w:pPr>
              <w:tabs>
                <w:tab w:val="right" w:leader="dot" w:pos="9354"/>
              </w:tabs>
              <w:spacing w:afterLines="0" w:after="0" w:line="276" w:lineRule="auto"/>
              <w:rPr>
                <w:rFonts w:eastAsia="Yu Mincho" w:cs="Arial"/>
              </w:rPr>
            </w:pPr>
            <w:r w:rsidRPr="00A52C67">
              <w:rPr>
                <w:rFonts w:cs="Arial"/>
                <w:noProof/>
              </w:rPr>
              <w:drawing>
                <wp:inline distT="0" distB="0" distL="0" distR="0" wp14:anchorId="55B40CBA" wp14:editId="45A7C333">
                  <wp:extent cx="2889250" cy="1844040"/>
                  <wp:effectExtent l="0" t="0" r="6350" b="0"/>
                  <wp:docPr id="1172388681" name="Chart 1">
                    <a:extLst xmlns:a="http://schemas.openxmlformats.org/drawingml/2006/main">
                      <a:ext uri="{FF2B5EF4-FFF2-40B4-BE49-F238E27FC236}">
                        <a16:creationId xmlns:a16="http://schemas.microsoft.com/office/drawing/2014/main" id="{082BE3E4-0FE4-4364-9550-DBA187F8D0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c>
          <w:tcPr>
            <w:tcW w:w="4850" w:type="dxa"/>
            <w:tcBorders>
              <w:top w:val="single" w:sz="4" w:space="0" w:color="auto"/>
            </w:tcBorders>
          </w:tcPr>
          <w:p w14:paraId="0C520B41" w14:textId="351FA33B" w:rsidR="004D4BE6" w:rsidRPr="00FB56B6" w:rsidRDefault="004D4BE6" w:rsidP="009621FF">
            <w:pPr>
              <w:pStyle w:val="Caption"/>
              <w:keepNext/>
              <w:spacing w:after="120"/>
              <w:rPr>
                <w:rFonts w:ascii="Arial" w:hAnsi="Arial" w:cs="Arial"/>
                <w:color w:val="auto"/>
              </w:rPr>
            </w:pPr>
            <w:r w:rsidRPr="00FB56B6">
              <w:rPr>
                <w:rFonts w:ascii="Arial" w:hAnsi="Arial" w:cs="Arial"/>
                <w:color w:val="auto"/>
              </w:rPr>
              <w:t xml:space="preserve">Зураг </w:t>
            </w:r>
            <w:r w:rsidRPr="00FB56B6">
              <w:rPr>
                <w:rFonts w:ascii="Arial" w:hAnsi="Arial" w:cs="Arial"/>
                <w:color w:val="auto"/>
              </w:rPr>
              <w:fldChar w:fldCharType="begin"/>
            </w:r>
            <w:r w:rsidRPr="00FB56B6">
              <w:rPr>
                <w:rFonts w:ascii="Arial" w:hAnsi="Arial" w:cs="Arial"/>
                <w:color w:val="auto"/>
              </w:rPr>
              <w:instrText xml:space="preserve"> STYLEREF 1 \s </w:instrText>
            </w:r>
            <w:r w:rsidRPr="00FB56B6">
              <w:rPr>
                <w:rFonts w:ascii="Arial" w:hAnsi="Arial" w:cs="Arial"/>
                <w:color w:val="auto"/>
              </w:rPr>
              <w:fldChar w:fldCharType="separate"/>
            </w:r>
            <w:r w:rsidR="000E7C9C">
              <w:rPr>
                <w:rFonts w:ascii="Arial" w:hAnsi="Arial" w:cs="Arial"/>
                <w:noProof/>
                <w:color w:val="auto"/>
              </w:rPr>
              <w:t>1</w:t>
            </w:r>
            <w:r w:rsidRPr="00FB56B6">
              <w:rPr>
                <w:rFonts w:ascii="Arial" w:hAnsi="Arial" w:cs="Arial"/>
                <w:color w:val="auto"/>
              </w:rPr>
              <w:fldChar w:fldCharType="end"/>
            </w:r>
            <w:r w:rsidRPr="00FB56B6">
              <w:rPr>
                <w:rFonts w:ascii="Arial" w:hAnsi="Arial" w:cs="Arial"/>
                <w:color w:val="auto"/>
              </w:rPr>
              <w:t>.</w:t>
            </w:r>
            <w:r w:rsidRPr="00FB56B6">
              <w:rPr>
                <w:rFonts w:ascii="Arial" w:hAnsi="Arial" w:cs="Arial"/>
                <w:color w:val="auto"/>
              </w:rPr>
              <w:fldChar w:fldCharType="begin"/>
            </w:r>
            <w:r w:rsidRPr="00614D1A">
              <w:rPr>
                <w:rFonts w:ascii="Arial" w:hAnsi="Arial" w:cs="Arial"/>
                <w:color w:val="auto"/>
              </w:rPr>
              <w:instrText xml:space="preserve"> SEQ Зураг \* ARABIC \s 1 </w:instrText>
            </w:r>
            <w:r w:rsidRPr="00FB56B6">
              <w:rPr>
                <w:rFonts w:ascii="Arial" w:hAnsi="Arial" w:cs="Arial"/>
                <w:color w:val="auto"/>
              </w:rPr>
              <w:fldChar w:fldCharType="separate"/>
            </w:r>
            <w:r w:rsidR="000E7C9C">
              <w:rPr>
                <w:rFonts w:ascii="Arial" w:hAnsi="Arial" w:cs="Arial"/>
                <w:noProof/>
                <w:color w:val="auto"/>
              </w:rPr>
              <w:t>10</w:t>
            </w:r>
            <w:r w:rsidRPr="00FB56B6">
              <w:rPr>
                <w:rFonts w:ascii="Arial" w:hAnsi="Arial" w:cs="Arial"/>
                <w:color w:val="auto"/>
              </w:rPr>
              <w:fldChar w:fldCharType="end"/>
            </w:r>
            <w:r w:rsidRPr="00FB56B6">
              <w:rPr>
                <w:rFonts w:ascii="Arial" w:hAnsi="Arial" w:cs="Arial"/>
                <w:color w:val="auto"/>
              </w:rPr>
              <w:t xml:space="preserve"> Төмрийн хүдрийн үнийн хөдөлгөөн, төсөөлөл (ам.доллар/унц)</w:t>
            </w:r>
          </w:p>
          <w:p w14:paraId="42867975" w14:textId="77777777" w:rsidR="004D4BE6" w:rsidRPr="00FB56B6" w:rsidRDefault="004D4BE6" w:rsidP="009621FF">
            <w:pPr>
              <w:tabs>
                <w:tab w:val="left" w:pos="1005"/>
              </w:tabs>
              <w:spacing w:afterLines="0" w:after="0" w:line="276" w:lineRule="auto"/>
              <w:rPr>
                <w:rFonts w:eastAsia="Yu Gothic" w:cs="Arial"/>
                <w:lang w:eastAsia="ja-JP"/>
              </w:rPr>
            </w:pPr>
            <w:r w:rsidRPr="00A52C67">
              <w:rPr>
                <w:rFonts w:cs="Arial"/>
                <w:noProof/>
              </w:rPr>
              <w:drawing>
                <wp:inline distT="0" distB="0" distL="0" distR="0" wp14:anchorId="316BB9BD" wp14:editId="4FF853F1">
                  <wp:extent cx="2889250" cy="1844040"/>
                  <wp:effectExtent l="0" t="0" r="6350" b="0"/>
                  <wp:docPr id="1855275177" name="Chart 1">
                    <a:extLst xmlns:a="http://schemas.openxmlformats.org/drawingml/2006/main">
                      <a:ext uri="{FF2B5EF4-FFF2-40B4-BE49-F238E27FC236}">
                        <a16:creationId xmlns:a16="http://schemas.microsoft.com/office/drawing/2014/main" id="{DED6E389-050D-49ED-9063-B493296BBB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r>
      <w:tr w:rsidR="004D4BE6" w:rsidRPr="00614D1A" w14:paraId="3D978D65" w14:textId="77777777">
        <w:trPr>
          <w:trHeight w:val="91"/>
        </w:trPr>
        <w:tc>
          <w:tcPr>
            <w:tcW w:w="9746" w:type="dxa"/>
            <w:gridSpan w:val="2"/>
            <w:tcBorders>
              <w:bottom w:val="single" w:sz="4" w:space="0" w:color="auto"/>
            </w:tcBorders>
          </w:tcPr>
          <w:p w14:paraId="3EAE3E44" w14:textId="77777777" w:rsidR="004D4BE6" w:rsidRPr="00FB56B6" w:rsidRDefault="004D4BE6" w:rsidP="00027A5C">
            <w:pPr>
              <w:tabs>
                <w:tab w:val="right" w:leader="dot" w:pos="9354"/>
              </w:tabs>
              <w:spacing w:afterLines="50" w:line="276" w:lineRule="auto"/>
              <w:jc w:val="right"/>
              <w:rPr>
                <w:rFonts w:eastAsia="Times New Roman" w:cs="Arial"/>
                <w:sz w:val="20"/>
                <w:szCs w:val="20"/>
              </w:rPr>
            </w:pPr>
            <w:r w:rsidRPr="00FB56B6">
              <w:rPr>
                <w:rFonts w:eastAsia="SimSun" w:cs="Arial"/>
                <w:i/>
                <w:sz w:val="20"/>
                <w:szCs w:val="20"/>
              </w:rPr>
              <w:t>Эх сурвалж: Блүүмберг терминал</w:t>
            </w:r>
          </w:p>
        </w:tc>
      </w:tr>
    </w:tbl>
    <w:p w14:paraId="14F4C488" w14:textId="77777777" w:rsidR="002F577C" w:rsidRDefault="002F577C" w:rsidP="002F577C">
      <w:pPr>
        <w:spacing w:afterLines="0" w:after="0" w:line="240" w:lineRule="auto"/>
        <w:ind w:firstLine="720"/>
        <w:rPr>
          <w:rFonts w:cs="Arial"/>
          <w:b/>
          <w:i/>
          <w:szCs w:val="24"/>
        </w:rPr>
      </w:pPr>
    </w:p>
    <w:p w14:paraId="7A183B99" w14:textId="54B69241" w:rsidR="004D4BE6" w:rsidRPr="00FB56B6" w:rsidRDefault="004D4BE6" w:rsidP="002F577C">
      <w:pPr>
        <w:spacing w:afterLines="0" w:after="0" w:line="240" w:lineRule="auto"/>
        <w:ind w:firstLine="720"/>
        <w:rPr>
          <w:rFonts w:cs="Arial"/>
          <w:szCs w:val="24"/>
        </w:rPr>
      </w:pPr>
      <w:r w:rsidRPr="00FB56B6">
        <w:rPr>
          <w:rFonts w:cs="Arial"/>
          <w:b/>
          <w:i/>
          <w:szCs w:val="24"/>
        </w:rPr>
        <w:t>Төмрийн хүдрийн үнэ:</w:t>
      </w:r>
      <w:r w:rsidRPr="00FB56B6">
        <w:rPr>
          <w:rFonts w:cs="Arial"/>
          <w:i/>
          <w:szCs w:val="24"/>
        </w:rPr>
        <w:t xml:space="preserve"> </w:t>
      </w:r>
      <w:r w:rsidRPr="00FB56B6">
        <w:rPr>
          <w:rFonts w:cs="Arial"/>
          <w:szCs w:val="24"/>
        </w:rPr>
        <w:t xml:space="preserve">Төмрийн хүдрийн (62 хувийн агууламжтай) үнэ </w:t>
      </w:r>
      <w:r w:rsidR="002F577C">
        <w:rPr>
          <w:rFonts w:cs="Arial"/>
          <w:szCs w:val="24"/>
        </w:rPr>
        <w:t xml:space="preserve">      </w:t>
      </w:r>
      <w:r w:rsidRPr="00FB56B6">
        <w:rPr>
          <w:rFonts w:cs="Arial"/>
          <w:szCs w:val="24"/>
        </w:rPr>
        <w:t xml:space="preserve">2025 онд 102 ам.доллар/тонн болж, өмнөх оноос 7.5 хувиар буурсан байна. Харин 2026 оны эхний 7 сарын байдлаар 105 ам.доллар/тонн болж, өмнөх оноос 5.9 хувиар өслөө. </w:t>
      </w:r>
    </w:p>
    <w:p w14:paraId="45C1C41E" w14:textId="77777777" w:rsidR="002F577C" w:rsidRDefault="002F577C" w:rsidP="002F577C">
      <w:pPr>
        <w:spacing w:afterLines="0" w:after="0" w:line="240" w:lineRule="auto"/>
        <w:ind w:firstLine="720"/>
        <w:rPr>
          <w:rFonts w:cs="Arial"/>
          <w:szCs w:val="24"/>
        </w:rPr>
      </w:pPr>
    </w:p>
    <w:p w14:paraId="0EB3499B" w14:textId="43F20715" w:rsidR="004D4BE6" w:rsidRPr="00FB56B6" w:rsidRDefault="004D4BE6" w:rsidP="002F577C">
      <w:pPr>
        <w:spacing w:afterLines="0" w:after="0" w:line="240" w:lineRule="auto"/>
        <w:ind w:firstLine="720"/>
        <w:rPr>
          <w:rFonts w:cs="Arial"/>
          <w:szCs w:val="24"/>
        </w:rPr>
      </w:pPr>
      <w:r w:rsidRPr="00FB56B6">
        <w:rPr>
          <w:rFonts w:cs="Arial"/>
          <w:szCs w:val="24"/>
        </w:rPr>
        <w:t xml:space="preserve">Австрали, Бразил зэрэг улсуудын нийлүүлэлтийн өсөлт, БНХАУ-ын үл хөдлөх хөрөнгийн салбарын уналт төмрийн хүдрийн үнэ буурахад голлон нөлөөллөө. БНХАУ-ын үл хөдлөх хөрөнгийн салбар богино хугацаанд сэргэх төлөвгүй байгаагаас гадна Австрали, Бразил зэрэг улсуудын олборлолт тогтвортой өсөхөөр байгаа тул төмрийн хүдрийн үнэ буурах төлөвтэй байна. Олон улсын шинжээчдийн </w:t>
      </w:r>
      <w:r w:rsidRPr="00FB56B6">
        <w:rPr>
          <w:rFonts w:cs="Arial"/>
          <w:szCs w:val="24"/>
        </w:rPr>
        <w:lastRenderedPageBreak/>
        <w:t xml:space="preserve">таамаглалаар төмрийн хүдрийн дундаж үнэ 2026 онд 100 ам.доллар, 2027 онд </w:t>
      </w:r>
      <w:r w:rsidR="002F577C">
        <w:rPr>
          <w:rFonts w:cs="Arial"/>
          <w:szCs w:val="24"/>
        </w:rPr>
        <w:t xml:space="preserve">         </w:t>
      </w:r>
      <w:r w:rsidRPr="00FB56B6">
        <w:rPr>
          <w:rFonts w:cs="Arial"/>
          <w:szCs w:val="24"/>
        </w:rPr>
        <w:t>85 ам.долларт хүрэхээр байна.</w:t>
      </w:r>
    </w:p>
    <w:tbl>
      <w:tblPr>
        <w:tblStyle w:val="TableGrid"/>
        <w:tblpPr w:leftFromText="180" w:rightFromText="180" w:vertAnchor="text" w:horzAnchor="margin" w:tblpXSpec="right" w:tblpY="6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09"/>
      </w:tblGrid>
      <w:tr w:rsidR="004D4BE6" w:rsidRPr="00614D1A" w14:paraId="47CC4982" w14:textId="77777777">
        <w:trPr>
          <w:trHeight w:val="3818"/>
        </w:trPr>
        <w:tc>
          <w:tcPr>
            <w:tcW w:w="4309" w:type="dxa"/>
            <w:tcBorders>
              <w:top w:val="single" w:sz="4" w:space="0" w:color="auto"/>
            </w:tcBorders>
          </w:tcPr>
          <w:p w14:paraId="0F1B7DE1" w14:textId="2E9B54B9" w:rsidR="004D4BE6" w:rsidRPr="00FB56B6" w:rsidRDefault="004D4BE6" w:rsidP="00350BC2">
            <w:pPr>
              <w:pStyle w:val="Caption"/>
              <w:keepNext/>
              <w:spacing w:before="120" w:after="120" w:line="276" w:lineRule="auto"/>
              <w:rPr>
                <w:rFonts w:ascii="Arial" w:hAnsi="Arial" w:cs="Arial"/>
                <w:color w:val="auto"/>
              </w:rPr>
            </w:pPr>
            <w:r w:rsidRPr="00FB56B6">
              <w:rPr>
                <w:rFonts w:ascii="Arial" w:hAnsi="Arial" w:cs="Arial"/>
                <w:color w:val="auto"/>
              </w:rPr>
              <w:t xml:space="preserve">Зураг </w:t>
            </w:r>
            <w:r w:rsidRPr="00FB56B6">
              <w:rPr>
                <w:rFonts w:ascii="Arial" w:hAnsi="Arial" w:cs="Arial"/>
                <w:color w:val="auto"/>
              </w:rPr>
              <w:fldChar w:fldCharType="begin"/>
            </w:r>
            <w:r w:rsidRPr="00FB56B6">
              <w:rPr>
                <w:rFonts w:ascii="Arial" w:hAnsi="Arial" w:cs="Arial"/>
                <w:color w:val="auto"/>
              </w:rPr>
              <w:instrText xml:space="preserve"> STYLEREF 1 \s </w:instrText>
            </w:r>
            <w:r w:rsidRPr="00FB56B6">
              <w:rPr>
                <w:rFonts w:ascii="Arial" w:hAnsi="Arial" w:cs="Arial"/>
                <w:color w:val="auto"/>
              </w:rPr>
              <w:fldChar w:fldCharType="separate"/>
            </w:r>
            <w:r w:rsidR="000E7C9C">
              <w:rPr>
                <w:rFonts w:ascii="Arial" w:hAnsi="Arial" w:cs="Arial"/>
                <w:noProof/>
                <w:color w:val="auto"/>
              </w:rPr>
              <w:t>1</w:t>
            </w:r>
            <w:r w:rsidRPr="00FB56B6">
              <w:rPr>
                <w:rFonts w:ascii="Arial" w:hAnsi="Arial" w:cs="Arial"/>
                <w:color w:val="auto"/>
              </w:rPr>
              <w:fldChar w:fldCharType="end"/>
            </w:r>
            <w:r w:rsidRPr="00FB56B6">
              <w:rPr>
                <w:rFonts w:ascii="Arial" w:hAnsi="Arial" w:cs="Arial"/>
                <w:color w:val="auto"/>
              </w:rPr>
              <w:t>.</w:t>
            </w:r>
            <w:r w:rsidRPr="00FB56B6">
              <w:rPr>
                <w:rFonts w:ascii="Arial" w:hAnsi="Arial" w:cs="Arial"/>
                <w:color w:val="auto"/>
              </w:rPr>
              <w:fldChar w:fldCharType="begin"/>
            </w:r>
            <w:r w:rsidRPr="00614D1A">
              <w:rPr>
                <w:rFonts w:ascii="Arial" w:hAnsi="Arial" w:cs="Arial"/>
                <w:color w:val="auto"/>
              </w:rPr>
              <w:instrText xml:space="preserve"> SEQ Зураг \* ARABIC \s 1 </w:instrText>
            </w:r>
            <w:r w:rsidRPr="00FB56B6">
              <w:rPr>
                <w:rFonts w:ascii="Arial" w:hAnsi="Arial" w:cs="Arial"/>
                <w:color w:val="auto"/>
              </w:rPr>
              <w:fldChar w:fldCharType="separate"/>
            </w:r>
            <w:r w:rsidR="000E7C9C">
              <w:rPr>
                <w:rFonts w:ascii="Arial" w:hAnsi="Arial" w:cs="Arial"/>
                <w:noProof/>
                <w:color w:val="auto"/>
              </w:rPr>
              <w:t>11</w:t>
            </w:r>
            <w:r w:rsidRPr="00FB56B6">
              <w:rPr>
                <w:rFonts w:ascii="Arial" w:hAnsi="Arial" w:cs="Arial"/>
                <w:color w:val="auto"/>
              </w:rPr>
              <w:fldChar w:fldCharType="end"/>
            </w:r>
            <w:r w:rsidRPr="00FB56B6">
              <w:rPr>
                <w:rFonts w:ascii="Arial" w:hAnsi="Arial" w:cs="Arial"/>
                <w:color w:val="auto"/>
              </w:rPr>
              <w:t xml:space="preserve"> Газрын тосны үнийн хөдөлгөөн, төсөөлөл (ам.доллар/баррель</w:t>
            </w:r>
          </w:p>
          <w:p w14:paraId="2CB8C78D" w14:textId="77777777" w:rsidR="004D4BE6" w:rsidRPr="00FB56B6" w:rsidRDefault="004D4BE6" w:rsidP="00350BC2">
            <w:pPr>
              <w:keepNext/>
              <w:keepLines/>
              <w:tabs>
                <w:tab w:val="right" w:leader="dot" w:pos="9354"/>
              </w:tabs>
              <w:spacing w:before="120" w:afterLines="0" w:line="276" w:lineRule="auto"/>
              <w:rPr>
                <w:rFonts w:cs="Arial"/>
              </w:rPr>
            </w:pPr>
            <w:r w:rsidRPr="00A52C67">
              <w:rPr>
                <w:rFonts w:cs="Arial"/>
                <w:noProof/>
              </w:rPr>
              <w:drawing>
                <wp:inline distT="0" distB="0" distL="0" distR="0" wp14:anchorId="6EC99F92" wp14:editId="36D08A1C">
                  <wp:extent cx="2599055" cy="2006221"/>
                  <wp:effectExtent l="0" t="0" r="0" b="0"/>
                  <wp:docPr id="1647478682" name="Chart 1">
                    <a:extLst xmlns:a="http://schemas.openxmlformats.org/drawingml/2006/main">
                      <a:ext uri="{FF2B5EF4-FFF2-40B4-BE49-F238E27FC236}">
                        <a16:creationId xmlns:a16="http://schemas.microsoft.com/office/drawing/2014/main" id="{143DD6BB-B2BB-2762-863E-0DAFD6EF45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r>
      <w:tr w:rsidR="004D4BE6" w:rsidRPr="00614D1A" w14:paraId="6B886668" w14:textId="77777777">
        <w:trPr>
          <w:trHeight w:val="87"/>
        </w:trPr>
        <w:tc>
          <w:tcPr>
            <w:tcW w:w="4309" w:type="dxa"/>
            <w:tcBorders>
              <w:bottom w:val="single" w:sz="4" w:space="0" w:color="auto"/>
            </w:tcBorders>
          </w:tcPr>
          <w:p w14:paraId="032CDF8A" w14:textId="77777777" w:rsidR="004D4BE6" w:rsidRPr="00FB56B6" w:rsidRDefault="004D4BE6" w:rsidP="00350BC2">
            <w:pPr>
              <w:keepNext/>
              <w:keepLines/>
              <w:tabs>
                <w:tab w:val="right" w:leader="dot" w:pos="9354"/>
              </w:tabs>
              <w:spacing w:before="120" w:afterLines="0" w:line="276" w:lineRule="auto"/>
              <w:ind w:right="600"/>
              <w:contextualSpacing/>
              <w:jc w:val="right"/>
              <w:rPr>
                <w:rFonts w:cs="Arial"/>
                <w:szCs w:val="24"/>
              </w:rPr>
            </w:pPr>
            <w:r w:rsidRPr="00FB56B6">
              <w:rPr>
                <w:rFonts w:eastAsia="SimSun" w:cs="Arial"/>
                <w:i/>
                <w:sz w:val="20"/>
                <w:szCs w:val="20"/>
              </w:rPr>
              <w:t>Эх сурвалж: Блүүмберг терминал</w:t>
            </w:r>
          </w:p>
        </w:tc>
      </w:tr>
    </w:tbl>
    <w:p w14:paraId="5978D58D" w14:textId="77777777" w:rsidR="002F577C" w:rsidRDefault="002F577C" w:rsidP="002F577C">
      <w:pPr>
        <w:tabs>
          <w:tab w:val="right" w:leader="dot" w:pos="9354"/>
        </w:tabs>
        <w:spacing w:afterLines="0" w:after="0" w:line="240" w:lineRule="auto"/>
        <w:ind w:firstLine="720"/>
        <w:rPr>
          <w:rFonts w:cs="Arial"/>
          <w:b/>
          <w:i/>
          <w:szCs w:val="24"/>
        </w:rPr>
      </w:pPr>
    </w:p>
    <w:p w14:paraId="6ACD833D" w14:textId="057E4DBC" w:rsidR="004D4BE6" w:rsidRPr="00FB56B6" w:rsidRDefault="004D4BE6" w:rsidP="002F577C">
      <w:pPr>
        <w:tabs>
          <w:tab w:val="right" w:leader="dot" w:pos="9354"/>
        </w:tabs>
        <w:spacing w:afterLines="0" w:after="0" w:line="240" w:lineRule="auto"/>
        <w:ind w:firstLine="720"/>
        <w:rPr>
          <w:rFonts w:cs="Arial"/>
          <w:szCs w:val="24"/>
        </w:rPr>
      </w:pPr>
      <w:r w:rsidRPr="00FB56B6">
        <w:rPr>
          <w:rFonts w:cs="Arial"/>
          <w:b/>
          <w:i/>
          <w:szCs w:val="24"/>
        </w:rPr>
        <w:t>Газрын тосны үнэ:</w:t>
      </w:r>
      <w:r w:rsidRPr="00FB56B6">
        <w:rPr>
          <w:rFonts w:cs="Arial"/>
          <w:i/>
          <w:szCs w:val="24"/>
        </w:rPr>
        <w:t xml:space="preserve"> </w:t>
      </w:r>
      <w:r w:rsidRPr="00FB56B6">
        <w:rPr>
          <w:rFonts w:eastAsia="SimSun" w:cs="Arial"/>
          <w:szCs w:val="24"/>
        </w:rPr>
        <w:t xml:space="preserve">Брент төрлийн газрын тосны дундаж үнэ </w:t>
      </w:r>
      <w:r w:rsidRPr="00FB56B6">
        <w:rPr>
          <w:rFonts w:cs="Arial"/>
          <w:szCs w:val="24"/>
        </w:rPr>
        <w:t xml:space="preserve">2025 </w:t>
      </w:r>
      <w:r w:rsidRPr="00FB56B6">
        <w:rPr>
          <w:rFonts w:eastAsia="SimSun" w:cs="Arial"/>
          <w:szCs w:val="24"/>
        </w:rPr>
        <w:t xml:space="preserve">онд </w:t>
      </w:r>
      <w:r w:rsidRPr="00FB56B6">
        <w:rPr>
          <w:rFonts w:cs="Arial"/>
          <w:szCs w:val="24"/>
        </w:rPr>
        <w:t>66</w:t>
      </w:r>
      <w:r w:rsidRPr="00FB56B6">
        <w:rPr>
          <w:rFonts w:eastAsia="SimSun" w:cs="Arial"/>
          <w:szCs w:val="24"/>
        </w:rPr>
        <w:t xml:space="preserve"> ам.доллар</w:t>
      </w:r>
      <w:r w:rsidRPr="00FB56B6">
        <w:rPr>
          <w:rFonts w:cs="Arial"/>
          <w:szCs w:val="24"/>
        </w:rPr>
        <w:t>/баррель</w:t>
      </w:r>
      <w:r w:rsidRPr="00FB56B6">
        <w:rPr>
          <w:rFonts w:eastAsia="SimSun" w:cs="Arial"/>
          <w:szCs w:val="24"/>
        </w:rPr>
        <w:t xml:space="preserve"> болж, өмнөх оны эцсээс </w:t>
      </w:r>
      <w:r w:rsidRPr="00FB56B6">
        <w:rPr>
          <w:rFonts w:cs="Arial"/>
          <w:szCs w:val="24"/>
        </w:rPr>
        <w:t>10.</w:t>
      </w:r>
      <w:r w:rsidRPr="00FB56B6">
        <w:rPr>
          <w:rFonts w:eastAsia="SimSun" w:cs="Arial"/>
          <w:szCs w:val="24"/>
        </w:rPr>
        <w:t xml:space="preserve">2 хувиар буурсан байна. Харин </w:t>
      </w:r>
      <w:r w:rsidRPr="00FB56B6">
        <w:rPr>
          <w:rFonts w:cs="Arial"/>
          <w:szCs w:val="24"/>
        </w:rPr>
        <w:t xml:space="preserve">2026 </w:t>
      </w:r>
      <w:r w:rsidRPr="00FB56B6">
        <w:rPr>
          <w:rFonts w:eastAsia="SimSun" w:cs="Arial"/>
          <w:szCs w:val="24"/>
        </w:rPr>
        <w:t xml:space="preserve">оны эхний 7 сарын байдлаар </w:t>
      </w:r>
      <w:r w:rsidRPr="00FB56B6">
        <w:rPr>
          <w:rFonts w:cs="Arial"/>
          <w:szCs w:val="24"/>
        </w:rPr>
        <w:t>80</w:t>
      </w:r>
      <w:r w:rsidRPr="00FB56B6">
        <w:rPr>
          <w:rFonts w:eastAsia="SimSun" w:cs="Arial"/>
          <w:szCs w:val="24"/>
        </w:rPr>
        <w:t xml:space="preserve"> ам.доллар</w:t>
      </w:r>
      <w:r w:rsidRPr="00FB56B6">
        <w:rPr>
          <w:rFonts w:cs="Arial"/>
          <w:szCs w:val="24"/>
        </w:rPr>
        <w:t>/баррель</w:t>
      </w:r>
      <w:r w:rsidRPr="00FB56B6">
        <w:rPr>
          <w:rFonts w:eastAsia="SimSun" w:cs="Arial"/>
          <w:szCs w:val="24"/>
        </w:rPr>
        <w:t xml:space="preserve"> болж, өмнөх оны эцсээс </w:t>
      </w:r>
      <w:r w:rsidRPr="00FB56B6">
        <w:rPr>
          <w:rFonts w:cs="Arial"/>
          <w:szCs w:val="24"/>
        </w:rPr>
        <w:t>18.4</w:t>
      </w:r>
      <w:r w:rsidRPr="00FB56B6">
        <w:rPr>
          <w:rFonts w:eastAsia="SimSun" w:cs="Arial"/>
          <w:szCs w:val="24"/>
        </w:rPr>
        <w:t xml:space="preserve"> хувиар </w:t>
      </w:r>
      <w:r w:rsidRPr="00FB56B6">
        <w:rPr>
          <w:rFonts w:cs="Arial"/>
          <w:szCs w:val="24"/>
        </w:rPr>
        <w:t xml:space="preserve">өслөө. Ойрх дорнодын зөрчлөөс шалтгаалан Ормузын хоолойн тээвэрлэлт багассантай холбоотойгоор дэлхийн газрын тосны нийлүүлэлтэд буурч, үнэ өсөхөд голлон нөлөөллөө. Геополитикийн тодорхой бус байдал нэмэгдэж, нийлүүлэлт тасалдах эрсдэл нэмэгдсэнтэй холбоотойгоор 2026 онд газрын тосны үнэ өсөх төлөвтэй байна. </w:t>
      </w:r>
      <w:r w:rsidRPr="00FB56B6">
        <w:rPr>
          <w:rFonts w:eastAsia="SimSun" w:cs="Arial"/>
          <w:szCs w:val="24"/>
        </w:rPr>
        <w:t xml:space="preserve">Олон улсын шинжээчдийн таамаглалаар Брент төрлийн газрын тосны дундаж үнэ </w:t>
      </w:r>
      <w:r w:rsidRPr="00FB56B6">
        <w:rPr>
          <w:rFonts w:cs="Arial"/>
          <w:szCs w:val="24"/>
        </w:rPr>
        <w:t>2026</w:t>
      </w:r>
      <w:r w:rsidRPr="00FB56B6">
        <w:rPr>
          <w:rFonts w:eastAsia="SimSun" w:cs="Arial"/>
          <w:szCs w:val="24"/>
        </w:rPr>
        <w:t xml:space="preserve"> онд </w:t>
      </w:r>
      <w:r w:rsidRPr="00FB56B6">
        <w:rPr>
          <w:rFonts w:cs="Arial"/>
          <w:szCs w:val="24"/>
        </w:rPr>
        <w:t>80</w:t>
      </w:r>
      <w:r w:rsidRPr="00FB56B6">
        <w:rPr>
          <w:rFonts w:eastAsia="SimSun" w:cs="Arial"/>
          <w:szCs w:val="24"/>
        </w:rPr>
        <w:t xml:space="preserve"> ам.доллар, </w:t>
      </w:r>
      <w:r w:rsidRPr="00FB56B6">
        <w:rPr>
          <w:rFonts w:cs="Arial"/>
          <w:szCs w:val="24"/>
        </w:rPr>
        <w:t>2027</w:t>
      </w:r>
      <w:r w:rsidRPr="00FB56B6">
        <w:rPr>
          <w:rFonts w:eastAsia="SimSun" w:cs="Arial"/>
          <w:szCs w:val="24"/>
        </w:rPr>
        <w:t xml:space="preserve"> онд 70 ам.долларт хүрэхээр байна.</w:t>
      </w:r>
    </w:p>
    <w:p w14:paraId="7A2C0F77" w14:textId="77777777" w:rsidR="00A16BDB" w:rsidRPr="00E109FE" w:rsidRDefault="00A16BDB" w:rsidP="002F577C">
      <w:pPr>
        <w:pStyle w:val="Heading3"/>
        <w:numPr>
          <w:ilvl w:val="2"/>
          <w:numId w:val="34"/>
        </w:numPr>
        <w:ind w:left="0" w:firstLine="720"/>
        <w:rPr>
          <w:rFonts w:eastAsiaTheme="minorEastAsia"/>
          <w:kern w:val="0"/>
        </w:rPr>
      </w:pPr>
      <w:bookmarkStart w:id="81" w:name="_Toc195605252"/>
      <w:bookmarkStart w:id="82" w:name="_Toc201605943"/>
      <w:bookmarkStart w:id="83" w:name="_Toc201755698"/>
      <w:bookmarkStart w:id="84" w:name="_Toc238120988"/>
      <w:bookmarkStart w:id="85" w:name="_Toc201605941"/>
      <w:bookmarkStart w:id="86" w:name="_Toc201755696"/>
      <w:r w:rsidRPr="00E109FE">
        <w:t>Дотоодын нийт бүтээгдэхүүн</w:t>
      </w:r>
      <w:bookmarkEnd w:id="81"/>
      <w:bookmarkEnd w:id="82"/>
      <w:bookmarkEnd w:id="83"/>
      <w:bookmarkEnd w:id="84"/>
      <w:r w:rsidRPr="00E109FE">
        <w:rPr>
          <w:rFonts w:eastAsia="Yu Gothic"/>
          <w:kern w:val="0"/>
        </w:rPr>
        <w:t xml:space="preserve"> </w:t>
      </w:r>
    </w:p>
    <w:p w14:paraId="11A9B370" w14:textId="276C75C4" w:rsidR="009769CC" w:rsidRPr="00D95C07" w:rsidRDefault="009769CC" w:rsidP="002F577C">
      <w:pPr>
        <w:spacing w:afterLines="0" w:after="0" w:line="240" w:lineRule="auto"/>
        <w:ind w:firstLine="720"/>
        <w:rPr>
          <w:rFonts w:eastAsia="Yu Mincho" w:cs="Arial"/>
        </w:rPr>
      </w:pPr>
      <w:r w:rsidRPr="7DAAF6F6">
        <w:rPr>
          <w:rFonts w:eastAsia="SimSun" w:cs="Arial"/>
        </w:rPr>
        <w:t xml:space="preserve">Нэрлэсэн дотоодын нийт бүтээгдэхүүн 2026 оны эхний хагаст 52.5 их наяд төгрөгт хүрч, өмнөх оны мөн үеэс 30.4 хувиар, 2015 оны зэрэгцүүлэх үнээр тооцсон бодит ДНБ 16.4 их наяд төгрөг болж, өмнөх оны мөн үеэс 7.7 хувиар тус тус өслөө. </w:t>
      </w:r>
    </w:p>
    <w:p w14:paraId="63466F16" w14:textId="28728E89" w:rsidR="00512C66" w:rsidRDefault="00512C66">
      <w:pPr>
        <w:spacing w:afterLines="0" w:after="160" w:line="278" w:lineRule="auto"/>
        <w:jc w:val="left"/>
        <w:rPr>
          <w:rFonts w:eastAsia="SimSun" w:cs="Arial"/>
        </w:rPr>
      </w:pPr>
    </w:p>
    <w:tbl>
      <w:tblPr>
        <w:tblW w:w="0" w:type="auto"/>
        <w:tblLook w:val="04A0" w:firstRow="1" w:lastRow="0" w:firstColumn="1" w:lastColumn="0" w:noHBand="0" w:noVBand="1"/>
      </w:tblPr>
      <w:tblGrid>
        <w:gridCol w:w="4720"/>
        <w:gridCol w:w="4634"/>
      </w:tblGrid>
      <w:tr w:rsidR="009769CC" w:rsidRPr="00614D1A" w14:paraId="76849C4D" w14:textId="77777777" w:rsidTr="00512C66">
        <w:tc>
          <w:tcPr>
            <w:tcW w:w="4582" w:type="dxa"/>
            <w:tcBorders>
              <w:top w:val="single" w:sz="4" w:space="0" w:color="auto"/>
              <w:right w:val="single" w:sz="4" w:space="0" w:color="FFFFFF" w:themeColor="background1"/>
            </w:tcBorders>
          </w:tcPr>
          <w:p w14:paraId="3655838A" w14:textId="28728E89" w:rsidR="009769CC" w:rsidRPr="0044511B" w:rsidRDefault="009769CC">
            <w:pPr>
              <w:spacing w:after="288" w:line="240" w:lineRule="auto"/>
              <w:rPr>
                <w:rFonts w:eastAsia="Yu Mincho" w:cs="Arial"/>
                <w:i/>
                <w:sz w:val="20"/>
                <w:szCs w:val="18"/>
                <w:lang w:eastAsia="ja-JP"/>
              </w:rPr>
            </w:pPr>
            <w:bookmarkStart w:id="87" w:name="_Toc237936880"/>
            <w:r w:rsidRPr="0044511B">
              <w:rPr>
                <w:rFonts w:eastAsia="SimSun" w:cs="Arial"/>
                <w:i/>
                <w:sz w:val="20"/>
                <w:szCs w:val="18"/>
              </w:rPr>
              <w:t xml:space="preserve">Хүснэгт </w:t>
            </w:r>
            <w:r w:rsidRPr="0044511B">
              <w:rPr>
                <w:rFonts w:eastAsia="SimSun" w:cs="Arial"/>
                <w:i/>
                <w:sz w:val="20"/>
                <w:szCs w:val="18"/>
              </w:rPr>
              <w:fldChar w:fldCharType="begin"/>
            </w:r>
            <w:r w:rsidRPr="0044511B">
              <w:rPr>
                <w:rFonts w:eastAsia="SimSun" w:cs="Arial"/>
                <w:i/>
                <w:sz w:val="20"/>
                <w:szCs w:val="18"/>
              </w:rPr>
              <w:instrText xml:space="preserve"> STYLEREF 1 \s </w:instrText>
            </w:r>
            <w:r w:rsidRPr="0044511B">
              <w:rPr>
                <w:rFonts w:eastAsia="SimSun" w:cs="Arial"/>
                <w:i/>
                <w:sz w:val="20"/>
                <w:szCs w:val="18"/>
              </w:rPr>
              <w:fldChar w:fldCharType="separate"/>
            </w:r>
            <w:r w:rsidR="000E7C9C">
              <w:rPr>
                <w:rFonts w:eastAsia="SimSun" w:cs="Arial"/>
                <w:i/>
                <w:noProof/>
                <w:sz w:val="20"/>
                <w:szCs w:val="18"/>
              </w:rPr>
              <w:t>1</w:t>
            </w:r>
            <w:r w:rsidRPr="0044511B">
              <w:rPr>
                <w:rFonts w:eastAsia="SimSun" w:cs="Arial"/>
                <w:i/>
                <w:sz w:val="20"/>
                <w:szCs w:val="18"/>
              </w:rPr>
              <w:fldChar w:fldCharType="end"/>
            </w:r>
            <w:r w:rsidRPr="0044511B">
              <w:rPr>
                <w:rFonts w:eastAsia="SimSun" w:cs="Arial"/>
                <w:i/>
                <w:sz w:val="20"/>
                <w:szCs w:val="18"/>
              </w:rPr>
              <w:t>.</w:t>
            </w:r>
            <w:r w:rsidRPr="0044511B">
              <w:rPr>
                <w:rFonts w:eastAsia="SimSun" w:cs="Arial"/>
                <w:i/>
                <w:sz w:val="20"/>
                <w:szCs w:val="18"/>
              </w:rPr>
              <w:fldChar w:fldCharType="begin"/>
            </w:r>
            <w:r w:rsidRPr="0044511B">
              <w:rPr>
                <w:rFonts w:eastAsia="SimSun" w:cs="Arial"/>
                <w:i/>
                <w:sz w:val="20"/>
                <w:szCs w:val="18"/>
              </w:rPr>
              <w:instrText xml:space="preserve"> SEQ Хүснэгт \* ARABIC \s 1 </w:instrText>
            </w:r>
            <w:r w:rsidRPr="0044511B">
              <w:rPr>
                <w:rFonts w:eastAsia="SimSun" w:cs="Arial"/>
                <w:i/>
                <w:sz w:val="20"/>
                <w:szCs w:val="18"/>
              </w:rPr>
              <w:fldChar w:fldCharType="separate"/>
            </w:r>
            <w:r w:rsidR="000E7C9C">
              <w:rPr>
                <w:rFonts w:eastAsia="SimSun" w:cs="Arial"/>
                <w:i/>
                <w:noProof/>
                <w:sz w:val="20"/>
                <w:szCs w:val="18"/>
              </w:rPr>
              <w:t>3</w:t>
            </w:r>
            <w:r w:rsidRPr="0044511B">
              <w:rPr>
                <w:rFonts w:eastAsia="SimSun" w:cs="Arial"/>
                <w:i/>
                <w:sz w:val="20"/>
                <w:szCs w:val="18"/>
              </w:rPr>
              <w:fldChar w:fldCharType="end"/>
            </w:r>
            <w:r w:rsidRPr="0044511B">
              <w:rPr>
                <w:rFonts w:eastAsia="SimSun" w:cs="Arial"/>
                <w:i/>
                <w:sz w:val="20"/>
                <w:szCs w:val="18"/>
              </w:rPr>
              <w:t xml:space="preserve"> ДНБ-ий </w:t>
            </w:r>
            <w:r w:rsidRPr="717CF258">
              <w:rPr>
                <w:rFonts w:eastAsia="SimSun" w:cs="Arial"/>
                <w:i/>
                <w:iCs/>
                <w:sz w:val="20"/>
                <w:szCs w:val="20"/>
              </w:rPr>
              <w:t>өсөлт</w:t>
            </w:r>
            <w:r w:rsidRPr="0044511B">
              <w:rPr>
                <w:rFonts w:eastAsia="SimSun" w:cs="Arial"/>
                <w:i/>
                <w:sz w:val="20"/>
                <w:szCs w:val="18"/>
              </w:rPr>
              <w:t>, салбаруудаар (хувь)</w:t>
            </w:r>
            <w:bookmarkEnd w:id="87"/>
          </w:p>
        </w:tc>
        <w:tc>
          <w:tcPr>
            <w:tcW w:w="4444" w:type="dxa"/>
            <w:tcBorders>
              <w:top w:val="single" w:sz="4" w:space="0" w:color="auto"/>
              <w:left w:val="single" w:sz="4" w:space="0" w:color="FFFFFF" w:themeColor="background1"/>
            </w:tcBorders>
          </w:tcPr>
          <w:p w14:paraId="09A41349" w14:textId="07FD4C0F" w:rsidR="009769CC" w:rsidRPr="0044511B" w:rsidRDefault="009769CC">
            <w:pPr>
              <w:spacing w:after="288" w:line="240" w:lineRule="auto"/>
              <w:rPr>
                <w:rFonts w:eastAsia="Yu Mincho" w:cs="Arial"/>
                <w:i/>
                <w:sz w:val="20"/>
                <w:szCs w:val="18"/>
                <w:lang w:eastAsia="ja-JP"/>
              </w:rPr>
            </w:pPr>
            <w:bookmarkStart w:id="88" w:name="_Toc237936892"/>
            <w:r w:rsidRPr="0044511B">
              <w:rPr>
                <w:rFonts w:eastAsia="SimSun" w:cs="Arial"/>
                <w:i/>
                <w:sz w:val="20"/>
                <w:szCs w:val="18"/>
              </w:rPr>
              <w:t xml:space="preserve">Зураг </w:t>
            </w:r>
            <w:r w:rsidRPr="0044511B">
              <w:rPr>
                <w:rFonts w:eastAsia="SimSun" w:cs="Arial"/>
                <w:i/>
                <w:sz w:val="20"/>
                <w:szCs w:val="18"/>
              </w:rPr>
              <w:fldChar w:fldCharType="begin"/>
            </w:r>
            <w:r w:rsidRPr="0044511B">
              <w:rPr>
                <w:rFonts w:eastAsia="SimSun" w:cs="Arial"/>
                <w:i/>
                <w:sz w:val="20"/>
                <w:szCs w:val="18"/>
              </w:rPr>
              <w:instrText xml:space="preserve"> STYLEREF 1 \s </w:instrText>
            </w:r>
            <w:r w:rsidRPr="0044511B">
              <w:rPr>
                <w:rFonts w:eastAsia="SimSun" w:cs="Arial"/>
                <w:i/>
                <w:sz w:val="20"/>
                <w:szCs w:val="18"/>
              </w:rPr>
              <w:fldChar w:fldCharType="separate"/>
            </w:r>
            <w:r w:rsidR="000E7C9C">
              <w:rPr>
                <w:rFonts w:eastAsia="SimSun" w:cs="Arial"/>
                <w:i/>
                <w:noProof/>
                <w:sz w:val="20"/>
                <w:szCs w:val="18"/>
              </w:rPr>
              <w:t>1</w:t>
            </w:r>
            <w:r w:rsidRPr="0044511B">
              <w:rPr>
                <w:rFonts w:eastAsia="SimSun" w:cs="Arial"/>
                <w:i/>
                <w:sz w:val="20"/>
                <w:szCs w:val="18"/>
              </w:rPr>
              <w:fldChar w:fldCharType="end"/>
            </w:r>
            <w:r w:rsidRPr="0044511B">
              <w:rPr>
                <w:rFonts w:eastAsia="SimSun" w:cs="Arial"/>
                <w:i/>
                <w:sz w:val="20"/>
                <w:szCs w:val="18"/>
              </w:rPr>
              <w:t>.</w:t>
            </w:r>
            <w:r w:rsidRPr="0044511B">
              <w:rPr>
                <w:rFonts w:eastAsia="SimSun" w:cs="Arial"/>
                <w:i/>
                <w:sz w:val="20"/>
                <w:szCs w:val="18"/>
              </w:rPr>
              <w:fldChar w:fldCharType="begin"/>
            </w:r>
            <w:r w:rsidRPr="0044511B">
              <w:rPr>
                <w:rFonts w:eastAsia="SimSun" w:cs="Arial"/>
                <w:i/>
                <w:sz w:val="20"/>
                <w:szCs w:val="18"/>
              </w:rPr>
              <w:instrText xml:space="preserve"> SEQ Зураг \* ARABIC \s 1 </w:instrText>
            </w:r>
            <w:r w:rsidRPr="0044511B">
              <w:rPr>
                <w:rFonts w:eastAsia="SimSun" w:cs="Arial"/>
                <w:i/>
                <w:sz w:val="20"/>
                <w:szCs w:val="18"/>
              </w:rPr>
              <w:fldChar w:fldCharType="separate"/>
            </w:r>
            <w:r w:rsidR="000E7C9C">
              <w:rPr>
                <w:rFonts w:eastAsia="SimSun" w:cs="Arial"/>
                <w:i/>
                <w:noProof/>
                <w:sz w:val="20"/>
                <w:szCs w:val="18"/>
              </w:rPr>
              <w:t>12</w:t>
            </w:r>
            <w:r w:rsidRPr="0044511B">
              <w:rPr>
                <w:rFonts w:eastAsia="SimSun" w:cs="Arial"/>
                <w:i/>
                <w:sz w:val="20"/>
                <w:szCs w:val="18"/>
              </w:rPr>
              <w:fldChar w:fldCharType="end"/>
            </w:r>
            <w:r w:rsidRPr="0044511B">
              <w:rPr>
                <w:rFonts w:eastAsia="SimSun" w:cs="Arial"/>
                <w:i/>
                <w:sz w:val="20"/>
                <w:szCs w:val="18"/>
              </w:rPr>
              <w:t xml:space="preserve"> ДНБ-ий өсөлтийн бүтэц, эрэлт талаас </w:t>
            </w:r>
            <w:r w:rsidRPr="0044511B">
              <w:rPr>
                <w:rFonts w:eastAsia="Yu Mincho" w:cs="Arial"/>
                <w:i/>
                <w:sz w:val="20"/>
                <w:szCs w:val="18"/>
                <w:lang w:eastAsia="ja-JP"/>
              </w:rPr>
              <w:t>(хувь)</w:t>
            </w:r>
            <w:bookmarkEnd w:id="88"/>
          </w:p>
        </w:tc>
      </w:tr>
      <w:tr w:rsidR="009769CC" w:rsidRPr="00614D1A" w14:paraId="259B7F95" w14:textId="77777777" w:rsidTr="00512C66">
        <w:trPr>
          <w:trHeight w:val="3887"/>
        </w:trPr>
        <w:tc>
          <w:tcPr>
            <w:tcW w:w="4582" w:type="dxa"/>
            <w:tcBorders>
              <w:right w:val="single" w:sz="4" w:space="0" w:color="FFFFFF" w:themeColor="background1"/>
            </w:tcBorders>
          </w:tcPr>
          <w:tbl>
            <w:tblPr>
              <w:tblW w:w="4572" w:type="dxa"/>
              <w:tblLook w:val="04A0" w:firstRow="1" w:lastRow="0" w:firstColumn="1" w:lastColumn="0" w:noHBand="0" w:noVBand="1"/>
            </w:tblPr>
            <w:tblGrid>
              <w:gridCol w:w="1429"/>
              <w:gridCol w:w="688"/>
              <w:gridCol w:w="572"/>
              <w:gridCol w:w="605"/>
              <w:gridCol w:w="572"/>
              <w:gridCol w:w="706"/>
            </w:tblGrid>
            <w:tr w:rsidR="00616124" w:rsidRPr="0031039D" w14:paraId="2762CAC1" w14:textId="77777777" w:rsidTr="008C2E8E">
              <w:trPr>
                <w:trHeight w:val="300"/>
              </w:trPr>
              <w:tc>
                <w:tcPr>
                  <w:tcW w:w="1429" w:type="dxa"/>
                  <w:tcBorders>
                    <w:top w:val="single" w:sz="4" w:space="0" w:color="auto"/>
                    <w:left w:val="nil"/>
                    <w:bottom w:val="single" w:sz="8" w:space="0" w:color="000000"/>
                    <w:right w:val="nil"/>
                  </w:tcBorders>
                  <w:vAlign w:val="center"/>
                  <w:hideMark/>
                </w:tcPr>
                <w:p w14:paraId="5BE095CF" w14:textId="77777777" w:rsidR="00616124" w:rsidRPr="00784CA0" w:rsidRDefault="00616124" w:rsidP="00616124">
                  <w:pPr>
                    <w:spacing w:afterLines="0" w:after="0" w:line="240" w:lineRule="auto"/>
                    <w:jc w:val="center"/>
                    <w:rPr>
                      <w:rFonts w:eastAsia="Times New Roman" w:cs="Arial"/>
                      <w:b/>
                      <w:color w:val="000000"/>
                      <w:kern w:val="0"/>
                      <w:sz w:val="16"/>
                      <w:szCs w:val="16"/>
                      <w:lang w:eastAsia="zh-CN"/>
                      <w14:ligatures w14:val="none"/>
                    </w:rPr>
                  </w:pPr>
                  <w:r w:rsidRPr="00616124">
                    <w:rPr>
                      <w:rFonts w:eastAsia="Times New Roman" w:cs="Arial"/>
                      <w:b/>
                      <w:bCs/>
                      <w:color w:val="000000"/>
                      <w:kern w:val="0"/>
                      <w:sz w:val="16"/>
                      <w:szCs w:val="16"/>
                      <w:lang w:eastAsia="zh-CN"/>
                      <w14:ligatures w14:val="none"/>
                    </w:rPr>
                    <w:t>Салбар</w:t>
                  </w:r>
                </w:p>
              </w:tc>
              <w:tc>
                <w:tcPr>
                  <w:tcW w:w="713" w:type="dxa"/>
                  <w:tcBorders>
                    <w:top w:val="single" w:sz="4" w:space="0" w:color="auto"/>
                    <w:left w:val="nil"/>
                    <w:bottom w:val="single" w:sz="8" w:space="0" w:color="000000"/>
                    <w:right w:val="nil"/>
                  </w:tcBorders>
                  <w:vAlign w:val="center"/>
                  <w:hideMark/>
                </w:tcPr>
                <w:p w14:paraId="51DFFC71" w14:textId="77777777" w:rsidR="00616124" w:rsidRPr="00784CA0" w:rsidRDefault="00616124" w:rsidP="00616124">
                  <w:pPr>
                    <w:spacing w:afterLines="0" w:after="0" w:line="240" w:lineRule="auto"/>
                    <w:jc w:val="center"/>
                    <w:rPr>
                      <w:rFonts w:eastAsia="Times New Roman" w:cs="Arial"/>
                      <w:b/>
                      <w:color w:val="000000"/>
                      <w:kern w:val="0"/>
                      <w:sz w:val="16"/>
                      <w:szCs w:val="16"/>
                      <w:lang w:eastAsia="zh-CN"/>
                      <w14:ligatures w14:val="none"/>
                    </w:rPr>
                  </w:pPr>
                  <w:r w:rsidRPr="00616124">
                    <w:rPr>
                      <w:rFonts w:eastAsia="Times New Roman" w:cs="Arial"/>
                      <w:b/>
                      <w:bCs/>
                      <w:color w:val="000000"/>
                      <w:kern w:val="0"/>
                      <w:sz w:val="16"/>
                      <w:szCs w:val="16"/>
                      <w:lang w:eastAsia="zh-CN"/>
                      <w14:ligatures w14:val="none"/>
                    </w:rPr>
                    <w:t>2022</w:t>
                  </w:r>
                </w:p>
              </w:tc>
              <w:tc>
                <w:tcPr>
                  <w:tcW w:w="540" w:type="dxa"/>
                  <w:tcBorders>
                    <w:top w:val="single" w:sz="4" w:space="0" w:color="auto"/>
                    <w:left w:val="nil"/>
                    <w:bottom w:val="single" w:sz="8" w:space="0" w:color="000000"/>
                    <w:right w:val="nil"/>
                  </w:tcBorders>
                  <w:vAlign w:val="center"/>
                  <w:hideMark/>
                </w:tcPr>
                <w:p w14:paraId="18E45784" w14:textId="77777777" w:rsidR="00616124" w:rsidRPr="00784CA0" w:rsidRDefault="00616124" w:rsidP="00616124">
                  <w:pPr>
                    <w:spacing w:afterLines="0" w:after="0" w:line="240" w:lineRule="auto"/>
                    <w:jc w:val="center"/>
                    <w:rPr>
                      <w:rFonts w:eastAsia="Times New Roman" w:cs="Arial"/>
                      <w:b/>
                      <w:color w:val="000000"/>
                      <w:kern w:val="0"/>
                      <w:sz w:val="16"/>
                      <w:szCs w:val="16"/>
                      <w:lang w:eastAsia="zh-CN"/>
                      <w14:ligatures w14:val="none"/>
                    </w:rPr>
                  </w:pPr>
                  <w:r w:rsidRPr="00616124">
                    <w:rPr>
                      <w:rFonts w:eastAsia="Times New Roman" w:cs="Arial"/>
                      <w:b/>
                      <w:bCs/>
                      <w:color w:val="000000"/>
                      <w:kern w:val="0"/>
                      <w:sz w:val="16"/>
                      <w:szCs w:val="16"/>
                      <w:lang w:eastAsia="zh-CN"/>
                      <w14:ligatures w14:val="none"/>
                    </w:rPr>
                    <w:t>2023</w:t>
                  </w:r>
                </w:p>
              </w:tc>
              <w:tc>
                <w:tcPr>
                  <w:tcW w:w="612" w:type="dxa"/>
                  <w:tcBorders>
                    <w:top w:val="single" w:sz="4" w:space="0" w:color="auto"/>
                    <w:left w:val="nil"/>
                    <w:bottom w:val="single" w:sz="8" w:space="0" w:color="000000"/>
                    <w:right w:val="nil"/>
                  </w:tcBorders>
                  <w:vAlign w:val="center"/>
                  <w:hideMark/>
                </w:tcPr>
                <w:p w14:paraId="0AFE1BFA" w14:textId="77777777" w:rsidR="00616124" w:rsidRPr="00784CA0" w:rsidRDefault="00616124" w:rsidP="00616124">
                  <w:pPr>
                    <w:spacing w:afterLines="0" w:after="0" w:line="240" w:lineRule="auto"/>
                    <w:jc w:val="center"/>
                    <w:rPr>
                      <w:rFonts w:eastAsia="Times New Roman" w:cs="Arial"/>
                      <w:b/>
                      <w:color w:val="000000"/>
                      <w:kern w:val="0"/>
                      <w:sz w:val="16"/>
                      <w:szCs w:val="16"/>
                      <w:lang w:eastAsia="zh-CN"/>
                      <w14:ligatures w14:val="none"/>
                    </w:rPr>
                  </w:pPr>
                  <w:r w:rsidRPr="00616124">
                    <w:rPr>
                      <w:rFonts w:eastAsia="Times New Roman" w:cs="Arial"/>
                      <w:b/>
                      <w:bCs/>
                      <w:color w:val="000000"/>
                      <w:kern w:val="0"/>
                      <w:sz w:val="16"/>
                      <w:szCs w:val="16"/>
                      <w:lang w:eastAsia="zh-CN"/>
                      <w14:ligatures w14:val="none"/>
                    </w:rPr>
                    <w:t>2024</w:t>
                  </w:r>
                </w:p>
              </w:tc>
              <w:tc>
                <w:tcPr>
                  <w:tcW w:w="572" w:type="dxa"/>
                  <w:tcBorders>
                    <w:top w:val="single" w:sz="4" w:space="0" w:color="auto"/>
                    <w:left w:val="nil"/>
                    <w:bottom w:val="single" w:sz="8" w:space="0" w:color="000000"/>
                    <w:right w:val="nil"/>
                  </w:tcBorders>
                  <w:vAlign w:val="center"/>
                  <w:hideMark/>
                </w:tcPr>
                <w:p w14:paraId="51840210" w14:textId="77777777" w:rsidR="00616124" w:rsidRPr="00784CA0" w:rsidRDefault="00616124" w:rsidP="00616124">
                  <w:pPr>
                    <w:spacing w:afterLines="0" w:after="0" w:line="240" w:lineRule="auto"/>
                    <w:jc w:val="center"/>
                    <w:rPr>
                      <w:rFonts w:eastAsia="Times New Roman" w:cs="Arial"/>
                      <w:b/>
                      <w:color w:val="000000"/>
                      <w:kern w:val="0"/>
                      <w:sz w:val="16"/>
                      <w:szCs w:val="16"/>
                      <w:lang w:eastAsia="zh-CN"/>
                      <w14:ligatures w14:val="none"/>
                    </w:rPr>
                  </w:pPr>
                  <w:r w:rsidRPr="00616124">
                    <w:rPr>
                      <w:rFonts w:eastAsia="Times New Roman" w:cs="Arial"/>
                      <w:b/>
                      <w:bCs/>
                      <w:color w:val="000000"/>
                      <w:kern w:val="0"/>
                      <w:sz w:val="16"/>
                      <w:szCs w:val="16"/>
                      <w:lang w:eastAsia="zh-CN"/>
                      <w14:ligatures w14:val="none"/>
                    </w:rPr>
                    <w:t>2025</w:t>
                  </w:r>
                </w:p>
              </w:tc>
              <w:tc>
                <w:tcPr>
                  <w:tcW w:w="706" w:type="dxa"/>
                  <w:tcBorders>
                    <w:top w:val="single" w:sz="4" w:space="0" w:color="auto"/>
                    <w:left w:val="nil"/>
                    <w:bottom w:val="single" w:sz="8" w:space="0" w:color="000000"/>
                    <w:right w:val="nil"/>
                  </w:tcBorders>
                  <w:vAlign w:val="center"/>
                  <w:hideMark/>
                </w:tcPr>
                <w:p w14:paraId="504FFB26" w14:textId="77777777" w:rsidR="00616124" w:rsidRPr="00784CA0" w:rsidRDefault="00616124" w:rsidP="00616124">
                  <w:pPr>
                    <w:spacing w:afterLines="0" w:after="0" w:line="240" w:lineRule="auto"/>
                    <w:jc w:val="center"/>
                    <w:rPr>
                      <w:rFonts w:eastAsia="Times New Roman" w:cs="Arial"/>
                      <w:b/>
                      <w:color w:val="000000"/>
                      <w:kern w:val="0"/>
                      <w:sz w:val="16"/>
                      <w:szCs w:val="16"/>
                      <w:lang w:eastAsia="zh-CN"/>
                      <w14:ligatures w14:val="none"/>
                    </w:rPr>
                  </w:pPr>
                  <w:r w:rsidRPr="00616124">
                    <w:rPr>
                      <w:rFonts w:eastAsia="Times New Roman" w:cs="Arial"/>
                      <w:b/>
                      <w:bCs/>
                      <w:color w:val="000000"/>
                      <w:kern w:val="0"/>
                      <w:sz w:val="16"/>
                      <w:szCs w:val="16"/>
                      <w:lang w:eastAsia="zh-CN"/>
                      <w14:ligatures w14:val="none"/>
                    </w:rPr>
                    <w:t>2026.II</w:t>
                  </w:r>
                </w:p>
              </w:tc>
            </w:tr>
            <w:tr w:rsidR="00616124" w:rsidRPr="0031039D" w14:paraId="564CA268" w14:textId="77777777" w:rsidTr="008C2E8E">
              <w:trPr>
                <w:trHeight w:val="312"/>
              </w:trPr>
              <w:tc>
                <w:tcPr>
                  <w:tcW w:w="1429" w:type="dxa"/>
                  <w:tcBorders>
                    <w:top w:val="nil"/>
                    <w:left w:val="nil"/>
                    <w:right w:val="nil"/>
                  </w:tcBorders>
                  <w:vAlign w:val="center"/>
                  <w:hideMark/>
                </w:tcPr>
                <w:p w14:paraId="140921D0" w14:textId="77777777" w:rsidR="00616124" w:rsidRPr="00784CA0" w:rsidRDefault="00616124" w:rsidP="00616124">
                  <w:pPr>
                    <w:spacing w:afterLines="0" w:after="0" w:line="240" w:lineRule="auto"/>
                    <w:rPr>
                      <w:rFonts w:eastAsia="Times New Roman" w:cs="Arial"/>
                      <w:b/>
                      <w:color w:val="000000"/>
                      <w:kern w:val="0"/>
                      <w:sz w:val="16"/>
                      <w:szCs w:val="16"/>
                      <w:lang w:eastAsia="zh-CN"/>
                      <w14:ligatures w14:val="none"/>
                    </w:rPr>
                  </w:pPr>
                  <w:r w:rsidRPr="008C2E8E">
                    <w:rPr>
                      <w:rFonts w:eastAsia="Times New Roman" w:cs="Arial"/>
                      <w:b/>
                      <w:bCs/>
                      <w:color w:val="000000"/>
                      <w:kern w:val="0"/>
                      <w:sz w:val="16"/>
                      <w:szCs w:val="16"/>
                      <w:lang w:eastAsia="zh-CN"/>
                      <w14:ligatures w14:val="none"/>
                    </w:rPr>
                    <w:t>ДНБ</w:t>
                  </w:r>
                </w:p>
              </w:tc>
              <w:tc>
                <w:tcPr>
                  <w:tcW w:w="713" w:type="dxa"/>
                  <w:tcBorders>
                    <w:top w:val="nil"/>
                    <w:left w:val="nil"/>
                    <w:right w:val="nil"/>
                  </w:tcBorders>
                  <w:vAlign w:val="center"/>
                  <w:hideMark/>
                </w:tcPr>
                <w:p w14:paraId="3D62D7EB" w14:textId="77777777" w:rsidR="00616124" w:rsidRPr="00784CA0" w:rsidRDefault="00616124" w:rsidP="00616124">
                  <w:pPr>
                    <w:spacing w:afterLines="0" w:after="0" w:line="240" w:lineRule="auto"/>
                    <w:jc w:val="right"/>
                    <w:rPr>
                      <w:rFonts w:eastAsia="Times New Roman" w:cs="Arial"/>
                      <w:b/>
                      <w:color w:val="000000"/>
                      <w:kern w:val="0"/>
                      <w:sz w:val="16"/>
                      <w:szCs w:val="16"/>
                      <w:lang w:eastAsia="zh-CN"/>
                      <w14:ligatures w14:val="none"/>
                    </w:rPr>
                  </w:pPr>
                  <w:r w:rsidRPr="008C2E8E">
                    <w:rPr>
                      <w:rFonts w:eastAsia="Times New Roman" w:cs="Arial"/>
                      <w:b/>
                      <w:bCs/>
                      <w:color w:val="000000"/>
                      <w:kern w:val="0"/>
                      <w:sz w:val="16"/>
                      <w:szCs w:val="16"/>
                      <w:lang w:eastAsia="zh-CN"/>
                      <w14:ligatures w14:val="none"/>
                    </w:rPr>
                    <w:t>5</w:t>
                  </w:r>
                </w:p>
              </w:tc>
              <w:tc>
                <w:tcPr>
                  <w:tcW w:w="540" w:type="dxa"/>
                  <w:tcBorders>
                    <w:top w:val="nil"/>
                    <w:left w:val="nil"/>
                    <w:right w:val="nil"/>
                  </w:tcBorders>
                  <w:vAlign w:val="center"/>
                  <w:hideMark/>
                </w:tcPr>
                <w:p w14:paraId="1402246C" w14:textId="77777777" w:rsidR="00616124" w:rsidRPr="00784CA0" w:rsidRDefault="00616124" w:rsidP="00616124">
                  <w:pPr>
                    <w:spacing w:afterLines="0" w:after="0" w:line="240" w:lineRule="auto"/>
                    <w:jc w:val="right"/>
                    <w:rPr>
                      <w:rFonts w:eastAsia="Times New Roman" w:cs="Arial"/>
                      <w:b/>
                      <w:color w:val="000000"/>
                      <w:kern w:val="0"/>
                      <w:sz w:val="16"/>
                      <w:szCs w:val="16"/>
                      <w:lang w:eastAsia="zh-CN"/>
                      <w14:ligatures w14:val="none"/>
                    </w:rPr>
                  </w:pPr>
                  <w:r w:rsidRPr="008C2E8E">
                    <w:rPr>
                      <w:rFonts w:eastAsia="Times New Roman" w:cs="Arial"/>
                      <w:b/>
                      <w:bCs/>
                      <w:color w:val="000000"/>
                      <w:kern w:val="0"/>
                      <w:sz w:val="16"/>
                      <w:szCs w:val="16"/>
                      <w:lang w:eastAsia="zh-CN"/>
                      <w14:ligatures w14:val="none"/>
                    </w:rPr>
                    <w:t>7.4</w:t>
                  </w:r>
                </w:p>
              </w:tc>
              <w:tc>
                <w:tcPr>
                  <w:tcW w:w="612" w:type="dxa"/>
                  <w:tcBorders>
                    <w:top w:val="nil"/>
                    <w:left w:val="nil"/>
                    <w:right w:val="nil"/>
                  </w:tcBorders>
                  <w:vAlign w:val="center"/>
                  <w:hideMark/>
                </w:tcPr>
                <w:p w14:paraId="313BF2BD" w14:textId="77777777" w:rsidR="00616124" w:rsidRPr="00784CA0" w:rsidRDefault="00616124" w:rsidP="00616124">
                  <w:pPr>
                    <w:spacing w:afterLines="0" w:after="0" w:line="240" w:lineRule="auto"/>
                    <w:jc w:val="right"/>
                    <w:rPr>
                      <w:rFonts w:eastAsia="Times New Roman" w:cs="Arial"/>
                      <w:b/>
                      <w:color w:val="000000"/>
                      <w:kern w:val="0"/>
                      <w:sz w:val="16"/>
                      <w:szCs w:val="16"/>
                      <w:lang w:eastAsia="zh-CN"/>
                      <w14:ligatures w14:val="none"/>
                    </w:rPr>
                  </w:pPr>
                  <w:r w:rsidRPr="008C2E8E">
                    <w:rPr>
                      <w:rFonts w:eastAsia="Times New Roman" w:cs="Arial"/>
                      <w:b/>
                      <w:bCs/>
                      <w:color w:val="000000"/>
                      <w:kern w:val="0"/>
                      <w:sz w:val="16"/>
                      <w:szCs w:val="16"/>
                      <w:lang w:eastAsia="zh-CN"/>
                      <w14:ligatures w14:val="none"/>
                    </w:rPr>
                    <w:t>5.1</w:t>
                  </w:r>
                </w:p>
              </w:tc>
              <w:tc>
                <w:tcPr>
                  <w:tcW w:w="572" w:type="dxa"/>
                  <w:tcBorders>
                    <w:top w:val="nil"/>
                    <w:left w:val="nil"/>
                    <w:right w:val="nil"/>
                  </w:tcBorders>
                  <w:vAlign w:val="center"/>
                  <w:hideMark/>
                </w:tcPr>
                <w:p w14:paraId="63DC1CA4" w14:textId="77777777" w:rsidR="00616124" w:rsidRPr="00784CA0" w:rsidRDefault="00616124" w:rsidP="00616124">
                  <w:pPr>
                    <w:spacing w:afterLines="0" w:after="0" w:line="240" w:lineRule="auto"/>
                    <w:jc w:val="right"/>
                    <w:rPr>
                      <w:rFonts w:eastAsia="Times New Roman" w:cs="Arial"/>
                      <w:b/>
                      <w:color w:val="000000"/>
                      <w:kern w:val="0"/>
                      <w:sz w:val="16"/>
                      <w:szCs w:val="16"/>
                      <w:lang w:eastAsia="zh-CN"/>
                      <w14:ligatures w14:val="none"/>
                    </w:rPr>
                  </w:pPr>
                  <w:r w:rsidRPr="008C2E8E">
                    <w:rPr>
                      <w:rFonts w:eastAsia="Times New Roman" w:cs="Arial"/>
                      <w:b/>
                      <w:bCs/>
                      <w:color w:val="000000"/>
                      <w:kern w:val="0"/>
                      <w:sz w:val="16"/>
                      <w:szCs w:val="16"/>
                      <w:lang w:eastAsia="zh-CN"/>
                      <w14:ligatures w14:val="none"/>
                    </w:rPr>
                    <w:t>6.8</w:t>
                  </w:r>
                </w:p>
              </w:tc>
              <w:tc>
                <w:tcPr>
                  <w:tcW w:w="706" w:type="dxa"/>
                  <w:tcBorders>
                    <w:top w:val="nil"/>
                    <w:left w:val="nil"/>
                    <w:right w:val="nil"/>
                  </w:tcBorders>
                  <w:vAlign w:val="center"/>
                  <w:hideMark/>
                </w:tcPr>
                <w:p w14:paraId="0E43B392" w14:textId="77777777" w:rsidR="00616124" w:rsidRPr="00784CA0" w:rsidRDefault="00616124" w:rsidP="00616124">
                  <w:pPr>
                    <w:spacing w:afterLines="0" w:after="0" w:line="240" w:lineRule="auto"/>
                    <w:jc w:val="right"/>
                    <w:rPr>
                      <w:rFonts w:eastAsia="Times New Roman" w:cs="Arial"/>
                      <w:b/>
                      <w:color w:val="000000"/>
                      <w:kern w:val="0"/>
                      <w:sz w:val="16"/>
                      <w:szCs w:val="16"/>
                      <w:lang w:eastAsia="zh-CN"/>
                      <w14:ligatures w14:val="none"/>
                    </w:rPr>
                  </w:pPr>
                  <w:r w:rsidRPr="008C2E8E">
                    <w:rPr>
                      <w:rFonts w:eastAsia="Times New Roman" w:cs="Arial"/>
                      <w:b/>
                      <w:bCs/>
                      <w:color w:val="000000"/>
                      <w:kern w:val="0"/>
                      <w:sz w:val="16"/>
                      <w:szCs w:val="16"/>
                      <w:lang w:eastAsia="zh-CN"/>
                      <w14:ligatures w14:val="none"/>
                    </w:rPr>
                    <w:t>7.7</w:t>
                  </w:r>
                </w:p>
              </w:tc>
            </w:tr>
            <w:tr w:rsidR="00616124" w:rsidRPr="0031039D" w14:paraId="601F3A0C" w14:textId="77777777" w:rsidTr="008C2E8E">
              <w:trPr>
                <w:trHeight w:val="300"/>
              </w:trPr>
              <w:tc>
                <w:tcPr>
                  <w:tcW w:w="1429" w:type="dxa"/>
                  <w:tcBorders>
                    <w:top w:val="nil"/>
                    <w:left w:val="nil"/>
                    <w:bottom w:val="nil"/>
                    <w:right w:val="nil"/>
                  </w:tcBorders>
                  <w:vAlign w:val="center"/>
                  <w:hideMark/>
                </w:tcPr>
                <w:p w14:paraId="54FF5CBA" w14:textId="77777777" w:rsidR="00616124" w:rsidRPr="00784CA0" w:rsidRDefault="00616124" w:rsidP="00616124">
                  <w:pPr>
                    <w:spacing w:afterLines="0" w:after="0" w:line="240" w:lineRule="auto"/>
                    <w:ind w:firstLineChars="100" w:firstLine="160"/>
                    <w:jc w:val="left"/>
                    <w:rPr>
                      <w:rFonts w:eastAsia="Times New Roman" w:cs="Arial"/>
                      <w:color w:val="000000"/>
                      <w:kern w:val="0"/>
                      <w:sz w:val="16"/>
                      <w:szCs w:val="16"/>
                      <w:lang w:eastAsia="zh-CN"/>
                      <w14:ligatures w14:val="none"/>
                    </w:rPr>
                  </w:pPr>
                  <w:r w:rsidRPr="00616124">
                    <w:rPr>
                      <w:rFonts w:eastAsia="Times New Roman" w:cs="Arial"/>
                      <w:color w:val="000000"/>
                      <w:kern w:val="0"/>
                      <w:sz w:val="16"/>
                      <w:szCs w:val="16"/>
                      <w:lang w:eastAsia="zh-CN"/>
                      <w14:ligatures w14:val="none"/>
                    </w:rPr>
                    <w:t>ХАА</w:t>
                  </w:r>
                </w:p>
              </w:tc>
              <w:tc>
                <w:tcPr>
                  <w:tcW w:w="713" w:type="dxa"/>
                  <w:tcBorders>
                    <w:top w:val="nil"/>
                    <w:left w:val="nil"/>
                    <w:bottom w:val="nil"/>
                    <w:right w:val="nil"/>
                  </w:tcBorders>
                  <w:vAlign w:val="center"/>
                  <w:hideMark/>
                </w:tcPr>
                <w:p w14:paraId="63952974"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Arial" w:cs="Arial"/>
                      <w:color w:val="000000"/>
                      <w:kern w:val="0"/>
                      <w:sz w:val="16"/>
                      <w:szCs w:val="16"/>
                      <w:lang w:eastAsia="zh-CN"/>
                      <w14:ligatures w14:val="none"/>
                    </w:rPr>
                    <w:t>12</w:t>
                  </w:r>
                </w:p>
              </w:tc>
              <w:tc>
                <w:tcPr>
                  <w:tcW w:w="540" w:type="dxa"/>
                  <w:tcBorders>
                    <w:top w:val="nil"/>
                    <w:left w:val="nil"/>
                    <w:bottom w:val="nil"/>
                    <w:right w:val="nil"/>
                  </w:tcBorders>
                  <w:vAlign w:val="center"/>
                  <w:hideMark/>
                </w:tcPr>
                <w:p w14:paraId="6C6437D5"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Arial" w:cs="Arial"/>
                      <w:color w:val="000000"/>
                      <w:kern w:val="0"/>
                      <w:sz w:val="16"/>
                      <w:szCs w:val="16"/>
                      <w:lang w:eastAsia="zh-CN"/>
                      <w14:ligatures w14:val="none"/>
                    </w:rPr>
                    <w:t>-8.9</w:t>
                  </w:r>
                </w:p>
              </w:tc>
              <w:tc>
                <w:tcPr>
                  <w:tcW w:w="612" w:type="dxa"/>
                  <w:tcBorders>
                    <w:top w:val="nil"/>
                    <w:left w:val="nil"/>
                    <w:bottom w:val="nil"/>
                    <w:right w:val="nil"/>
                  </w:tcBorders>
                  <w:vAlign w:val="center"/>
                  <w:hideMark/>
                </w:tcPr>
                <w:p w14:paraId="5BBEC769"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Arial" w:cs="Arial"/>
                      <w:color w:val="000000"/>
                      <w:kern w:val="0"/>
                      <w:sz w:val="16"/>
                      <w:szCs w:val="16"/>
                      <w:lang w:eastAsia="zh-CN"/>
                      <w14:ligatures w14:val="none"/>
                    </w:rPr>
                    <w:t>-28.7</w:t>
                  </w:r>
                </w:p>
              </w:tc>
              <w:tc>
                <w:tcPr>
                  <w:tcW w:w="572" w:type="dxa"/>
                  <w:tcBorders>
                    <w:top w:val="nil"/>
                    <w:left w:val="nil"/>
                    <w:bottom w:val="nil"/>
                    <w:right w:val="nil"/>
                  </w:tcBorders>
                  <w:vAlign w:val="center"/>
                  <w:hideMark/>
                </w:tcPr>
                <w:p w14:paraId="40F4E9AD"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Times New Roman" w:cs="Arial"/>
                      <w:color w:val="000000"/>
                      <w:kern w:val="0"/>
                      <w:sz w:val="16"/>
                      <w:szCs w:val="16"/>
                      <w:lang w:eastAsia="zh-CN"/>
                      <w14:ligatures w14:val="none"/>
                    </w:rPr>
                    <w:t>33.2</w:t>
                  </w:r>
                </w:p>
              </w:tc>
              <w:tc>
                <w:tcPr>
                  <w:tcW w:w="706" w:type="dxa"/>
                  <w:tcBorders>
                    <w:top w:val="nil"/>
                    <w:left w:val="nil"/>
                    <w:bottom w:val="nil"/>
                    <w:right w:val="nil"/>
                  </w:tcBorders>
                  <w:vAlign w:val="center"/>
                  <w:hideMark/>
                </w:tcPr>
                <w:p w14:paraId="0EB56638"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Times New Roman" w:cs="Arial"/>
                      <w:color w:val="000000"/>
                      <w:kern w:val="0"/>
                      <w:sz w:val="16"/>
                      <w:szCs w:val="16"/>
                      <w:lang w:eastAsia="zh-CN"/>
                      <w14:ligatures w14:val="none"/>
                    </w:rPr>
                    <w:t>11.3</w:t>
                  </w:r>
                </w:p>
              </w:tc>
            </w:tr>
            <w:tr w:rsidR="00616124" w:rsidRPr="0031039D" w14:paraId="1550D705" w14:textId="77777777" w:rsidTr="008C2E8E">
              <w:trPr>
                <w:trHeight w:val="300"/>
              </w:trPr>
              <w:tc>
                <w:tcPr>
                  <w:tcW w:w="1429" w:type="dxa"/>
                  <w:tcBorders>
                    <w:top w:val="nil"/>
                    <w:left w:val="nil"/>
                    <w:bottom w:val="nil"/>
                    <w:right w:val="nil"/>
                  </w:tcBorders>
                  <w:vAlign w:val="center"/>
                  <w:hideMark/>
                </w:tcPr>
                <w:p w14:paraId="2902D80B" w14:textId="77777777" w:rsidR="00616124" w:rsidRPr="00784CA0" w:rsidRDefault="00616124" w:rsidP="00616124">
                  <w:pPr>
                    <w:spacing w:afterLines="0" w:after="0" w:line="240" w:lineRule="auto"/>
                    <w:ind w:firstLineChars="100" w:firstLine="160"/>
                    <w:jc w:val="left"/>
                    <w:rPr>
                      <w:rFonts w:eastAsia="Times New Roman" w:cs="Arial"/>
                      <w:color w:val="000000"/>
                      <w:kern w:val="0"/>
                      <w:sz w:val="16"/>
                      <w:szCs w:val="16"/>
                      <w:lang w:eastAsia="zh-CN"/>
                      <w14:ligatures w14:val="none"/>
                    </w:rPr>
                  </w:pPr>
                  <w:r w:rsidRPr="00616124">
                    <w:rPr>
                      <w:rFonts w:eastAsia="Times New Roman" w:cs="Arial"/>
                      <w:color w:val="000000"/>
                      <w:kern w:val="0"/>
                      <w:sz w:val="16"/>
                      <w:szCs w:val="16"/>
                      <w:lang w:eastAsia="zh-CN"/>
                      <w14:ligatures w14:val="none"/>
                    </w:rPr>
                    <w:t>Уул уурхай</w:t>
                  </w:r>
                </w:p>
              </w:tc>
              <w:tc>
                <w:tcPr>
                  <w:tcW w:w="713" w:type="dxa"/>
                  <w:tcBorders>
                    <w:top w:val="nil"/>
                    <w:left w:val="nil"/>
                    <w:bottom w:val="nil"/>
                    <w:right w:val="nil"/>
                  </w:tcBorders>
                  <w:vAlign w:val="center"/>
                  <w:hideMark/>
                </w:tcPr>
                <w:p w14:paraId="6D26F73C"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Arial" w:cs="Arial"/>
                      <w:color w:val="000000"/>
                      <w:kern w:val="0"/>
                      <w:sz w:val="16"/>
                      <w:szCs w:val="16"/>
                      <w:lang w:eastAsia="zh-CN"/>
                      <w14:ligatures w14:val="none"/>
                    </w:rPr>
                    <w:t>-15.3</w:t>
                  </w:r>
                </w:p>
              </w:tc>
              <w:tc>
                <w:tcPr>
                  <w:tcW w:w="540" w:type="dxa"/>
                  <w:tcBorders>
                    <w:top w:val="nil"/>
                    <w:left w:val="nil"/>
                    <w:bottom w:val="nil"/>
                    <w:right w:val="nil"/>
                  </w:tcBorders>
                  <w:vAlign w:val="center"/>
                  <w:hideMark/>
                </w:tcPr>
                <w:p w14:paraId="0AE79F74"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Arial" w:cs="Arial"/>
                      <w:color w:val="000000"/>
                      <w:kern w:val="0"/>
                      <w:sz w:val="16"/>
                      <w:szCs w:val="16"/>
                      <w:lang w:eastAsia="zh-CN"/>
                      <w14:ligatures w14:val="none"/>
                    </w:rPr>
                    <w:t>23.4</w:t>
                  </w:r>
                </w:p>
              </w:tc>
              <w:tc>
                <w:tcPr>
                  <w:tcW w:w="612" w:type="dxa"/>
                  <w:tcBorders>
                    <w:top w:val="nil"/>
                    <w:left w:val="nil"/>
                    <w:bottom w:val="nil"/>
                    <w:right w:val="nil"/>
                  </w:tcBorders>
                  <w:vAlign w:val="center"/>
                  <w:hideMark/>
                </w:tcPr>
                <w:p w14:paraId="72DCD2EB"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Arial" w:cs="Arial"/>
                      <w:color w:val="000000"/>
                      <w:kern w:val="0"/>
                      <w:sz w:val="16"/>
                      <w:szCs w:val="16"/>
                      <w:lang w:eastAsia="zh-CN"/>
                      <w14:ligatures w14:val="none"/>
                    </w:rPr>
                    <w:t>10.8</w:t>
                  </w:r>
                </w:p>
              </w:tc>
              <w:tc>
                <w:tcPr>
                  <w:tcW w:w="572" w:type="dxa"/>
                  <w:tcBorders>
                    <w:top w:val="nil"/>
                    <w:left w:val="nil"/>
                    <w:bottom w:val="nil"/>
                    <w:right w:val="nil"/>
                  </w:tcBorders>
                  <w:vAlign w:val="center"/>
                  <w:hideMark/>
                </w:tcPr>
                <w:p w14:paraId="1C9480E7"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Times New Roman" w:cs="Arial"/>
                      <w:color w:val="000000"/>
                      <w:kern w:val="0"/>
                      <w:sz w:val="16"/>
                      <w:szCs w:val="16"/>
                      <w:lang w:eastAsia="zh-CN"/>
                      <w14:ligatures w14:val="none"/>
                    </w:rPr>
                    <w:t>10.6</w:t>
                  </w:r>
                </w:p>
              </w:tc>
              <w:tc>
                <w:tcPr>
                  <w:tcW w:w="706" w:type="dxa"/>
                  <w:tcBorders>
                    <w:top w:val="nil"/>
                    <w:left w:val="nil"/>
                    <w:bottom w:val="nil"/>
                    <w:right w:val="nil"/>
                  </w:tcBorders>
                  <w:vAlign w:val="center"/>
                  <w:hideMark/>
                </w:tcPr>
                <w:p w14:paraId="0821D764"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Times New Roman" w:cs="Arial"/>
                      <w:color w:val="000000"/>
                      <w:kern w:val="0"/>
                      <w:sz w:val="16"/>
                      <w:szCs w:val="16"/>
                      <w:lang w:eastAsia="zh-CN"/>
                      <w14:ligatures w14:val="none"/>
                    </w:rPr>
                    <w:t>31.5</w:t>
                  </w:r>
                </w:p>
              </w:tc>
            </w:tr>
            <w:tr w:rsidR="00616124" w:rsidRPr="0031039D" w14:paraId="38217CC5" w14:textId="77777777" w:rsidTr="008C2E8E">
              <w:trPr>
                <w:trHeight w:val="300"/>
              </w:trPr>
              <w:tc>
                <w:tcPr>
                  <w:tcW w:w="1429" w:type="dxa"/>
                  <w:tcBorders>
                    <w:top w:val="nil"/>
                    <w:left w:val="nil"/>
                    <w:bottom w:val="nil"/>
                    <w:right w:val="nil"/>
                  </w:tcBorders>
                  <w:vAlign w:val="center"/>
                  <w:hideMark/>
                </w:tcPr>
                <w:p w14:paraId="59559D6D" w14:textId="77777777" w:rsidR="00616124" w:rsidRPr="00784CA0" w:rsidRDefault="00616124" w:rsidP="00616124">
                  <w:pPr>
                    <w:spacing w:afterLines="0" w:after="0" w:line="240" w:lineRule="auto"/>
                    <w:ind w:firstLineChars="100" w:firstLine="160"/>
                    <w:jc w:val="left"/>
                    <w:rPr>
                      <w:rFonts w:eastAsia="Times New Roman" w:cs="Arial"/>
                      <w:color w:val="000000"/>
                      <w:kern w:val="0"/>
                      <w:sz w:val="16"/>
                      <w:szCs w:val="16"/>
                      <w:lang w:eastAsia="zh-CN"/>
                      <w14:ligatures w14:val="none"/>
                    </w:rPr>
                  </w:pPr>
                  <w:r w:rsidRPr="00616124">
                    <w:rPr>
                      <w:rFonts w:eastAsia="Times New Roman" w:cs="Arial"/>
                      <w:color w:val="000000"/>
                      <w:kern w:val="0"/>
                      <w:sz w:val="16"/>
                      <w:szCs w:val="16"/>
                      <w:lang w:eastAsia="zh-CN"/>
                      <w14:ligatures w14:val="none"/>
                    </w:rPr>
                    <w:t>Боловсруулах</w:t>
                  </w:r>
                </w:p>
              </w:tc>
              <w:tc>
                <w:tcPr>
                  <w:tcW w:w="713" w:type="dxa"/>
                  <w:tcBorders>
                    <w:top w:val="nil"/>
                    <w:left w:val="nil"/>
                    <w:bottom w:val="nil"/>
                    <w:right w:val="nil"/>
                  </w:tcBorders>
                  <w:vAlign w:val="center"/>
                  <w:hideMark/>
                </w:tcPr>
                <w:p w14:paraId="44854ACB"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Arial" w:cs="Arial"/>
                      <w:color w:val="000000"/>
                      <w:kern w:val="0"/>
                      <w:sz w:val="16"/>
                      <w:szCs w:val="16"/>
                      <w:lang w:eastAsia="zh-CN"/>
                      <w14:ligatures w14:val="none"/>
                    </w:rPr>
                    <w:t>6.1</w:t>
                  </w:r>
                </w:p>
              </w:tc>
              <w:tc>
                <w:tcPr>
                  <w:tcW w:w="540" w:type="dxa"/>
                  <w:tcBorders>
                    <w:top w:val="nil"/>
                    <w:left w:val="nil"/>
                    <w:bottom w:val="nil"/>
                    <w:right w:val="nil"/>
                  </w:tcBorders>
                  <w:vAlign w:val="center"/>
                  <w:hideMark/>
                </w:tcPr>
                <w:p w14:paraId="489332AD"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Arial" w:cs="Arial"/>
                      <w:color w:val="000000"/>
                      <w:kern w:val="0"/>
                      <w:sz w:val="16"/>
                      <w:szCs w:val="16"/>
                      <w:lang w:eastAsia="zh-CN"/>
                      <w14:ligatures w14:val="none"/>
                    </w:rPr>
                    <w:t>5.1</w:t>
                  </w:r>
                </w:p>
              </w:tc>
              <w:tc>
                <w:tcPr>
                  <w:tcW w:w="612" w:type="dxa"/>
                  <w:tcBorders>
                    <w:top w:val="nil"/>
                    <w:left w:val="nil"/>
                    <w:bottom w:val="nil"/>
                    <w:right w:val="nil"/>
                  </w:tcBorders>
                  <w:vAlign w:val="center"/>
                  <w:hideMark/>
                </w:tcPr>
                <w:p w14:paraId="520BE406"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Arial" w:cs="Arial"/>
                      <w:color w:val="000000"/>
                      <w:kern w:val="0"/>
                      <w:sz w:val="16"/>
                      <w:szCs w:val="16"/>
                      <w:lang w:eastAsia="zh-CN"/>
                      <w14:ligatures w14:val="none"/>
                    </w:rPr>
                    <w:t>-4.2</w:t>
                  </w:r>
                </w:p>
              </w:tc>
              <w:tc>
                <w:tcPr>
                  <w:tcW w:w="572" w:type="dxa"/>
                  <w:tcBorders>
                    <w:top w:val="nil"/>
                    <w:left w:val="nil"/>
                    <w:bottom w:val="nil"/>
                    <w:right w:val="nil"/>
                  </w:tcBorders>
                  <w:vAlign w:val="center"/>
                  <w:hideMark/>
                </w:tcPr>
                <w:p w14:paraId="2D379778"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Times New Roman" w:cs="Arial"/>
                      <w:color w:val="000000"/>
                      <w:kern w:val="0"/>
                      <w:sz w:val="16"/>
                      <w:szCs w:val="16"/>
                      <w:lang w:eastAsia="zh-CN"/>
                      <w14:ligatures w14:val="none"/>
                    </w:rPr>
                    <w:t>10</w:t>
                  </w:r>
                </w:p>
              </w:tc>
              <w:tc>
                <w:tcPr>
                  <w:tcW w:w="706" w:type="dxa"/>
                  <w:tcBorders>
                    <w:top w:val="nil"/>
                    <w:left w:val="nil"/>
                    <w:bottom w:val="nil"/>
                    <w:right w:val="nil"/>
                  </w:tcBorders>
                  <w:vAlign w:val="center"/>
                  <w:hideMark/>
                </w:tcPr>
                <w:p w14:paraId="48BA8F8A"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Times New Roman" w:cs="Arial"/>
                      <w:color w:val="000000"/>
                      <w:kern w:val="0"/>
                      <w:sz w:val="16"/>
                      <w:szCs w:val="16"/>
                      <w:lang w:eastAsia="zh-CN"/>
                      <w14:ligatures w14:val="none"/>
                    </w:rPr>
                    <w:t>1.2</w:t>
                  </w:r>
                </w:p>
              </w:tc>
            </w:tr>
            <w:tr w:rsidR="00616124" w:rsidRPr="0031039D" w14:paraId="373B2881" w14:textId="77777777" w:rsidTr="008C2E8E">
              <w:trPr>
                <w:trHeight w:val="300"/>
              </w:trPr>
              <w:tc>
                <w:tcPr>
                  <w:tcW w:w="1429" w:type="dxa"/>
                  <w:tcBorders>
                    <w:top w:val="nil"/>
                    <w:left w:val="nil"/>
                    <w:bottom w:val="nil"/>
                    <w:right w:val="nil"/>
                  </w:tcBorders>
                  <w:vAlign w:val="center"/>
                  <w:hideMark/>
                </w:tcPr>
                <w:p w14:paraId="77BC7106" w14:textId="77777777" w:rsidR="00616124" w:rsidRPr="00784CA0" w:rsidRDefault="00616124" w:rsidP="00616124">
                  <w:pPr>
                    <w:spacing w:afterLines="0" w:after="0" w:line="240" w:lineRule="auto"/>
                    <w:ind w:firstLineChars="100" w:firstLine="160"/>
                    <w:jc w:val="left"/>
                    <w:rPr>
                      <w:rFonts w:eastAsia="Times New Roman" w:cs="Arial"/>
                      <w:color w:val="000000"/>
                      <w:kern w:val="0"/>
                      <w:sz w:val="16"/>
                      <w:szCs w:val="16"/>
                      <w:lang w:eastAsia="zh-CN"/>
                      <w14:ligatures w14:val="none"/>
                    </w:rPr>
                  </w:pPr>
                  <w:r w:rsidRPr="00616124">
                    <w:rPr>
                      <w:rFonts w:eastAsia="Times New Roman" w:cs="Arial"/>
                      <w:color w:val="000000"/>
                      <w:kern w:val="0"/>
                      <w:sz w:val="16"/>
                      <w:szCs w:val="16"/>
                      <w:lang w:eastAsia="zh-CN"/>
                      <w14:ligatures w14:val="none"/>
                    </w:rPr>
                    <w:t>Цахилгаан, ус</w:t>
                  </w:r>
                </w:p>
              </w:tc>
              <w:tc>
                <w:tcPr>
                  <w:tcW w:w="713" w:type="dxa"/>
                  <w:tcBorders>
                    <w:top w:val="nil"/>
                    <w:left w:val="nil"/>
                    <w:bottom w:val="nil"/>
                    <w:right w:val="nil"/>
                  </w:tcBorders>
                  <w:vAlign w:val="center"/>
                  <w:hideMark/>
                </w:tcPr>
                <w:p w14:paraId="1348DCC2"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Arial" w:cs="Arial"/>
                      <w:color w:val="000000"/>
                      <w:kern w:val="0"/>
                      <w:sz w:val="16"/>
                      <w:szCs w:val="16"/>
                      <w:lang w:eastAsia="zh-CN"/>
                      <w14:ligatures w14:val="none"/>
                    </w:rPr>
                    <w:t>3.3</w:t>
                  </w:r>
                </w:p>
              </w:tc>
              <w:tc>
                <w:tcPr>
                  <w:tcW w:w="540" w:type="dxa"/>
                  <w:tcBorders>
                    <w:top w:val="nil"/>
                    <w:left w:val="nil"/>
                    <w:bottom w:val="nil"/>
                    <w:right w:val="nil"/>
                  </w:tcBorders>
                  <w:vAlign w:val="center"/>
                  <w:hideMark/>
                </w:tcPr>
                <w:p w14:paraId="6D49AF67"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Arial" w:cs="Arial"/>
                      <w:color w:val="000000"/>
                      <w:kern w:val="0"/>
                      <w:sz w:val="16"/>
                      <w:szCs w:val="16"/>
                      <w:lang w:eastAsia="zh-CN"/>
                      <w14:ligatures w14:val="none"/>
                    </w:rPr>
                    <w:t>5</w:t>
                  </w:r>
                </w:p>
              </w:tc>
              <w:tc>
                <w:tcPr>
                  <w:tcW w:w="612" w:type="dxa"/>
                  <w:tcBorders>
                    <w:top w:val="nil"/>
                    <w:left w:val="nil"/>
                    <w:bottom w:val="nil"/>
                    <w:right w:val="nil"/>
                  </w:tcBorders>
                  <w:vAlign w:val="center"/>
                  <w:hideMark/>
                </w:tcPr>
                <w:p w14:paraId="3EDAF3B6"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Arial" w:cs="Arial"/>
                      <w:color w:val="000000"/>
                      <w:kern w:val="0"/>
                      <w:sz w:val="16"/>
                      <w:szCs w:val="16"/>
                      <w:lang w:eastAsia="zh-CN"/>
                      <w14:ligatures w14:val="none"/>
                    </w:rPr>
                    <w:t>4.8</w:t>
                  </w:r>
                </w:p>
              </w:tc>
              <w:tc>
                <w:tcPr>
                  <w:tcW w:w="572" w:type="dxa"/>
                  <w:tcBorders>
                    <w:top w:val="nil"/>
                    <w:left w:val="nil"/>
                    <w:bottom w:val="nil"/>
                    <w:right w:val="nil"/>
                  </w:tcBorders>
                  <w:vAlign w:val="center"/>
                  <w:hideMark/>
                </w:tcPr>
                <w:p w14:paraId="70C4592B"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Times New Roman" w:cs="Arial"/>
                      <w:color w:val="000000"/>
                      <w:kern w:val="0"/>
                      <w:sz w:val="16"/>
                      <w:szCs w:val="16"/>
                      <w:lang w:eastAsia="zh-CN"/>
                      <w14:ligatures w14:val="none"/>
                    </w:rPr>
                    <w:t>9.4</w:t>
                  </w:r>
                </w:p>
              </w:tc>
              <w:tc>
                <w:tcPr>
                  <w:tcW w:w="706" w:type="dxa"/>
                  <w:tcBorders>
                    <w:top w:val="nil"/>
                    <w:left w:val="nil"/>
                    <w:bottom w:val="nil"/>
                    <w:right w:val="nil"/>
                  </w:tcBorders>
                  <w:vAlign w:val="center"/>
                  <w:hideMark/>
                </w:tcPr>
                <w:p w14:paraId="379DAE79"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Times New Roman" w:cs="Arial"/>
                      <w:color w:val="000000"/>
                      <w:kern w:val="0"/>
                      <w:sz w:val="16"/>
                      <w:szCs w:val="16"/>
                      <w:lang w:eastAsia="zh-CN"/>
                      <w14:ligatures w14:val="none"/>
                    </w:rPr>
                    <w:t>7.4</w:t>
                  </w:r>
                </w:p>
              </w:tc>
            </w:tr>
            <w:tr w:rsidR="00616124" w:rsidRPr="0031039D" w14:paraId="63324C31" w14:textId="77777777" w:rsidTr="008C2E8E">
              <w:trPr>
                <w:trHeight w:val="300"/>
              </w:trPr>
              <w:tc>
                <w:tcPr>
                  <w:tcW w:w="1429" w:type="dxa"/>
                  <w:tcBorders>
                    <w:top w:val="nil"/>
                    <w:left w:val="nil"/>
                    <w:bottom w:val="nil"/>
                    <w:right w:val="nil"/>
                  </w:tcBorders>
                  <w:vAlign w:val="center"/>
                  <w:hideMark/>
                </w:tcPr>
                <w:p w14:paraId="738DC0D1" w14:textId="77777777" w:rsidR="00616124" w:rsidRPr="00784CA0" w:rsidRDefault="00616124" w:rsidP="00616124">
                  <w:pPr>
                    <w:spacing w:afterLines="0" w:after="0" w:line="240" w:lineRule="auto"/>
                    <w:ind w:firstLineChars="100" w:firstLine="160"/>
                    <w:jc w:val="left"/>
                    <w:rPr>
                      <w:rFonts w:eastAsia="Times New Roman" w:cs="Arial"/>
                      <w:color w:val="000000"/>
                      <w:kern w:val="0"/>
                      <w:sz w:val="16"/>
                      <w:szCs w:val="16"/>
                      <w:lang w:eastAsia="zh-CN"/>
                      <w14:ligatures w14:val="none"/>
                    </w:rPr>
                  </w:pPr>
                  <w:r w:rsidRPr="00616124">
                    <w:rPr>
                      <w:rFonts w:eastAsia="Times New Roman" w:cs="Arial"/>
                      <w:color w:val="000000"/>
                      <w:kern w:val="0"/>
                      <w:sz w:val="16"/>
                      <w:szCs w:val="16"/>
                      <w:lang w:eastAsia="zh-CN"/>
                      <w14:ligatures w14:val="none"/>
                    </w:rPr>
                    <w:t>Барилга</w:t>
                  </w:r>
                </w:p>
              </w:tc>
              <w:tc>
                <w:tcPr>
                  <w:tcW w:w="713" w:type="dxa"/>
                  <w:tcBorders>
                    <w:top w:val="nil"/>
                    <w:left w:val="nil"/>
                    <w:bottom w:val="nil"/>
                    <w:right w:val="nil"/>
                  </w:tcBorders>
                  <w:vAlign w:val="center"/>
                  <w:hideMark/>
                </w:tcPr>
                <w:p w14:paraId="202AF79B"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Arial" w:cs="Arial"/>
                      <w:color w:val="000000"/>
                      <w:kern w:val="0"/>
                      <w:sz w:val="16"/>
                      <w:szCs w:val="16"/>
                      <w:lang w:eastAsia="zh-CN"/>
                      <w14:ligatures w14:val="none"/>
                    </w:rPr>
                    <w:t>8.2</w:t>
                  </w:r>
                </w:p>
              </w:tc>
              <w:tc>
                <w:tcPr>
                  <w:tcW w:w="540" w:type="dxa"/>
                  <w:tcBorders>
                    <w:top w:val="nil"/>
                    <w:left w:val="nil"/>
                    <w:bottom w:val="nil"/>
                    <w:right w:val="nil"/>
                  </w:tcBorders>
                  <w:vAlign w:val="center"/>
                  <w:hideMark/>
                </w:tcPr>
                <w:p w14:paraId="2B69BB85"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Arial" w:cs="Arial"/>
                      <w:color w:val="000000"/>
                      <w:kern w:val="0"/>
                      <w:sz w:val="16"/>
                      <w:szCs w:val="16"/>
                      <w:lang w:eastAsia="zh-CN"/>
                      <w14:ligatures w14:val="none"/>
                    </w:rPr>
                    <w:t>3.1</w:t>
                  </w:r>
                </w:p>
              </w:tc>
              <w:tc>
                <w:tcPr>
                  <w:tcW w:w="612" w:type="dxa"/>
                  <w:tcBorders>
                    <w:top w:val="nil"/>
                    <w:left w:val="nil"/>
                    <w:bottom w:val="nil"/>
                    <w:right w:val="nil"/>
                  </w:tcBorders>
                  <w:vAlign w:val="center"/>
                  <w:hideMark/>
                </w:tcPr>
                <w:p w14:paraId="124B985D"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Arial" w:cs="Arial"/>
                      <w:color w:val="000000"/>
                      <w:kern w:val="0"/>
                      <w:sz w:val="16"/>
                      <w:szCs w:val="16"/>
                      <w:lang w:eastAsia="zh-CN"/>
                      <w14:ligatures w14:val="none"/>
                    </w:rPr>
                    <w:t>14</w:t>
                  </w:r>
                </w:p>
              </w:tc>
              <w:tc>
                <w:tcPr>
                  <w:tcW w:w="572" w:type="dxa"/>
                  <w:tcBorders>
                    <w:top w:val="nil"/>
                    <w:left w:val="nil"/>
                    <w:bottom w:val="nil"/>
                    <w:right w:val="nil"/>
                  </w:tcBorders>
                  <w:vAlign w:val="center"/>
                  <w:hideMark/>
                </w:tcPr>
                <w:p w14:paraId="7920E05A"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Times New Roman" w:cs="Arial"/>
                      <w:color w:val="000000"/>
                      <w:kern w:val="0"/>
                      <w:sz w:val="16"/>
                      <w:szCs w:val="16"/>
                      <w:lang w:eastAsia="zh-CN"/>
                      <w14:ligatures w14:val="none"/>
                    </w:rPr>
                    <w:t>15.9</w:t>
                  </w:r>
                </w:p>
              </w:tc>
              <w:tc>
                <w:tcPr>
                  <w:tcW w:w="706" w:type="dxa"/>
                  <w:tcBorders>
                    <w:top w:val="nil"/>
                    <w:left w:val="nil"/>
                    <w:bottom w:val="nil"/>
                    <w:right w:val="nil"/>
                  </w:tcBorders>
                  <w:vAlign w:val="center"/>
                  <w:hideMark/>
                </w:tcPr>
                <w:p w14:paraId="7D4BE237"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Times New Roman" w:cs="Arial"/>
                      <w:color w:val="000000"/>
                      <w:kern w:val="0"/>
                      <w:sz w:val="16"/>
                      <w:szCs w:val="16"/>
                      <w:lang w:eastAsia="zh-CN"/>
                      <w14:ligatures w14:val="none"/>
                    </w:rPr>
                    <w:t>7.9</w:t>
                  </w:r>
                </w:p>
              </w:tc>
            </w:tr>
            <w:tr w:rsidR="00616124" w:rsidRPr="0031039D" w14:paraId="361096B8" w14:textId="77777777" w:rsidTr="008C2E8E">
              <w:trPr>
                <w:trHeight w:val="300"/>
              </w:trPr>
              <w:tc>
                <w:tcPr>
                  <w:tcW w:w="1429" w:type="dxa"/>
                  <w:tcBorders>
                    <w:top w:val="nil"/>
                    <w:left w:val="nil"/>
                    <w:bottom w:val="nil"/>
                    <w:right w:val="nil"/>
                  </w:tcBorders>
                  <w:vAlign w:val="center"/>
                  <w:hideMark/>
                </w:tcPr>
                <w:p w14:paraId="1BA1E984" w14:textId="77777777" w:rsidR="00616124" w:rsidRPr="00784CA0" w:rsidRDefault="00616124" w:rsidP="00616124">
                  <w:pPr>
                    <w:spacing w:afterLines="0" w:after="0" w:line="240" w:lineRule="auto"/>
                    <w:ind w:firstLineChars="100" w:firstLine="160"/>
                    <w:jc w:val="left"/>
                    <w:rPr>
                      <w:rFonts w:eastAsia="Times New Roman" w:cs="Arial"/>
                      <w:color w:val="000000"/>
                      <w:kern w:val="0"/>
                      <w:sz w:val="16"/>
                      <w:szCs w:val="16"/>
                      <w:lang w:eastAsia="zh-CN"/>
                      <w14:ligatures w14:val="none"/>
                    </w:rPr>
                  </w:pPr>
                  <w:r w:rsidRPr="00616124">
                    <w:rPr>
                      <w:rFonts w:eastAsia="Times New Roman" w:cs="Arial"/>
                      <w:color w:val="000000"/>
                      <w:kern w:val="0"/>
                      <w:sz w:val="16"/>
                      <w:szCs w:val="16"/>
                      <w:lang w:eastAsia="zh-CN"/>
                      <w14:ligatures w14:val="none"/>
                    </w:rPr>
                    <w:t>Худалдаа</w:t>
                  </w:r>
                </w:p>
              </w:tc>
              <w:tc>
                <w:tcPr>
                  <w:tcW w:w="713" w:type="dxa"/>
                  <w:tcBorders>
                    <w:top w:val="nil"/>
                    <w:left w:val="nil"/>
                    <w:bottom w:val="nil"/>
                    <w:right w:val="nil"/>
                  </w:tcBorders>
                  <w:vAlign w:val="center"/>
                  <w:hideMark/>
                </w:tcPr>
                <w:p w14:paraId="2D882E24"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Arial" w:cs="Arial"/>
                      <w:color w:val="000000"/>
                      <w:kern w:val="0"/>
                      <w:sz w:val="16"/>
                      <w:szCs w:val="16"/>
                      <w:lang w:eastAsia="zh-CN"/>
                      <w14:ligatures w14:val="none"/>
                    </w:rPr>
                    <w:t>10.1</w:t>
                  </w:r>
                </w:p>
              </w:tc>
              <w:tc>
                <w:tcPr>
                  <w:tcW w:w="540" w:type="dxa"/>
                  <w:tcBorders>
                    <w:top w:val="nil"/>
                    <w:left w:val="nil"/>
                    <w:bottom w:val="nil"/>
                    <w:right w:val="nil"/>
                  </w:tcBorders>
                  <w:vAlign w:val="center"/>
                  <w:hideMark/>
                </w:tcPr>
                <w:p w14:paraId="5C5EF5F7"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Arial" w:cs="Arial"/>
                      <w:color w:val="000000"/>
                      <w:kern w:val="0"/>
                      <w:sz w:val="16"/>
                      <w:szCs w:val="16"/>
                      <w:lang w:eastAsia="zh-CN"/>
                      <w14:ligatures w14:val="none"/>
                    </w:rPr>
                    <w:t>6.8</w:t>
                  </w:r>
                </w:p>
              </w:tc>
              <w:tc>
                <w:tcPr>
                  <w:tcW w:w="612" w:type="dxa"/>
                  <w:tcBorders>
                    <w:top w:val="nil"/>
                    <w:left w:val="nil"/>
                    <w:bottom w:val="nil"/>
                    <w:right w:val="nil"/>
                  </w:tcBorders>
                  <w:vAlign w:val="center"/>
                  <w:hideMark/>
                </w:tcPr>
                <w:p w14:paraId="420EEB3C"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Arial" w:cs="Arial"/>
                      <w:color w:val="000000"/>
                      <w:kern w:val="0"/>
                      <w:sz w:val="16"/>
                      <w:szCs w:val="16"/>
                      <w:lang w:eastAsia="zh-CN"/>
                      <w14:ligatures w14:val="none"/>
                    </w:rPr>
                    <w:t>11.9</w:t>
                  </w:r>
                </w:p>
              </w:tc>
              <w:tc>
                <w:tcPr>
                  <w:tcW w:w="572" w:type="dxa"/>
                  <w:tcBorders>
                    <w:top w:val="nil"/>
                    <w:left w:val="nil"/>
                    <w:bottom w:val="nil"/>
                    <w:right w:val="nil"/>
                  </w:tcBorders>
                  <w:vAlign w:val="center"/>
                  <w:hideMark/>
                </w:tcPr>
                <w:p w14:paraId="516322DB"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Times New Roman" w:cs="Arial"/>
                      <w:color w:val="000000"/>
                      <w:kern w:val="0"/>
                      <w:sz w:val="16"/>
                      <w:szCs w:val="16"/>
                      <w:lang w:eastAsia="zh-CN"/>
                      <w14:ligatures w14:val="none"/>
                    </w:rPr>
                    <w:t>-4.6</w:t>
                  </w:r>
                </w:p>
              </w:tc>
              <w:tc>
                <w:tcPr>
                  <w:tcW w:w="706" w:type="dxa"/>
                  <w:tcBorders>
                    <w:top w:val="nil"/>
                    <w:left w:val="nil"/>
                    <w:bottom w:val="nil"/>
                    <w:right w:val="nil"/>
                  </w:tcBorders>
                  <w:vAlign w:val="center"/>
                  <w:hideMark/>
                </w:tcPr>
                <w:p w14:paraId="633CFF07"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Times New Roman" w:cs="Arial"/>
                      <w:color w:val="000000"/>
                      <w:kern w:val="0"/>
                      <w:sz w:val="16"/>
                      <w:szCs w:val="16"/>
                      <w:lang w:eastAsia="zh-CN"/>
                      <w14:ligatures w14:val="none"/>
                    </w:rPr>
                    <w:t>-0.2</w:t>
                  </w:r>
                </w:p>
              </w:tc>
            </w:tr>
            <w:tr w:rsidR="00616124" w:rsidRPr="0031039D" w14:paraId="65DD56A5" w14:textId="77777777" w:rsidTr="008C2E8E">
              <w:trPr>
                <w:trHeight w:val="300"/>
              </w:trPr>
              <w:tc>
                <w:tcPr>
                  <w:tcW w:w="1429" w:type="dxa"/>
                  <w:tcBorders>
                    <w:top w:val="nil"/>
                    <w:left w:val="nil"/>
                    <w:bottom w:val="nil"/>
                    <w:right w:val="nil"/>
                  </w:tcBorders>
                  <w:vAlign w:val="center"/>
                  <w:hideMark/>
                </w:tcPr>
                <w:p w14:paraId="3572EF41" w14:textId="77777777" w:rsidR="00616124" w:rsidRPr="00784CA0" w:rsidRDefault="00616124" w:rsidP="00616124">
                  <w:pPr>
                    <w:spacing w:afterLines="0" w:after="0" w:line="240" w:lineRule="auto"/>
                    <w:ind w:firstLineChars="100" w:firstLine="160"/>
                    <w:jc w:val="left"/>
                    <w:rPr>
                      <w:rFonts w:eastAsia="Times New Roman" w:cs="Arial"/>
                      <w:color w:val="000000"/>
                      <w:kern w:val="0"/>
                      <w:sz w:val="16"/>
                      <w:szCs w:val="16"/>
                      <w:lang w:eastAsia="zh-CN"/>
                      <w14:ligatures w14:val="none"/>
                    </w:rPr>
                  </w:pPr>
                  <w:r w:rsidRPr="00616124">
                    <w:rPr>
                      <w:rFonts w:eastAsia="Times New Roman" w:cs="Arial"/>
                      <w:color w:val="000000"/>
                      <w:kern w:val="0"/>
                      <w:sz w:val="16"/>
                      <w:szCs w:val="16"/>
                      <w:lang w:eastAsia="zh-CN"/>
                      <w14:ligatures w14:val="none"/>
                    </w:rPr>
                    <w:t>Тээвэр</w:t>
                  </w:r>
                </w:p>
              </w:tc>
              <w:tc>
                <w:tcPr>
                  <w:tcW w:w="713" w:type="dxa"/>
                  <w:tcBorders>
                    <w:top w:val="nil"/>
                    <w:left w:val="nil"/>
                    <w:bottom w:val="nil"/>
                    <w:right w:val="nil"/>
                  </w:tcBorders>
                  <w:vAlign w:val="center"/>
                  <w:hideMark/>
                </w:tcPr>
                <w:p w14:paraId="1551655C"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Arial" w:cs="Arial"/>
                      <w:color w:val="000000"/>
                      <w:kern w:val="0"/>
                      <w:sz w:val="16"/>
                      <w:szCs w:val="16"/>
                      <w:lang w:eastAsia="zh-CN"/>
                      <w14:ligatures w14:val="none"/>
                    </w:rPr>
                    <w:t>9.2</w:t>
                  </w:r>
                </w:p>
              </w:tc>
              <w:tc>
                <w:tcPr>
                  <w:tcW w:w="540" w:type="dxa"/>
                  <w:tcBorders>
                    <w:top w:val="nil"/>
                    <w:left w:val="nil"/>
                    <w:bottom w:val="nil"/>
                    <w:right w:val="nil"/>
                  </w:tcBorders>
                  <w:vAlign w:val="center"/>
                  <w:hideMark/>
                </w:tcPr>
                <w:p w14:paraId="6EAA3E9B"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Arial" w:cs="Arial"/>
                      <w:color w:val="000000"/>
                      <w:kern w:val="0"/>
                      <w:sz w:val="16"/>
                      <w:szCs w:val="16"/>
                      <w:lang w:eastAsia="zh-CN"/>
                      <w14:ligatures w14:val="none"/>
                    </w:rPr>
                    <w:t>39.6</w:t>
                  </w:r>
                </w:p>
              </w:tc>
              <w:tc>
                <w:tcPr>
                  <w:tcW w:w="612" w:type="dxa"/>
                  <w:tcBorders>
                    <w:top w:val="nil"/>
                    <w:left w:val="nil"/>
                    <w:bottom w:val="nil"/>
                    <w:right w:val="nil"/>
                  </w:tcBorders>
                  <w:vAlign w:val="center"/>
                  <w:hideMark/>
                </w:tcPr>
                <w:p w14:paraId="1430A564"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Arial" w:cs="Arial"/>
                      <w:color w:val="000000"/>
                      <w:kern w:val="0"/>
                      <w:sz w:val="16"/>
                      <w:szCs w:val="16"/>
                      <w:lang w:eastAsia="zh-CN"/>
                      <w14:ligatures w14:val="none"/>
                    </w:rPr>
                    <w:t>16.4</w:t>
                  </w:r>
                </w:p>
              </w:tc>
              <w:tc>
                <w:tcPr>
                  <w:tcW w:w="572" w:type="dxa"/>
                  <w:tcBorders>
                    <w:top w:val="nil"/>
                    <w:left w:val="nil"/>
                    <w:bottom w:val="nil"/>
                    <w:right w:val="nil"/>
                  </w:tcBorders>
                  <w:vAlign w:val="center"/>
                  <w:hideMark/>
                </w:tcPr>
                <w:p w14:paraId="2945A227"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Times New Roman" w:cs="Arial"/>
                      <w:color w:val="000000"/>
                      <w:kern w:val="0"/>
                      <w:sz w:val="16"/>
                      <w:szCs w:val="16"/>
                      <w:lang w:eastAsia="zh-CN"/>
                      <w14:ligatures w14:val="none"/>
                    </w:rPr>
                    <w:t>4.8</w:t>
                  </w:r>
                </w:p>
              </w:tc>
              <w:tc>
                <w:tcPr>
                  <w:tcW w:w="706" w:type="dxa"/>
                  <w:tcBorders>
                    <w:top w:val="nil"/>
                    <w:left w:val="nil"/>
                    <w:bottom w:val="nil"/>
                    <w:right w:val="nil"/>
                  </w:tcBorders>
                  <w:vAlign w:val="center"/>
                  <w:hideMark/>
                </w:tcPr>
                <w:p w14:paraId="6F6A8E2D"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Times New Roman" w:cs="Arial"/>
                      <w:color w:val="000000"/>
                      <w:kern w:val="0"/>
                      <w:sz w:val="16"/>
                      <w:szCs w:val="16"/>
                      <w:lang w:eastAsia="zh-CN"/>
                      <w14:ligatures w14:val="none"/>
                    </w:rPr>
                    <w:t>21.5</w:t>
                  </w:r>
                </w:p>
              </w:tc>
            </w:tr>
            <w:tr w:rsidR="00616124" w:rsidRPr="0031039D" w14:paraId="1BBCF8B7" w14:textId="77777777" w:rsidTr="008C2E8E">
              <w:trPr>
                <w:trHeight w:val="300"/>
              </w:trPr>
              <w:tc>
                <w:tcPr>
                  <w:tcW w:w="1429" w:type="dxa"/>
                  <w:tcBorders>
                    <w:top w:val="nil"/>
                    <w:left w:val="nil"/>
                    <w:bottom w:val="nil"/>
                    <w:right w:val="nil"/>
                  </w:tcBorders>
                  <w:vAlign w:val="center"/>
                  <w:hideMark/>
                </w:tcPr>
                <w:p w14:paraId="7751F358" w14:textId="77777777" w:rsidR="00616124" w:rsidRPr="00784CA0" w:rsidRDefault="00616124" w:rsidP="00616124">
                  <w:pPr>
                    <w:spacing w:afterLines="0" w:after="0" w:line="240" w:lineRule="auto"/>
                    <w:ind w:firstLineChars="100" w:firstLine="160"/>
                    <w:jc w:val="left"/>
                    <w:rPr>
                      <w:rFonts w:eastAsia="Times New Roman" w:cs="Arial"/>
                      <w:color w:val="000000"/>
                      <w:kern w:val="0"/>
                      <w:sz w:val="16"/>
                      <w:szCs w:val="16"/>
                      <w:lang w:eastAsia="zh-CN"/>
                      <w14:ligatures w14:val="none"/>
                    </w:rPr>
                  </w:pPr>
                  <w:r w:rsidRPr="00616124">
                    <w:rPr>
                      <w:rFonts w:eastAsia="Times New Roman" w:cs="Arial"/>
                      <w:color w:val="000000"/>
                      <w:kern w:val="0"/>
                      <w:sz w:val="16"/>
                      <w:szCs w:val="16"/>
                      <w:lang w:eastAsia="zh-CN"/>
                      <w14:ligatures w14:val="none"/>
                    </w:rPr>
                    <w:t>Бусад</w:t>
                  </w:r>
                </w:p>
              </w:tc>
              <w:tc>
                <w:tcPr>
                  <w:tcW w:w="713" w:type="dxa"/>
                  <w:tcBorders>
                    <w:top w:val="nil"/>
                    <w:left w:val="nil"/>
                    <w:bottom w:val="nil"/>
                    <w:right w:val="nil"/>
                  </w:tcBorders>
                  <w:vAlign w:val="center"/>
                  <w:hideMark/>
                </w:tcPr>
                <w:p w14:paraId="1DF17D64"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Arial" w:cs="Arial"/>
                      <w:color w:val="000000"/>
                      <w:kern w:val="0"/>
                      <w:sz w:val="16"/>
                      <w:szCs w:val="16"/>
                      <w:lang w:eastAsia="zh-CN"/>
                      <w14:ligatures w14:val="none"/>
                    </w:rPr>
                    <w:t>5.4</w:t>
                  </w:r>
                </w:p>
              </w:tc>
              <w:tc>
                <w:tcPr>
                  <w:tcW w:w="540" w:type="dxa"/>
                  <w:tcBorders>
                    <w:top w:val="nil"/>
                    <w:left w:val="nil"/>
                    <w:bottom w:val="nil"/>
                    <w:right w:val="nil"/>
                  </w:tcBorders>
                  <w:vAlign w:val="center"/>
                  <w:hideMark/>
                </w:tcPr>
                <w:p w14:paraId="54643A12"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Arial" w:cs="Arial"/>
                      <w:color w:val="000000"/>
                      <w:kern w:val="0"/>
                      <w:sz w:val="16"/>
                      <w:szCs w:val="16"/>
                      <w:lang w:eastAsia="zh-CN"/>
                      <w14:ligatures w14:val="none"/>
                    </w:rPr>
                    <w:t>5.8</w:t>
                  </w:r>
                </w:p>
              </w:tc>
              <w:tc>
                <w:tcPr>
                  <w:tcW w:w="612" w:type="dxa"/>
                  <w:tcBorders>
                    <w:top w:val="nil"/>
                    <w:left w:val="nil"/>
                    <w:bottom w:val="nil"/>
                    <w:right w:val="nil"/>
                  </w:tcBorders>
                  <w:vAlign w:val="center"/>
                  <w:hideMark/>
                </w:tcPr>
                <w:p w14:paraId="2414AF17"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Arial" w:cs="Arial"/>
                      <w:color w:val="000000"/>
                      <w:kern w:val="0"/>
                      <w:sz w:val="16"/>
                      <w:szCs w:val="16"/>
                      <w:lang w:eastAsia="zh-CN"/>
                      <w14:ligatures w14:val="none"/>
                    </w:rPr>
                    <w:t>8.9</w:t>
                  </w:r>
                </w:p>
              </w:tc>
              <w:tc>
                <w:tcPr>
                  <w:tcW w:w="572" w:type="dxa"/>
                  <w:tcBorders>
                    <w:top w:val="nil"/>
                    <w:left w:val="nil"/>
                    <w:bottom w:val="nil"/>
                    <w:right w:val="nil"/>
                  </w:tcBorders>
                  <w:vAlign w:val="center"/>
                  <w:hideMark/>
                </w:tcPr>
                <w:p w14:paraId="488DC412"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Times New Roman" w:cs="Arial"/>
                      <w:color w:val="000000"/>
                      <w:kern w:val="0"/>
                      <w:sz w:val="16"/>
                      <w:szCs w:val="16"/>
                      <w:lang w:eastAsia="zh-CN"/>
                      <w14:ligatures w14:val="none"/>
                    </w:rPr>
                    <w:t>3.5</w:t>
                  </w:r>
                </w:p>
              </w:tc>
              <w:tc>
                <w:tcPr>
                  <w:tcW w:w="706" w:type="dxa"/>
                  <w:tcBorders>
                    <w:top w:val="nil"/>
                    <w:left w:val="nil"/>
                    <w:bottom w:val="nil"/>
                    <w:right w:val="nil"/>
                  </w:tcBorders>
                  <w:vAlign w:val="center"/>
                  <w:hideMark/>
                </w:tcPr>
                <w:p w14:paraId="01A7C1A8"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Times New Roman" w:cs="Arial"/>
                      <w:color w:val="000000"/>
                      <w:kern w:val="0"/>
                      <w:sz w:val="16"/>
                      <w:szCs w:val="16"/>
                      <w:lang w:eastAsia="zh-CN"/>
                      <w14:ligatures w14:val="none"/>
                    </w:rPr>
                    <w:t>1.8</w:t>
                  </w:r>
                </w:p>
              </w:tc>
            </w:tr>
            <w:tr w:rsidR="00616124" w:rsidRPr="0031039D" w14:paraId="2E6265E4" w14:textId="77777777" w:rsidTr="008C2E8E">
              <w:trPr>
                <w:trHeight w:val="312"/>
              </w:trPr>
              <w:tc>
                <w:tcPr>
                  <w:tcW w:w="1429" w:type="dxa"/>
                  <w:tcBorders>
                    <w:top w:val="nil"/>
                    <w:left w:val="nil"/>
                    <w:bottom w:val="single" w:sz="8" w:space="0" w:color="auto"/>
                    <w:right w:val="nil"/>
                  </w:tcBorders>
                  <w:vAlign w:val="center"/>
                  <w:hideMark/>
                </w:tcPr>
                <w:p w14:paraId="3B9E3E2D" w14:textId="77777777" w:rsidR="00616124" w:rsidRPr="00784CA0" w:rsidRDefault="00616124" w:rsidP="00616124">
                  <w:pPr>
                    <w:spacing w:afterLines="0" w:after="0" w:line="240" w:lineRule="auto"/>
                    <w:ind w:firstLineChars="100" w:firstLine="160"/>
                    <w:jc w:val="left"/>
                    <w:rPr>
                      <w:rFonts w:eastAsia="Times New Roman" w:cs="Arial"/>
                      <w:color w:val="000000"/>
                      <w:kern w:val="0"/>
                      <w:sz w:val="16"/>
                      <w:szCs w:val="16"/>
                      <w:lang w:eastAsia="zh-CN"/>
                      <w14:ligatures w14:val="none"/>
                    </w:rPr>
                  </w:pPr>
                  <w:r w:rsidRPr="00616124">
                    <w:rPr>
                      <w:rFonts w:eastAsia="Times New Roman" w:cs="Arial"/>
                      <w:color w:val="000000"/>
                      <w:kern w:val="0"/>
                      <w:sz w:val="16"/>
                      <w:szCs w:val="16"/>
                      <w:lang w:eastAsia="zh-CN"/>
                      <w14:ligatures w14:val="none"/>
                    </w:rPr>
                    <w:t>Цэвэр татвар</w:t>
                  </w:r>
                </w:p>
              </w:tc>
              <w:tc>
                <w:tcPr>
                  <w:tcW w:w="713" w:type="dxa"/>
                  <w:tcBorders>
                    <w:top w:val="nil"/>
                    <w:left w:val="nil"/>
                    <w:bottom w:val="single" w:sz="8" w:space="0" w:color="auto"/>
                    <w:right w:val="nil"/>
                  </w:tcBorders>
                  <w:vAlign w:val="center"/>
                  <w:hideMark/>
                </w:tcPr>
                <w:p w14:paraId="40C42472"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Arial" w:cs="Arial"/>
                      <w:color w:val="000000"/>
                      <w:kern w:val="0"/>
                      <w:sz w:val="16"/>
                      <w:szCs w:val="16"/>
                      <w:lang w:eastAsia="zh-CN"/>
                      <w14:ligatures w14:val="none"/>
                    </w:rPr>
                    <w:t>11.5</w:t>
                  </w:r>
                </w:p>
              </w:tc>
              <w:tc>
                <w:tcPr>
                  <w:tcW w:w="540" w:type="dxa"/>
                  <w:tcBorders>
                    <w:top w:val="nil"/>
                    <w:left w:val="nil"/>
                    <w:bottom w:val="single" w:sz="8" w:space="0" w:color="auto"/>
                    <w:right w:val="nil"/>
                  </w:tcBorders>
                  <w:vAlign w:val="center"/>
                  <w:hideMark/>
                </w:tcPr>
                <w:p w14:paraId="3FB6EE59"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Arial" w:cs="Arial"/>
                      <w:color w:val="000000"/>
                      <w:kern w:val="0"/>
                      <w:sz w:val="16"/>
                      <w:szCs w:val="16"/>
                      <w:lang w:eastAsia="zh-CN"/>
                      <w14:ligatures w14:val="none"/>
                    </w:rPr>
                    <w:t>6.6</w:t>
                  </w:r>
                </w:p>
              </w:tc>
              <w:tc>
                <w:tcPr>
                  <w:tcW w:w="612" w:type="dxa"/>
                  <w:tcBorders>
                    <w:top w:val="nil"/>
                    <w:left w:val="nil"/>
                    <w:bottom w:val="single" w:sz="8" w:space="0" w:color="auto"/>
                    <w:right w:val="nil"/>
                  </w:tcBorders>
                  <w:vAlign w:val="center"/>
                  <w:hideMark/>
                </w:tcPr>
                <w:p w14:paraId="67E2AA5D"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Arial" w:cs="Arial"/>
                      <w:color w:val="000000"/>
                      <w:kern w:val="0"/>
                      <w:sz w:val="16"/>
                      <w:szCs w:val="16"/>
                      <w:lang w:eastAsia="zh-CN"/>
                      <w14:ligatures w14:val="none"/>
                    </w:rPr>
                    <w:t>14.7</w:t>
                  </w:r>
                </w:p>
              </w:tc>
              <w:tc>
                <w:tcPr>
                  <w:tcW w:w="572" w:type="dxa"/>
                  <w:tcBorders>
                    <w:top w:val="nil"/>
                    <w:left w:val="nil"/>
                    <w:bottom w:val="single" w:sz="8" w:space="0" w:color="auto"/>
                    <w:right w:val="nil"/>
                  </w:tcBorders>
                  <w:vAlign w:val="center"/>
                  <w:hideMark/>
                </w:tcPr>
                <w:p w14:paraId="7DAEB069"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Times New Roman" w:cs="Arial"/>
                      <w:color w:val="000000"/>
                      <w:kern w:val="0"/>
                      <w:sz w:val="16"/>
                      <w:szCs w:val="16"/>
                      <w:lang w:eastAsia="zh-CN"/>
                      <w14:ligatures w14:val="none"/>
                    </w:rPr>
                    <w:t>0.3</w:t>
                  </w:r>
                </w:p>
              </w:tc>
              <w:tc>
                <w:tcPr>
                  <w:tcW w:w="706" w:type="dxa"/>
                  <w:tcBorders>
                    <w:top w:val="nil"/>
                    <w:left w:val="nil"/>
                    <w:bottom w:val="single" w:sz="8" w:space="0" w:color="auto"/>
                    <w:right w:val="nil"/>
                  </w:tcBorders>
                  <w:vAlign w:val="center"/>
                  <w:hideMark/>
                </w:tcPr>
                <w:p w14:paraId="31B2AB4D" w14:textId="77777777" w:rsidR="00616124" w:rsidRPr="00784CA0" w:rsidRDefault="00616124" w:rsidP="00616124">
                  <w:pPr>
                    <w:spacing w:afterLines="0" w:after="0" w:line="240" w:lineRule="auto"/>
                    <w:jc w:val="right"/>
                    <w:rPr>
                      <w:rFonts w:eastAsia="Times New Roman" w:cs="Arial"/>
                      <w:color w:val="000000"/>
                      <w:kern w:val="0"/>
                      <w:sz w:val="16"/>
                      <w:szCs w:val="16"/>
                      <w:lang w:eastAsia="zh-CN"/>
                      <w14:ligatures w14:val="none"/>
                    </w:rPr>
                  </w:pPr>
                  <w:r w:rsidRPr="00616124">
                    <w:rPr>
                      <w:rFonts w:eastAsia="Times New Roman" w:cs="Arial"/>
                      <w:color w:val="000000"/>
                      <w:kern w:val="0"/>
                      <w:sz w:val="16"/>
                      <w:szCs w:val="16"/>
                      <w:lang w:eastAsia="zh-CN"/>
                      <w14:ligatures w14:val="none"/>
                    </w:rPr>
                    <w:t>0.3</w:t>
                  </w:r>
                </w:p>
              </w:tc>
            </w:tr>
          </w:tbl>
          <w:p w14:paraId="21B77748" w14:textId="77777777" w:rsidR="009769CC" w:rsidRPr="00616124" w:rsidRDefault="009769CC" w:rsidP="0093529A">
            <w:pPr>
              <w:autoSpaceDE w:val="0"/>
              <w:autoSpaceDN w:val="0"/>
              <w:adjustRightInd w:val="0"/>
              <w:spacing w:afterLines="0" w:after="0"/>
              <w:rPr>
                <w:rFonts w:eastAsia="SimSun" w:cs="Arial"/>
                <w:sz w:val="16"/>
                <w:szCs w:val="16"/>
              </w:rPr>
            </w:pPr>
          </w:p>
        </w:tc>
        <w:tc>
          <w:tcPr>
            <w:tcW w:w="4444" w:type="dxa"/>
            <w:tcBorders>
              <w:left w:val="single" w:sz="4" w:space="0" w:color="FFFFFF" w:themeColor="background1"/>
            </w:tcBorders>
            <w:vAlign w:val="center"/>
          </w:tcPr>
          <w:p w14:paraId="1667C273" w14:textId="77777777" w:rsidR="009769CC" w:rsidRPr="00614D1A" w:rsidRDefault="009769CC" w:rsidP="0093529A">
            <w:pPr>
              <w:keepNext/>
              <w:autoSpaceDE w:val="0"/>
              <w:autoSpaceDN w:val="0"/>
              <w:adjustRightInd w:val="0"/>
              <w:spacing w:afterLines="0" w:after="0"/>
              <w:rPr>
                <w:rFonts w:cs="Arial"/>
              </w:rPr>
            </w:pPr>
            <w:r w:rsidRPr="00614D1A">
              <w:rPr>
                <w:rFonts w:cs="Arial"/>
                <w:noProof/>
              </w:rPr>
              <w:drawing>
                <wp:inline distT="0" distB="0" distL="0" distR="0" wp14:anchorId="1E70EC4F" wp14:editId="5EDA9102">
                  <wp:extent cx="2865500" cy="2482078"/>
                  <wp:effectExtent l="0" t="0" r="0" b="0"/>
                  <wp:docPr id="578912381" name="Chart 1">
                    <a:extLst xmlns:a="http://schemas.openxmlformats.org/drawingml/2006/main">
                      <a:ext uri="{FF2B5EF4-FFF2-40B4-BE49-F238E27FC236}">
                        <a16:creationId xmlns:a16="http://schemas.microsoft.com/office/drawing/2014/main" id="{344545E7-90B7-44B9-9082-93CA772495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r>
      <w:tr w:rsidR="009769CC" w:rsidRPr="00614D1A" w14:paraId="1FD96E4C" w14:textId="77777777" w:rsidTr="00512C66">
        <w:trPr>
          <w:trHeight w:val="80"/>
        </w:trPr>
        <w:tc>
          <w:tcPr>
            <w:tcW w:w="4582" w:type="dxa"/>
            <w:tcBorders>
              <w:bottom w:val="single" w:sz="8" w:space="0" w:color="auto"/>
            </w:tcBorders>
          </w:tcPr>
          <w:p w14:paraId="597A4DBF" w14:textId="04A00D4A" w:rsidR="009769CC" w:rsidRPr="00D91C2D" w:rsidRDefault="009769CC" w:rsidP="006D3C3B">
            <w:pPr>
              <w:autoSpaceDE w:val="0"/>
              <w:autoSpaceDN w:val="0"/>
              <w:adjustRightInd w:val="0"/>
              <w:spacing w:afterLines="0" w:after="0"/>
              <w:jc w:val="right"/>
              <w:rPr>
                <w:rFonts w:eastAsia="SimSun" w:cs="Arial"/>
                <w:i/>
                <w:color w:val="000000"/>
                <w:sz w:val="20"/>
                <w:szCs w:val="20"/>
              </w:rPr>
            </w:pPr>
          </w:p>
        </w:tc>
        <w:tc>
          <w:tcPr>
            <w:tcW w:w="4444" w:type="dxa"/>
            <w:tcBorders>
              <w:bottom w:val="single" w:sz="8" w:space="0" w:color="auto"/>
            </w:tcBorders>
            <w:vAlign w:val="bottom"/>
          </w:tcPr>
          <w:p w14:paraId="44057154" w14:textId="33E9B127" w:rsidR="009769CC" w:rsidRPr="00D91C2D" w:rsidRDefault="009769CC" w:rsidP="006D3C3B">
            <w:pPr>
              <w:keepNext/>
              <w:autoSpaceDE w:val="0"/>
              <w:autoSpaceDN w:val="0"/>
              <w:adjustRightInd w:val="0"/>
              <w:spacing w:afterLines="0" w:after="0"/>
              <w:jc w:val="right"/>
              <w:rPr>
                <w:rFonts w:eastAsia="Yu Mincho" w:cs="Arial"/>
                <w:sz w:val="20"/>
                <w:szCs w:val="20"/>
              </w:rPr>
            </w:pPr>
            <w:r w:rsidRPr="00D91C2D">
              <w:rPr>
                <w:rFonts w:eastAsia="SimSun" w:cs="Arial"/>
                <w:i/>
                <w:color w:val="000000"/>
                <w:sz w:val="20"/>
                <w:szCs w:val="20"/>
              </w:rPr>
              <w:t xml:space="preserve">Эх сурвалж: </w:t>
            </w:r>
            <w:r w:rsidRPr="00B15F4D">
              <w:rPr>
                <w:rFonts w:eastAsia="SimSun" w:cs="Arial"/>
                <w:i/>
                <w:sz w:val="20"/>
                <w:szCs w:val="20"/>
              </w:rPr>
              <w:t>Ү</w:t>
            </w:r>
            <w:r>
              <w:rPr>
                <w:rFonts w:eastAsia="SimSun" w:cs="Arial"/>
                <w:i/>
                <w:sz w:val="20"/>
                <w:szCs w:val="20"/>
              </w:rPr>
              <w:t>ндэсний статистикийн хороо</w:t>
            </w:r>
          </w:p>
        </w:tc>
      </w:tr>
    </w:tbl>
    <w:p w14:paraId="6D1562D7" w14:textId="77777777" w:rsidR="009F7BC6" w:rsidRDefault="009F7BC6" w:rsidP="009F7BC6">
      <w:pPr>
        <w:spacing w:afterLines="0" w:after="0" w:line="240" w:lineRule="auto"/>
        <w:ind w:firstLine="720"/>
        <w:rPr>
          <w:rFonts w:eastAsia="Yu Mincho" w:cs="Arial"/>
        </w:rPr>
      </w:pPr>
    </w:p>
    <w:p w14:paraId="4B667571" w14:textId="77777777" w:rsidR="009F7BC6" w:rsidRDefault="009769CC" w:rsidP="009F7BC6">
      <w:pPr>
        <w:spacing w:afterLines="0" w:after="0" w:line="240" w:lineRule="auto"/>
        <w:ind w:firstLine="720"/>
        <w:rPr>
          <w:rFonts w:eastAsia="Yu Mincho" w:cs="Arial"/>
        </w:rPr>
      </w:pPr>
      <w:r w:rsidRPr="3D4E8612">
        <w:rPr>
          <w:rFonts w:eastAsia="Yu Mincho" w:cs="Arial"/>
        </w:rPr>
        <w:t xml:space="preserve">Уул уурхай, тээврийн салбарын өсөлт эрчимжиж, барилга, эрчим хүчний салбар тогтвортой өссөн, хөдөө аж ахуйн салбарын өсөлт нь өндөр суурийн нөлөөгөөр саарсан ч, эерэг өсөлтөө хадгалснаар </w:t>
      </w:r>
      <w:r w:rsidR="4351BD5E" w:rsidRPr="3D4E8612">
        <w:rPr>
          <w:rFonts w:eastAsia="Yu Mincho" w:cs="Arial"/>
        </w:rPr>
        <w:t xml:space="preserve">эдгээр салбарууд </w:t>
      </w:r>
      <w:r w:rsidRPr="3D4E8612">
        <w:rPr>
          <w:rFonts w:eastAsia="Yu Mincho" w:cs="Arial"/>
        </w:rPr>
        <w:t xml:space="preserve">эдийн </w:t>
      </w:r>
      <w:r w:rsidR="66C04E57" w:rsidRPr="3D4E8612">
        <w:rPr>
          <w:rFonts w:eastAsia="Yu Mincho" w:cs="Arial"/>
        </w:rPr>
        <w:t xml:space="preserve">засгийн </w:t>
      </w:r>
      <w:r w:rsidRPr="3D4E8612">
        <w:rPr>
          <w:rFonts w:eastAsia="Yu Mincho" w:cs="Arial"/>
        </w:rPr>
        <w:t>өсөлтийг голлон дэмжив. Харин худалдааны салбар агшсанаар эдийн засгийн өсөлтийг сааруулж байна.</w:t>
      </w:r>
    </w:p>
    <w:p w14:paraId="241271B0" w14:textId="77777777" w:rsidR="009F7BC6" w:rsidRDefault="009769CC" w:rsidP="009F7BC6">
      <w:pPr>
        <w:spacing w:afterLines="0" w:after="0" w:line="240" w:lineRule="auto"/>
        <w:ind w:firstLine="720"/>
        <w:rPr>
          <w:rFonts w:eastAsia="Yu Mincho" w:cs="Arial"/>
        </w:rPr>
      </w:pPr>
      <w:r w:rsidRPr="52A42C6F">
        <w:rPr>
          <w:rFonts w:eastAsia="Yu Mincho" w:cs="Arial"/>
        </w:rPr>
        <w:lastRenderedPageBreak/>
        <w:t>Нүүрс олборлолт эхний хагас жилд 61 сая тоннд хүрч 48.7 хувиар, зэсийн баяжмал олборлолт 1.2 сая тоннд хүрч 20 хувиар, төмрийн хүдэр олборлолт 4.1 сая тоннд хүрч 21.7 хувиар тус тус өссөнөөр уул уурхайн салбарын үйлдвэрлэлийг голлон тэтгэлээ. Харин алтны олборлолт 4.5 тоннд хүрч өнгөрсөн оны мөн үеийн түвшинд, газрын тос олборлолт 7.3 хувиар буурснаар салбарын өсөлтийг саарууллаа.</w:t>
      </w:r>
    </w:p>
    <w:p w14:paraId="3D582C4E" w14:textId="77777777" w:rsidR="009F7BC6" w:rsidRDefault="009F7BC6" w:rsidP="009F7BC6">
      <w:pPr>
        <w:spacing w:afterLines="0" w:after="0" w:line="240" w:lineRule="auto"/>
        <w:ind w:firstLine="720"/>
        <w:rPr>
          <w:rFonts w:eastAsia="Yu Mincho" w:cs="Arial"/>
        </w:rPr>
      </w:pPr>
    </w:p>
    <w:p w14:paraId="0A077C98" w14:textId="25183616" w:rsidR="009F7BC6" w:rsidRDefault="009769CC" w:rsidP="009F7BC6">
      <w:pPr>
        <w:spacing w:afterLines="0" w:after="0" w:line="240" w:lineRule="auto"/>
        <w:ind w:firstLine="720"/>
        <w:rPr>
          <w:rFonts w:eastAsia="Yu Mincho" w:cs="Arial"/>
        </w:rPr>
      </w:pPr>
      <w:r w:rsidRPr="3DE8C98E">
        <w:rPr>
          <w:rFonts w:eastAsia="Yu Mincho" w:cs="Arial"/>
        </w:rPr>
        <w:t xml:space="preserve">Уул уурхайн салбарын идэвхжилийг даган тээврийн салбар оны эхний хагас жилийн байдлаар 21.5 хувиар өслөө. Өсөлтийг төмөр замаар тээсэн ачаа </w:t>
      </w:r>
      <w:r w:rsidR="009F7BC6">
        <w:rPr>
          <w:rFonts w:eastAsia="Yu Mincho" w:cs="Arial"/>
        </w:rPr>
        <w:t xml:space="preserve">               </w:t>
      </w:r>
      <w:r w:rsidRPr="3DE8C98E">
        <w:rPr>
          <w:rFonts w:eastAsia="Yu Mincho" w:cs="Arial"/>
        </w:rPr>
        <w:t>47.2 хувиар, авто замаар тээсэн ачаа 53 хувиар тус тус нэмэгдсэн нь голлон тэтгэв.</w:t>
      </w:r>
    </w:p>
    <w:p w14:paraId="274DD86C" w14:textId="77777777" w:rsidR="009F7BC6" w:rsidRDefault="009F7BC6" w:rsidP="009F7BC6">
      <w:pPr>
        <w:spacing w:afterLines="0" w:after="0" w:line="240" w:lineRule="auto"/>
        <w:ind w:firstLine="720"/>
        <w:rPr>
          <w:rFonts w:eastAsia="Yu Mincho" w:cs="Arial"/>
        </w:rPr>
      </w:pPr>
    </w:p>
    <w:p w14:paraId="17F05E19" w14:textId="77777777" w:rsidR="009F7BC6" w:rsidRDefault="0CBD36F1" w:rsidP="009F7BC6">
      <w:pPr>
        <w:spacing w:afterLines="0" w:after="0" w:line="240" w:lineRule="auto"/>
        <w:ind w:firstLine="720"/>
        <w:rPr>
          <w:rFonts w:eastAsia="Yu Mincho" w:cs="Arial"/>
        </w:rPr>
      </w:pPr>
      <w:r w:rsidRPr="49CD4DC4">
        <w:rPr>
          <w:rFonts w:eastAsia="Yu Mincho" w:cs="Arial"/>
        </w:rPr>
        <w:t>Хөдөө аж ахуйн салбарын хувьд</w:t>
      </w:r>
      <w:r w:rsidR="009769CC" w:rsidRPr="49CD4DC4">
        <w:rPr>
          <w:rFonts w:eastAsia="Yu Mincho" w:cs="Arial"/>
        </w:rPr>
        <w:t xml:space="preserve"> өвөлжилт харьцангуй хэвийн байсан ч хаврын саруудад зарим нутгаар цас, шороон шуургатай хүйтэн байсан нөлөөгөөр бойжсон төлийн тоо толгой 4.2 саяд хүрч (төл бойжилт 98.8 хувь) өмнөх оны </w:t>
      </w:r>
      <w:r w:rsidR="375727F7" w:rsidRPr="49CD4DC4">
        <w:rPr>
          <w:rFonts w:eastAsia="Yu Mincho" w:cs="Arial"/>
        </w:rPr>
        <w:t xml:space="preserve">мөн </w:t>
      </w:r>
      <w:r w:rsidR="009769CC" w:rsidRPr="49CD4DC4">
        <w:rPr>
          <w:rFonts w:eastAsia="Yu Mincho" w:cs="Arial"/>
        </w:rPr>
        <w:t>үеэс 426 мянган толгой малаар буурсан байна. Түүнчлэн өмнө нь бүртгэгдэж байгаагүй хэв шинжийн шүлхий өвчин тархаж, малын халдварт өвчний тархалт нэмэгдсэн</w:t>
      </w:r>
      <w:r w:rsidR="11A0522D" w:rsidRPr="49CD4DC4">
        <w:rPr>
          <w:rFonts w:eastAsia="Yu Mincho" w:cs="Arial"/>
        </w:rPr>
        <w:t xml:space="preserve"> нөлөөгөөр</w:t>
      </w:r>
      <w:r w:rsidR="009769CC" w:rsidRPr="49CD4DC4">
        <w:rPr>
          <w:rFonts w:eastAsia="Yu Mincho" w:cs="Arial"/>
        </w:rPr>
        <w:t xml:space="preserve"> том малын зүй бус хорогдол 178 мянган толгойд хүрч өмнөх оны мөн үеэс 94 мянган толгой малаар өссөн байна. </w:t>
      </w:r>
      <w:r w:rsidR="5296684C" w:rsidRPr="49CD4DC4">
        <w:rPr>
          <w:rFonts w:eastAsia="Yu Mincho" w:cs="Arial"/>
        </w:rPr>
        <w:t>Ингэснээр</w:t>
      </w:r>
      <w:r w:rsidR="009769CC" w:rsidRPr="49CD4DC4">
        <w:rPr>
          <w:rFonts w:eastAsia="Yu Mincho" w:cs="Arial"/>
        </w:rPr>
        <w:t xml:space="preserve"> хөдөө аж ахуйн салбарын 90 орчим хувийг бүрдүүлдэг мал аж ахуйн салбарын үйлдвэрлэлийн өсөлт</w:t>
      </w:r>
      <w:r w:rsidR="441FDB92" w:rsidRPr="49CD4DC4">
        <w:rPr>
          <w:rFonts w:eastAsia="Yu Mincho" w:cs="Arial"/>
        </w:rPr>
        <w:t>ийн хурд</w:t>
      </w:r>
      <w:r w:rsidR="009769CC" w:rsidRPr="49CD4DC4">
        <w:rPr>
          <w:rFonts w:eastAsia="Yu Mincho" w:cs="Arial"/>
        </w:rPr>
        <w:t xml:space="preserve"> саарав. </w:t>
      </w:r>
      <w:r w:rsidR="5E07F585" w:rsidRPr="7AACB297">
        <w:rPr>
          <w:rFonts w:eastAsia="Yu Mincho" w:cs="Arial"/>
        </w:rPr>
        <w:t>Газар тариалангийн хувьд</w:t>
      </w:r>
      <w:r w:rsidR="267778BB" w:rsidRPr="734415B4">
        <w:rPr>
          <w:rFonts w:eastAsia="Yu Mincho" w:cs="Arial"/>
        </w:rPr>
        <w:t xml:space="preserve"> </w:t>
      </w:r>
      <w:r w:rsidR="7BA94FA8" w:rsidRPr="5DD54856">
        <w:rPr>
          <w:rFonts w:eastAsia="Yu Mincho" w:cs="Arial"/>
        </w:rPr>
        <w:t xml:space="preserve">эхний 6 сарын </w:t>
      </w:r>
      <w:r w:rsidR="7BA94FA8" w:rsidRPr="356265B6">
        <w:rPr>
          <w:rFonts w:eastAsia="Yu Mincho" w:cs="Arial"/>
        </w:rPr>
        <w:t>байдлаар тариалсан</w:t>
      </w:r>
      <w:r w:rsidR="7BA94FA8" w:rsidRPr="0F7FA365">
        <w:rPr>
          <w:rFonts w:eastAsia="Yu Mincho" w:cs="Arial"/>
        </w:rPr>
        <w:t xml:space="preserve"> талбайн</w:t>
      </w:r>
      <w:r w:rsidR="7BA94FA8" w:rsidRPr="0F8AAE23">
        <w:rPr>
          <w:rFonts w:eastAsia="Yu Mincho" w:cs="Arial"/>
        </w:rPr>
        <w:t xml:space="preserve"> хэмжээ </w:t>
      </w:r>
      <w:r w:rsidR="7BA94FA8" w:rsidRPr="47AECEA4">
        <w:rPr>
          <w:rFonts w:eastAsia="Yu Mincho" w:cs="Arial"/>
        </w:rPr>
        <w:t>575</w:t>
      </w:r>
      <w:r w:rsidR="7BA94FA8" w:rsidRPr="29934F97">
        <w:rPr>
          <w:rFonts w:eastAsia="Yu Mincho" w:cs="Arial"/>
        </w:rPr>
        <w:t xml:space="preserve">.5 </w:t>
      </w:r>
      <w:r w:rsidR="7BA94FA8" w:rsidRPr="136DB5FA">
        <w:rPr>
          <w:rFonts w:eastAsia="Yu Mincho" w:cs="Arial"/>
        </w:rPr>
        <w:t xml:space="preserve">мянга га-д </w:t>
      </w:r>
      <w:r w:rsidR="7BA94FA8" w:rsidRPr="693DAC74">
        <w:rPr>
          <w:rFonts w:eastAsia="Yu Mincho" w:cs="Arial"/>
        </w:rPr>
        <w:t>хүр</w:t>
      </w:r>
      <w:r w:rsidR="7F32F46A" w:rsidRPr="693DAC74">
        <w:rPr>
          <w:rFonts w:eastAsia="Yu Mincho" w:cs="Arial"/>
        </w:rPr>
        <w:t xml:space="preserve">ч </w:t>
      </w:r>
      <w:r w:rsidR="7F32F46A" w:rsidRPr="17F6CD51">
        <w:rPr>
          <w:rFonts w:eastAsia="Yu Mincho" w:cs="Arial"/>
        </w:rPr>
        <w:t>өмнөх оны мөн</w:t>
      </w:r>
      <w:r w:rsidR="7F32F46A" w:rsidRPr="33D12F19">
        <w:rPr>
          <w:rFonts w:eastAsia="Yu Mincho" w:cs="Arial"/>
        </w:rPr>
        <w:t xml:space="preserve"> </w:t>
      </w:r>
      <w:r w:rsidR="7F32F46A" w:rsidRPr="1DB2E29A">
        <w:rPr>
          <w:rFonts w:eastAsia="Yu Mincho" w:cs="Arial"/>
        </w:rPr>
        <w:t xml:space="preserve">үеэс 21.8 </w:t>
      </w:r>
      <w:r w:rsidR="7F32F46A" w:rsidRPr="5C4057B5">
        <w:rPr>
          <w:rFonts w:eastAsia="Yu Mincho" w:cs="Arial"/>
        </w:rPr>
        <w:t>мянган га</w:t>
      </w:r>
      <w:r w:rsidR="7F32F46A" w:rsidRPr="7DB06313">
        <w:rPr>
          <w:rFonts w:eastAsia="Yu Mincho" w:cs="Arial"/>
        </w:rPr>
        <w:t xml:space="preserve">-аар </w:t>
      </w:r>
      <w:r w:rsidR="7F32F46A" w:rsidRPr="20233D79">
        <w:rPr>
          <w:rFonts w:eastAsia="Yu Mincho" w:cs="Arial"/>
        </w:rPr>
        <w:t xml:space="preserve">буюу 3.9 хувиар </w:t>
      </w:r>
      <w:r w:rsidR="7F32F46A" w:rsidRPr="4B49C6F7">
        <w:rPr>
          <w:rFonts w:eastAsia="Yu Mincho" w:cs="Arial"/>
        </w:rPr>
        <w:t>өс</w:t>
      </w:r>
      <w:r w:rsidR="7EC51692" w:rsidRPr="4B49C6F7">
        <w:rPr>
          <w:rFonts w:eastAsia="Yu Mincho" w:cs="Arial"/>
        </w:rPr>
        <w:t>сөн байна.</w:t>
      </w:r>
    </w:p>
    <w:p w14:paraId="441078A8" w14:textId="77777777" w:rsidR="009F7BC6" w:rsidRDefault="009F7BC6" w:rsidP="009F7BC6">
      <w:pPr>
        <w:spacing w:afterLines="0" w:after="0" w:line="240" w:lineRule="auto"/>
        <w:ind w:firstLine="720"/>
        <w:rPr>
          <w:rFonts w:eastAsia="Yu Mincho" w:cs="Arial"/>
        </w:rPr>
      </w:pPr>
    </w:p>
    <w:p w14:paraId="35C1A97E" w14:textId="77777777" w:rsidR="009F7BC6" w:rsidRDefault="009769CC" w:rsidP="009F7BC6">
      <w:pPr>
        <w:spacing w:afterLines="0" w:after="0" w:line="240" w:lineRule="auto"/>
        <w:ind w:firstLine="720"/>
        <w:rPr>
          <w:rFonts w:eastAsia="Yu Mincho" w:cs="Arial"/>
        </w:rPr>
      </w:pPr>
      <w:r w:rsidRPr="7AACB297">
        <w:rPr>
          <w:rFonts w:eastAsia="Yu Mincho" w:cs="Arial"/>
        </w:rPr>
        <w:t>Мал аж ахуйн салбарын өсөлт саарч, өмнөх жилийн гангийн нөлөөгөөр хүнсний ногоо, улаан буудайн ургац буурс</w:t>
      </w:r>
      <w:r w:rsidR="64BD331A" w:rsidRPr="7AACB297">
        <w:rPr>
          <w:rFonts w:eastAsia="Yu Mincho" w:cs="Arial"/>
        </w:rPr>
        <w:t>наар хүнсний боловсруулах үйлдвэрлэл буурсан</w:t>
      </w:r>
      <w:r w:rsidRPr="7AACB297">
        <w:rPr>
          <w:rFonts w:eastAsia="Yu Mincho" w:cs="Arial"/>
        </w:rPr>
        <w:t xml:space="preserve"> ч химийн бодис, химийн бодисоор хийсэн бүтээгдэхүүн болон төмөрлөг бус эрдэс бодисоор хийсэн эдлэлийн үйлдвэрлэл өссөнөөр боловсруулах үйлдвэрлэлийн салбарын үйлдвэрлэл өмнөх оны мөн үеэс 1.2 хувиар өссөн байна. </w:t>
      </w:r>
    </w:p>
    <w:p w14:paraId="70E11CF9" w14:textId="77777777" w:rsidR="009F7BC6" w:rsidRDefault="009F7BC6" w:rsidP="009F7BC6">
      <w:pPr>
        <w:spacing w:afterLines="0" w:after="0" w:line="240" w:lineRule="auto"/>
        <w:ind w:firstLine="720"/>
        <w:rPr>
          <w:rFonts w:eastAsia="Yu Mincho" w:cs="Arial"/>
        </w:rPr>
      </w:pPr>
    </w:p>
    <w:p w14:paraId="3A44D271" w14:textId="77777777" w:rsidR="009F7BC6" w:rsidRDefault="009769CC" w:rsidP="009F7BC6">
      <w:pPr>
        <w:spacing w:afterLines="0" w:after="0" w:line="240" w:lineRule="auto"/>
        <w:ind w:firstLine="720"/>
        <w:rPr>
          <w:rFonts w:eastAsia="Yu Mincho" w:cs="Arial"/>
        </w:rPr>
      </w:pPr>
      <w:r w:rsidRPr="636F7C02">
        <w:rPr>
          <w:rFonts w:eastAsia="Yu Mincho" w:cs="Arial"/>
        </w:rPr>
        <w:t>Барилгын салбарын өсөлтийг орон сууцны барилга байгууламжийн ажлууд, Багахангай-Хөшигийн хөндий чиглэлийн төмөр замын бүтээн байгуулалтын ажил дуусаж цаашид Эмээлт чиглэл рүү холбох гүүр далан зэрэг дэд бүтцийн ажлууд болон төмөр замын бүтээн байгуулалт, айм</w:t>
      </w:r>
      <w:r w:rsidR="205037D4" w:rsidRPr="636F7C02">
        <w:rPr>
          <w:rFonts w:eastAsia="Yu Mincho" w:cs="Arial"/>
        </w:rPr>
        <w:t>аг</w:t>
      </w:r>
      <w:r w:rsidRPr="636F7C02">
        <w:rPr>
          <w:rFonts w:eastAsia="Yu Mincho" w:cs="Arial"/>
        </w:rPr>
        <w:t>, нийслэлийн авто зам</w:t>
      </w:r>
      <w:r w:rsidR="5E7903F5" w:rsidRPr="636F7C02">
        <w:rPr>
          <w:rFonts w:eastAsia="Yu Mincho" w:cs="Arial"/>
        </w:rPr>
        <w:t>,</w:t>
      </w:r>
      <w:r w:rsidRPr="636F7C02">
        <w:rPr>
          <w:rFonts w:eastAsia="Yu Mincho" w:cs="Arial"/>
        </w:rPr>
        <w:t xml:space="preserve"> гүүрэн байгууламжийн төслүүд үргэлжлүүлэн тэтгэснээр 2026 оны эхний хагаст 7.9 хувиар өслөө.</w:t>
      </w:r>
    </w:p>
    <w:p w14:paraId="1B4E02D3" w14:textId="77777777" w:rsidR="009F7BC6" w:rsidRDefault="009F7BC6" w:rsidP="009F7BC6">
      <w:pPr>
        <w:spacing w:afterLines="0" w:after="0" w:line="240" w:lineRule="auto"/>
        <w:ind w:firstLine="720"/>
        <w:rPr>
          <w:rFonts w:eastAsia="Yu Mincho" w:cs="Arial"/>
        </w:rPr>
      </w:pPr>
    </w:p>
    <w:p w14:paraId="2895A2EC" w14:textId="77777777" w:rsidR="009F7BC6" w:rsidRDefault="009769CC" w:rsidP="009F7BC6">
      <w:pPr>
        <w:spacing w:afterLines="0" w:after="0" w:line="240" w:lineRule="auto"/>
        <w:ind w:firstLine="720"/>
        <w:rPr>
          <w:rFonts w:eastAsia="Yu Mincho" w:cs="Arial"/>
        </w:rPr>
      </w:pPr>
      <w:r w:rsidRPr="233FF9EC">
        <w:rPr>
          <w:rFonts w:eastAsia="Yu Mincho" w:cs="Arial"/>
        </w:rPr>
        <w:t>Эрчим хүчний салбарын өсөлт тогтвортой хадгалагдан 7.4 хувиар өсөж, нийт эдийн засгийн өсөлтийн 0.2 нэгж хувийг бүрдүүлэв. Цахилгаан эрчим хүч үйлдвэрлэл 4.7 тэрбум кВт цагт хүрч, өмнөх оны мөн үеэс 8.0 хувиар, дулааны эрчим хүч үйлдвэрлэл 9.8 сая Гкалд хүрч, 3.7 хувиар нэмэгдсэнээр эрчим хүчний үйлдвэрлэлийн өсөлт тогтвортой хадгалагдлаа.</w:t>
      </w:r>
    </w:p>
    <w:p w14:paraId="53BC960E" w14:textId="77777777" w:rsidR="009F7BC6" w:rsidRDefault="009F7BC6" w:rsidP="009F7BC6">
      <w:pPr>
        <w:spacing w:afterLines="0" w:after="0" w:line="240" w:lineRule="auto"/>
        <w:ind w:firstLine="720"/>
        <w:rPr>
          <w:rFonts w:eastAsia="Yu Mincho" w:cs="Arial"/>
        </w:rPr>
      </w:pPr>
    </w:p>
    <w:p w14:paraId="7049F55D" w14:textId="2CA0D3CB" w:rsidR="009769CC" w:rsidRPr="009F7BC6" w:rsidRDefault="009769CC" w:rsidP="009F7BC6">
      <w:pPr>
        <w:spacing w:afterLines="0" w:after="0" w:line="240" w:lineRule="auto"/>
        <w:ind w:firstLine="720"/>
        <w:rPr>
          <w:rFonts w:eastAsia="Yu Mincho" w:cs="Arial"/>
        </w:rPr>
      </w:pPr>
      <w:r w:rsidRPr="0FEA8B46">
        <w:rPr>
          <w:rFonts w:eastAsia="Yu Mincho" w:cs="Arial"/>
          <w:b/>
          <w:i/>
        </w:rPr>
        <w:t>Гадаад эрэлт:</w:t>
      </w:r>
      <w:r w:rsidRPr="00614D1A">
        <w:rPr>
          <w:rFonts w:cs="Arial"/>
        </w:rPr>
        <w:t xml:space="preserve"> БНХАУ-ын </w:t>
      </w:r>
      <w:r w:rsidR="00F20D10" w:rsidRPr="00614D1A">
        <w:rPr>
          <w:rFonts w:cs="Arial"/>
        </w:rPr>
        <w:t>дотоодын</w:t>
      </w:r>
      <w:r w:rsidRPr="00614D1A">
        <w:rPr>
          <w:rFonts w:cs="Arial"/>
        </w:rPr>
        <w:t xml:space="preserve"> нүүрсний </w:t>
      </w:r>
      <w:r w:rsidR="009C037F" w:rsidRPr="00614D1A">
        <w:rPr>
          <w:rFonts w:cs="Arial"/>
        </w:rPr>
        <w:t xml:space="preserve">үйлдвэрлэл </w:t>
      </w:r>
      <w:r w:rsidR="00F20D10" w:rsidRPr="00614D1A">
        <w:rPr>
          <w:rFonts w:cs="Arial"/>
        </w:rPr>
        <w:t>буурсантай холбоотойгоор</w:t>
      </w:r>
      <w:r w:rsidRPr="00614D1A">
        <w:rPr>
          <w:rFonts w:cs="Arial"/>
        </w:rPr>
        <w:t xml:space="preserve"> </w:t>
      </w:r>
      <w:r w:rsidR="00833294" w:rsidRPr="00614D1A">
        <w:rPr>
          <w:rFonts w:cs="Arial"/>
        </w:rPr>
        <w:t xml:space="preserve">коксжих нүүрсний </w:t>
      </w:r>
      <w:r w:rsidR="00F20D10" w:rsidRPr="00614D1A">
        <w:rPr>
          <w:rFonts w:cs="Arial"/>
        </w:rPr>
        <w:t>импортыг</w:t>
      </w:r>
      <w:r w:rsidRPr="00614D1A">
        <w:rPr>
          <w:rFonts w:cs="Arial"/>
        </w:rPr>
        <w:t xml:space="preserve"> эрчимтэй </w:t>
      </w:r>
      <w:r w:rsidR="00833294" w:rsidRPr="00614D1A">
        <w:rPr>
          <w:rFonts w:cs="Arial"/>
        </w:rPr>
        <w:t>нэмэгдүүлж</w:t>
      </w:r>
      <w:r w:rsidR="00F20D10" w:rsidRPr="00614D1A">
        <w:rPr>
          <w:rFonts w:cs="Arial"/>
        </w:rPr>
        <w:t>, Монгол Улсын</w:t>
      </w:r>
      <w:r w:rsidRPr="00614D1A">
        <w:rPr>
          <w:rFonts w:cs="Arial"/>
        </w:rPr>
        <w:t xml:space="preserve"> нүүрсний экспортын биет хэмжээ 2026 оны эхний </w:t>
      </w:r>
      <w:r w:rsidR="00F20D10" w:rsidRPr="00614D1A">
        <w:rPr>
          <w:rFonts w:cs="Arial"/>
        </w:rPr>
        <w:t>хагасын байдлаар</w:t>
      </w:r>
      <w:r w:rsidRPr="00614D1A">
        <w:rPr>
          <w:rFonts w:cs="Arial"/>
        </w:rPr>
        <w:t xml:space="preserve"> 59.2 сая тоннд хүрч, </w:t>
      </w:r>
      <w:r w:rsidR="00F20D10" w:rsidRPr="00614D1A">
        <w:rPr>
          <w:rFonts w:cs="Arial"/>
        </w:rPr>
        <w:t>сүүлийн</w:t>
      </w:r>
      <w:r w:rsidRPr="00614D1A">
        <w:rPr>
          <w:rFonts w:cs="Arial"/>
        </w:rPr>
        <w:t xml:space="preserve"> 3 жилийн эхний </w:t>
      </w:r>
      <w:r w:rsidR="00F20D10" w:rsidRPr="00614D1A">
        <w:rPr>
          <w:rFonts w:cs="Arial"/>
        </w:rPr>
        <w:t>хагасын</w:t>
      </w:r>
      <w:r w:rsidRPr="00614D1A">
        <w:rPr>
          <w:rFonts w:cs="Arial"/>
        </w:rPr>
        <w:t xml:space="preserve"> дунджаас 23.2 сая тонноор </w:t>
      </w:r>
      <w:r w:rsidR="00F20D10" w:rsidRPr="00614D1A">
        <w:rPr>
          <w:rFonts w:cs="Arial"/>
        </w:rPr>
        <w:t>давсан байна.</w:t>
      </w:r>
      <w:r w:rsidRPr="00614D1A">
        <w:rPr>
          <w:rFonts w:cs="Arial"/>
        </w:rPr>
        <w:t xml:space="preserve"> Бараа, үйлчилгээний экспортын өсөлтийн голлох нөлөөгөөр цэвэр экспорт </w:t>
      </w:r>
      <w:r w:rsidR="009F7BC6">
        <w:rPr>
          <w:rFonts w:cs="Arial"/>
        </w:rPr>
        <w:t xml:space="preserve">              </w:t>
      </w:r>
      <w:r w:rsidRPr="00614D1A">
        <w:rPr>
          <w:rFonts w:cs="Arial"/>
        </w:rPr>
        <w:t xml:space="preserve">26.9 хувиар сайжран, нийт өсөлтийг голлон буюу 13.0 нэгж хувиар дэмжлээ. </w:t>
      </w:r>
    </w:p>
    <w:p w14:paraId="723190A4" w14:textId="77777777" w:rsidR="00AC4A0E" w:rsidRDefault="00AC4A0E" w:rsidP="009F7BC6">
      <w:pPr>
        <w:spacing w:afterLines="0" w:after="0" w:line="240" w:lineRule="auto"/>
        <w:ind w:firstLine="720"/>
        <w:rPr>
          <w:rFonts w:eastAsia="Yu Mincho" w:cs="Arial"/>
          <w:b/>
          <w:i/>
        </w:rPr>
      </w:pPr>
    </w:p>
    <w:p w14:paraId="7918555A" w14:textId="429BE874" w:rsidR="009769CC" w:rsidRDefault="009769CC" w:rsidP="009F7BC6">
      <w:pPr>
        <w:spacing w:afterLines="0" w:after="0" w:line="240" w:lineRule="auto"/>
        <w:ind w:firstLine="720"/>
        <w:rPr>
          <w:rFonts w:eastAsia="Yu Mincho" w:cs="Arial"/>
        </w:rPr>
      </w:pPr>
      <w:r w:rsidRPr="6DB02866">
        <w:rPr>
          <w:rFonts w:eastAsia="Yu Mincho" w:cs="Arial"/>
          <w:b/>
          <w:i/>
        </w:rPr>
        <w:t>Дотоод эрэлт:</w:t>
      </w:r>
      <w:r w:rsidRPr="6DB02866">
        <w:rPr>
          <w:rFonts w:eastAsia="Yu Mincho" w:cs="Arial"/>
        </w:rPr>
        <w:t xml:space="preserve"> Нийт хэрэглээ буюу эцсийн хэрэглээний өсөлт 2026 оны эхний хагас жилд 1.3 хувиар өсөж, өсөлтийн хурд алгуур буурч байгаа</w:t>
      </w:r>
      <w:r w:rsidR="4CC8ADE0" w:rsidRPr="6DB02866">
        <w:rPr>
          <w:rFonts w:eastAsia="Yu Mincho" w:cs="Arial"/>
        </w:rPr>
        <w:t>гаас гадна</w:t>
      </w:r>
      <w:r w:rsidRPr="6DB02866">
        <w:rPr>
          <w:rFonts w:eastAsia="Yu Mincho" w:cs="Arial"/>
        </w:rPr>
        <w:t xml:space="preserve"> хөрөнгийн хуримтлал огцом агш</w:t>
      </w:r>
      <w:r w:rsidR="757C5845" w:rsidRPr="6DB02866">
        <w:rPr>
          <w:rFonts w:eastAsia="Yu Mincho" w:cs="Arial"/>
        </w:rPr>
        <w:t>санаар</w:t>
      </w:r>
      <w:r w:rsidRPr="6DB02866">
        <w:rPr>
          <w:rFonts w:eastAsia="Yu Mincho" w:cs="Arial"/>
        </w:rPr>
        <w:t xml:space="preserve"> эдийн засгийн дотоод идэвх суларлаа. </w:t>
      </w:r>
    </w:p>
    <w:p w14:paraId="6056E66C" w14:textId="10ED8FAD" w:rsidR="009769CC" w:rsidRPr="00614D1A" w:rsidRDefault="009769CC" w:rsidP="009F7BC6">
      <w:pPr>
        <w:spacing w:afterLines="0" w:after="0" w:line="240" w:lineRule="auto"/>
        <w:ind w:firstLine="720"/>
        <w:rPr>
          <w:rFonts w:cs="Arial"/>
        </w:rPr>
      </w:pPr>
      <w:r w:rsidRPr="00614D1A">
        <w:rPr>
          <w:rFonts w:cs="Arial"/>
        </w:rPr>
        <w:lastRenderedPageBreak/>
        <w:t>Нийт хөрөнгийн хуримтлал 2026 оны эхний хагас жилд 14.5 хувиар буурч, нийт өсөлтийг 6.5 хувиар хязгаарлав. Хөрөнгийн хуримтлалыг бүтцийн хувьд үндсэн болон эргэлтийн хөрөнгийн гэж ангилдаг. Үндсэн хөрөнгийн хуримтлал талаас орон сууцны барилга байгууламж, биологийн өсөж үрждэг хөрөнгийн өсөлт сайн байгаа хэдий ч машин</w:t>
      </w:r>
      <w:r w:rsidR="1243B0F8" w:rsidRPr="00614D1A">
        <w:rPr>
          <w:rFonts w:cs="Arial"/>
        </w:rPr>
        <w:t>,</w:t>
      </w:r>
      <w:r w:rsidRPr="00614D1A">
        <w:rPr>
          <w:rFonts w:cs="Arial"/>
        </w:rPr>
        <w:t xml:space="preserve"> тоног төхөөрөмжийн хуримтлал 25.5 хувиар буурснаар үндсэн хөрөнгө 2026 оны эхний хагас жилд 11.0 хувиар агшиж, нийт өсөлтийг 4.3 нэгж хувиар хязгаарлав. Түүнчлэн өмнөх оны турш буураад байсан эргэлтийн хөрөнгө буюу бараа, материал, дусаагүй үйлдвэрлэлийн нөөц тайлант улиралд үргэлжлэн буурч, өмнөх оны мөн үеэс 38.6 хувиар агшиж, нийт өсөлтийг 2.2 хувиар хязгаарлав. Үүнд нүүрсний үнийн бууралттай холбоотой овоолгын үнэлгээ буурсан, худалдаа, үйлчилгээний үйл ажиллагаа удааширч татан авалт багассан зэрэг голлон нөлөөлсөн хэвээр байна. </w:t>
      </w:r>
    </w:p>
    <w:p w14:paraId="38E6638C" w14:textId="77777777" w:rsidR="00AC4A0E" w:rsidRDefault="00AC4A0E" w:rsidP="009F7BC6">
      <w:pPr>
        <w:spacing w:afterLines="0" w:after="0" w:line="240" w:lineRule="auto"/>
        <w:ind w:firstLine="720"/>
        <w:rPr>
          <w:rFonts w:cs="Arial"/>
        </w:rPr>
      </w:pPr>
    </w:p>
    <w:p w14:paraId="1AFA487E" w14:textId="3FE73859" w:rsidR="00110549" w:rsidRDefault="009769CC" w:rsidP="009F7BC6">
      <w:pPr>
        <w:spacing w:afterLines="0" w:after="0" w:line="240" w:lineRule="auto"/>
        <w:ind w:firstLine="720"/>
        <w:rPr>
          <w:rFonts w:cs="Arial"/>
        </w:rPr>
      </w:pPr>
      <w:r w:rsidRPr="00614D1A">
        <w:rPr>
          <w:rFonts w:cs="Arial"/>
        </w:rPr>
        <w:t>Нийт</w:t>
      </w:r>
      <w:r w:rsidRPr="6DB02866">
        <w:rPr>
          <w:rFonts w:eastAsia="Yu Mincho" w:cs="Arial"/>
        </w:rPr>
        <w:t xml:space="preserve"> хэрэглээ буюу эцсийн</w:t>
      </w:r>
      <w:r w:rsidRPr="00614D1A">
        <w:rPr>
          <w:rFonts w:cs="Arial"/>
        </w:rPr>
        <w:t xml:space="preserve"> хэрэглээг өрхийн болон төрийн хэрэглээ бүрдүүлдэг. Өрхийн хэрэглээ алгуур саарч, төрийн хэрэглээ эцсийн хэрэглээг голлон дэмжив. Төрийн байгууллагын хэрэглээ 2025 онд суурийн өндөр нөлөөгөөр агшаад байсан бол 2026 оны эхний хагас жилд өмнөх оны мөн үеэс 4.2 хувиар тэлж, нийт өсөлтийг 0.9 нэгж хувиар дэмжлээ. Өрхийн хэрэглээний төлөвийг тодорхойлогч өрхийн бодит орлого 2026 оны эхний улиралд 6.0 хувиар өсөж байсан бол 2 дугаар улирлын байдлаар 4.9 хувиар буурч, огцом агшлаа. Өрхийн цалин хөлсний орлогын өсөлт 2.0 хувь болж өсөлтийн эрчим саарсны зэрэгцээ тэтгэвэр тэтгэмжийн орлого 0.4 хувь, өрхийн үйлдвэрлэл, үйлчилгээний орлого 33.5 хувиар тус тус агшиж, өсөлтийг хязгаарлав. Засгийн газраас өрхийн орлогыг дэмжих чиглэлд 2026 оны </w:t>
      </w:r>
      <w:r w:rsidR="00AC4A0E">
        <w:rPr>
          <w:rFonts w:cs="Arial"/>
        </w:rPr>
        <w:t xml:space="preserve">        </w:t>
      </w:r>
      <w:r w:rsidRPr="00614D1A">
        <w:rPr>
          <w:rFonts w:cs="Arial"/>
        </w:rPr>
        <w:t>1 дүгээр сарын 1-н</w:t>
      </w:r>
      <w:r w:rsidR="37152D6C" w:rsidRPr="00614D1A">
        <w:rPr>
          <w:rFonts w:cs="Arial"/>
        </w:rPr>
        <w:t>ий</w:t>
      </w:r>
      <w:r w:rsidRPr="00614D1A">
        <w:rPr>
          <w:rFonts w:cs="Arial"/>
        </w:rPr>
        <w:t xml:space="preserve"> өдрөөс эхлэн цалин, тэтгэврийг нэмэх шийдвэр гаргасан хэдий ч инфляцын түвшин 2026 оны 2 дугаар улирлаас эхлэн </w:t>
      </w:r>
      <w:r w:rsidR="065A9F98" w:rsidRPr="00614D1A">
        <w:rPr>
          <w:rFonts w:cs="Arial"/>
        </w:rPr>
        <w:t>т</w:t>
      </w:r>
      <w:r w:rsidRPr="00614D1A">
        <w:rPr>
          <w:rFonts w:cs="Arial"/>
        </w:rPr>
        <w:t xml:space="preserve">өв банкны зорилтот түвшнээс дээгүүр гарч, өрхийн бодит орлогын өсөлтийг хязгаарлав. </w:t>
      </w:r>
    </w:p>
    <w:p w14:paraId="1A3282BD" w14:textId="77777777" w:rsidR="00AC4A0E" w:rsidRDefault="00AC4A0E" w:rsidP="009F7BC6">
      <w:pPr>
        <w:spacing w:afterLines="0" w:after="0" w:line="240" w:lineRule="auto"/>
        <w:ind w:firstLine="720"/>
        <w:rPr>
          <w:rFonts w:cs="Arial"/>
        </w:rPr>
      </w:pPr>
    </w:p>
    <w:p w14:paraId="2B02F9AE" w14:textId="7985B9B6" w:rsidR="009769CC" w:rsidRPr="00614D1A" w:rsidRDefault="009769CC" w:rsidP="009F7BC6">
      <w:pPr>
        <w:spacing w:afterLines="0" w:after="0" w:line="240" w:lineRule="auto"/>
        <w:ind w:firstLine="720"/>
        <w:rPr>
          <w:rFonts w:cs="Arial"/>
        </w:rPr>
      </w:pPr>
      <w:r w:rsidRPr="00614D1A">
        <w:rPr>
          <w:rFonts w:cs="Arial"/>
        </w:rPr>
        <w:t>Т</w:t>
      </w:r>
      <w:r w:rsidR="01461B0E" w:rsidRPr="00614D1A">
        <w:rPr>
          <w:rFonts w:cs="Arial"/>
        </w:rPr>
        <w:t>одруул</w:t>
      </w:r>
      <w:r w:rsidRPr="00614D1A">
        <w:rPr>
          <w:rFonts w:cs="Arial"/>
        </w:rPr>
        <w:t>бал</w:t>
      </w:r>
      <w:r w:rsidR="00110549">
        <w:rPr>
          <w:rFonts w:cs="Arial"/>
        </w:rPr>
        <w:t xml:space="preserve">, </w:t>
      </w:r>
      <w:r w:rsidRPr="00614D1A">
        <w:rPr>
          <w:rFonts w:cs="Arial"/>
        </w:rPr>
        <w:t xml:space="preserve">Хөдөлмөрийн зах зээл 2026 оны </w:t>
      </w:r>
      <w:r w:rsidR="0054170E" w:rsidRPr="00614D1A">
        <w:rPr>
          <w:rFonts w:cs="Arial"/>
        </w:rPr>
        <w:t>2 дугаар</w:t>
      </w:r>
      <w:r w:rsidRPr="00614D1A">
        <w:rPr>
          <w:rFonts w:cs="Arial"/>
        </w:rPr>
        <w:t xml:space="preserve"> улиралд саарч, ажиллагчдын тоо өмнөх оны мөн үеэс </w:t>
      </w:r>
      <w:r w:rsidR="00166976" w:rsidRPr="00614D1A">
        <w:rPr>
          <w:rFonts w:cs="Arial"/>
        </w:rPr>
        <w:t>0.6</w:t>
      </w:r>
      <w:r w:rsidRPr="00614D1A">
        <w:rPr>
          <w:rFonts w:cs="Arial"/>
        </w:rPr>
        <w:t xml:space="preserve"> хувиар буурсан боловч Засгийн газраас авч хэрэгжүүлсэн бодлогууд өрхийн цалин хөлсний орлогын өсөлтийг дэмжсэн. Тухайлбал, Засгийн газраас ерөнхий боловсролын сургууль, сургуулийн өмнөх боловсролын байгууллагын багш, ажилчдын үндсэн цалинг 2026 оны 1 дүгээр сарын 1-нээс эхлэн 50 хувиар, эмч ажилчдыг 30 хувиар тус тус нэмэгдүүлж, цалингийн орлогыг дэмжлээ. Мөн хөдөөгийн суманд ажиллаж байгаа төрийн албан </w:t>
      </w:r>
      <w:r w:rsidR="00B85B75" w:rsidRPr="00614D1A">
        <w:rPr>
          <w:rFonts w:cs="Arial"/>
        </w:rPr>
        <w:t>хаагчдад</w:t>
      </w:r>
      <w:r w:rsidRPr="00614D1A">
        <w:rPr>
          <w:rFonts w:cs="Arial"/>
        </w:rPr>
        <w:t xml:space="preserve"> 2024 оны 4 дүгээр сарын 1-ний өдрөөс эхлэн үндсэн цалингийн 40 хувиар, аймгийн төвийн суманд 20 хувиар тус тус тооцож орон нутгийн нэмэгдэл олгохоор шийдвэрлэсэн. Дээрх шийдвэрийн нөлөөгөөр хөдөөгийн өрхийн орлогод эзлэх цалин хөлсний орлогын хувь хэмжээ алгуур нэмэгдэж, өрхийн орлогыг дэмжих нөлөө үзүүлж байна.</w:t>
      </w:r>
    </w:p>
    <w:p w14:paraId="0106E13C" w14:textId="77777777" w:rsidR="00AC4A0E" w:rsidRDefault="00AC4A0E" w:rsidP="009F7BC6">
      <w:pPr>
        <w:spacing w:afterLines="0" w:after="0" w:line="240" w:lineRule="auto"/>
        <w:ind w:firstLine="720"/>
        <w:rPr>
          <w:rFonts w:cs="Arial"/>
        </w:rPr>
      </w:pPr>
    </w:p>
    <w:p w14:paraId="2C313FBC" w14:textId="246991B0" w:rsidR="009769CC" w:rsidRPr="00614D1A" w:rsidRDefault="009769CC" w:rsidP="009F7BC6">
      <w:pPr>
        <w:spacing w:afterLines="0" w:after="0" w:line="240" w:lineRule="auto"/>
        <w:ind w:firstLine="720"/>
        <w:rPr>
          <w:rFonts w:cs="Arial"/>
        </w:rPr>
      </w:pPr>
      <w:r w:rsidRPr="00614D1A">
        <w:rPr>
          <w:rFonts w:cs="Arial"/>
        </w:rPr>
        <w:t>Өрхийн тэтгэвэр, тэтгэмжийн орлого 2025 оны 3, 4 дүгээр улиралд дараалан буураад байсан. Үүнтэй уялдуулан Засгийн газрын 2025 оны 242 дугаар тогтоолоор Нийгмийн даатгалын сангаас олгох бүрэн тэтгэвэр, цэргийн тэтгэврийн доод хэмжээ, хувь тэнцүүлэн тогтоосон тэтгэврийн доод хэмжээг нэмэгдүүлэн шинэчлэн тогтоож, 2026 оны 1 дүгээр сарын 1-н</w:t>
      </w:r>
      <w:r w:rsidR="01D7413B" w:rsidRPr="00614D1A">
        <w:rPr>
          <w:rFonts w:cs="Arial"/>
        </w:rPr>
        <w:t>ий</w:t>
      </w:r>
      <w:r w:rsidRPr="00614D1A">
        <w:rPr>
          <w:rFonts w:cs="Arial"/>
        </w:rPr>
        <w:t xml:space="preserve"> өдрөөс эхлэн дагаж мөрдөхөөр баталсан. Мөн Засгийн газрын 2025 оны 241 д</w:t>
      </w:r>
      <w:r w:rsidR="4DBE21F8" w:rsidRPr="00614D1A">
        <w:rPr>
          <w:rFonts w:cs="Arial"/>
        </w:rPr>
        <w:t>ү</w:t>
      </w:r>
      <w:r w:rsidRPr="00614D1A">
        <w:rPr>
          <w:rFonts w:cs="Arial"/>
        </w:rPr>
        <w:t>г</w:t>
      </w:r>
      <w:r w:rsidR="176F2108" w:rsidRPr="00614D1A">
        <w:rPr>
          <w:rFonts w:cs="Arial"/>
        </w:rPr>
        <w:t>ээ</w:t>
      </w:r>
      <w:r w:rsidRPr="00614D1A">
        <w:rPr>
          <w:rFonts w:cs="Arial"/>
        </w:rPr>
        <w:t>р тогтоолоор нийгмийн халамжийн тэтгэврий</w:t>
      </w:r>
      <w:r w:rsidR="61910D72" w:rsidRPr="00614D1A">
        <w:rPr>
          <w:rFonts w:cs="Arial"/>
        </w:rPr>
        <w:t>г</w:t>
      </w:r>
      <w:r w:rsidRPr="00614D1A">
        <w:rPr>
          <w:rFonts w:cs="Arial"/>
        </w:rPr>
        <w:t xml:space="preserve"> нэмэгдүүлэн шинэчлэн тогтоосон нь өрхийн тэтгэвэр, тэтгэмжийн орлогын өсөлтийг дэмжсэн.</w:t>
      </w:r>
    </w:p>
    <w:p w14:paraId="6DBF0E36" w14:textId="77777777" w:rsidR="00AC4A0E" w:rsidRDefault="00AC4A0E" w:rsidP="009F7BC6">
      <w:pPr>
        <w:tabs>
          <w:tab w:val="right" w:leader="dot" w:pos="9354"/>
        </w:tabs>
        <w:spacing w:afterLines="0" w:after="0" w:line="240" w:lineRule="auto"/>
        <w:ind w:firstLine="720"/>
        <w:rPr>
          <w:rFonts w:cs="Arial"/>
          <w:b/>
          <w:i/>
          <w:color w:val="000000" w:themeColor="text1"/>
        </w:rPr>
      </w:pPr>
    </w:p>
    <w:p w14:paraId="64428722" w14:textId="7FFB7B88" w:rsidR="00443B5F" w:rsidRDefault="007C2DF3" w:rsidP="009F7BC6">
      <w:pPr>
        <w:tabs>
          <w:tab w:val="right" w:leader="dot" w:pos="9354"/>
        </w:tabs>
        <w:spacing w:afterLines="0" w:after="0" w:line="240" w:lineRule="auto"/>
        <w:ind w:firstLine="720"/>
        <w:rPr>
          <w:rFonts w:cs="Arial"/>
        </w:rPr>
      </w:pPr>
      <w:r w:rsidRPr="00E121D6">
        <w:rPr>
          <w:rFonts w:cs="Arial"/>
          <w:b/>
          <w:i/>
          <w:color w:val="000000" w:themeColor="text1"/>
        </w:rPr>
        <w:t>2026 оны х</w:t>
      </w:r>
      <w:r w:rsidR="00261F8B" w:rsidRPr="00E121D6">
        <w:rPr>
          <w:rFonts w:cs="Arial"/>
          <w:b/>
          <w:i/>
          <w:color w:val="000000" w:themeColor="text1"/>
        </w:rPr>
        <w:t>үлээгдэж буй гүйцэтгэл:</w:t>
      </w:r>
      <w:r w:rsidR="00261F8B" w:rsidRPr="00E121D6">
        <w:rPr>
          <w:rFonts w:cs="Arial"/>
          <w:color w:val="000000" w:themeColor="text1"/>
        </w:rPr>
        <w:t xml:space="preserve"> </w:t>
      </w:r>
      <w:r w:rsidR="11FCAF68" w:rsidRPr="4FB783B1">
        <w:rPr>
          <w:rFonts w:cs="Arial"/>
        </w:rPr>
        <w:t xml:space="preserve">Дээрх </w:t>
      </w:r>
      <w:r w:rsidR="11FCAF68" w:rsidRPr="09E4E1E5">
        <w:rPr>
          <w:rFonts w:cs="Arial"/>
        </w:rPr>
        <w:t>үзүүлэлтүүдэд</w:t>
      </w:r>
      <w:r w:rsidR="00443B5F" w:rsidRPr="02B021E2">
        <w:rPr>
          <w:rFonts w:cs="Arial"/>
        </w:rPr>
        <w:t xml:space="preserve"> үндэслэн 2026 оны </w:t>
      </w:r>
      <w:r w:rsidR="40F1CBF0" w:rsidRPr="02B021E2">
        <w:rPr>
          <w:rFonts w:cs="Arial"/>
        </w:rPr>
        <w:t>эдийн засгийн өсөлтийн</w:t>
      </w:r>
      <w:r w:rsidR="00443B5F" w:rsidRPr="02B021E2">
        <w:rPr>
          <w:rFonts w:cs="Arial"/>
        </w:rPr>
        <w:t xml:space="preserve"> </w:t>
      </w:r>
      <w:r w:rsidR="32DBFA8B" w:rsidRPr="02B021E2">
        <w:rPr>
          <w:rFonts w:cs="Arial"/>
        </w:rPr>
        <w:t>хүлээгдэж буй гүйцэтгэлий</w:t>
      </w:r>
      <w:r w:rsidR="00443B5F" w:rsidRPr="02B021E2">
        <w:rPr>
          <w:rFonts w:cs="Arial"/>
        </w:rPr>
        <w:t xml:space="preserve">г 5.7 хувь байхаар төсөөлж байна. Салбаруудаар авч үзвэл, нүүрс, зэсийн олборлолтын эрчим хадгалагдсанаар </w:t>
      </w:r>
      <w:r w:rsidR="00443B5F" w:rsidRPr="02B021E2">
        <w:rPr>
          <w:rFonts w:cs="Arial"/>
        </w:rPr>
        <w:lastRenderedPageBreak/>
        <w:t>уул уурхайн салбарын өсөлт эдийн засгийн өсөлтийг голлон дэмжих төлөвтэй байгаа бол өргөн хэрэглээний бараа бүтээгдэхүүний үнэ нэмэгдсэн, дотоод эрэлт удааширснаар өсөлтийг сааруул</w:t>
      </w:r>
      <w:r w:rsidR="5C8D7BD3" w:rsidRPr="02B021E2">
        <w:rPr>
          <w:rFonts w:cs="Arial"/>
        </w:rPr>
        <w:t>ахаар</w:t>
      </w:r>
      <w:r w:rsidR="00443B5F" w:rsidRPr="02B021E2">
        <w:rPr>
          <w:rFonts w:cs="Arial"/>
        </w:rPr>
        <w:t xml:space="preserve"> байна. </w:t>
      </w:r>
    </w:p>
    <w:p w14:paraId="050E6165" w14:textId="77777777" w:rsidR="00AC4A0E" w:rsidRDefault="00AC4A0E" w:rsidP="009F7BC6">
      <w:pPr>
        <w:tabs>
          <w:tab w:val="right" w:leader="dot" w:pos="9354"/>
        </w:tabs>
        <w:spacing w:afterLines="0" w:after="0" w:line="240" w:lineRule="auto"/>
        <w:ind w:firstLine="720"/>
        <w:rPr>
          <w:rFonts w:cs="Arial"/>
        </w:rPr>
      </w:pPr>
    </w:p>
    <w:p w14:paraId="67471863" w14:textId="57A2366A" w:rsidR="00443B5F" w:rsidRPr="00D95C07" w:rsidRDefault="00443B5F" w:rsidP="009F7BC6">
      <w:pPr>
        <w:tabs>
          <w:tab w:val="right" w:leader="dot" w:pos="9354"/>
        </w:tabs>
        <w:spacing w:afterLines="0" w:after="0" w:line="240" w:lineRule="auto"/>
        <w:ind w:firstLine="720"/>
        <w:rPr>
          <w:rFonts w:cs="Arial"/>
        </w:rPr>
      </w:pPr>
      <w:r w:rsidRPr="0748BF66">
        <w:rPr>
          <w:rFonts w:cs="Arial"/>
        </w:rPr>
        <w:t>Уул уурхайн үйлдвэрлэл нэмэгдсэнтэй холбоотойгоор ачаа тээврийн хэмжээ нэмэгдэж, тээврийн салбарын өсөлтийг тэтгэхээр байна. Барилгын салбарын хувьд орон сууцны барилга</w:t>
      </w:r>
      <w:r w:rsidR="7B55E8CA" w:rsidRPr="0748BF66">
        <w:rPr>
          <w:rFonts w:cs="Arial"/>
        </w:rPr>
        <w:t xml:space="preserve"> болон төмөр зам</w:t>
      </w:r>
      <w:r w:rsidRPr="0748BF66">
        <w:rPr>
          <w:rFonts w:cs="Arial"/>
        </w:rPr>
        <w:t>, авто зам</w:t>
      </w:r>
      <w:r w:rsidR="0F6151AD" w:rsidRPr="0748BF66">
        <w:rPr>
          <w:rFonts w:cs="Arial"/>
        </w:rPr>
        <w:t>,</w:t>
      </w:r>
      <w:r w:rsidRPr="0748BF66">
        <w:rPr>
          <w:rFonts w:cs="Arial"/>
        </w:rPr>
        <w:t xml:space="preserve"> гүүрэн байгууламж</w:t>
      </w:r>
      <w:r w:rsidR="6DFD2610" w:rsidRPr="0748BF66">
        <w:rPr>
          <w:rFonts w:cs="Arial"/>
        </w:rPr>
        <w:t xml:space="preserve"> зэрэг инженерийн барилга, </w:t>
      </w:r>
      <w:r w:rsidRPr="0748BF66">
        <w:rPr>
          <w:rFonts w:cs="Arial"/>
        </w:rPr>
        <w:t xml:space="preserve">байгууламжийн бүтээн байгуулалтын ажлууд эрчимтэй үргэлжилснээр салбарын өсөлт хадгалагдаж, эдийн засгийн өсөлтөд эерэг хувь нэмэр оруулахаар байна. </w:t>
      </w:r>
    </w:p>
    <w:p w14:paraId="0A0F137B" w14:textId="77777777" w:rsidR="00AC4A0E" w:rsidRDefault="00AC4A0E" w:rsidP="009F7BC6">
      <w:pPr>
        <w:tabs>
          <w:tab w:val="right" w:leader="dot" w:pos="9354"/>
        </w:tabs>
        <w:spacing w:afterLines="0" w:after="0" w:line="240" w:lineRule="auto"/>
        <w:ind w:firstLine="720"/>
        <w:rPr>
          <w:rFonts w:cs="Arial"/>
        </w:rPr>
      </w:pPr>
    </w:p>
    <w:p w14:paraId="2D7F8387" w14:textId="13BB0DDA" w:rsidR="00443B5F" w:rsidRPr="00D95C07" w:rsidRDefault="00443B5F" w:rsidP="009F7BC6">
      <w:pPr>
        <w:tabs>
          <w:tab w:val="right" w:leader="dot" w:pos="9354"/>
        </w:tabs>
        <w:spacing w:afterLines="0" w:after="0" w:line="240" w:lineRule="auto"/>
        <w:ind w:firstLine="720"/>
        <w:rPr>
          <w:rFonts w:cs="Arial"/>
        </w:rPr>
      </w:pPr>
      <w:r w:rsidRPr="3B513045">
        <w:rPr>
          <w:rFonts w:cs="Arial"/>
        </w:rPr>
        <w:t>Харин хаврын саруудад зарим нутгаар цас, шороон шуурга ихтэй, хүйтэн нөхцөл байдал үргэлжилж, намрын улиралд эрт хүйтрэх, нойтон цас орох эрсдэлтэй байгаа нь том малын зүй бус хорогдлыг өмнөх оны түвшнээс нэмэгдүүлэх</w:t>
      </w:r>
      <w:r w:rsidR="3F40BEDC" w:rsidRPr="3B513045">
        <w:rPr>
          <w:rFonts w:cs="Arial"/>
        </w:rPr>
        <w:t xml:space="preserve"> эрсдэлтэй</w:t>
      </w:r>
      <w:r w:rsidRPr="3B513045">
        <w:rPr>
          <w:rFonts w:cs="Arial"/>
        </w:rPr>
        <w:t xml:space="preserve"> байна. Үүний улмаас хөдөө аж ахуйн салбарын өсөлт саарах хандлагатай байгаа бөгөөд мал аж ахуйн гаралтай түүхий эдийн нийлүүлэлт буурснаар хүнсний үйлдвэрлэлийн өсөлт саарч, боловсруулах үйлдвэрлэлийн салбарын өсөлт удаашрах төлөвтэй байна. Мөн өргөн хэрэглээний бараа бүтээгдэхүүний үнэ нэмэгдсэн, дотоод эрэлт буурч б</w:t>
      </w:r>
      <w:r w:rsidR="4D409A59" w:rsidRPr="3B513045">
        <w:rPr>
          <w:rFonts w:cs="Arial"/>
        </w:rPr>
        <w:t>айгаа</w:t>
      </w:r>
      <w:r w:rsidRPr="3B513045">
        <w:rPr>
          <w:rFonts w:cs="Arial"/>
        </w:rPr>
        <w:t xml:space="preserve"> нөлөөгөөр худалдааны салбар оны эхний хагаст буурсан нь оны туршид үргэлжлэх төлөвтэй байгаа нь өсөлтийг </w:t>
      </w:r>
      <w:r w:rsidRPr="670870F2">
        <w:rPr>
          <w:rFonts w:cs="Arial"/>
        </w:rPr>
        <w:t>сааруул</w:t>
      </w:r>
      <w:r w:rsidR="7FC32DF6" w:rsidRPr="670870F2">
        <w:rPr>
          <w:rFonts w:cs="Arial"/>
        </w:rPr>
        <w:t>ахаар</w:t>
      </w:r>
      <w:r w:rsidRPr="3B513045">
        <w:rPr>
          <w:rFonts w:cs="Arial"/>
        </w:rPr>
        <w:t xml:space="preserve"> байна.</w:t>
      </w:r>
    </w:p>
    <w:p w14:paraId="4614F50B" w14:textId="77777777" w:rsidR="00AC4A0E" w:rsidRDefault="00AC4A0E" w:rsidP="009F7BC6">
      <w:pPr>
        <w:tabs>
          <w:tab w:val="right" w:leader="dot" w:pos="9354"/>
        </w:tabs>
        <w:spacing w:afterLines="0" w:after="0" w:line="240" w:lineRule="auto"/>
        <w:ind w:firstLine="720"/>
        <w:rPr>
          <w:rFonts w:cs="Arial"/>
        </w:rPr>
      </w:pPr>
    </w:p>
    <w:p w14:paraId="17734F9F" w14:textId="7F6AFA65" w:rsidR="00A16BDB" w:rsidRDefault="001224BC" w:rsidP="009F7BC6">
      <w:pPr>
        <w:tabs>
          <w:tab w:val="right" w:leader="dot" w:pos="9354"/>
        </w:tabs>
        <w:spacing w:afterLines="0" w:after="0" w:line="240" w:lineRule="auto"/>
        <w:ind w:firstLine="720"/>
        <w:rPr>
          <w:rFonts w:cs="Arial"/>
        </w:rPr>
      </w:pPr>
      <w:r w:rsidRPr="62F31A30">
        <w:rPr>
          <w:rFonts w:cs="Arial"/>
        </w:rPr>
        <w:t>Эрэлт талаас гадаад эрэлт үргэлжлэн сайн байж уул уурхайн бүтээгдэхүүний экспортын өсөлт хадгалагдсанаар цэвэр экспорт эдийн засгийн өсөлтийг голлон дэмжих хүлээлтэй байна. Түүнчлэн, орон сууцны барилгын бүтээн байгуулалтын ажил тэлж нийт хөрөнгийн хуримтлал эдийн засгийн өсөлтийг дэмжинэ. Харин зээл олголтын хэмжээ өнгөрсөн оны түвшинд байж эдийн засгийн үйл ажиллагааны дотоод идэвхийг дэмжих хэдий ч инфляцын өсөлт үргэлжлэн хадгалагдсанаар эцсийн хэрэглээ саарах төлөвтэй байна.</w:t>
      </w:r>
    </w:p>
    <w:p w14:paraId="0437AA44" w14:textId="1FE7A866" w:rsidR="001A1D8F" w:rsidRPr="00E109FE" w:rsidRDefault="001A1D8F" w:rsidP="00AC4A0E">
      <w:pPr>
        <w:pStyle w:val="Heading3"/>
        <w:numPr>
          <w:ilvl w:val="2"/>
          <w:numId w:val="40"/>
        </w:numPr>
        <w:ind w:left="0" w:firstLine="720"/>
      </w:pPr>
      <w:bookmarkStart w:id="89" w:name="_Toc238120989"/>
      <w:r w:rsidRPr="00E109FE">
        <w:t>Хэрэглээний үнийн түвшин, мөнгөний бодлогын үндсэн үзүүлэлт</w:t>
      </w:r>
      <w:bookmarkEnd w:id="89"/>
      <w:r w:rsidRPr="00E109FE">
        <w:t xml:space="preserve"> </w:t>
      </w:r>
    </w:p>
    <w:p w14:paraId="52EA92EE" w14:textId="0F587AF4" w:rsidR="00552AA1" w:rsidRDefault="001A1D8F" w:rsidP="009F7BC6">
      <w:pPr>
        <w:tabs>
          <w:tab w:val="right" w:leader="dot" w:pos="9354"/>
        </w:tabs>
        <w:spacing w:afterLines="0" w:after="0" w:line="240" w:lineRule="auto"/>
        <w:ind w:firstLine="720"/>
        <w:rPr>
          <w:rFonts w:cs="Arial"/>
        </w:rPr>
      </w:pPr>
      <w:r w:rsidRPr="4A23102F">
        <w:rPr>
          <w:rFonts w:cs="Arial"/>
        </w:rPr>
        <w:t xml:space="preserve">Инфляц </w:t>
      </w:r>
      <w:r w:rsidR="005D46DF" w:rsidRPr="4A23102F">
        <w:rPr>
          <w:rFonts w:cs="Arial"/>
        </w:rPr>
        <w:t>2026</w:t>
      </w:r>
      <w:r w:rsidRPr="4A23102F">
        <w:rPr>
          <w:rFonts w:cs="Arial"/>
        </w:rPr>
        <w:t xml:space="preserve"> оны </w:t>
      </w:r>
      <w:r w:rsidR="005D46DF" w:rsidRPr="4A23102F">
        <w:rPr>
          <w:rFonts w:cs="Arial"/>
        </w:rPr>
        <w:t>7</w:t>
      </w:r>
      <w:r w:rsidRPr="4A23102F">
        <w:rPr>
          <w:rFonts w:cs="Arial"/>
        </w:rPr>
        <w:t xml:space="preserve"> дугаар сард </w:t>
      </w:r>
      <w:r w:rsidR="005D46DF" w:rsidRPr="4A23102F">
        <w:rPr>
          <w:rFonts w:cs="Arial"/>
        </w:rPr>
        <w:t>13.0 хувь</w:t>
      </w:r>
      <w:r w:rsidRPr="4A23102F">
        <w:rPr>
          <w:rFonts w:cs="Arial"/>
        </w:rPr>
        <w:t xml:space="preserve"> хүрч, өмнөх оны мөн үеэс </w:t>
      </w:r>
      <w:r w:rsidR="005D46DF" w:rsidRPr="4A23102F">
        <w:rPr>
          <w:rFonts w:cs="Arial"/>
        </w:rPr>
        <w:t>4.9</w:t>
      </w:r>
      <w:r w:rsidRPr="4A23102F">
        <w:rPr>
          <w:rFonts w:cs="Arial"/>
        </w:rPr>
        <w:t xml:space="preserve"> нэгж хувиар</w:t>
      </w:r>
      <w:r w:rsidR="005D46DF" w:rsidRPr="2C24133F">
        <w:rPr>
          <w:rFonts w:cs="Arial"/>
        </w:rPr>
        <w:t xml:space="preserve"> өслөө</w:t>
      </w:r>
      <w:r w:rsidRPr="2C24133F">
        <w:rPr>
          <w:rFonts w:cs="Arial"/>
        </w:rPr>
        <w:t>.</w:t>
      </w:r>
      <w:r w:rsidRPr="4A23102F">
        <w:rPr>
          <w:rFonts w:cs="Arial"/>
        </w:rPr>
        <w:t xml:space="preserve"> Инфляц өмнөх оны мөн үеэс өсөхөд </w:t>
      </w:r>
      <w:r w:rsidR="00F47FF2" w:rsidRPr="4A23102F">
        <w:rPr>
          <w:rFonts w:cs="Arial"/>
        </w:rPr>
        <w:t xml:space="preserve">хүнсний </w:t>
      </w:r>
      <w:r w:rsidR="00D2637F" w:rsidRPr="4A23102F">
        <w:rPr>
          <w:rFonts w:cs="Arial"/>
        </w:rPr>
        <w:t xml:space="preserve">бүлэг </w:t>
      </w:r>
      <w:r w:rsidRPr="4A23102F">
        <w:rPr>
          <w:rFonts w:cs="Arial"/>
        </w:rPr>
        <w:t>болон</w:t>
      </w:r>
      <w:r w:rsidR="00D2637F" w:rsidRPr="4A23102F">
        <w:rPr>
          <w:rFonts w:cs="Arial"/>
        </w:rPr>
        <w:t xml:space="preserve"> шатахууны</w:t>
      </w:r>
      <w:r w:rsidRPr="4A23102F">
        <w:rPr>
          <w:rFonts w:cs="Arial"/>
        </w:rPr>
        <w:t xml:space="preserve"> үнийн өсөлт </w:t>
      </w:r>
      <w:r w:rsidR="006D118C" w:rsidRPr="4A23102F">
        <w:rPr>
          <w:rFonts w:cs="Arial"/>
        </w:rPr>
        <w:t xml:space="preserve">голлон </w:t>
      </w:r>
      <w:r w:rsidRPr="4A23102F">
        <w:rPr>
          <w:rFonts w:cs="Arial"/>
        </w:rPr>
        <w:t>нөлөөлсөн ба</w:t>
      </w:r>
      <w:r w:rsidR="008C5661" w:rsidRPr="4A23102F">
        <w:rPr>
          <w:rFonts w:cs="Arial"/>
        </w:rPr>
        <w:t>йна</w:t>
      </w:r>
      <w:r w:rsidRPr="4A23102F">
        <w:rPr>
          <w:rFonts w:cs="Arial"/>
        </w:rPr>
        <w:t xml:space="preserve">. </w:t>
      </w:r>
      <w:r w:rsidR="003C77DB" w:rsidRPr="4A23102F">
        <w:rPr>
          <w:rFonts w:cs="Arial"/>
        </w:rPr>
        <w:t xml:space="preserve">Тодруулбал, </w:t>
      </w:r>
      <w:r w:rsidR="009550E9" w:rsidRPr="4A23102F">
        <w:rPr>
          <w:rFonts w:cs="Arial"/>
        </w:rPr>
        <w:t>2023</w:t>
      </w:r>
      <w:r w:rsidR="000C2B42" w:rsidRPr="4A23102F">
        <w:rPr>
          <w:rFonts w:cs="Arial"/>
        </w:rPr>
        <w:t xml:space="preserve">, 2024 оны </w:t>
      </w:r>
      <w:r w:rsidR="005A3D36" w:rsidRPr="4A23102F">
        <w:rPr>
          <w:rFonts w:cs="Arial"/>
        </w:rPr>
        <w:t>дараалсан</w:t>
      </w:r>
      <w:r w:rsidR="000C2B42" w:rsidRPr="4A23102F">
        <w:rPr>
          <w:rFonts w:cs="Arial"/>
        </w:rPr>
        <w:t xml:space="preserve"> зуд, 2025 оны ган</w:t>
      </w:r>
      <w:r w:rsidR="2F0C0DB8" w:rsidRPr="4A23102F">
        <w:rPr>
          <w:rFonts w:cs="Arial"/>
        </w:rPr>
        <w:t xml:space="preserve"> зэрэг байгаль, цаг уурын нөхцөл байдлаас </w:t>
      </w:r>
      <w:r w:rsidR="27C81525" w:rsidRPr="4A23102F">
        <w:rPr>
          <w:rFonts w:cs="Arial"/>
        </w:rPr>
        <w:t xml:space="preserve">голлон </w:t>
      </w:r>
      <w:r w:rsidR="00F549F8" w:rsidRPr="4A23102F">
        <w:rPr>
          <w:rFonts w:cs="Arial"/>
        </w:rPr>
        <w:t>шалтгаал</w:t>
      </w:r>
      <w:r w:rsidR="160BF5DE" w:rsidRPr="4A23102F">
        <w:rPr>
          <w:rFonts w:cs="Arial"/>
        </w:rPr>
        <w:t>ж махны нийлүүлэлт</w:t>
      </w:r>
      <w:r w:rsidR="4964E677" w:rsidRPr="4A23102F">
        <w:rPr>
          <w:rFonts w:cs="Arial"/>
        </w:rPr>
        <w:t xml:space="preserve"> хумигдсанаар</w:t>
      </w:r>
      <w:r w:rsidR="00F549F8" w:rsidRPr="4A23102F">
        <w:rPr>
          <w:rFonts w:cs="Arial"/>
        </w:rPr>
        <w:t xml:space="preserve"> </w:t>
      </w:r>
      <w:r w:rsidR="00F9431D" w:rsidRPr="4A23102F">
        <w:rPr>
          <w:rFonts w:cs="Arial"/>
        </w:rPr>
        <w:t>202</w:t>
      </w:r>
      <w:r w:rsidR="00BC5BA3" w:rsidRPr="4A23102F">
        <w:rPr>
          <w:rFonts w:cs="Arial"/>
        </w:rPr>
        <w:t>6</w:t>
      </w:r>
      <w:r w:rsidR="00F549F8" w:rsidRPr="4A23102F">
        <w:rPr>
          <w:rFonts w:cs="Arial"/>
        </w:rPr>
        <w:t xml:space="preserve"> оны </w:t>
      </w:r>
      <w:r w:rsidR="00127F45" w:rsidRPr="4A23102F">
        <w:rPr>
          <w:rFonts w:cs="Arial"/>
        </w:rPr>
        <w:t>4 дүгээр сараас махны үнэ эрчимтэй өсөж</w:t>
      </w:r>
      <w:r w:rsidR="008B4E82" w:rsidRPr="4A23102F">
        <w:rPr>
          <w:rFonts w:cs="Arial"/>
        </w:rPr>
        <w:t xml:space="preserve">, 7 дугаар сард </w:t>
      </w:r>
      <w:r w:rsidR="00E2758E" w:rsidRPr="4A23102F">
        <w:rPr>
          <w:rFonts w:cs="Arial"/>
        </w:rPr>
        <w:t xml:space="preserve">өмнөх оны мөн </w:t>
      </w:r>
      <w:r w:rsidR="005612DF" w:rsidRPr="4A23102F">
        <w:rPr>
          <w:rFonts w:cs="Arial"/>
        </w:rPr>
        <w:t>үетэй харьцуулахад</w:t>
      </w:r>
      <w:r w:rsidR="00E2758E" w:rsidRPr="4A23102F">
        <w:rPr>
          <w:rFonts w:cs="Arial"/>
        </w:rPr>
        <w:t xml:space="preserve"> 52.4 хувийн өсөлттэй, </w:t>
      </w:r>
      <w:r w:rsidR="00D45E6A" w:rsidRPr="4A23102F">
        <w:rPr>
          <w:rFonts w:cs="Arial"/>
        </w:rPr>
        <w:t>инфляц</w:t>
      </w:r>
      <w:r w:rsidR="75005EF1" w:rsidRPr="4A23102F">
        <w:rPr>
          <w:rFonts w:cs="Arial"/>
        </w:rPr>
        <w:t>а</w:t>
      </w:r>
      <w:r w:rsidR="00D45E6A" w:rsidRPr="4A23102F">
        <w:rPr>
          <w:rFonts w:cs="Arial"/>
        </w:rPr>
        <w:t>д</w:t>
      </w:r>
      <w:r w:rsidR="00E2758E" w:rsidRPr="4A23102F">
        <w:rPr>
          <w:rFonts w:cs="Arial"/>
        </w:rPr>
        <w:t xml:space="preserve"> 4.9 нэгж хув</w:t>
      </w:r>
      <w:r w:rsidR="00D45E6A" w:rsidRPr="4A23102F">
        <w:rPr>
          <w:rFonts w:cs="Arial"/>
        </w:rPr>
        <w:t xml:space="preserve">ийн </w:t>
      </w:r>
      <w:r w:rsidR="002074E9" w:rsidRPr="4A23102F">
        <w:rPr>
          <w:rFonts w:cs="Arial"/>
        </w:rPr>
        <w:t>оролцо</w:t>
      </w:r>
      <w:r w:rsidR="00A17E11" w:rsidRPr="4A23102F">
        <w:rPr>
          <w:rFonts w:cs="Arial"/>
        </w:rPr>
        <w:t>о</w:t>
      </w:r>
      <w:r w:rsidR="002074E9" w:rsidRPr="4A23102F">
        <w:rPr>
          <w:rFonts w:cs="Arial"/>
        </w:rPr>
        <w:t xml:space="preserve">той </w:t>
      </w:r>
      <w:r w:rsidR="00392A91" w:rsidRPr="4A23102F">
        <w:rPr>
          <w:rFonts w:cs="Arial"/>
        </w:rPr>
        <w:t>гарсан.</w:t>
      </w:r>
      <w:r w:rsidR="00530870" w:rsidRPr="4A23102F">
        <w:rPr>
          <w:rFonts w:cs="Arial"/>
        </w:rPr>
        <w:t xml:space="preserve"> </w:t>
      </w:r>
      <w:r w:rsidR="008D23BC" w:rsidRPr="4A23102F">
        <w:rPr>
          <w:rFonts w:cs="Arial"/>
        </w:rPr>
        <w:t>Т</w:t>
      </w:r>
      <w:r w:rsidR="00D527D4" w:rsidRPr="4A23102F">
        <w:rPr>
          <w:rFonts w:cs="Arial"/>
        </w:rPr>
        <w:t>өмсний үн</w:t>
      </w:r>
      <w:r w:rsidR="008D23BC" w:rsidRPr="4A23102F">
        <w:rPr>
          <w:rFonts w:cs="Arial"/>
        </w:rPr>
        <w:t>ийн хувьд,</w:t>
      </w:r>
      <w:r w:rsidR="00983018" w:rsidRPr="4A23102F">
        <w:rPr>
          <w:rFonts w:cs="Arial"/>
        </w:rPr>
        <w:t xml:space="preserve"> </w:t>
      </w:r>
      <w:r w:rsidR="00330A4A" w:rsidRPr="4A23102F">
        <w:rPr>
          <w:rFonts w:cs="Arial"/>
        </w:rPr>
        <w:t xml:space="preserve">2025 онд </w:t>
      </w:r>
      <w:r w:rsidR="006A0BBD" w:rsidRPr="4A23102F">
        <w:rPr>
          <w:rFonts w:cs="Arial"/>
        </w:rPr>
        <w:t xml:space="preserve">хураасан </w:t>
      </w:r>
      <w:r w:rsidR="00F23B5E" w:rsidRPr="4A23102F">
        <w:rPr>
          <w:rFonts w:cs="Arial"/>
        </w:rPr>
        <w:t>ургац</w:t>
      </w:r>
      <w:r w:rsidR="006D5D5A" w:rsidRPr="4A23102F">
        <w:rPr>
          <w:rFonts w:cs="Arial"/>
        </w:rPr>
        <w:t>ын хэмжээ</w:t>
      </w:r>
      <w:r w:rsidR="003E094D" w:rsidRPr="4A23102F">
        <w:rPr>
          <w:rFonts w:cs="Arial"/>
        </w:rPr>
        <w:t xml:space="preserve"> </w:t>
      </w:r>
      <w:r w:rsidR="00FC7C7A" w:rsidRPr="4A23102F">
        <w:rPr>
          <w:rFonts w:cs="Arial"/>
        </w:rPr>
        <w:t xml:space="preserve">өмнө </w:t>
      </w:r>
      <w:r w:rsidR="002B1082" w:rsidRPr="4A23102F">
        <w:rPr>
          <w:rFonts w:cs="Arial"/>
        </w:rPr>
        <w:t>жилээс 2.2 дахин</w:t>
      </w:r>
      <w:r w:rsidR="00B914D4" w:rsidRPr="4A23102F">
        <w:rPr>
          <w:rFonts w:cs="Arial"/>
        </w:rPr>
        <w:t xml:space="preserve"> </w:t>
      </w:r>
      <w:r w:rsidR="001E5FD8" w:rsidRPr="4A23102F">
        <w:rPr>
          <w:rFonts w:cs="Arial"/>
        </w:rPr>
        <w:t xml:space="preserve">бага </w:t>
      </w:r>
      <w:r w:rsidR="003672A0" w:rsidRPr="4A23102F">
        <w:rPr>
          <w:rFonts w:cs="Arial"/>
        </w:rPr>
        <w:t xml:space="preserve">буюу 114.1 </w:t>
      </w:r>
      <w:r w:rsidR="00F23B5E" w:rsidRPr="6DB02866">
        <w:rPr>
          <w:rFonts w:cs="Arial"/>
        </w:rPr>
        <w:t>мян</w:t>
      </w:r>
      <w:r w:rsidR="0083584E">
        <w:rPr>
          <w:rFonts w:cs="Arial"/>
        </w:rPr>
        <w:t xml:space="preserve">ган </w:t>
      </w:r>
      <w:r w:rsidR="00F23B5E" w:rsidRPr="6DB02866">
        <w:rPr>
          <w:rFonts w:cs="Arial"/>
        </w:rPr>
        <w:t>т</w:t>
      </w:r>
      <w:r w:rsidR="0083584E">
        <w:rPr>
          <w:rFonts w:cs="Arial"/>
        </w:rPr>
        <w:t>он</w:t>
      </w:r>
      <w:r w:rsidR="00F23B5E" w:rsidRPr="6DB02866">
        <w:rPr>
          <w:rFonts w:cs="Arial"/>
        </w:rPr>
        <w:t>н</w:t>
      </w:r>
      <w:r w:rsidR="003672A0" w:rsidRPr="4A23102F">
        <w:rPr>
          <w:rFonts w:cs="Arial"/>
        </w:rPr>
        <w:t xml:space="preserve"> </w:t>
      </w:r>
      <w:r w:rsidR="00F23B5E" w:rsidRPr="4A23102F">
        <w:rPr>
          <w:rFonts w:cs="Arial"/>
        </w:rPr>
        <w:t>байс</w:t>
      </w:r>
      <w:r w:rsidR="00943A29" w:rsidRPr="4A23102F">
        <w:rPr>
          <w:rFonts w:cs="Arial"/>
        </w:rPr>
        <w:t xml:space="preserve">ан нь </w:t>
      </w:r>
      <w:r w:rsidR="24AA461C" w:rsidRPr="4A23102F">
        <w:rPr>
          <w:rFonts w:cs="Arial"/>
        </w:rPr>
        <w:t xml:space="preserve">голлон </w:t>
      </w:r>
      <w:r w:rsidR="00943A29" w:rsidRPr="4A23102F">
        <w:rPr>
          <w:rFonts w:cs="Arial"/>
        </w:rPr>
        <w:t>нөлөөлж</w:t>
      </w:r>
      <w:r w:rsidR="007F7C0E" w:rsidRPr="4A23102F">
        <w:rPr>
          <w:rFonts w:cs="Arial"/>
        </w:rPr>
        <w:t>,</w:t>
      </w:r>
      <w:r w:rsidR="00F23B5E" w:rsidRPr="4A23102F">
        <w:rPr>
          <w:rFonts w:cs="Arial"/>
        </w:rPr>
        <w:t xml:space="preserve"> </w:t>
      </w:r>
      <w:r w:rsidR="00687FF9" w:rsidRPr="4A23102F">
        <w:rPr>
          <w:rFonts w:cs="Arial"/>
        </w:rPr>
        <w:t>87.</w:t>
      </w:r>
      <w:r w:rsidR="003D0C17" w:rsidRPr="4A23102F">
        <w:rPr>
          <w:rFonts w:cs="Arial"/>
        </w:rPr>
        <w:t xml:space="preserve">7 </w:t>
      </w:r>
      <w:r w:rsidR="00687FF9" w:rsidRPr="4A23102F">
        <w:rPr>
          <w:rFonts w:cs="Arial"/>
        </w:rPr>
        <w:t>хувиар өсө</w:t>
      </w:r>
      <w:r w:rsidR="00A54CE6" w:rsidRPr="4A23102F">
        <w:rPr>
          <w:rFonts w:cs="Arial"/>
        </w:rPr>
        <w:t>лттэй</w:t>
      </w:r>
      <w:r w:rsidR="00687FF9" w:rsidRPr="4A23102F">
        <w:rPr>
          <w:rFonts w:cs="Arial"/>
        </w:rPr>
        <w:t xml:space="preserve">, </w:t>
      </w:r>
      <w:r w:rsidR="00153E64" w:rsidRPr="4A23102F">
        <w:rPr>
          <w:rFonts w:cs="Arial"/>
        </w:rPr>
        <w:t>0.6</w:t>
      </w:r>
      <w:r w:rsidR="00530870" w:rsidRPr="4A23102F">
        <w:rPr>
          <w:rFonts w:cs="Arial"/>
        </w:rPr>
        <w:t xml:space="preserve"> </w:t>
      </w:r>
      <w:r w:rsidR="00153E64" w:rsidRPr="4A23102F">
        <w:rPr>
          <w:rFonts w:cs="Arial"/>
        </w:rPr>
        <w:t xml:space="preserve">нэгж хувийн оролцоотой </w:t>
      </w:r>
      <w:r w:rsidR="00161B8D" w:rsidRPr="4A23102F">
        <w:rPr>
          <w:rFonts w:cs="Arial"/>
        </w:rPr>
        <w:t>байна</w:t>
      </w:r>
      <w:r w:rsidR="00536050" w:rsidRPr="4A23102F">
        <w:rPr>
          <w:rFonts w:cs="Arial"/>
        </w:rPr>
        <w:t>.</w:t>
      </w:r>
      <w:r w:rsidR="00750C3C" w:rsidRPr="4A23102F">
        <w:rPr>
          <w:rFonts w:cs="Arial"/>
        </w:rPr>
        <w:t xml:space="preserve"> </w:t>
      </w:r>
      <w:r w:rsidR="00A10132" w:rsidRPr="4A23102F">
        <w:rPr>
          <w:rFonts w:cs="Arial"/>
        </w:rPr>
        <w:t>Түүнчлэн</w:t>
      </w:r>
      <w:r w:rsidR="00410F49" w:rsidRPr="4A23102F">
        <w:rPr>
          <w:rFonts w:cs="Arial"/>
        </w:rPr>
        <w:t xml:space="preserve"> </w:t>
      </w:r>
      <w:r w:rsidR="0095325A" w:rsidRPr="4A23102F">
        <w:rPr>
          <w:rFonts w:cs="Arial"/>
        </w:rPr>
        <w:t xml:space="preserve">Ойрх </w:t>
      </w:r>
      <w:r w:rsidR="007465B4" w:rsidRPr="4A23102F">
        <w:rPr>
          <w:rFonts w:cs="Arial"/>
        </w:rPr>
        <w:t>Дорнодын мөргөлдөөний нөлөөгөөр</w:t>
      </w:r>
      <w:r w:rsidR="002744DC" w:rsidRPr="4A23102F">
        <w:rPr>
          <w:rFonts w:cs="Arial"/>
        </w:rPr>
        <w:t xml:space="preserve"> бий болсон</w:t>
      </w:r>
      <w:r w:rsidR="007465B4" w:rsidRPr="4A23102F">
        <w:rPr>
          <w:rFonts w:cs="Arial"/>
        </w:rPr>
        <w:t xml:space="preserve"> дэлхийн </w:t>
      </w:r>
      <w:r w:rsidR="00C92C8C" w:rsidRPr="4A23102F">
        <w:rPr>
          <w:rFonts w:cs="Arial"/>
        </w:rPr>
        <w:t>газрын тосны үн</w:t>
      </w:r>
      <w:r w:rsidR="002744DC" w:rsidRPr="4A23102F">
        <w:rPr>
          <w:rFonts w:cs="Arial"/>
        </w:rPr>
        <w:t>ийн өсөлт, ОХУ</w:t>
      </w:r>
      <w:r w:rsidR="68B881A9" w:rsidRPr="4A23102F">
        <w:rPr>
          <w:rFonts w:cs="Arial"/>
        </w:rPr>
        <w:t>-</w:t>
      </w:r>
      <w:r w:rsidR="002744DC" w:rsidRPr="4A23102F">
        <w:rPr>
          <w:rFonts w:cs="Arial"/>
        </w:rPr>
        <w:t xml:space="preserve">Украйны дайнтай холбоотойгоор </w:t>
      </w:r>
      <w:r w:rsidR="003F31AD" w:rsidRPr="4A23102F">
        <w:rPr>
          <w:rFonts w:cs="Arial"/>
        </w:rPr>
        <w:t xml:space="preserve">үүссэн шатахууны нийлүүлэлтийн </w:t>
      </w:r>
      <w:r w:rsidR="004A57BE" w:rsidRPr="4A23102F">
        <w:rPr>
          <w:rFonts w:cs="Arial"/>
        </w:rPr>
        <w:t xml:space="preserve">тасалдал зэргээс </w:t>
      </w:r>
      <w:r w:rsidR="00E741C9" w:rsidRPr="6DB02866">
        <w:rPr>
          <w:rFonts w:cs="Arial"/>
        </w:rPr>
        <w:t>шалтгаалж</w:t>
      </w:r>
      <w:r w:rsidR="00CC4ADF" w:rsidRPr="4A23102F">
        <w:rPr>
          <w:rFonts w:cs="Arial"/>
        </w:rPr>
        <w:t xml:space="preserve"> </w:t>
      </w:r>
      <w:r w:rsidR="00836567" w:rsidRPr="4A23102F">
        <w:rPr>
          <w:rFonts w:cs="Arial"/>
        </w:rPr>
        <w:t>шатахууны үнэ</w:t>
      </w:r>
      <w:r w:rsidR="00CC3898" w:rsidRPr="4A23102F">
        <w:rPr>
          <w:rFonts w:cs="Arial"/>
        </w:rPr>
        <w:t xml:space="preserve"> </w:t>
      </w:r>
      <w:r w:rsidR="0006544A" w:rsidRPr="4A23102F">
        <w:rPr>
          <w:rFonts w:cs="Arial"/>
        </w:rPr>
        <w:t>19.2 хувийн өсөлттэй, 1.2 нэгж хувийн оролцоотой байна.</w:t>
      </w:r>
      <w:r w:rsidR="00CC4ADF" w:rsidRPr="4A23102F">
        <w:rPr>
          <w:rFonts w:cs="Arial"/>
        </w:rPr>
        <w:t xml:space="preserve"> </w:t>
      </w:r>
    </w:p>
    <w:p w14:paraId="41D75D42" w14:textId="77777777" w:rsidR="00412337" w:rsidRDefault="00412337" w:rsidP="009F7BC6">
      <w:pPr>
        <w:tabs>
          <w:tab w:val="right" w:leader="dot" w:pos="9354"/>
        </w:tabs>
        <w:spacing w:afterLines="0" w:after="0" w:line="240" w:lineRule="auto"/>
        <w:ind w:firstLine="720"/>
        <w:rPr>
          <w:rFonts w:cs="Arial"/>
        </w:rPr>
      </w:pPr>
    </w:p>
    <w:p w14:paraId="7790D904" w14:textId="2AD17DE4" w:rsidR="004047C0" w:rsidRDefault="001A1D8F" w:rsidP="009F7BC6">
      <w:pPr>
        <w:tabs>
          <w:tab w:val="right" w:leader="dot" w:pos="9354"/>
        </w:tabs>
        <w:spacing w:afterLines="0" w:after="0" w:line="240" w:lineRule="auto"/>
        <w:ind w:firstLine="720"/>
        <w:rPr>
          <w:rFonts w:cs="Arial"/>
        </w:rPr>
      </w:pPr>
      <w:r w:rsidRPr="760D3852">
        <w:rPr>
          <w:rFonts w:cs="Arial"/>
        </w:rPr>
        <w:t>Инфляц 202</w:t>
      </w:r>
      <w:r w:rsidR="00395B95" w:rsidRPr="760D3852">
        <w:rPr>
          <w:rFonts w:cs="Arial"/>
        </w:rPr>
        <w:t>6</w:t>
      </w:r>
      <w:r w:rsidRPr="760D3852">
        <w:rPr>
          <w:rFonts w:cs="Arial"/>
        </w:rPr>
        <w:t xml:space="preserve"> онд дунджаар төв банкны зорилтот түвшнээс өндөр байх хүлээлттэй байна. Тодруулбал, </w:t>
      </w:r>
      <w:r w:rsidR="00A62D7C" w:rsidRPr="760D3852">
        <w:rPr>
          <w:rFonts w:cs="Arial"/>
        </w:rPr>
        <w:t>мах, хүнсний ногоо, шатахууны үнийн өсөлтөөс шалтгаалж</w:t>
      </w:r>
      <w:r w:rsidR="004047C0" w:rsidRPr="760D3852">
        <w:rPr>
          <w:rFonts w:cs="Arial"/>
        </w:rPr>
        <w:t xml:space="preserve"> хүнс, тээврийн бүлгийн барааны үнэ нэмэгдэ</w:t>
      </w:r>
      <w:r w:rsidR="71670B71" w:rsidRPr="760D3852">
        <w:rPr>
          <w:rFonts w:cs="Arial"/>
        </w:rPr>
        <w:t>н</w:t>
      </w:r>
      <w:r w:rsidR="004047C0" w:rsidRPr="760D3852">
        <w:rPr>
          <w:rFonts w:cs="Arial"/>
        </w:rPr>
        <w:t>, нийлүүлэлтийн шалтгаантай инфляц 2026 оны сүүлийн хагаст өндөр түвшинд хадгалагдахаар байна</w:t>
      </w:r>
      <w:r w:rsidR="004D7D76" w:rsidRPr="760D3852">
        <w:rPr>
          <w:rFonts w:cs="Arial"/>
        </w:rPr>
        <w:t>.</w:t>
      </w:r>
    </w:p>
    <w:p w14:paraId="59C3775E" w14:textId="67FAE960" w:rsidR="00F5268C" w:rsidRDefault="001A1D8F" w:rsidP="009F7BC6">
      <w:pPr>
        <w:tabs>
          <w:tab w:val="right" w:leader="dot" w:pos="9354"/>
        </w:tabs>
        <w:spacing w:afterLines="0" w:after="0" w:line="240" w:lineRule="auto"/>
        <w:ind w:firstLine="720"/>
        <w:rPr>
          <w:rFonts w:cs="Arial"/>
        </w:rPr>
      </w:pPr>
      <w:r w:rsidRPr="760D3852">
        <w:rPr>
          <w:rFonts w:cs="Arial"/>
        </w:rPr>
        <w:t xml:space="preserve">Цаашид геополитикийн </w:t>
      </w:r>
      <w:r w:rsidR="009E0CAF" w:rsidRPr="760D3852">
        <w:rPr>
          <w:rFonts w:cs="Arial"/>
        </w:rPr>
        <w:t>хурцадмал</w:t>
      </w:r>
      <w:r w:rsidRPr="760D3852">
        <w:rPr>
          <w:rFonts w:cs="Arial"/>
        </w:rPr>
        <w:t xml:space="preserve"> байдал, уур амьсгалын өөрчлөлт, тээвэр логистикийн </w:t>
      </w:r>
      <w:r w:rsidR="009E0CAF" w:rsidRPr="760D3852">
        <w:rPr>
          <w:rFonts w:cs="Arial"/>
        </w:rPr>
        <w:t>саатал зэрэг нь инфляцыг өдөөх эрсдэл</w:t>
      </w:r>
      <w:r w:rsidR="1FF44C31" w:rsidRPr="760D3852">
        <w:rPr>
          <w:rFonts w:cs="Arial"/>
        </w:rPr>
        <w:t>тэй</w:t>
      </w:r>
      <w:r w:rsidRPr="760D3852">
        <w:rPr>
          <w:rFonts w:cs="Arial"/>
        </w:rPr>
        <w:t xml:space="preserve"> хэвээр байна.</w:t>
      </w:r>
      <w:r w:rsidR="00F5268C" w:rsidRPr="760D3852">
        <w:rPr>
          <w:rFonts w:cs="Arial"/>
        </w:rPr>
        <w:t xml:space="preserve"> </w:t>
      </w:r>
    </w:p>
    <w:p w14:paraId="704FFB68" w14:textId="216FEF37" w:rsidR="007F1299" w:rsidRPr="004756F6" w:rsidRDefault="00F5268C" w:rsidP="009F7BC6">
      <w:pPr>
        <w:tabs>
          <w:tab w:val="right" w:leader="dot" w:pos="9354"/>
        </w:tabs>
        <w:spacing w:afterLines="0" w:after="0" w:line="240" w:lineRule="auto"/>
        <w:ind w:firstLine="720"/>
        <w:rPr>
          <w:rFonts w:cs="Arial"/>
        </w:rPr>
      </w:pPr>
      <w:r w:rsidRPr="62F31A30">
        <w:rPr>
          <w:rFonts w:cs="Arial"/>
        </w:rPr>
        <w:lastRenderedPageBreak/>
        <w:t xml:space="preserve">Мөнгөний нийлүүлэлтийн өсөлт 2026 оны 2 дугаар улирлын эцэст 25.8 хувьд хүрч, өсөлтийн хурд өмнөх оны мөн үеэс 21.6 нэгж хувиар өслөө. </w:t>
      </w:r>
      <w:r w:rsidR="00A20609" w:rsidRPr="62F31A30">
        <w:rPr>
          <w:rFonts w:cs="Arial"/>
        </w:rPr>
        <w:t xml:space="preserve">Банкны салбарын зээлийн үлдэгдэл </w:t>
      </w:r>
      <w:r w:rsidR="00BB2A46" w:rsidRPr="62F31A30">
        <w:rPr>
          <w:rFonts w:cs="Arial"/>
        </w:rPr>
        <w:t>6</w:t>
      </w:r>
      <w:r w:rsidR="00A20609" w:rsidRPr="62F31A30">
        <w:rPr>
          <w:rFonts w:cs="Arial"/>
        </w:rPr>
        <w:t xml:space="preserve"> дугаар </w:t>
      </w:r>
      <w:r w:rsidR="00BB2A46" w:rsidRPr="62F31A30">
        <w:rPr>
          <w:rFonts w:cs="Arial"/>
        </w:rPr>
        <w:t>сар</w:t>
      </w:r>
      <w:r w:rsidR="00A20609" w:rsidRPr="62F31A30">
        <w:rPr>
          <w:rFonts w:cs="Arial"/>
        </w:rPr>
        <w:t xml:space="preserve">д 49.0 их наяд төгрөгт хүрч, жилийн өсөлт 15.9 хувьд хүрлээ. Нийт зээлийн үлдэгдлийн 73 хувь буюу 35.5 их наяд төгрөгийг бизнесийн зээл, 27 хувь буюу 13.4 их наяд төгрөгийг хэрэглээний зээл бүрдүүлж байна. Бизнесийн зээлийн үлдэгдлийн өсөлт 2026 оны </w:t>
      </w:r>
      <w:r w:rsidR="28BED150" w:rsidRPr="62F31A30">
        <w:rPr>
          <w:rFonts w:cs="Arial"/>
        </w:rPr>
        <w:t xml:space="preserve">2 </w:t>
      </w:r>
      <w:r w:rsidR="009E7361" w:rsidRPr="62F31A30">
        <w:rPr>
          <w:rFonts w:cs="Arial"/>
        </w:rPr>
        <w:t>дугаар</w:t>
      </w:r>
      <w:r w:rsidR="00A20609" w:rsidRPr="62F31A30">
        <w:rPr>
          <w:rFonts w:cs="Arial"/>
        </w:rPr>
        <w:t xml:space="preserve"> улиралд 19.2 хувь болж, өсөлтийн хурд өмнөх оны мөн үеэс 11.1 нэгж хувиар саарсан байна. Хэрэглээний зээлийн үлдэгдлийн өсөлт 2026 оны 2 дугаар улиралд 8.2 хувьд хүрч, өсөлтийн хурд өмнөх оны мөн үеэс 11.5 нэгж хувиар саарав.</w:t>
      </w:r>
    </w:p>
    <w:p w14:paraId="6773CD50" w14:textId="77777777" w:rsidR="001A1D8F" w:rsidRPr="00E109FE" w:rsidRDefault="001A1D8F" w:rsidP="00412337">
      <w:pPr>
        <w:pStyle w:val="Heading3"/>
        <w:numPr>
          <w:ilvl w:val="2"/>
          <w:numId w:val="39"/>
        </w:numPr>
        <w:ind w:left="0" w:firstLine="720"/>
      </w:pPr>
      <w:bookmarkStart w:id="90" w:name="_Toc238120990"/>
      <w:r w:rsidRPr="00E109FE">
        <w:t>Ажил эрхлэлт, ажилгүйдлийн түвшин</w:t>
      </w:r>
      <w:bookmarkEnd w:id="90"/>
    </w:p>
    <w:p w14:paraId="218BD543" w14:textId="13B324F0" w:rsidR="00787BAD" w:rsidRPr="00614D1A" w:rsidRDefault="00787BAD" w:rsidP="009F7BC6">
      <w:pPr>
        <w:spacing w:afterLines="0" w:after="0" w:line="240" w:lineRule="auto"/>
        <w:ind w:firstLine="720"/>
        <w:rPr>
          <w:rFonts w:cs="Arial"/>
        </w:rPr>
      </w:pPr>
      <w:r w:rsidRPr="26D4D63D">
        <w:rPr>
          <w:rFonts w:eastAsia="Arial" w:cs="Arial"/>
        </w:rPr>
        <w:t>Ажиллагчдын тоо 2026 оны 2 дугаар улирлын байдлаар өмнөх оны мөн үеэс 22 мянгаар буурч 1 сая 368 мянга болсон байна.</w:t>
      </w:r>
      <w:r w:rsidRPr="00027E2D">
        <w:rPr>
          <w:rFonts w:eastAsia="Arial" w:cs="Arial"/>
        </w:rPr>
        <w:t xml:space="preserve"> </w:t>
      </w:r>
      <w:r w:rsidRPr="26D4D63D">
        <w:rPr>
          <w:rFonts w:eastAsia="Arial" w:cs="Arial"/>
        </w:rPr>
        <w:t>Энэхүү бууралтад нийт ажиллагчдын дөрөвний нэгийг бүрдүүлдэг хөдөө аж ахуйн салбарын ажиллагчдын тоо өмнөх оны мөн үеэс 46 мянгаар буюу 12 хувиар, боловсруулах салбарын</w:t>
      </w:r>
      <w:r w:rsidR="3EA98F84" w:rsidRPr="26D4D63D">
        <w:rPr>
          <w:rFonts w:eastAsia="Arial" w:cs="Arial"/>
        </w:rPr>
        <w:t xml:space="preserve"> ажиллагчдын тоо</w:t>
      </w:r>
      <w:r w:rsidRPr="26D4D63D">
        <w:rPr>
          <w:rFonts w:eastAsia="Arial" w:cs="Arial"/>
        </w:rPr>
        <w:t xml:space="preserve"> 24 мянгаар буюу 20 хувиар тус тус буурсан нь голчлон нөлөөллөө. Харин үйлчилгээний салбар 40 мянган ажиллагчдаар нэмэгдсэний 10 мянгыг санхүү, даатгал, 12 мянгыг боловсролын салбарын ажиллагчид бүрдүүлсэн бол цахилгаан, усны салбарт 8 мянган ажиллагчид нэмэгджээ.</w:t>
      </w:r>
    </w:p>
    <w:tbl>
      <w:tblPr>
        <w:tblpPr w:leftFromText="180" w:rightFromText="180" w:vertAnchor="text" w:horzAnchor="margin" w:tblpY="105"/>
        <w:tblW w:w="5000" w:type="pct"/>
        <w:tblLook w:val="04A0" w:firstRow="1" w:lastRow="0" w:firstColumn="1" w:lastColumn="0" w:noHBand="0" w:noVBand="1"/>
      </w:tblPr>
      <w:tblGrid>
        <w:gridCol w:w="4437"/>
        <w:gridCol w:w="4695"/>
        <w:gridCol w:w="222"/>
      </w:tblGrid>
      <w:tr w:rsidR="00787BAD" w:rsidRPr="00614D1A" w14:paraId="513481D6" w14:textId="77777777">
        <w:trPr>
          <w:trHeight w:val="312"/>
        </w:trPr>
        <w:tc>
          <w:tcPr>
            <w:tcW w:w="5000" w:type="pct"/>
            <w:gridSpan w:val="3"/>
            <w:tcBorders>
              <w:bottom w:val="single" w:sz="4" w:space="0" w:color="auto"/>
            </w:tcBorders>
            <w:hideMark/>
          </w:tcPr>
          <w:p w14:paraId="0C812351" w14:textId="2FA6A5EE" w:rsidR="00787BAD" w:rsidRPr="00027E2D" w:rsidRDefault="00787BAD" w:rsidP="00800941">
            <w:pPr>
              <w:pStyle w:val="Caption"/>
              <w:keepNext/>
              <w:jc w:val="right"/>
              <w:rPr>
                <w:rFonts w:ascii="Arial" w:hAnsi="Arial" w:cs="Arial"/>
                <w:color w:val="auto"/>
                <w:highlight w:val="yellow"/>
              </w:rPr>
            </w:pPr>
            <w:r w:rsidRPr="1BD3F4FD">
              <w:rPr>
                <w:rFonts w:ascii="Arial" w:hAnsi="Arial" w:cs="Arial"/>
                <w:color w:val="auto"/>
              </w:rPr>
              <w:t xml:space="preserve">Зураг </w:t>
            </w:r>
            <w:r w:rsidRPr="007924D6">
              <w:rPr>
                <w:rFonts w:ascii="Arial" w:hAnsi="Arial" w:cs="Arial"/>
                <w:color w:val="auto"/>
              </w:rPr>
              <w:fldChar w:fldCharType="begin"/>
            </w:r>
            <w:r w:rsidRPr="007924D6">
              <w:rPr>
                <w:rFonts w:ascii="Arial" w:hAnsi="Arial" w:cs="Arial"/>
                <w:color w:val="auto"/>
              </w:rPr>
              <w:instrText xml:space="preserve"> STYLEREF 1 \s </w:instrText>
            </w:r>
            <w:r w:rsidRPr="007924D6">
              <w:rPr>
                <w:rFonts w:ascii="Arial" w:hAnsi="Arial" w:cs="Arial"/>
                <w:color w:val="auto"/>
              </w:rPr>
              <w:fldChar w:fldCharType="separate"/>
            </w:r>
            <w:r w:rsidR="000E7C9C">
              <w:rPr>
                <w:rFonts w:ascii="Arial" w:hAnsi="Arial" w:cs="Arial"/>
                <w:noProof/>
                <w:color w:val="auto"/>
              </w:rPr>
              <w:t>1</w:t>
            </w:r>
            <w:r w:rsidRPr="007924D6">
              <w:rPr>
                <w:rFonts w:ascii="Arial" w:hAnsi="Arial" w:cs="Arial"/>
                <w:color w:val="auto"/>
              </w:rPr>
              <w:fldChar w:fldCharType="end"/>
            </w:r>
            <w:r w:rsidRPr="1BD3F4FD">
              <w:rPr>
                <w:rFonts w:ascii="Arial" w:hAnsi="Arial" w:cs="Arial"/>
                <w:color w:val="auto"/>
              </w:rPr>
              <w:t>.</w:t>
            </w:r>
            <w:r w:rsidRPr="007924D6">
              <w:rPr>
                <w:rFonts w:ascii="Arial" w:hAnsi="Arial" w:cs="Arial"/>
                <w:color w:val="auto"/>
              </w:rPr>
              <w:fldChar w:fldCharType="begin"/>
            </w:r>
            <w:r w:rsidRPr="00FF5456">
              <w:rPr>
                <w:rFonts w:ascii="Arial" w:hAnsi="Arial" w:cs="Arial"/>
                <w:color w:val="auto"/>
              </w:rPr>
              <w:instrText xml:space="preserve"> SEQ Зураг \* ARABIC \s 1 </w:instrText>
            </w:r>
            <w:r w:rsidRPr="007924D6">
              <w:rPr>
                <w:rFonts w:ascii="Arial" w:hAnsi="Arial" w:cs="Arial"/>
                <w:color w:val="auto"/>
              </w:rPr>
              <w:fldChar w:fldCharType="separate"/>
            </w:r>
            <w:r w:rsidR="000E7C9C">
              <w:rPr>
                <w:rFonts w:ascii="Arial" w:hAnsi="Arial" w:cs="Arial"/>
                <w:noProof/>
                <w:color w:val="auto"/>
              </w:rPr>
              <w:t>13</w:t>
            </w:r>
            <w:r w:rsidRPr="007924D6">
              <w:rPr>
                <w:rFonts w:ascii="Arial" w:hAnsi="Arial" w:cs="Arial"/>
                <w:color w:val="auto"/>
              </w:rPr>
              <w:fldChar w:fldCharType="end"/>
            </w:r>
            <w:r w:rsidRPr="1BD3F4FD">
              <w:rPr>
                <w:rFonts w:ascii="Arial" w:hAnsi="Arial" w:cs="Arial"/>
                <w:color w:val="auto"/>
              </w:rPr>
              <w:t xml:space="preserve"> Ажил эрхлэлтийн үзүүлэлтүүд</w:t>
            </w:r>
          </w:p>
        </w:tc>
      </w:tr>
      <w:tr w:rsidR="00787BAD" w:rsidRPr="00614D1A" w14:paraId="5A563C9E" w14:textId="77777777">
        <w:trPr>
          <w:trHeight w:val="3770"/>
        </w:trPr>
        <w:tc>
          <w:tcPr>
            <w:tcW w:w="2374" w:type="pct"/>
            <w:tcBorders>
              <w:top w:val="single" w:sz="4" w:space="0" w:color="auto"/>
            </w:tcBorders>
            <w:hideMark/>
          </w:tcPr>
          <w:p w14:paraId="6665DD69" w14:textId="77777777" w:rsidR="00787BAD" w:rsidRPr="00935AD9" w:rsidRDefault="00787BAD" w:rsidP="00D94551">
            <w:pPr>
              <w:tabs>
                <w:tab w:val="left" w:pos="454"/>
                <w:tab w:val="right" w:leader="dot" w:pos="9354"/>
              </w:tabs>
              <w:spacing w:afterLines="0" w:after="0"/>
              <w:mirrorIndents/>
              <w:rPr>
                <w:rFonts w:cs="Arial"/>
                <w:sz w:val="20"/>
                <w:szCs w:val="20"/>
                <w:lang w:eastAsia="ja-JP"/>
              </w:rPr>
            </w:pPr>
            <w:r w:rsidRPr="00935AD9">
              <w:rPr>
                <w:rFonts w:cs="Arial"/>
                <w:sz w:val="20"/>
                <w:szCs w:val="20"/>
                <w:lang w:eastAsia="ja-JP"/>
              </w:rPr>
              <w:t xml:space="preserve">1. </w:t>
            </w:r>
            <w:r w:rsidRPr="00935AD9">
              <w:rPr>
                <w:rFonts w:cs="Arial"/>
                <w:sz w:val="28"/>
                <w:szCs w:val="24"/>
              </w:rPr>
              <w:t xml:space="preserve"> </w:t>
            </w:r>
            <w:r w:rsidRPr="00935AD9">
              <w:rPr>
                <w:rFonts w:cs="Arial"/>
                <w:sz w:val="20"/>
                <w:szCs w:val="20"/>
                <w:lang w:eastAsia="ja-JP"/>
              </w:rPr>
              <w:t>Ажиллагчдын тооны өөрчлөлт, салбараар (мянган хүн)</w:t>
            </w:r>
          </w:p>
          <w:p w14:paraId="6CEBE9D9" w14:textId="77777777" w:rsidR="00787BAD" w:rsidRPr="00027E2D" w:rsidRDefault="00787BAD" w:rsidP="00D94551">
            <w:pPr>
              <w:tabs>
                <w:tab w:val="left" w:pos="454"/>
                <w:tab w:val="right" w:leader="dot" w:pos="9354"/>
              </w:tabs>
              <w:spacing w:afterLines="0" w:after="0"/>
              <w:mirrorIndents/>
              <w:rPr>
                <w:rFonts w:cs="Arial"/>
                <w:color w:val="FFFFFF" w:themeColor="background1"/>
                <w:sz w:val="20"/>
                <w:szCs w:val="20"/>
                <w:highlight w:val="yellow"/>
              </w:rPr>
            </w:pPr>
            <w:r w:rsidRPr="00A52C67">
              <w:rPr>
                <w:rFonts w:cs="Arial"/>
                <w:noProof/>
              </w:rPr>
              <w:drawing>
                <wp:inline distT="0" distB="0" distL="0" distR="0" wp14:anchorId="474F4F6D" wp14:editId="7862665D">
                  <wp:extent cx="2846070" cy="2066925"/>
                  <wp:effectExtent l="0" t="0" r="0" b="0"/>
                  <wp:docPr id="1666423111" name="Chart 1">
                    <a:extLst xmlns:a="http://schemas.openxmlformats.org/drawingml/2006/main">
                      <a:ext uri="{FF2B5EF4-FFF2-40B4-BE49-F238E27FC236}">
                        <a16:creationId xmlns:a16="http://schemas.microsoft.com/office/drawing/2014/main" id="{78B2C327-8025-3149-8A48-75FAEE4889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1770878" w14:textId="77777777" w:rsidR="00787BAD" w:rsidRPr="00614D1A" w:rsidRDefault="00787BAD">
            <w:pPr>
              <w:spacing w:after="288"/>
              <w:rPr>
                <w:rFonts w:cs="Arial"/>
              </w:rPr>
            </w:pPr>
          </w:p>
        </w:tc>
        <w:tc>
          <w:tcPr>
            <w:tcW w:w="2512" w:type="pct"/>
            <w:tcBorders>
              <w:top w:val="single" w:sz="4" w:space="0" w:color="auto"/>
            </w:tcBorders>
            <w:hideMark/>
          </w:tcPr>
          <w:p w14:paraId="3E8CA6F4" w14:textId="77777777" w:rsidR="00787BAD" w:rsidRPr="00935AD9" w:rsidRDefault="00787BAD" w:rsidP="00D94551">
            <w:pPr>
              <w:tabs>
                <w:tab w:val="left" w:pos="454"/>
                <w:tab w:val="right" w:leader="dot" w:pos="9354"/>
              </w:tabs>
              <w:spacing w:afterLines="0" w:after="0"/>
              <w:mirrorIndents/>
              <w:rPr>
                <w:rFonts w:cs="Arial"/>
                <w:sz w:val="20"/>
                <w:szCs w:val="20"/>
                <w:lang w:eastAsia="ja-JP"/>
              </w:rPr>
            </w:pPr>
            <w:r w:rsidRPr="00935AD9">
              <w:rPr>
                <w:rFonts w:cs="Arial"/>
                <w:sz w:val="20"/>
                <w:szCs w:val="20"/>
                <w:lang w:eastAsia="ja-JP"/>
              </w:rPr>
              <w:t xml:space="preserve">2. </w:t>
            </w:r>
            <w:r w:rsidRPr="00935AD9">
              <w:rPr>
                <w:rFonts w:cs="Arial"/>
                <w:sz w:val="28"/>
                <w:szCs w:val="24"/>
              </w:rPr>
              <w:t xml:space="preserve"> </w:t>
            </w:r>
            <w:r w:rsidRPr="00935AD9">
              <w:rPr>
                <w:rFonts w:cs="Arial"/>
                <w:sz w:val="20"/>
                <w:szCs w:val="20"/>
                <w:lang w:eastAsia="ja-JP"/>
              </w:rPr>
              <w:t>Ажиллагчид (мян.хүн), ажиллах хүчний оролцооны түвшин (хувь)</w:t>
            </w:r>
          </w:p>
          <w:p w14:paraId="34EDC3CB" w14:textId="77777777" w:rsidR="00787BAD" w:rsidRPr="00027E2D" w:rsidRDefault="00787BAD" w:rsidP="00D61700">
            <w:pPr>
              <w:tabs>
                <w:tab w:val="left" w:pos="454"/>
                <w:tab w:val="right" w:leader="dot" w:pos="9354"/>
              </w:tabs>
              <w:spacing w:afterLines="0"/>
              <w:mirrorIndents/>
              <w:rPr>
                <w:rFonts w:cs="Arial"/>
                <w:color w:val="000000" w:themeColor="text1"/>
                <w:sz w:val="20"/>
                <w:szCs w:val="20"/>
                <w:highlight w:val="yellow"/>
                <w:lang w:eastAsia="ja-JP"/>
              </w:rPr>
            </w:pPr>
            <w:r w:rsidRPr="00A52C67">
              <w:rPr>
                <w:rFonts w:cs="Arial"/>
                <w:noProof/>
              </w:rPr>
              <w:drawing>
                <wp:inline distT="0" distB="0" distL="0" distR="0" wp14:anchorId="484651F5" wp14:editId="0A12F30F">
                  <wp:extent cx="3019425" cy="2057400"/>
                  <wp:effectExtent l="0" t="0" r="0" b="0"/>
                  <wp:docPr id="708602278" name="Chart 1">
                    <a:extLst xmlns:a="http://schemas.openxmlformats.org/drawingml/2006/main">
                      <a:ext uri="{FF2B5EF4-FFF2-40B4-BE49-F238E27FC236}">
                        <a16:creationId xmlns:a16="http://schemas.microsoft.com/office/drawing/2014/main" id="{7656858E-6447-C178-91EE-3714B6A66E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07D24D4" w14:textId="77777777" w:rsidR="00787BAD" w:rsidRPr="00027E2D" w:rsidRDefault="00787BAD">
            <w:pPr>
              <w:tabs>
                <w:tab w:val="left" w:pos="454"/>
                <w:tab w:val="right" w:leader="dot" w:pos="9354"/>
              </w:tabs>
              <w:spacing w:after="288"/>
              <w:mirrorIndents/>
              <w:rPr>
                <w:rFonts w:cs="Arial"/>
                <w:sz w:val="20"/>
                <w:szCs w:val="20"/>
                <w:highlight w:val="yellow"/>
              </w:rPr>
            </w:pPr>
          </w:p>
        </w:tc>
        <w:tc>
          <w:tcPr>
            <w:tcW w:w="114" w:type="pct"/>
            <w:tcBorders>
              <w:top w:val="single" w:sz="4" w:space="0" w:color="auto"/>
            </w:tcBorders>
          </w:tcPr>
          <w:p w14:paraId="7BFAA9EF" w14:textId="77777777" w:rsidR="00787BAD" w:rsidRPr="00027E2D" w:rsidRDefault="00787BAD">
            <w:pPr>
              <w:tabs>
                <w:tab w:val="left" w:pos="454"/>
                <w:tab w:val="right" w:leader="dot" w:pos="9354"/>
              </w:tabs>
              <w:spacing w:after="288"/>
              <w:ind w:left="720"/>
              <w:contextualSpacing/>
              <w:mirrorIndents/>
              <w:rPr>
                <w:rFonts w:cs="Arial"/>
                <w:i/>
                <w:color w:val="055957"/>
                <w:szCs w:val="24"/>
                <w:highlight w:val="yellow"/>
              </w:rPr>
            </w:pPr>
          </w:p>
        </w:tc>
      </w:tr>
      <w:tr w:rsidR="00787BAD" w:rsidRPr="00614D1A" w14:paraId="6058BD78" w14:textId="77777777">
        <w:trPr>
          <w:trHeight w:val="274"/>
        </w:trPr>
        <w:tc>
          <w:tcPr>
            <w:tcW w:w="4886" w:type="pct"/>
            <w:gridSpan w:val="2"/>
            <w:tcBorders>
              <w:bottom w:val="single" w:sz="4" w:space="0" w:color="auto"/>
            </w:tcBorders>
          </w:tcPr>
          <w:p w14:paraId="396070E9" w14:textId="457A8467" w:rsidR="00787BAD" w:rsidRPr="00027E2D" w:rsidRDefault="00787BAD">
            <w:pPr>
              <w:tabs>
                <w:tab w:val="left" w:pos="454"/>
                <w:tab w:val="right" w:leader="dot" w:pos="9354"/>
              </w:tabs>
              <w:spacing w:after="288"/>
              <w:ind w:left="720"/>
              <w:contextualSpacing/>
              <w:mirrorIndents/>
              <w:jc w:val="right"/>
              <w:rPr>
                <w:rFonts w:cs="Arial"/>
                <w:i/>
                <w:sz w:val="20"/>
                <w:szCs w:val="20"/>
              </w:rPr>
            </w:pPr>
            <w:r w:rsidRPr="00A52C67">
              <w:rPr>
                <w:rFonts w:cs="Arial"/>
                <w:i/>
                <w:sz w:val="20"/>
                <w:szCs w:val="20"/>
              </w:rPr>
              <w:t xml:space="preserve">Эх сурвалж: </w:t>
            </w:r>
            <w:r w:rsidR="0008286B" w:rsidRPr="00B15F4D">
              <w:rPr>
                <w:rFonts w:eastAsia="SimSun" w:cs="Arial"/>
                <w:i/>
                <w:sz w:val="20"/>
                <w:szCs w:val="20"/>
              </w:rPr>
              <w:t xml:space="preserve"> Ү</w:t>
            </w:r>
            <w:r w:rsidR="0008286B">
              <w:rPr>
                <w:rFonts w:eastAsia="SimSun" w:cs="Arial"/>
                <w:i/>
                <w:sz w:val="20"/>
                <w:szCs w:val="20"/>
              </w:rPr>
              <w:t>ндэсний статистикийн хороо</w:t>
            </w:r>
          </w:p>
        </w:tc>
        <w:tc>
          <w:tcPr>
            <w:tcW w:w="114" w:type="pct"/>
          </w:tcPr>
          <w:p w14:paraId="43D8699E" w14:textId="77777777" w:rsidR="00787BAD" w:rsidRPr="00027E2D" w:rsidRDefault="00787BAD">
            <w:pPr>
              <w:keepNext/>
              <w:tabs>
                <w:tab w:val="left" w:pos="454"/>
                <w:tab w:val="right" w:leader="dot" w:pos="9354"/>
              </w:tabs>
              <w:spacing w:after="288"/>
              <w:ind w:left="720"/>
              <w:contextualSpacing/>
              <w:mirrorIndents/>
              <w:rPr>
                <w:rFonts w:cs="Arial"/>
                <w:i/>
                <w:color w:val="055957"/>
                <w:szCs w:val="24"/>
              </w:rPr>
            </w:pPr>
          </w:p>
        </w:tc>
      </w:tr>
    </w:tbl>
    <w:p w14:paraId="1B8F9C0D" w14:textId="77777777" w:rsidR="00800941" w:rsidRDefault="00800941" w:rsidP="00800941">
      <w:pPr>
        <w:spacing w:afterLines="0" w:after="0" w:line="240" w:lineRule="auto"/>
        <w:ind w:firstLine="720"/>
        <w:rPr>
          <w:rFonts w:eastAsia="SimSun" w:cs="Arial"/>
        </w:rPr>
      </w:pPr>
    </w:p>
    <w:p w14:paraId="47699416" w14:textId="45279BC5" w:rsidR="00787BAD" w:rsidRPr="00027E2D" w:rsidRDefault="00787BAD" w:rsidP="00800941">
      <w:pPr>
        <w:spacing w:afterLines="0" w:after="0" w:line="240" w:lineRule="auto"/>
        <w:ind w:firstLine="720"/>
        <w:rPr>
          <w:rFonts w:eastAsia="SimSun" w:cs="Arial"/>
          <w:color w:val="7030A0"/>
        </w:rPr>
      </w:pPr>
      <w:r w:rsidRPr="23DD6513">
        <w:rPr>
          <w:rFonts w:eastAsia="SimSun" w:cs="Arial"/>
        </w:rPr>
        <w:t xml:space="preserve">Харин ажилгүй иргэдийн тоо өмнөх оны мөн үеэс 13.5 мянган хүнээр буюу 20.5 хувиар өсөж 79 мянгад хүрлээ. </w:t>
      </w:r>
      <w:r w:rsidRPr="41EA3413">
        <w:rPr>
          <w:rFonts w:eastAsia="SimSun" w:cs="Arial"/>
        </w:rPr>
        <w:t>Ингэснээр</w:t>
      </w:r>
      <w:r w:rsidRPr="23DD6513">
        <w:rPr>
          <w:rFonts w:eastAsia="SimSun" w:cs="Arial"/>
        </w:rPr>
        <w:t xml:space="preserve"> ажилгүйдлийн түвшин 1.0 нэгж хувиар өсөж 5.5 хувьд хүрэв. </w:t>
      </w:r>
      <w:r w:rsidR="09DAEB95" w:rsidRPr="72BBD7E0">
        <w:rPr>
          <w:rFonts w:eastAsia="SimSun" w:cs="Arial"/>
        </w:rPr>
        <w:t xml:space="preserve">Улмаар </w:t>
      </w:r>
      <w:r w:rsidR="2245F782" w:rsidRPr="06FB72F8">
        <w:rPr>
          <w:rFonts w:eastAsia="SimSun" w:cs="Arial"/>
        </w:rPr>
        <w:t>а</w:t>
      </w:r>
      <w:r w:rsidRPr="2BE0712B">
        <w:rPr>
          <w:rFonts w:eastAsia="SimSun" w:cs="Arial"/>
        </w:rPr>
        <w:t xml:space="preserve">жиллагчдын </w:t>
      </w:r>
      <w:r w:rsidR="6B605886" w:rsidRPr="2BE0712B">
        <w:rPr>
          <w:rFonts w:eastAsia="SimSun" w:cs="Arial"/>
        </w:rPr>
        <w:t xml:space="preserve">тооны </w:t>
      </w:r>
      <w:r w:rsidRPr="2BE0712B">
        <w:rPr>
          <w:rFonts w:eastAsia="SimSun" w:cs="Arial"/>
        </w:rPr>
        <w:t>бууралт</w:t>
      </w:r>
      <w:r w:rsidR="71F948DE" w:rsidRPr="2BE0712B">
        <w:rPr>
          <w:rFonts w:eastAsia="SimSun" w:cs="Arial"/>
        </w:rPr>
        <w:t>,</w:t>
      </w:r>
      <w:r w:rsidRPr="2BE0712B">
        <w:rPr>
          <w:rFonts w:eastAsia="SimSun" w:cs="Arial"/>
        </w:rPr>
        <w:t xml:space="preserve"> </w:t>
      </w:r>
      <w:r w:rsidR="71F948DE" w:rsidRPr="2BE0712B">
        <w:rPr>
          <w:rFonts w:eastAsia="SimSun" w:cs="Arial"/>
        </w:rPr>
        <w:t xml:space="preserve">ажилгүй иргэдийн тооны өсөлтийн </w:t>
      </w:r>
      <w:r w:rsidR="66DBEC77" w:rsidRPr="2BE0712B">
        <w:rPr>
          <w:rFonts w:eastAsia="SimSun" w:cs="Arial"/>
        </w:rPr>
        <w:t>үр дүнд</w:t>
      </w:r>
      <w:r w:rsidRPr="2BE0712B">
        <w:rPr>
          <w:rFonts w:eastAsia="SimSun" w:cs="Arial"/>
        </w:rPr>
        <w:t xml:space="preserve"> ажиллах хүч</w:t>
      </w:r>
      <w:r w:rsidR="38248BF8" w:rsidRPr="2BE0712B">
        <w:rPr>
          <w:rFonts w:eastAsia="SimSun" w:cs="Arial"/>
        </w:rPr>
        <w:t xml:space="preserve"> </w:t>
      </w:r>
      <w:r w:rsidR="7B3A1A12" w:rsidRPr="2BE0712B">
        <w:rPr>
          <w:rFonts w:eastAsia="SimSun" w:cs="Arial"/>
        </w:rPr>
        <w:t xml:space="preserve">өмнөх оны мөн үеэс </w:t>
      </w:r>
      <w:r w:rsidR="00E577C4" w:rsidRPr="2BE0712B">
        <w:rPr>
          <w:rFonts w:eastAsia="SimSun" w:cs="Arial"/>
        </w:rPr>
        <w:t xml:space="preserve">8.5 мянган хүнээр буюу </w:t>
      </w:r>
      <w:r w:rsidR="000E3116" w:rsidRPr="2BE0712B">
        <w:rPr>
          <w:rFonts w:eastAsia="SimSun" w:cs="Arial"/>
        </w:rPr>
        <w:t xml:space="preserve">0.6 хувиар буурч </w:t>
      </w:r>
      <w:r w:rsidR="009543B0" w:rsidRPr="2BE0712B">
        <w:rPr>
          <w:rFonts w:eastAsia="SimSun" w:cs="Arial"/>
        </w:rPr>
        <w:t>1 сая 447 мянга</w:t>
      </w:r>
      <w:r w:rsidR="08DF4A97" w:rsidRPr="2BE0712B">
        <w:rPr>
          <w:rFonts w:eastAsia="SimSun" w:cs="Arial"/>
        </w:rPr>
        <w:t xml:space="preserve"> </w:t>
      </w:r>
      <w:r w:rsidR="38248BF8" w:rsidRPr="2BE0712B">
        <w:rPr>
          <w:rFonts w:eastAsia="SimSun" w:cs="Arial"/>
        </w:rPr>
        <w:t>бол</w:t>
      </w:r>
      <w:r w:rsidR="654F68A7" w:rsidRPr="2BE0712B">
        <w:rPr>
          <w:rFonts w:eastAsia="SimSun" w:cs="Arial"/>
        </w:rPr>
        <w:t>сон нь</w:t>
      </w:r>
      <w:r w:rsidRPr="2BE0712B">
        <w:rPr>
          <w:rFonts w:eastAsia="SimSun" w:cs="Arial"/>
        </w:rPr>
        <w:t xml:space="preserve"> ажиллах хүчний оролцооны түвш</w:t>
      </w:r>
      <w:r w:rsidR="166A9F2B" w:rsidRPr="2BE0712B">
        <w:rPr>
          <w:rFonts w:eastAsia="SimSun" w:cs="Arial"/>
        </w:rPr>
        <w:t>нийг</w:t>
      </w:r>
      <w:r w:rsidRPr="2BE0712B">
        <w:rPr>
          <w:rFonts w:eastAsia="SimSun" w:cs="Arial"/>
        </w:rPr>
        <w:t xml:space="preserve"> өмнөх оны мөн үеэс 0.</w:t>
      </w:r>
      <w:r w:rsidR="00466A00" w:rsidRPr="2BE0712B">
        <w:rPr>
          <w:rFonts w:eastAsia="SimSun" w:cs="Arial"/>
        </w:rPr>
        <w:t>4</w:t>
      </w:r>
      <w:r w:rsidRPr="2BE0712B">
        <w:rPr>
          <w:rFonts w:eastAsia="SimSun" w:cs="Arial"/>
        </w:rPr>
        <w:t xml:space="preserve"> нэгж хувиар буур</w:t>
      </w:r>
      <w:r w:rsidR="59F6C416" w:rsidRPr="2BE0712B">
        <w:rPr>
          <w:rFonts w:eastAsia="SimSun" w:cs="Arial"/>
        </w:rPr>
        <w:t>уулж</w:t>
      </w:r>
      <w:r w:rsidRPr="2BE0712B">
        <w:rPr>
          <w:rFonts w:eastAsia="SimSun" w:cs="Arial"/>
        </w:rPr>
        <w:t xml:space="preserve"> 61.5 хувь болсон байна.</w:t>
      </w:r>
    </w:p>
    <w:p w14:paraId="2B9BED52" w14:textId="77777777" w:rsidR="00800941" w:rsidRDefault="00800941" w:rsidP="00800941">
      <w:pPr>
        <w:spacing w:afterLines="0" w:after="0" w:line="240" w:lineRule="auto"/>
        <w:ind w:firstLine="720"/>
        <w:rPr>
          <w:rFonts w:eastAsia="SimSun" w:cs="Arial"/>
        </w:rPr>
      </w:pPr>
    </w:p>
    <w:p w14:paraId="6F9E58D8" w14:textId="6F625D23" w:rsidR="001A1D8F" w:rsidRPr="00E109FE" w:rsidRDefault="6E0578FD" w:rsidP="00800941">
      <w:pPr>
        <w:spacing w:afterLines="0" w:after="0" w:line="240" w:lineRule="auto"/>
        <w:ind w:firstLine="720"/>
        <w:rPr>
          <w:rFonts w:cs="Arial"/>
          <w:lang w:eastAsia="ja-JP"/>
        </w:rPr>
      </w:pPr>
      <w:r w:rsidRPr="79846FE3">
        <w:rPr>
          <w:rFonts w:eastAsia="SimSun" w:cs="Arial"/>
        </w:rPr>
        <w:t xml:space="preserve">Хөдөлмөрийн зах зээл энэ оны сүүл хагаст </w:t>
      </w:r>
      <w:r w:rsidR="7C7B4629" w:rsidRPr="79846FE3">
        <w:rPr>
          <w:rFonts w:eastAsia="SimSun" w:cs="Arial"/>
        </w:rPr>
        <w:t xml:space="preserve">эхний хагасаас идэвхжих хүлээлттэй байна. </w:t>
      </w:r>
      <w:r w:rsidR="00472E07" w:rsidRPr="79846FE3">
        <w:rPr>
          <w:rFonts w:eastAsia="SimSun" w:cs="Arial"/>
        </w:rPr>
        <w:t>Аж</w:t>
      </w:r>
      <w:r w:rsidR="00E1213E" w:rsidRPr="79846FE3">
        <w:rPr>
          <w:rFonts w:eastAsia="SimSun" w:cs="Arial"/>
        </w:rPr>
        <w:t>иллах хүчний эрэлт</w:t>
      </w:r>
      <w:r w:rsidR="000F1DC9" w:rsidRPr="79846FE3">
        <w:rPr>
          <w:rFonts w:eastAsia="SimSun" w:cs="Arial"/>
        </w:rPr>
        <w:t xml:space="preserve"> </w:t>
      </w:r>
      <w:r w:rsidR="1E28EEA0" w:rsidRPr="79846FE3">
        <w:rPr>
          <w:rFonts w:eastAsia="SimSun" w:cs="Arial"/>
        </w:rPr>
        <w:t>өсөж</w:t>
      </w:r>
      <w:r w:rsidR="000F1DC9" w:rsidRPr="79846FE3">
        <w:rPr>
          <w:rFonts w:eastAsia="SimSun" w:cs="Arial"/>
        </w:rPr>
        <w:t xml:space="preserve"> ажиллагчдын тоо оны сүү</w:t>
      </w:r>
      <w:r w:rsidR="5FB6A77A" w:rsidRPr="79846FE3">
        <w:rPr>
          <w:rFonts w:eastAsia="SimSun" w:cs="Arial"/>
        </w:rPr>
        <w:t>л</w:t>
      </w:r>
      <w:r w:rsidR="000F1DC9" w:rsidRPr="79846FE3">
        <w:rPr>
          <w:rFonts w:eastAsia="SimSun" w:cs="Arial"/>
        </w:rPr>
        <w:t xml:space="preserve"> хагаст нэмэгдэ</w:t>
      </w:r>
      <w:r w:rsidR="39D358A6" w:rsidRPr="79846FE3">
        <w:rPr>
          <w:rFonts w:eastAsia="SimSun" w:cs="Arial"/>
        </w:rPr>
        <w:t xml:space="preserve">ж </w:t>
      </w:r>
      <w:r w:rsidR="00226B81" w:rsidRPr="79846FE3">
        <w:rPr>
          <w:rFonts w:eastAsia="SimSun" w:cs="Arial"/>
        </w:rPr>
        <w:t>1 сая 4</w:t>
      </w:r>
      <w:r w:rsidR="00074B9A" w:rsidRPr="79846FE3">
        <w:rPr>
          <w:rFonts w:eastAsia="SimSun" w:cs="Arial"/>
        </w:rPr>
        <w:t>50</w:t>
      </w:r>
      <w:r w:rsidR="00226B81" w:rsidRPr="79846FE3">
        <w:rPr>
          <w:rFonts w:eastAsia="SimSun" w:cs="Arial"/>
        </w:rPr>
        <w:t xml:space="preserve"> мянга</w:t>
      </w:r>
      <w:r w:rsidR="7966F807" w:rsidRPr="79846FE3">
        <w:rPr>
          <w:rFonts w:eastAsia="SimSun" w:cs="Arial"/>
        </w:rPr>
        <w:t xml:space="preserve"> орчимд хүрэхээр </w:t>
      </w:r>
      <w:r w:rsidR="000F1DC9" w:rsidRPr="79846FE3">
        <w:rPr>
          <w:rFonts w:eastAsia="SimSun" w:cs="Arial"/>
        </w:rPr>
        <w:t xml:space="preserve">байна. </w:t>
      </w:r>
      <w:r w:rsidR="009A2DDC" w:rsidRPr="79846FE3">
        <w:rPr>
          <w:rFonts w:eastAsia="SimSun" w:cs="Arial"/>
        </w:rPr>
        <w:t>Үүний дүнд ажиллах хүчний оролцооны түвшин 61 орчим хувьд хадгалагдана гэсэн хүлээлттэй байна.</w:t>
      </w:r>
    </w:p>
    <w:p w14:paraId="5C14A54B" w14:textId="2F0C9CC3" w:rsidR="004756F6" w:rsidRPr="00E109FE" w:rsidRDefault="004756F6" w:rsidP="00800941">
      <w:pPr>
        <w:pStyle w:val="Heading3"/>
        <w:numPr>
          <w:ilvl w:val="2"/>
          <w:numId w:val="38"/>
        </w:numPr>
        <w:ind w:left="0" w:firstLine="720"/>
      </w:pPr>
      <w:bookmarkStart w:id="91" w:name="_Toc238120991"/>
      <w:r>
        <w:lastRenderedPageBreak/>
        <w:t>Нэгдсэн төсөв</w:t>
      </w:r>
      <w:bookmarkEnd w:id="91"/>
    </w:p>
    <w:p w14:paraId="10A3DF59" w14:textId="73D6F53F" w:rsidR="00D51A8B" w:rsidRPr="00614D1A" w:rsidRDefault="008F695B" w:rsidP="00800941">
      <w:pPr>
        <w:spacing w:afterLines="0" w:after="0" w:line="240" w:lineRule="auto"/>
        <w:ind w:firstLine="720"/>
        <w:rPr>
          <w:rFonts w:cs="Arial"/>
        </w:rPr>
      </w:pPr>
      <w:r w:rsidRPr="00614D1A">
        <w:rPr>
          <w:rFonts w:cs="Arial"/>
        </w:rPr>
        <w:t xml:space="preserve">Нэгдсэн төсөв нь </w:t>
      </w:r>
      <w:r w:rsidR="00E94EA0" w:rsidRPr="00614D1A">
        <w:rPr>
          <w:rFonts w:cs="Arial"/>
        </w:rPr>
        <w:t>улсын</w:t>
      </w:r>
      <w:r w:rsidR="000F2D80" w:rsidRPr="00614D1A">
        <w:rPr>
          <w:rFonts w:cs="Arial"/>
        </w:rPr>
        <w:t xml:space="preserve">, </w:t>
      </w:r>
      <w:r w:rsidR="00E94EA0" w:rsidRPr="00614D1A">
        <w:rPr>
          <w:rFonts w:cs="Arial"/>
        </w:rPr>
        <w:t>орон нутгийн</w:t>
      </w:r>
      <w:r w:rsidR="000F2D80" w:rsidRPr="00614D1A">
        <w:rPr>
          <w:rFonts w:cs="Arial"/>
        </w:rPr>
        <w:t xml:space="preserve">, </w:t>
      </w:r>
      <w:r w:rsidR="00580B2B" w:rsidRPr="00614D1A">
        <w:rPr>
          <w:rFonts w:cs="Arial"/>
        </w:rPr>
        <w:t>нийгмийн даатгал</w:t>
      </w:r>
      <w:r w:rsidR="000F2D80" w:rsidRPr="00614D1A">
        <w:rPr>
          <w:rFonts w:cs="Arial"/>
        </w:rPr>
        <w:t xml:space="preserve">, </w:t>
      </w:r>
      <w:r w:rsidR="006D0F0A" w:rsidRPr="00614D1A">
        <w:rPr>
          <w:rFonts w:cs="Arial"/>
        </w:rPr>
        <w:t>эрүүл мэндийн даатгал</w:t>
      </w:r>
      <w:r w:rsidR="000F2D80" w:rsidRPr="00614D1A">
        <w:rPr>
          <w:rFonts w:cs="Arial"/>
        </w:rPr>
        <w:t xml:space="preserve"> болон </w:t>
      </w:r>
      <w:r w:rsidR="00790F0A" w:rsidRPr="00614D1A">
        <w:rPr>
          <w:rFonts w:cs="Arial"/>
        </w:rPr>
        <w:t>үндэсний ба</w:t>
      </w:r>
      <w:r w:rsidR="00065C7B" w:rsidRPr="00614D1A">
        <w:rPr>
          <w:rFonts w:cs="Arial"/>
        </w:rPr>
        <w:t>ялгийн төс</w:t>
      </w:r>
      <w:r w:rsidR="000F2D80" w:rsidRPr="00614D1A">
        <w:rPr>
          <w:rFonts w:cs="Arial"/>
        </w:rPr>
        <w:t xml:space="preserve">вөөс бүрддэг. </w:t>
      </w:r>
      <w:r w:rsidR="00D51A8B" w:rsidRPr="00614D1A">
        <w:rPr>
          <w:rFonts w:cs="Arial"/>
        </w:rPr>
        <w:t>Орон нутгийн</w:t>
      </w:r>
      <w:r w:rsidR="00D106A2" w:rsidRPr="00614D1A">
        <w:rPr>
          <w:rFonts w:cs="Arial"/>
        </w:rPr>
        <w:t xml:space="preserve"> төс</w:t>
      </w:r>
      <w:r w:rsidR="0028373A" w:rsidRPr="00614D1A">
        <w:rPr>
          <w:rFonts w:cs="Arial"/>
        </w:rPr>
        <w:t xml:space="preserve">вийн </w:t>
      </w:r>
      <w:r w:rsidR="00D024D2" w:rsidRPr="00614D1A">
        <w:rPr>
          <w:rFonts w:cs="Arial"/>
        </w:rPr>
        <w:t>урьд</w:t>
      </w:r>
      <w:r w:rsidR="00D51A8B" w:rsidRPr="00614D1A">
        <w:rPr>
          <w:rFonts w:cs="Arial"/>
        </w:rPr>
        <w:t xml:space="preserve"> оны үлдэгдэл сүүлийн 3 жилд 2.3 их наяд төгрөгөөр нэмэгдэж, 2026 оны байдлаар 2.8 их наяд төгрөгт хүрээд  байна.</w:t>
      </w:r>
    </w:p>
    <w:p w14:paraId="03FA7EDF" w14:textId="77777777" w:rsidR="00E65126" w:rsidRDefault="00E65126" w:rsidP="00800941">
      <w:pPr>
        <w:spacing w:afterLines="0" w:after="0" w:line="240" w:lineRule="auto"/>
        <w:ind w:firstLine="720"/>
        <w:rPr>
          <w:rFonts w:cs="Arial"/>
        </w:rPr>
      </w:pPr>
    </w:p>
    <w:p w14:paraId="7F4EA15A" w14:textId="566536F7" w:rsidR="00744C75" w:rsidRPr="007924D6" w:rsidRDefault="00E75B88" w:rsidP="00800941">
      <w:pPr>
        <w:spacing w:afterLines="0" w:after="0" w:line="240" w:lineRule="auto"/>
        <w:ind w:firstLine="720"/>
        <w:rPr>
          <w:rFonts w:cs="Arial"/>
        </w:rPr>
      </w:pPr>
      <w:r w:rsidRPr="00614D1A">
        <w:rPr>
          <w:rFonts w:cs="Arial"/>
        </w:rPr>
        <w:t>Төсвийн тухай хуули</w:t>
      </w:r>
      <w:r w:rsidR="009C406C" w:rsidRPr="00614D1A">
        <w:rPr>
          <w:rFonts w:cs="Arial"/>
        </w:rPr>
        <w:t>йн 57.3</w:t>
      </w:r>
      <w:r w:rsidR="000257FB" w:rsidRPr="00614D1A">
        <w:rPr>
          <w:rFonts w:cs="Arial"/>
        </w:rPr>
        <w:t xml:space="preserve"> дахь хэсэгт</w:t>
      </w:r>
      <w:r w:rsidRPr="00614D1A">
        <w:rPr>
          <w:rFonts w:cs="Arial"/>
        </w:rPr>
        <w:t xml:space="preserve"> </w:t>
      </w:r>
      <w:r w:rsidR="00ED002F" w:rsidRPr="007924D6">
        <w:rPr>
          <w:rFonts w:cs="Arial"/>
        </w:rPr>
        <w:t xml:space="preserve">орон нутгийн төсөв нь тухайн жилийн төсвийн зарим зардлыг өмнөх жилийн төсвийн үлдэгдлээс санхүүжүүлэх боломжтой байдаг. </w:t>
      </w:r>
      <w:r w:rsidR="00BB49BF" w:rsidRPr="007924D6">
        <w:rPr>
          <w:rFonts w:cs="Arial"/>
        </w:rPr>
        <w:t>Энэхүү зохицуулалт нь орон нутгийн санхүүгийн уян хатан байдлыг хангах, өмнөх онд бүрдсэн нөөц хөрөнгийг үр ашигтай ашиглах нөхцөлийг бүрдүүлэх ач холбогдолтой юм.</w:t>
      </w:r>
      <w:r w:rsidR="00D9791E" w:rsidRPr="007924D6">
        <w:rPr>
          <w:rFonts w:cs="Arial"/>
        </w:rPr>
        <w:t xml:space="preserve"> </w:t>
      </w:r>
    </w:p>
    <w:p w14:paraId="62C28FB2" w14:textId="77777777" w:rsidR="00E65126" w:rsidRDefault="00E65126" w:rsidP="00800941">
      <w:pPr>
        <w:spacing w:afterLines="0" w:after="0" w:line="240" w:lineRule="auto"/>
        <w:ind w:firstLine="720"/>
        <w:rPr>
          <w:rFonts w:cs="Arial"/>
        </w:rPr>
      </w:pPr>
    </w:p>
    <w:p w14:paraId="556D6502" w14:textId="3BE1DC05" w:rsidR="00BB49BF" w:rsidRPr="00436266" w:rsidRDefault="005027D4" w:rsidP="00800941">
      <w:pPr>
        <w:spacing w:afterLines="0" w:after="0" w:line="240" w:lineRule="auto"/>
        <w:ind w:firstLine="720"/>
        <w:rPr>
          <w:rFonts w:cs="Arial"/>
        </w:rPr>
      </w:pPr>
      <w:r w:rsidRPr="007924D6">
        <w:rPr>
          <w:rFonts w:cs="Arial"/>
        </w:rPr>
        <w:t>Гэвч хэрэгжилтийн явцад өмнөх жилийн төсвийн үлдэгдлээс санхүүжүүлж буй зардал нь тухайн жилийн төсвийн зардалд тусгагддаг боловч орлогын хэсэгт шинээр орлого бүрдүүлээгүй нөхцөлд төсвийн тэнцэлд сөргөөр нөлөөлж байна.</w:t>
      </w:r>
      <w:r w:rsidR="00744C75" w:rsidRPr="007924D6">
        <w:rPr>
          <w:rFonts w:cs="Arial"/>
        </w:rPr>
        <w:t xml:space="preserve"> </w:t>
      </w:r>
      <w:r w:rsidR="00BB49BF" w:rsidRPr="007924D6">
        <w:rPr>
          <w:rFonts w:cs="Arial"/>
        </w:rPr>
        <w:t>Үүнтэй холб</w:t>
      </w:r>
      <w:r w:rsidR="00D9791E" w:rsidRPr="007924D6">
        <w:rPr>
          <w:rFonts w:cs="Arial"/>
        </w:rPr>
        <w:t>огдуулан Төсвийн тухай хуул</w:t>
      </w:r>
      <w:r w:rsidR="00A458C4" w:rsidRPr="007924D6">
        <w:rPr>
          <w:rFonts w:cs="Arial"/>
        </w:rPr>
        <w:t xml:space="preserve">ьд нэмэлт оруулах тухай </w:t>
      </w:r>
      <w:r w:rsidR="002C195B" w:rsidRPr="007924D6">
        <w:rPr>
          <w:rFonts w:cs="Arial"/>
        </w:rPr>
        <w:t>хуулийн төс</w:t>
      </w:r>
      <w:r w:rsidR="007A7E73" w:rsidRPr="007924D6">
        <w:rPr>
          <w:rFonts w:cs="Arial"/>
        </w:rPr>
        <w:t xml:space="preserve">лийг боловсруулж </w:t>
      </w:r>
      <w:r w:rsidR="00DF79E2" w:rsidRPr="007924D6">
        <w:rPr>
          <w:rFonts w:cs="Arial"/>
        </w:rPr>
        <w:t>өмнөх оны төсвийн үлдэгдлээс санхүүжүүлэх зарлагыг тухайн жилийн төсвийн хүрээний мэдэгдэл болон жилийн төсөвт тусгаж, зарцуулалтыг санхүүжүүлэх үүсвэр болон батлагдсан хэмжээнээс хэтрүүлэхгүй байх зохицуулалтыг</w:t>
      </w:r>
      <w:r w:rsidR="00CB28B2" w:rsidRPr="007924D6">
        <w:rPr>
          <w:rFonts w:cs="Arial"/>
        </w:rPr>
        <w:t xml:space="preserve"> тусгалаа. </w:t>
      </w:r>
    </w:p>
    <w:p w14:paraId="366FF321" w14:textId="77777777" w:rsidR="00E65126" w:rsidRDefault="00E65126" w:rsidP="00800941">
      <w:pPr>
        <w:spacing w:afterLines="0" w:after="0" w:line="240" w:lineRule="auto"/>
        <w:ind w:firstLine="720"/>
        <w:rPr>
          <w:rFonts w:cs="Arial"/>
        </w:rPr>
      </w:pPr>
    </w:p>
    <w:p w14:paraId="2EBF1294" w14:textId="5D0F7E5F" w:rsidR="00B313A8" w:rsidRDefault="005D0E9B" w:rsidP="00800941">
      <w:pPr>
        <w:spacing w:afterLines="0" w:after="0" w:line="240" w:lineRule="auto"/>
        <w:ind w:firstLine="720"/>
        <w:rPr>
          <w:rFonts w:cs="Arial"/>
        </w:rPr>
      </w:pPr>
      <w:r w:rsidRPr="007924D6">
        <w:rPr>
          <w:rFonts w:cs="Arial"/>
        </w:rPr>
        <w:t xml:space="preserve">Ингэснээр </w:t>
      </w:r>
      <w:r w:rsidR="006A19B3" w:rsidRPr="007924D6">
        <w:rPr>
          <w:rFonts w:cs="Arial"/>
        </w:rPr>
        <w:t xml:space="preserve">орон нутгийн </w:t>
      </w:r>
      <w:r w:rsidR="00C90FFE" w:rsidRPr="007924D6">
        <w:rPr>
          <w:rFonts w:cs="Arial"/>
        </w:rPr>
        <w:t>урьд оны</w:t>
      </w:r>
      <w:r w:rsidR="006A19B3" w:rsidRPr="007924D6">
        <w:rPr>
          <w:rFonts w:cs="Arial"/>
        </w:rPr>
        <w:t xml:space="preserve"> ашиглаагүй үлдэгдлийг зарцуулах эрхийг нээх байдлаар </w:t>
      </w:r>
      <w:r w:rsidR="00B313A8" w:rsidRPr="00614D1A">
        <w:rPr>
          <w:rFonts w:cs="Arial"/>
        </w:rPr>
        <w:t>нэгдсэн төсвийн нийт зарлагыг 2026 батлагдсан дүнгээс 998</w:t>
      </w:r>
      <w:r w:rsidR="001B2C68" w:rsidRPr="00614D1A">
        <w:rPr>
          <w:rFonts w:cs="Arial"/>
        </w:rPr>
        <w:t>.0 тэрбум</w:t>
      </w:r>
      <w:r w:rsidR="00B313A8" w:rsidRPr="00614D1A">
        <w:rPr>
          <w:rFonts w:cs="Arial"/>
        </w:rPr>
        <w:t xml:space="preserve"> төгрөгөөр нэмэгдүүлж 33,978.0 тэрбум төгрөгт хүрэхээр тооцлоо. </w:t>
      </w:r>
    </w:p>
    <w:p w14:paraId="461AC04D" w14:textId="77777777" w:rsidR="00E65126" w:rsidRPr="00614D1A" w:rsidRDefault="00E65126" w:rsidP="00800941">
      <w:pPr>
        <w:spacing w:afterLines="0" w:after="0" w:line="240" w:lineRule="auto"/>
        <w:ind w:firstLine="720"/>
        <w:rPr>
          <w:rFonts w:cs="Arial"/>
        </w:rPr>
      </w:pPr>
    </w:p>
    <w:p w14:paraId="62188008" w14:textId="609B0281" w:rsidR="00A935CC" w:rsidRPr="007924D6" w:rsidRDefault="00B313A8" w:rsidP="00E65126">
      <w:pPr>
        <w:pStyle w:val="Caption"/>
        <w:keepNext/>
        <w:spacing w:after="288"/>
        <w:jc w:val="right"/>
        <w:rPr>
          <w:rFonts w:ascii="Arial" w:hAnsi="Arial" w:cs="Arial"/>
          <w:color w:val="auto"/>
        </w:rPr>
      </w:pPr>
      <w:r w:rsidRPr="007924D6">
        <w:rPr>
          <w:rFonts w:ascii="Arial" w:hAnsi="Arial" w:cs="Arial"/>
          <w:color w:val="auto"/>
        </w:rPr>
        <w:t xml:space="preserve">Хүснэгт </w:t>
      </w:r>
      <w:r w:rsidR="00A935CC" w:rsidRPr="007924D6">
        <w:rPr>
          <w:rFonts w:ascii="Arial" w:hAnsi="Arial" w:cs="Arial"/>
          <w:color w:val="auto"/>
        </w:rPr>
        <w:fldChar w:fldCharType="begin"/>
      </w:r>
      <w:r w:rsidR="00A935CC" w:rsidRPr="00614D1A">
        <w:rPr>
          <w:rFonts w:ascii="Arial" w:hAnsi="Arial" w:cs="Arial"/>
          <w:color w:val="auto"/>
        </w:rPr>
        <w:instrText xml:space="preserve"> STYLEREF 1 \s </w:instrText>
      </w:r>
      <w:r w:rsidR="00A935CC" w:rsidRPr="007924D6">
        <w:rPr>
          <w:rFonts w:ascii="Arial" w:hAnsi="Arial" w:cs="Arial"/>
          <w:color w:val="auto"/>
        </w:rPr>
        <w:fldChar w:fldCharType="separate"/>
      </w:r>
      <w:r w:rsidR="000E7C9C">
        <w:rPr>
          <w:rFonts w:ascii="Arial" w:hAnsi="Arial" w:cs="Arial"/>
          <w:noProof/>
          <w:color w:val="auto"/>
        </w:rPr>
        <w:t>1</w:t>
      </w:r>
      <w:r w:rsidR="00A935CC" w:rsidRPr="007924D6">
        <w:rPr>
          <w:rFonts w:ascii="Arial" w:hAnsi="Arial" w:cs="Arial"/>
          <w:color w:val="auto"/>
        </w:rPr>
        <w:fldChar w:fldCharType="end"/>
      </w:r>
      <w:r w:rsidR="00A935CC" w:rsidRPr="007924D6">
        <w:rPr>
          <w:rFonts w:ascii="Arial" w:hAnsi="Arial" w:cs="Arial"/>
          <w:color w:val="auto"/>
        </w:rPr>
        <w:t>.</w:t>
      </w:r>
      <w:r w:rsidR="00A935CC" w:rsidRPr="007924D6">
        <w:rPr>
          <w:rFonts w:ascii="Arial" w:hAnsi="Arial" w:cs="Arial"/>
          <w:color w:val="auto"/>
        </w:rPr>
        <w:fldChar w:fldCharType="begin"/>
      </w:r>
      <w:r w:rsidR="00A935CC" w:rsidRPr="00614D1A">
        <w:rPr>
          <w:rFonts w:ascii="Arial" w:hAnsi="Arial" w:cs="Arial"/>
          <w:color w:val="auto"/>
        </w:rPr>
        <w:instrText xml:space="preserve"> SEQ Хүснэгт \* ARABIC \s 1 </w:instrText>
      </w:r>
      <w:r w:rsidR="00A935CC" w:rsidRPr="007924D6">
        <w:rPr>
          <w:rFonts w:ascii="Arial" w:hAnsi="Arial" w:cs="Arial"/>
          <w:color w:val="auto"/>
        </w:rPr>
        <w:fldChar w:fldCharType="separate"/>
      </w:r>
      <w:r w:rsidR="000E7C9C">
        <w:rPr>
          <w:rFonts w:ascii="Arial" w:hAnsi="Arial" w:cs="Arial"/>
          <w:noProof/>
          <w:color w:val="auto"/>
        </w:rPr>
        <w:t>4</w:t>
      </w:r>
      <w:r w:rsidR="00A935CC" w:rsidRPr="007924D6">
        <w:rPr>
          <w:rFonts w:ascii="Arial" w:hAnsi="Arial" w:cs="Arial"/>
          <w:color w:val="auto"/>
        </w:rPr>
        <w:fldChar w:fldCharType="end"/>
      </w:r>
      <w:r w:rsidR="00A935CC" w:rsidRPr="007924D6">
        <w:rPr>
          <w:rFonts w:ascii="Arial" w:hAnsi="Arial" w:cs="Arial"/>
          <w:color w:val="auto"/>
        </w:rPr>
        <w:t xml:space="preserve"> Төсвийн нийт зарлагын хэмжээ, түүний өсөлт (тэрбум төгрөг) </w:t>
      </w:r>
    </w:p>
    <w:tbl>
      <w:tblPr>
        <w:tblW w:w="9351" w:type="dxa"/>
        <w:tblLayout w:type="fixed"/>
        <w:tblLook w:val="04A0" w:firstRow="1" w:lastRow="0" w:firstColumn="1" w:lastColumn="0" w:noHBand="0" w:noVBand="1"/>
      </w:tblPr>
      <w:tblGrid>
        <w:gridCol w:w="3193"/>
        <w:gridCol w:w="2052"/>
        <w:gridCol w:w="2053"/>
        <w:gridCol w:w="2053"/>
      </w:tblGrid>
      <w:tr w:rsidR="00A935CC" w:rsidRPr="00614D1A" w14:paraId="5E9BB7DF" w14:textId="77777777" w:rsidTr="00E65126">
        <w:trPr>
          <w:trHeight w:val="325"/>
        </w:trPr>
        <w:tc>
          <w:tcPr>
            <w:tcW w:w="3193" w:type="dxa"/>
            <w:vMerge w:val="restart"/>
            <w:tcBorders>
              <w:left w:val="nil"/>
              <w:right w:val="nil"/>
            </w:tcBorders>
            <w:shd w:val="clear" w:color="auto" w:fill="045957"/>
            <w:vAlign w:val="center"/>
            <w:hideMark/>
          </w:tcPr>
          <w:p w14:paraId="60F4AC10" w14:textId="77777777" w:rsidR="00A935CC" w:rsidRPr="008C5EE2" w:rsidRDefault="00A935CC" w:rsidP="00577551">
            <w:pPr>
              <w:spacing w:afterLines="0" w:after="0"/>
              <w:jc w:val="center"/>
              <w:rPr>
                <w:rFonts w:eastAsia="Times New Roman" w:cs="Arial"/>
                <w:color w:val="FFFFFF" w:themeColor="background1"/>
                <w:kern w:val="0"/>
                <w:sz w:val="22"/>
                <w:lang w:eastAsia="ja-JP" w:bidi="mn-Mong-MN"/>
                <w14:ligatures w14:val="none"/>
              </w:rPr>
            </w:pPr>
            <w:r w:rsidRPr="008C5EE2">
              <w:rPr>
                <w:rFonts w:eastAsia="Times New Roman" w:cs="Arial"/>
                <w:color w:val="FFFFFF" w:themeColor="background1"/>
                <w:kern w:val="0"/>
                <w:sz w:val="22"/>
                <w:lang w:eastAsia="ja-JP" w:bidi="mn-Mong-MN"/>
                <w14:ligatures w14:val="none"/>
              </w:rPr>
              <w:t>Үзүүлэлт</w:t>
            </w:r>
          </w:p>
        </w:tc>
        <w:tc>
          <w:tcPr>
            <w:tcW w:w="2052" w:type="dxa"/>
            <w:tcBorders>
              <w:left w:val="nil"/>
              <w:right w:val="nil"/>
            </w:tcBorders>
            <w:shd w:val="clear" w:color="auto" w:fill="045957"/>
            <w:noWrap/>
            <w:hideMark/>
          </w:tcPr>
          <w:p w14:paraId="2579D701" w14:textId="77777777" w:rsidR="00A935CC" w:rsidRPr="008C5EE2" w:rsidRDefault="00A935CC" w:rsidP="00577551">
            <w:pPr>
              <w:spacing w:afterLines="0" w:after="0"/>
              <w:jc w:val="right"/>
              <w:rPr>
                <w:rFonts w:eastAsia="Times New Roman" w:cs="Arial"/>
                <w:color w:val="FFFFFF" w:themeColor="background1"/>
                <w:kern w:val="0"/>
                <w:sz w:val="22"/>
                <w:lang w:eastAsia="ja-JP" w:bidi="mn-Mong-MN"/>
                <w14:ligatures w14:val="none"/>
              </w:rPr>
            </w:pPr>
            <w:r w:rsidRPr="00E60469">
              <w:rPr>
                <w:rFonts w:eastAsia="Times New Roman" w:cs="Arial"/>
                <w:color w:val="FFFFFF" w:themeColor="background1"/>
                <w:kern w:val="0"/>
                <w:sz w:val="22"/>
                <w:lang w:eastAsia="ja-JP" w:bidi="mn-Mong-MN"/>
                <w14:ligatures w14:val="none"/>
              </w:rPr>
              <w:t>2026</w:t>
            </w:r>
          </w:p>
        </w:tc>
        <w:tc>
          <w:tcPr>
            <w:tcW w:w="2053" w:type="dxa"/>
            <w:tcBorders>
              <w:left w:val="nil"/>
              <w:right w:val="nil"/>
            </w:tcBorders>
            <w:shd w:val="clear" w:color="auto" w:fill="045957"/>
            <w:hideMark/>
          </w:tcPr>
          <w:p w14:paraId="4E39F823" w14:textId="77777777" w:rsidR="00A935CC" w:rsidRPr="008C5EE2" w:rsidRDefault="00A935CC" w:rsidP="00577551">
            <w:pPr>
              <w:spacing w:afterLines="0" w:after="0"/>
              <w:jc w:val="right"/>
              <w:rPr>
                <w:rFonts w:eastAsia="Times New Roman" w:cs="Arial"/>
                <w:color w:val="FFFFFF" w:themeColor="background1"/>
                <w:kern w:val="0"/>
                <w:sz w:val="22"/>
                <w:lang w:eastAsia="ja-JP" w:bidi="mn-Mong-MN"/>
                <w14:ligatures w14:val="none"/>
              </w:rPr>
            </w:pPr>
            <w:r w:rsidRPr="00E60469">
              <w:rPr>
                <w:rFonts w:eastAsia="Times New Roman" w:cs="Arial"/>
                <w:color w:val="FFFFFF" w:themeColor="background1"/>
                <w:kern w:val="0"/>
                <w:sz w:val="22"/>
                <w:lang w:eastAsia="ja-JP" w:bidi="mn-Mong-MN"/>
                <w14:ligatures w14:val="none"/>
              </w:rPr>
              <w:t>2026</w:t>
            </w:r>
          </w:p>
        </w:tc>
        <w:tc>
          <w:tcPr>
            <w:tcW w:w="2053" w:type="dxa"/>
            <w:vMerge w:val="restart"/>
            <w:tcBorders>
              <w:left w:val="nil"/>
              <w:right w:val="nil"/>
            </w:tcBorders>
            <w:shd w:val="clear" w:color="auto" w:fill="045957"/>
            <w:vAlign w:val="center"/>
          </w:tcPr>
          <w:p w14:paraId="20F12817" w14:textId="77777777" w:rsidR="00A935CC" w:rsidRPr="008C5EE2" w:rsidRDefault="00A935CC" w:rsidP="00577551">
            <w:pPr>
              <w:spacing w:afterLines="0" w:after="0"/>
              <w:jc w:val="right"/>
              <w:rPr>
                <w:rFonts w:eastAsia="Times New Roman" w:cs="Arial"/>
                <w:color w:val="FFFFFF" w:themeColor="background1"/>
                <w:kern w:val="0"/>
                <w:sz w:val="22"/>
                <w:lang w:eastAsia="ja-JP" w:bidi="mn-Mong-MN"/>
                <w14:ligatures w14:val="none"/>
              </w:rPr>
            </w:pPr>
            <w:r w:rsidRPr="00E60469">
              <w:rPr>
                <w:rFonts w:eastAsia="Times New Roman" w:cs="Arial"/>
                <w:color w:val="FFFFFF" w:themeColor="background1"/>
                <w:kern w:val="0"/>
                <w:sz w:val="22"/>
                <w:lang w:eastAsia="ja-JP" w:bidi="mn-Mong-MN"/>
                <w14:ligatures w14:val="none"/>
              </w:rPr>
              <w:t>Зөрүү</w:t>
            </w:r>
          </w:p>
        </w:tc>
      </w:tr>
      <w:tr w:rsidR="00A935CC" w:rsidRPr="00614D1A" w14:paraId="687154A8" w14:textId="77777777" w:rsidTr="00E65126">
        <w:trPr>
          <w:trHeight w:val="315"/>
        </w:trPr>
        <w:tc>
          <w:tcPr>
            <w:tcW w:w="3193" w:type="dxa"/>
            <w:vMerge/>
            <w:tcBorders>
              <w:left w:val="nil"/>
              <w:bottom w:val="single" w:sz="4" w:space="0" w:color="auto"/>
              <w:right w:val="nil"/>
            </w:tcBorders>
            <w:shd w:val="clear" w:color="auto" w:fill="045957"/>
            <w:vAlign w:val="center"/>
            <w:hideMark/>
          </w:tcPr>
          <w:p w14:paraId="16E9C4B9" w14:textId="77777777" w:rsidR="00A935CC" w:rsidRPr="007924D6" w:rsidRDefault="00A935CC" w:rsidP="00577551">
            <w:pPr>
              <w:spacing w:afterLines="0" w:after="0"/>
              <w:jc w:val="left"/>
              <w:rPr>
                <w:rFonts w:eastAsia="Times New Roman" w:cs="Arial"/>
                <w:kern w:val="0"/>
                <w:sz w:val="22"/>
                <w:lang w:eastAsia="ja-JP" w:bidi="mn-Mong-MN"/>
                <w14:ligatures w14:val="none"/>
              </w:rPr>
            </w:pPr>
          </w:p>
        </w:tc>
        <w:tc>
          <w:tcPr>
            <w:tcW w:w="2052" w:type="dxa"/>
            <w:tcBorders>
              <w:left w:val="nil"/>
              <w:bottom w:val="single" w:sz="4" w:space="0" w:color="auto"/>
              <w:right w:val="nil"/>
            </w:tcBorders>
            <w:shd w:val="clear" w:color="auto" w:fill="045957"/>
            <w:noWrap/>
            <w:hideMark/>
          </w:tcPr>
          <w:p w14:paraId="212CB777" w14:textId="77777777" w:rsidR="00A935CC" w:rsidRPr="00297C5F" w:rsidRDefault="00A935CC" w:rsidP="00577551">
            <w:pPr>
              <w:spacing w:afterLines="0" w:after="0"/>
              <w:jc w:val="right"/>
              <w:rPr>
                <w:rFonts w:eastAsia="Times New Roman" w:cs="Arial"/>
                <w:color w:val="FFFFFF" w:themeColor="background1"/>
                <w:kern w:val="0"/>
                <w:sz w:val="22"/>
                <w:lang w:eastAsia="ja-JP" w:bidi="mn-Mong-MN"/>
                <w14:ligatures w14:val="none"/>
              </w:rPr>
            </w:pPr>
            <w:r w:rsidRPr="00297C5F">
              <w:rPr>
                <w:rFonts w:eastAsia="Times New Roman" w:cs="Arial"/>
                <w:color w:val="FFFFFF" w:themeColor="background1"/>
                <w:kern w:val="0"/>
                <w:sz w:val="22"/>
                <w:lang w:eastAsia="ja-JP" w:bidi="mn-Mong-MN"/>
                <w14:ligatures w14:val="none"/>
              </w:rPr>
              <w:t>Бат</w:t>
            </w:r>
          </w:p>
        </w:tc>
        <w:tc>
          <w:tcPr>
            <w:tcW w:w="2053" w:type="dxa"/>
            <w:tcBorders>
              <w:left w:val="nil"/>
              <w:bottom w:val="single" w:sz="4" w:space="0" w:color="auto"/>
              <w:right w:val="nil"/>
            </w:tcBorders>
            <w:shd w:val="clear" w:color="auto" w:fill="045957"/>
            <w:hideMark/>
          </w:tcPr>
          <w:p w14:paraId="4B8703EE" w14:textId="77777777" w:rsidR="00A935CC" w:rsidRPr="00297C5F" w:rsidRDefault="00A935CC" w:rsidP="00577551">
            <w:pPr>
              <w:spacing w:afterLines="0" w:after="0"/>
              <w:jc w:val="right"/>
              <w:rPr>
                <w:rFonts w:eastAsia="Times New Roman" w:cs="Arial"/>
                <w:color w:val="FFFFFF" w:themeColor="background1"/>
                <w:kern w:val="0"/>
                <w:sz w:val="22"/>
                <w:lang w:eastAsia="ja-JP" w:bidi="mn-Mong-MN"/>
                <w14:ligatures w14:val="none"/>
              </w:rPr>
            </w:pPr>
            <w:r w:rsidRPr="00E60469">
              <w:rPr>
                <w:rFonts w:eastAsia="Times New Roman" w:cs="Arial"/>
                <w:color w:val="FFFFFF" w:themeColor="background1"/>
                <w:kern w:val="0"/>
                <w:sz w:val="22"/>
                <w:lang w:eastAsia="ja-JP" w:bidi="mn-Mong-MN"/>
                <w14:ligatures w14:val="none"/>
              </w:rPr>
              <w:t>ХБГ</w:t>
            </w:r>
          </w:p>
        </w:tc>
        <w:tc>
          <w:tcPr>
            <w:tcW w:w="2053" w:type="dxa"/>
            <w:vMerge/>
            <w:tcBorders>
              <w:left w:val="nil"/>
              <w:bottom w:val="single" w:sz="4" w:space="0" w:color="auto"/>
              <w:right w:val="nil"/>
            </w:tcBorders>
          </w:tcPr>
          <w:p w14:paraId="15AEA80A" w14:textId="77777777" w:rsidR="00A935CC" w:rsidRPr="00297C5F" w:rsidRDefault="00A935CC" w:rsidP="00577551">
            <w:pPr>
              <w:spacing w:afterLines="0" w:after="0"/>
              <w:ind w:left="720"/>
              <w:jc w:val="right"/>
              <w:rPr>
                <w:rFonts w:eastAsia="Yu Gothic" w:cs="Arial"/>
                <w:kern w:val="0"/>
                <w:sz w:val="22"/>
                <w:lang w:eastAsia="ja-JP" w:bidi="mn-Mong-MN"/>
                <w14:ligatures w14:val="none"/>
              </w:rPr>
            </w:pPr>
          </w:p>
        </w:tc>
      </w:tr>
      <w:tr w:rsidR="00A935CC" w:rsidRPr="00614D1A" w14:paraId="6EDA3CE4" w14:textId="77777777" w:rsidTr="00E65126">
        <w:trPr>
          <w:trHeight w:val="321"/>
        </w:trPr>
        <w:tc>
          <w:tcPr>
            <w:tcW w:w="3193" w:type="dxa"/>
            <w:tcBorders>
              <w:top w:val="single" w:sz="4" w:space="0" w:color="auto"/>
              <w:left w:val="nil"/>
              <w:right w:val="nil"/>
            </w:tcBorders>
            <w:noWrap/>
            <w:vAlign w:val="center"/>
            <w:hideMark/>
          </w:tcPr>
          <w:p w14:paraId="5EC9A6BE" w14:textId="77777777" w:rsidR="00A935CC" w:rsidRPr="007924D6" w:rsidRDefault="00A935CC" w:rsidP="00577551">
            <w:pPr>
              <w:spacing w:afterLines="0" w:after="0"/>
              <w:rPr>
                <w:rFonts w:eastAsia="Times New Roman" w:cs="Arial"/>
                <w:b/>
                <w:kern w:val="0"/>
                <w:sz w:val="22"/>
                <w:lang w:eastAsia="ja-JP" w:bidi="mn-Mong-MN"/>
                <w14:ligatures w14:val="none"/>
              </w:rPr>
            </w:pPr>
            <w:r w:rsidRPr="007924D6">
              <w:rPr>
                <w:rFonts w:eastAsia="Times New Roman" w:cs="Arial"/>
                <w:b/>
                <w:kern w:val="0"/>
                <w:sz w:val="22"/>
                <w:lang w:eastAsia="ja-JP" w:bidi="mn-Mong-MN"/>
                <w14:ligatures w14:val="none"/>
              </w:rPr>
              <w:t>Төсвийн нийт зарлага</w:t>
            </w:r>
          </w:p>
        </w:tc>
        <w:tc>
          <w:tcPr>
            <w:tcW w:w="2052" w:type="dxa"/>
            <w:tcBorders>
              <w:top w:val="single" w:sz="4" w:space="0" w:color="auto"/>
              <w:left w:val="nil"/>
              <w:right w:val="nil"/>
            </w:tcBorders>
            <w:noWrap/>
            <w:hideMark/>
          </w:tcPr>
          <w:p w14:paraId="790EAE92" w14:textId="77777777" w:rsidR="00A935CC" w:rsidRPr="007924D6" w:rsidRDefault="00A935CC" w:rsidP="00577551">
            <w:pPr>
              <w:spacing w:afterLines="0" w:after="0"/>
              <w:jc w:val="right"/>
              <w:rPr>
                <w:rFonts w:eastAsia="Times New Roman" w:cs="Arial"/>
                <w:b/>
                <w:kern w:val="0"/>
                <w:sz w:val="22"/>
                <w:lang w:eastAsia="ja-JP" w:bidi="mn-Mong-MN"/>
                <w14:ligatures w14:val="none"/>
              </w:rPr>
            </w:pPr>
            <w:r w:rsidRPr="007924D6">
              <w:rPr>
                <w:rFonts w:eastAsia="Times New Roman" w:cs="Arial"/>
                <w:b/>
                <w:kern w:val="0"/>
                <w:sz w:val="22"/>
                <w:lang w:eastAsia="ja-JP" w:bidi="mn-Mong-MN"/>
                <w14:ligatures w14:val="none"/>
              </w:rPr>
              <w:t>32,980.0</w:t>
            </w:r>
          </w:p>
        </w:tc>
        <w:tc>
          <w:tcPr>
            <w:tcW w:w="2053" w:type="dxa"/>
            <w:tcBorders>
              <w:top w:val="single" w:sz="4" w:space="0" w:color="auto"/>
              <w:left w:val="nil"/>
              <w:right w:val="nil"/>
            </w:tcBorders>
            <w:hideMark/>
          </w:tcPr>
          <w:p w14:paraId="434C184A" w14:textId="77777777" w:rsidR="00A935CC" w:rsidRPr="007924D6" w:rsidRDefault="00A935CC" w:rsidP="00577551">
            <w:pPr>
              <w:spacing w:afterLines="0" w:after="0"/>
              <w:jc w:val="right"/>
              <w:rPr>
                <w:rFonts w:eastAsia="Times New Roman" w:cs="Arial"/>
                <w:b/>
                <w:kern w:val="0"/>
                <w:sz w:val="22"/>
                <w:lang w:eastAsia="ja-JP" w:bidi="mn-Mong-MN"/>
                <w14:ligatures w14:val="none"/>
              </w:rPr>
            </w:pPr>
            <w:r w:rsidRPr="007924D6">
              <w:rPr>
                <w:rFonts w:eastAsia="Times New Roman" w:cs="Arial"/>
                <w:b/>
                <w:kern w:val="0"/>
                <w:sz w:val="22"/>
                <w:lang w:eastAsia="ja-JP" w:bidi="mn-Mong-MN"/>
                <w14:ligatures w14:val="none"/>
              </w:rPr>
              <w:t>33,978.0</w:t>
            </w:r>
          </w:p>
        </w:tc>
        <w:tc>
          <w:tcPr>
            <w:tcW w:w="2053" w:type="dxa"/>
            <w:tcBorders>
              <w:top w:val="single" w:sz="4" w:space="0" w:color="auto"/>
              <w:left w:val="nil"/>
              <w:right w:val="nil"/>
            </w:tcBorders>
          </w:tcPr>
          <w:p w14:paraId="594CB575" w14:textId="77777777" w:rsidR="00A935CC" w:rsidRPr="007924D6" w:rsidRDefault="00A935CC" w:rsidP="00577551">
            <w:pPr>
              <w:spacing w:afterLines="0" w:after="0"/>
              <w:jc w:val="right"/>
              <w:rPr>
                <w:rFonts w:eastAsia="Times New Roman" w:cs="Arial"/>
                <w:b/>
                <w:kern w:val="0"/>
                <w:sz w:val="22"/>
                <w:lang w:eastAsia="ja-JP" w:bidi="mn-Mong-MN"/>
                <w14:ligatures w14:val="none"/>
              </w:rPr>
            </w:pPr>
            <w:r w:rsidRPr="007924D6">
              <w:rPr>
                <w:rFonts w:eastAsia="Times New Roman" w:cs="Arial"/>
                <w:b/>
                <w:kern w:val="0"/>
                <w:sz w:val="22"/>
                <w:lang w:eastAsia="ja-JP" w:bidi="mn-Mong-MN"/>
                <w14:ligatures w14:val="none"/>
              </w:rPr>
              <w:t>998.0</w:t>
            </w:r>
          </w:p>
        </w:tc>
      </w:tr>
      <w:tr w:rsidR="00A935CC" w:rsidRPr="00614D1A" w14:paraId="0096BCC7" w14:textId="77777777" w:rsidTr="00E65126">
        <w:trPr>
          <w:trHeight w:val="333"/>
        </w:trPr>
        <w:tc>
          <w:tcPr>
            <w:tcW w:w="3193" w:type="dxa"/>
            <w:tcBorders>
              <w:left w:val="nil"/>
              <w:bottom w:val="single" w:sz="4" w:space="0" w:color="auto"/>
              <w:right w:val="nil"/>
            </w:tcBorders>
            <w:shd w:val="clear" w:color="auto" w:fill="F2F2F2" w:themeFill="background1" w:themeFillShade="F2"/>
            <w:noWrap/>
            <w:vAlign w:val="center"/>
          </w:tcPr>
          <w:p w14:paraId="455EEC8A" w14:textId="77777777" w:rsidR="00A935CC" w:rsidRPr="00776F36" w:rsidRDefault="00A935CC" w:rsidP="00577551">
            <w:pPr>
              <w:spacing w:afterLines="0" w:after="0"/>
              <w:ind w:left="720"/>
              <w:jc w:val="left"/>
              <w:rPr>
                <w:rFonts w:eastAsia="Times New Roman" w:cs="Arial"/>
                <w:kern w:val="0"/>
                <w:sz w:val="22"/>
                <w:lang w:eastAsia="ja-JP" w:bidi="mn-Mong-MN"/>
                <w14:ligatures w14:val="none"/>
              </w:rPr>
            </w:pPr>
            <w:r w:rsidRPr="00776F36">
              <w:rPr>
                <w:rFonts w:eastAsia="Times New Roman" w:cs="Arial"/>
                <w:kern w:val="0"/>
                <w:sz w:val="22"/>
                <w:lang w:eastAsia="ja-JP" w:bidi="mn-Mong-MN"/>
                <w14:ligatures w14:val="none"/>
              </w:rPr>
              <w:t>ДНБ-д эзлэх хувь</w:t>
            </w:r>
          </w:p>
        </w:tc>
        <w:tc>
          <w:tcPr>
            <w:tcW w:w="2052" w:type="dxa"/>
            <w:tcBorders>
              <w:left w:val="nil"/>
              <w:bottom w:val="single" w:sz="4" w:space="0" w:color="auto"/>
              <w:right w:val="nil"/>
            </w:tcBorders>
            <w:shd w:val="clear" w:color="auto" w:fill="F2F2F2" w:themeFill="background1" w:themeFillShade="F2"/>
            <w:noWrap/>
          </w:tcPr>
          <w:p w14:paraId="65A551C2" w14:textId="77777777" w:rsidR="00A935CC" w:rsidRPr="00776F36" w:rsidRDefault="00A935CC" w:rsidP="00577551">
            <w:pPr>
              <w:spacing w:afterLines="0" w:after="0"/>
              <w:jc w:val="right"/>
              <w:rPr>
                <w:rFonts w:eastAsia="Times New Roman" w:cs="Arial"/>
                <w:kern w:val="0"/>
                <w:sz w:val="22"/>
                <w:lang w:eastAsia="ja-JP" w:bidi="mn-Mong-MN"/>
                <w14:ligatures w14:val="none"/>
              </w:rPr>
            </w:pPr>
            <w:r w:rsidRPr="00776F36">
              <w:rPr>
                <w:rFonts w:eastAsia="Times New Roman" w:cs="Arial"/>
                <w:kern w:val="0"/>
                <w:sz w:val="22"/>
                <w:lang w:eastAsia="ja-JP" w:bidi="mn-Mong-MN"/>
                <w14:ligatures w14:val="none"/>
              </w:rPr>
              <w:t>32.2%</w:t>
            </w:r>
          </w:p>
        </w:tc>
        <w:tc>
          <w:tcPr>
            <w:tcW w:w="2053" w:type="dxa"/>
            <w:tcBorders>
              <w:left w:val="nil"/>
              <w:bottom w:val="single" w:sz="4" w:space="0" w:color="auto"/>
              <w:right w:val="nil"/>
            </w:tcBorders>
            <w:shd w:val="clear" w:color="auto" w:fill="F2F2F2" w:themeFill="background1" w:themeFillShade="F2"/>
          </w:tcPr>
          <w:p w14:paraId="123E6156" w14:textId="77777777" w:rsidR="00A935CC" w:rsidRPr="00776F36" w:rsidRDefault="00A935CC" w:rsidP="00577551">
            <w:pPr>
              <w:spacing w:afterLines="0" w:after="0"/>
              <w:jc w:val="right"/>
              <w:rPr>
                <w:rFonts w:eastAsia="Times New Roman" w:cs="Arial"/>
                <w:kern w:val="0"/>
                <w:sz w:val="22"/>
                <w:lang w:eastAsia="ja-JP" w:bidi="mn-Mong-MN"/>
                <w14:ligatures w14:val="none"/>
              </w:rPr>
            </w:pPr>
            <w:r w:rsidRPr="00776F36">
              <w:rPr>
                <w:rFonts w:eastAsia="Times New Roman" w:cs="Arial"/>
                <w:kern w:val="0"/>
                <w:sz w:val="22"/>
                <w:lang w:eastAsia="ja-JP" w:bidi="mn-Mong-MN"/>
                <w14:ligatures w14:val="none"/>
              </w:rPr>
              <w:t>33.2%</w:t>
            </w:r>
          </w:p>
        </w:tc>
        <w:tc>
          <w:tcPr>
            <w:tcW w:w="2053" w:type="dxa"/>
            <w:tcBorders>
              <w:left w:val="nil"/>
              <w:bottom w:val="single" w:sz="4" w:space="0" w:color="auto"/>
              <w:right w:val="nil"/>
            </w:tcBorders>
            <w:shd w:val="clear" w:color="auto" w:fill="F2F2F2" w:themeFill="background1" w:themeFillShade="F2"/>
          </w:tcPr>
          <w:p w14:paraId="7E28DC42" w14:textId="77777777" w:rsidR="00A935CC" w:rsidRPr="007924D6" w:rsidRDefault="00A935CC" w:rsidP="00577551">
            <w:pPr>
              <w:spacing w:afterLines="0" w:after="0"/>
              <w:jc w:val="right"/>
              <w:rPr>
                <w:rFonts w:eastAsia="Times New Roman" w:cs="Arial"/>
                <w:i/>
                <w:kern w:val="0"/>
                <w:sz w:val="22"/>
                <w:lang w:eastAsia="ja-JP" w:bidi="mn-Mong-MN"/>
                <w14:ligatures w14:val="none"/>
              </w:rPr>
            </w:pPr>
          </w:p>
        </w:tc>
      </w:tr>
    </w:tbl>
    <w:p w14:paraId="31D4C7E1" w14:textId="77777777" w:rsidR="00A935CC" w:rsidRPr="007924D6" w:rsidRDefault="00A935CC" w:rsidP="00A935CC">
      <w:pPr>
        <w:spacing w:afterLines="50"/>
        <w:jc w:val="right"/>
        <w:rPr>
          <w:rFonts w:cs="Arial"/>
          <w:b/>
        </w:rPr>
      </w:pPr>
      <w:r w:rsidRPr="008C5EE2">
        <w:rPr>
          <w:rFonts w:cs="Arial"/>
          <w:i/>
          <w:iCs/>
          <w:sz w:val="20"/>
          <w:szCs w:val="20"/>
        </w:rPr>
        <w:t>Эх сурвалж: Сангийн яам, ЭЗХЯ-ны төсөөлөл</w:t>
      </w:r>
    </w:p>
    <w:p w14:paraId="6BC06ECD" w14:textId="41DC071D" w:rsidR="005D0E9B" w:rsidRPr="007924D6" w:rsidRDefault="00FD5320" w:rsidP="00E65126">
      <w:pPr>
        <w:spacing w:afterLines="0" w:after="0" w:line="240" w:lineRule="auto"/>
        <w:ind w:firstLine="720"/>
        <w:rPr>
          <w:rFonts w:cs="Arial"/>
        </w:rPr>
      </w:pPr>
      <w:r w:rsidRPr="007924D6">
        <w:rPr>
          <w:rFonts w:cs="Arial"/>
        </w:rPr>
        <w:t>Төсвийн тогтвортой байдлын тухай хуулийн 19 дүгээр зүйлийн 19.9-д “нэгдсэн  төсвийн тэнцвэржүүлсэн тэнцлийн алдагдлын тухайн жилийн оны үнээр тооцсон дотоодын нийт бүтээгдэхүүнд эзлэх хувь хэмжээг 2025 оноос эхлэн тухайн төсвийн жилийн дотоодын нийт бүтээгдэхүүний хоёр хувиас илүүгүй алдагдалтай, эсхүл ашигтай байна” гэж заасны дагуу тэнцвэржүүлсэн тэнцлийн ДНБ-д эзлэх хувь 2026 онд 1.0 хувь буюу алдагдалтай байхаар батлагдсан.</w:t>
      </w:r>
    </w:p>
    <w:p w14:paraId="1A4B5803" w14:textId="77777777" w:rsidR="00E65126" w:rsidRDefault="00E65126" w:rsidP="00E65126">
      <w:pPr>
        <w:spacing w:afterLines="0" w:after="0" w:line="240" w:lineRule="auto"/>
        <w:ind w:firstLine="720"/>
        <w:rPr>
          <w:rFonts w:cs="Arial"/>
        </w:rPr>
      </w:pPr>
    </w:p>
    <w:p w14:paraId="205E8AE6" w14:textId="509A8FB6" w:rsidR="003B484B" w:rsidRDefault="009A6CF1" w:rsidP="00E65126">
      <w:pPr>
        <w:spacing w:afterLines="0" w:after="0" w:line="240" w:lineRule="auto"/>
        <w:ind w:firstLine="720"/>
        <w:rPr>
          <w:rFonts w:cs="Arial"/>
        </w:rPr>
      </w:pPr>
      <w:r w:rsidRPr="007924D6">
        <w:rPr>
          <w:rFonts w:cs="Arial"/>
        </w:rPr>
        <w:t xml:space="preserve">Орон </w:t>
      </w:r>
      <w:r w:rsidR="00114BC5" w:rsidRPr="007924D6">
        <w:rPr>
          <w:rFonts w:cs="Arial"/>
        </w:rPr>
        <w:t>нутгийн төсвөөс өмнөх онд санхүүжүүлээгүй үлдэгдлээс 1 их наяд төгрөгийг зарцуулахаар тооцсон</w:t>
      </w:r>
      <w:r w:rsidR="00B52419" w:rsidRPr="007924D6">
        <w:rPr>
          <w:rFonts w:cs="Arial"/>
        </w:rPr>
        <w:t xml:space="preserve"> </w:t>
      </w:r>
      <w:r w:rsidR="007C7C06" w:rsidRPr="007924D6">
        <w:rPr>
          <w:rFonts w:cs="Arial"/>
        </w:rPr>
        <w:t xml:space="preserve">нь </w:t>
      </w:r>
      <w:r w:rsidR="007C7C06" w:rsidRPr="00614D1A">
        <w:rPr>
          <w:rFonts w:cs="Arial"/>
        </w:rPr>
        <w:t>2026 онд ДНБ-ий 2.0 хувьтай тэнцэх хэмжээний алдагдалтай гарах</w:t>
      </w:r>
      <w:r w:rsidR="002B58FF" w:rsidRPr="00614D1A">
        <w:rPr>
          <w:rFonts w:cs="Arial"/>
        </w:rPr>
        <w:t xml:space="preserve">аар байна. Энэ нь </w:t>
      </w:r>
      <w:r w:rsidR="007C7C06" w:rsidRPr="00614D1A">
        <w:rPr>
          <w:rFonts w:cs="Arial"/>
        </w:rPr>
        <w:t>Төсвийн тогтвортой байдлын тухай хуулийн 19.9-д заасан зорилтот түвшний үзүүлэлтийг хангаж байна.</w:t>
      </w:r>
    </w:p>
    <w:p w14:paraId="01C80424" w14:textId="77777777" w:rsidR="00816F25" w:rsidRPr="00614D1A" w:rsidRDefault="00816F25" w:rsidP="00E65126">
      <w:pPr>
        <w:spacing w:afterLines="0" w:after="0" w:line="240" w:lineRule="auto"/>
        <w:ind w:firstLine="720"/>
        <w:rPr>
          <w:rFonts w:cs="Arial"/>
        </w:rPr>
      </w:pPr>
    </w:p>
    <w:p w14:paraId="173CE17B" w14:textId="524D3C1A" w:rsidR="00EC778A" w:rsidRPr="007924D6" w:rsidRDefault="00EC778A" w:rsidP="00816F25">
      <w:pPr>
        <w:pStyle w:val="Caption"/>
        <w:keepNext/>
        <w:spacing w:after="288"/>
        <w:jc w:val="right"/>
        <w:rPr>
          <w:rFonts w:ascii="Arial" w:hAnsi="Arial" w:cs="Arial"/>
          <w:color w:val="auto"/>
        </w:rPr>
      </w:pPr>
      <w:r w:rsidRPr="007924D6">
        <w:rPr>
          <w:rFonts w:ascii="Arial" w:hAnsi="Arial" w:cs="Arial"/>
          <w:color w:val="auto"/>
        </w:rPr>
        <w:t xml:space="preserve">Хүснэгт </w:t>
      </w:r>
      <w:r w:rsidRPr="007924D6">
        <w:rPr>
          <w:rFonts w:ascii="Arial" w:hAnsi="Arial" w:cs="Arial"/>
          <w:color w:val="auto"/>
        </w:rPr>
        <w:fldChar w:fldCharType="begin"/>
      </w:r>
      <w:r w:rsidRPr="007924D6">
        <w:rPr>
          <w:rFonts w:ascii="Arial" w:hAnsi="Arial" w:cs="Arial"/>
          <w:color w:val="auto"/>
        </w:rPr>
        <w:instrText xml:space="preserve"> STYLEREF 1 \s </w:instrText>
      </w:r>
      <w:r w:rsidRPr="007924D6">
        <w:rPr>
          <w:rFonts w:ascii="Arial" w:hAnsi="Arial" w:cs="Arial"/>
          <w:color w:val="auto"/>
        </w:rPr>
        <w:fldChar w:fldCharType="separate"/>
      </w:r>
      <w:r w:rsidR="000E7C9C">
        <w:rPr>
          <w:rFonts w:ascii="Arial" w:hAnsi="Arial" w:cs="Arial"/>
          <w:noProof/>
          <w:color w:val="auto"/>
        </w:rPr>
        <w:t>1</w:t>
      </w:r>
      <w:r w:rsidRPr="007924D6">
        <w:rPr>
          <w:rFonts w:ascii="Arial" w:hAnsi="Arial" w:cs="Arial"/>
          <w:color w:val="auto"/>
        </w:rPr>
        <w:fldChar w:fldCharType="end"/>
      </w:r>
      <w:r w:rsidRPr="007924D6">
        <w:rPr>
          <w:rFonts w:ascii="Arial" w:hAnsi="Arial" w:cs="Arial"/>
          <w:color w:val="auto"/>
        </w:rPr>
        <w:t>.</w:t>
      </w:r>
      <w:r w:rsidRPr="007924D6">
        <w:rPr>
          <w:rFonts w:ascii="Arial" w:hAnsi="Arial" w:cs="Arial"/>
          <w:color w:val="auto"/>
        </w:rPr>
        <w:fldChar w:fldCharType="begin"/>
      </w:r>
      <w:r w:rsidRPr="007924D6">
        <w:rPr>
          <w:rFonts w:ascii="Arial" w:hAnsi="Arial" w:cs="Arial"/>
          <w:color w:val="auto"/>
        </w:rPr>
        <w:instrText xml:space="preserve"> SEQ Хүснэгт \* ARABIC \s 1 </w:instrText>
      </w:r>
      <w:r w:rsidRPr="007924D6">
        <w:rPr>
          <w:rFonts w:ascii="Arial" w:hAnsi="Arial" w:cs="Arial"/>
          <w:color w:val="auto"/>
        </w:rPr>
        <w:fldChar w:fldCharType="separate"/>
      </w:r>
      <w:r w:rsidR="000E7C9C">
        <w:rPr>
          <w:rFonts w:ascii="Arial" w:hAnsi="Arial" w:cs="Arial"/>
          <w:noProof/>
          <w:color w:val="auto"/>
        </w:rPr>
        <w:t>5</w:t>
      </w:r>
      <w:r w:rsidRPr="007924D6">
        <w:rPr>
          <w:rFonts w:ascii="Arial" w:hAnsi="Arial" w:cs="Arial"/>
          <w:color w:val="auto"/>
        </w:rPr>
        <w:fldChar w:fldCharType="end"/>
      </w:r>
      <w:r w:rsidRPr="007924D6">
        <w:rPr>
          <w:rFonts w:ascii="Arial" w:hAnsi="Arial" w:cs="Arial"/>
          <w:color w:val="auto"/>
        </w:rPr>
        <w:t xml:space="preserve"> Нэгдсэн төсвийн тэнцвэржүүлсэн тэнцэл, түүний гүйцэтгэл (ДНБ-д эзлэх хувь)</w:t>
      </w:r>
    </w:p>
    <w:tbl>
      <w:tblPr>
        <w:tblW w:w="9810" w:type="dxa"/>
        <w:tblLayout w:type="fixed"/>
        <w:tblLook w:val="04A0" w:firstRow="1" w:lastRow="0" w:firstColumn="1" w:lastColumn="0" w:noHBand="0" w:noVBand="1"/>
      </w:tblPr>
      <w:tblGrid>
        <w:gridCol w:w="4195"/>
        <w:gridCol w:w="2807"/>
        <w:gridCol w:w="2808"/>
      </w:tblGrid>
      <w:tr w:rsidR="00EC778A" w:rsidRPr="00614D1A" w14:paraId="70B42918" w14:textId="77777777" w:rsidTr="007B028C">
        <w:trPr>
          <w:trHeight w:val="301"/>
        </w:trPr>
        <w:tc>
          <w:tcPr>
            <w:tcW w:w="4195" w:type="dxa"/>
            <w:vMerge w:val="restart"/>
            <w:tcBorders>
              <w:left w:val="nil"/>
              <w:right w:val="nil"/>
            </w:tcBorders>
            <w:shd w:val="clear" w:color="auto" w:fill="045957"/>
            <w:vAlign w:val="center"/>
            <w:hideMark/>
          </w:tcPr>
          <w:p w14:paraId="15A2D6EC" w14:textId="77777777" w:rsidR="00EC778A" w:rsidRPr="00655295" w:rsidRDefault="00EC778A">
            <w:pPr>
              <w:spacing w:afterLines="0" w:after="0" w:line="240" w:lineRule="auto"/>
              <w:jc w:val="center"/>
              <w:rPr>
                <w:rFonts w:eastAsia="Times New Roman" w:cs="Arial"/>
                <w:color w:val="FFFFFF" w:themeColor="background1"/>
                <w:kern w:val="0"/>
                <w:sz w:val="22"/>
                <w:lang w:eastAsia="ja-JP" w:bidi="mn-Mong-MN"/>
                <w14:ligatures w14:val="none"/>
              </w:rPr>
            </w:pPr>
            <w:r w:rsidRPr="00655295">
              <w:rPr>
                <w:rFonts w:eastAsia="Times New Roman" w:cs="Arial"/>
                <w:color w:val="FFFFFF" w:themeColor="background1"/>
                <w:kern w:val="0"/>
                <w:sz w:val="22"/>
                <w:lang w:eastAsia="ja-JP" w:bidi="mn-Mong-MN"/>
                <w14:ligatures w14:val="none"/>
              </w:rPr>
              <w:t>Үзүүлэлт</w:t>
            </w:r>
          </w:p>
        </w:tc>
        <w:tc>
          <w:tcPr>
            <w:tcW w:w="2807" w:type="dxa"/>
            <w:tcBorders>
              <w:left w:val="nil"/>
              <w:right w:val="nil"/>
            </w:tcBorders>
            <w:shd w:val="clear" w:color="auto" w:fill="045957"/>
            <w:noWrap/>
            <w:hideMark/>
          </w:tcPr>
          <w:p w14:paraId="231BC7CB" w14:textId="77777777" w:rsidR="00EC778A" w:rsidRPr="00E60469" w:rsidRDefault="00EC778A">
            <w:pPr>
              <w:spacing w:afterLines="0" w:after="0" w:line="240" w:lineRule="auto"/>
              <w:jc w:val="center"/>
              <w:rPr>
                <w:rFonts w:eastAsia="Times New Roman" w:cs="Arial"/>
                <w:color w:val="FFFFFF" w:themeColor="background1"/>
                <w:kern w:val="0"/>
                <w:sz w:val="22"/>
                <w:lang w:eastAsia="ja-JP" w:bidi="mn-Mong-MN"/>
                <w14:ligatures w14:val="none"/>
              </w:rPr>
            </w:pPr>
            <w:r w:rsidRPr="00E60469">
              <w:rPr>
                <w:rFonts w:eastAsia="Times New Roman" w:cs="Arial"/>
                <w:color w:val="FFFFFF" w:themeColor="background1"/>
                <w:kern w:val="0"/>
                <w:sz w:val="22"/>
                <w:lang w:eastAsia="ja-JP" w:bidi="mn-Mong-MN"/>
                <w14:ligatures w14:val="none"/>
              </w:rPr>
              <w:t>2026</w:t>
            </w:r>
          </w:p>
        </w:tc>
        <w:tc>
          <w:tcPr>
            <w:tcW w:w="2808" w:type="dxa"/>
            <w:tcBorders>
              <w:left w:val="nil"/>
              <w:right w:val="nil"/>
            </w:tcBorders>
            <w:shd w:val="clear" w:color="auto" w:fill="045957"/>
            <w:hideMark/>
          </w:tcPr>
          <w:p w14:paraId="7BCC8917" w14:textId="77777777" w:rsidR="00EC778A" w:rsidRPr="00E60469" w:rsidRDefault="00EC778A">
            <w:pPr>
              <w:spacing w:afterLines="0" w:after="0" w:line="240" w:lineRule="auto"/>
              <w:jc w:val="center"/>
              <w:rPr>
                <w:rFonts w:eastAsia="Times New Roman" w:cs="Arial"/>
                <w:color w:val="FFFFFF" w:themeColor="background1"/>
                <w:kern w:val="0"/>
                <w:sz w:val="22"/>
                <w:lang w:eastAsia="ja-JP" w:bidi="mn-Mong-MN"/>
                <w14:ligatures w14:val="none"/>
              </w:rPr>
            </w:pPr>
            <w:r w:rsidRPr="00E60469">
              <w:rPr>
                <w:rFonts w:eastAsia="Times New Roman" w:cs="Arial"/>
                <w:color w:val="FFFFFF" w:themeColor="background1"/>
                <w:kern w:val="0"/>
                <w:sz w:val="22"/>
                <w:lang w:eastAsia="ja-JP" w:bidi="mn-Mong-MN"/>
                <w14:ligatures w14:val="none"/>
              </w:rPr>
              <w:t>2026</w:t>
            </w:r>
          </w:p>
        </w:tc>
      </w:tr>
      <w:tr w:rsidR="00EC778A" w:rsidRPr="00614D1A" w14:paraId="3CCCDFAD" w14:textId="77777777" w:rsidTr="007B028C">
        <w:trPr>
          <w:trHeight w:val="256"/>
        </w:trPr>
        <w:tc>
          <w:tcPr>
            <w:tcW w:w="4195" w:type="dxa"/>
            <w:vMerge/>
            <w:tcBorders>
              <w:left w:val="nil"/>
              <w:right w:val="nil"/>
            </w:tcBorders>
            <w:shd w:val="clear" w:color="auto" w:fill="045957"/>
            <w:vAlign w:val="center"/>
            <w:hideMark/>
          </w:tcPr>
          <w:p w14:paraId="4A9973BB" w14:textId="77777777" w:rsidR="00EC778A" w:rsidRPr="00655295" w:rsidRDefault="00EC778A">
            <w:pPr>
              <w:spacing w:afterLines="0" w:after="0" w:line="240" w:lineRule="auto"/>
              <w:jc w:val="left"/>
              <w:rPr>
                <w:rFonts w:eastAsia="Times New Roman" w:cs="Arial"/>
                <w:color w:val="FFFFFF" w:themeColor="background1"/>
                <w:kern w:val="0"/>
                <w:sz w:val="22"/>
                <w:lang w:eastAsia="ja-JP" w:bidi="mn-Mong-MN"/>
                <w14:ligatures w14:val="none"/>
              </w:rPr>
            </w:pPr>
          </w:p>
        </w:tc>
        <w:tc>
          <w:tcPr>
            <w:tcW w:w="2807" w:type="dxa"/>
            <w:tcBorders>
              <w:left w:val="nil"/>
              <w:right w:val="nil"/>
            </w:tcBorders>
            <w:shd w:val="clear" w:color="auto" w:fill="045957"/>
            <w:noWrap/>
            <w:hideMark/>
          </w:tcPr>
          <w:p w14:paraId="7BF9AA11" w14:textId="77777777" w:rsidR="00EC778A" w:rsidRPr="00655295" w:rsidRDefault="00EC778A">
            <w:pPr>
              <w:spacing w:afterLines="0" w:after="0" w:line="240" w:lineRule="auto"/>
              <w:jc w:val="center"/>
              <w:rPr>
                <w:rFonts w:eastAsia="Times New Roman" w:cs="Arial"/>
                <w:color w:val="FFFFFF" w:themeColor="background1"/>
                <w:kern w:val="0"/>
                <w:sz w:val="22"/>
                <w:lang w:eastAsia="ja-JP" w:bidi="mn-Mong-MN"/>
                <w14:ligatures w14:val="none"/>
              </w:rPr>
            </w:pPr>
            <w:r w:rsidRPr="00751419">
              <w:rPr>
                <w:rFonts w:eastAsia="Times New Roman" w:cs="Arial"/>
                <w:color w:val="FFFFFF" w:themeColor="background1"/>
                <w:kern w:val="0"/>
                <w:sz w:val="22"/>
                <w:lang w:eastAsia="ja-JP" w:bidi="mn-Mong-MN"/>
                <w14:ligatures w14:val="none"/>
              </w:rPr>
              <w:t>Бат</w:t>
            </w:r>
          </w:p>
        </w:tc>
        <w:tc>
          <w:tcPr>
            <w:tcW w:w="2808" w:type="dxa"/>
            <w:tcBorders>
              <w:left w:val="nil"/>
              <w:right w:val="nil"/>
            </w:tcBorders>
            <w:shd w:val="clear" w:color="auto" w:fill="045957"/>
            <w:hideMark/>
          </w:tcPr>
          <w:p w14:paraId="33FE45EA" w14:textId="77777777" w:rsidR="00EC778A" w:rsidRPr="00655295" w:rsidRDefault="00EC778A">
            <w:pPr>
              <w:spacing w:afterLines="0" w:after="0" w:line="240" w:lineRule="auto"/>
              <w:jc w:val="center"/>
              <w:rPr>
                <w:rFonts w:eastAsia="Times New Roman" w:cs="Arial"/>
                <w:color w:val="FFFFFF" w:themeColor="background1"/>
                <w:kern w:val="0"/>
                <w:sz w:val="22"/>
                <w:lang w:eastAsia="ja-JP" w:bidi="mn-Mong-MN"/>
                <w14:ligatures w14:val="none"/>
              </w:rPr>
            </w:pPr>
            <w:r w:rsidRPr="00655295">
              <w:rPr>
                <w:rFonts w:eastAsia="Times New Roman" w:cs="Arial"/>
                <w:color w:val="FFFFFF" w:themeColor="background1"/>
                <w:kern w:val="0"/>
                <w:sz w:val="22"/>
                <w:lang w:eastAsia="ja-JP" w:bidi="mn-Mong-MN"/>
                <w14:ligatures w14:val="none"/>
              </w:rPr>
              <w:t>ХБГ</w:t>
            </w:r>
          </w:p>
        </w:tc>
      </w:tr>
      <w:tr w:rsidR="00EC778A" w:rsidRPr="00614D1A" w14:paraId="4065E71E" w14:textId="77777777" w:rsidTr="007B028C">
        <w:trPr>
          <w:trHeight w:val="292"/>
        </w:trPr>
        <w:tc>
          <w:tcPr>
            <w:tcW w:w="4195" w:type="dxa"/>
            <w:tcBorders>
              <w:left w:val="nil"/>
              <w:bottom w:val="single" w:sz="4" w:space="0" w:color="000000" w:themeColor="text1"/>
              <w:right w:val="nil"/>
            </w:tcBorders>
            <w:noWrap/>
            <w:vAlign w:val="center"/>
            <w:hideMark/>
          </w:tcPr>
          <w:p w14:paraId="1AADB622" w14:textId="77777777" w:rsidR="00EC778A" w:rsidRPr="007924D6" w:rsidRDefault="00EC778A">
            <w:pPr>
              <w:spacing w:afterLines="0" w:after="0" w:line="240" w:lineRule="auto"/>
              <w:jc w:val="left"/>
              <w:rPr>
                <w:rFonts w:eastAsia="Times New Roman" w:cs="Arial"/>
                <w:kern w:val="0"/>
                <w:sz w:val="22"/>
                <w:lang w:eastAsia="ja-JP" w:bidi="mn-Mong-MN"/>
                <w14:ligatures w14:val="none"/>
              </w:rPr>
            </w:pPr>
            <w:r w:rsidRPr="007924D6">
              <w:rPr>
                <w:rFonts w:eastAsia="Times New Roman" w:cs="Arial"/>
                <w:kern w:val="0"/>
                <w:sz w:val="22"/>
                <w:lang w:eastAsia="ja-JP" w:bidi="mn-Mong-MN"/>
                <w14:ligatures w14:val="none"/>
              </w:rPr>
              <w:t xml:space="preserve">Хуулийн хязгаар </w:t>
            </w:r>
          </w:p>
        </w:tc>
        <w:tc>
          <w:tcPr>
            <w:tcW w:w="2807" w:type="dxa"/>
            <w:tcBorders>
              <w:left w:val="nil"/>
              <w:bottom w:val="single" w:sz="4" w:space="0" w:color="000000" w:themeColor="text1"/>
              <w:right w:val="nil"/>
            </w:tcBorders>
            <w:noWrap/>
            <w:vAlign w:val="center"/>
            <w:hideMark/>
          </w:tcPr>
          <w:p w14:paraId="1530F85E" w14:textId="77777777" w:rsidR="00EC778A" w:rsidRPr="007924D6" w:rsidRDefault="00EC778A">
            <w:pPr>
              <w:spacing w:afterLines="0" w:after="0" w:line="240" w:lineRule="auto"/>
              <w:jc w:val="center"/>
              <w:rPr>
                <w:rFonts w:eastAsia="Times New Roman" w:cs="Arial"/>
                <w:kern w:val="0"/>
                <w:sz w:val="22"/>
                <w:lang w:eastAsia="ja-JP" w:bidi="mn-Mong-MN"/>
                <w14:ligatures w14:val="none"/>
              </w:rPr>
            </w:pPr>
            <w:r w:rsidRPr="007924D6">
              <w:rPr>
                <w:rFonts w:eastAsia="Times New Roman" w:cs="Arial"/>
                <w:kern w:val="0"/>
                <w:sz w:val="22"/>
                <w:lang w:eastAsia="ja-JP" w:bidi="mn-Mong-MN"/>
                <w14:ligatures w14:val="none"/>
              </w:rPr>
              <w:t>-2.0</w:t>
            </w:r>
          </w:p>
        </w:tc>
        <w:tc>
          <w:tcPr>
            <w:tcW w:w="2808" w:type="dxa"/>
            <w:tcBorders>
              <w:left w:val="nil"/>
              <w:bottom w:val="single" w:sz="4" w:space="0" w:color="000000" w:themeColor="text1"/>
              <w:right w:val="nil"/>
            </w:tcBorders>
            <w:noWrap/>
            <w:vAlign w:val="center"/>
            <w:hideMark/>
          </w:tcPr>
          <w:p w14:paraId="12B4E29A" w14:textId="77777777" w:rsidR="00EC778A" w:rsidRPr="007924D6" w:rsidRDefault="00EC778A">
            <w:pPr>
              <w:spacing w:afterLines="0" w:after="0" w:line="240" w:lineRule="auto"/>
              <w:jc w:val="center"/>
              <w:rPr>
                <w:rFonts w:eastAsia="Times New Roman" w:cs="Arial"/>
                <w:kern w:val="0"/>
                <w:sz w:val="22"/>
                <w:lang w:eastAsia="ja-JP" w:bidi="mn-Mong-MN"/>
                <w14:ligatures w14:val="none"/>
              </w:rPr>
            </w:pPr>
            <w:r w:rsidRPr="007924D6">
              <w:rPr>
                <w:rFonts w:eastAsia="Times New Roman" w:cs="Arial"/>
                <w:kern w:val="0"/>
                <w:sz w:val="22"/>
                <w:lang w:eastAsia="ja-JP" w:bidi="mn-Mong-MN"/>
                <w14:ligatures w14:val="none"/>
              </w:rPr>
              <w:t>-2.0</w:t>
            </w:r>
          </w:p>
        </w:tc>
      </w:tr>
      <w:tr w:rsidR="00EC778A" w:rsidRPr="00614D1A" w14:paraId="2C73BBEA" w14:textId="77777777">
        <w:trPr>
          <w:trHeight w:val="337"/>
        </w:trPr>
        <w:tc>
          <w:tcPr>
            <w:tcW w:w="4195" w:type="dxa"/>
            <w:tcBorders>
              <w:top w:val="single" w:sz="4" w:space="0" w:color="000000" w:themeColor="text1"/>
              <w:left w:val="nil"/>
              <w:bottom w:val="single" w:sz="4" w:space="0" w:color="auto"/>
              <w:right w:val="nil"/>
            </w:tcBorders>
            <w:noWrap/>
            <w:vAlign w:val="center"/>
            <w:hideMark/>
          </w:tcPr>
          <w:p w14:paraId="20603414" w14:textId="77777777" w:rsidR="00EC778A" w:rsidRPr="007924D6" w:rsidRDefault="00EC778A">
            <w:pPr>
              <w:spacing w:afterLines="0" w:after="0" w:line="240" w:lineRule="auto"/>
              <w:jc w:val="left"/>
              <w:rPr>
                <w:rFonts w:eastAsia="Times New Roman" w:cs="Arial"/>
                <w:b/>
                <w:kern w:val="0"/>
                <w:sz w:val="22"/>
                <w:lang w:eastAsia="ja-JP" w:bidi="mn-Mong-MN"/>
                <w14:ligatures w14:val="none"/>
              </w:rPr>
            </w:pPr>
            <w:r w:rsidRPr="007924D6">
              <w:rPr>
                <w:rFonts w:eastAsia="Times New Roman" w:cs="Arial"/>
                <w:b/>
                <w:kern w:val="0"/>
                <w:sz w:val="22"/>
                <w:lang w:eastAsia="ja-JP" w:bidi="mn-Mong-MN"/>
                <w14:ligatures w14:val="none"/>
              </w:rPr>
              <w:t>Тэнцвэржүүлсэн тэнцэл</w:t>
            </w:r>
          </w:p>
        </w:tc>
        <w:tc>
          <w:tcPr>
            <w:tcW w:w="2807" w:type="dxa"/>
            <w:tcBorders>
              <w:top w:val="single" w:sz="4" w:space="0" w:color="000000" w:themeColor="text1"/>
              <w:left w:val="nil"/>
              <w:bottom w:val="single" w:sz="4" w:space="0" w:color="auto"/>
              <w:right w:val="nil"/>
            </w:tcBorders>
            <w:noWrap/>
            <w:vAlign w:val="center"/>
            <w:hideMark/>
          </w:tcPr>
          <w:p w14:paraId="25BAB65D" w14:textId="77777777" w:rsidR="00EC778A" w:rsidRPr="007924D6" w:rsidRDefault="00EC778A">
            <w:pPr>
              <w:spacing w:afterLines="0" w:after="0" w:line="240" w:lineRule="auto"/>
              <w:jc w:val="center"/>
              <w:rPr>
                <w:rFonts w:eastAsia="Times New Roman" w:cs="Arial"/>
                <w:b/>
                <w:kern w:val="0"/>
                <w:sz w:val="22"/>
                <w:lang w:eastAsia="ja-JP" w:bidi="mn-Mong-MN"/>
                <w14:ligatures w14:val="none"/>
              </w:rPr>
            </w:pPr>
            <w:r w:rsidRPr="007924D6">
              <w:rPr>
                <w:rFonts w:eastAsia="Times New Roman" w:cs="Arial"/>
                <w:b/>
                <w:kern w:val="0"/>
                <w:sz w:val="22"/>
                <w:lang w:eastAsia="ja-JP" w:bidi="mn-Mong-MN"/>
                <w14:ligatures w14:val="none"/>
              </w:rPr>
              <w:t xml:space="preserve"> -1.0</w:t>
            </w:r>
          </w:p>
        </w:tc>
        <w:tc>
          <w:tcPr>
            <w:tcW w:w="2808" w:type="dxa"/>
            <w:tcBorders>
              <w:top w:val="single" w:sz="4" w:space="0" w:color="000000" w:themeColor="text1"/>
              <w:left w:val="nil"/>
              <w:bottom w:val="single" w:sz="4" w:space="0" w:color="auto"/>
              <w:right w:val="nil"/>
            </w:tcBorders>
            <w:vAlign w:val="center"/>
            <w:hideMark/>
          </w:tcPr>
          <w:p w14:paraId="06F2D220" w14:textId="77777777" w:rsidR="00EC778A" w:rsidRPr="007924D6" w:rsidRDefault="00EC778A">
            <w:pPr>
              <w:spacing w:afterLines="0" w:after="0" w:line="240" w:lineRule="auto"/>
              <w:jc w:val="center"/>
              <w:rPr>
                <w:rFonts w:eastAsia="Times New Roman" w:cs="Arial"/>
                <w:b/>
                <w:kern w:val="0"/>
                <w:sz w:val="22"/>
                <w:lang w:eastAsia="ja-JP" w:bidi="mn-Mong-MN"/>
                <w14:ligatures w14:val="none"/>
              </w:rPr>
            </w:pPr>
            <w:r w:rsidRPr="007924D6">
              <w:rPr>
                <w:rFonts w:eastAsia="Times New Roman" w:cs="Arial"/>
                <w:b/>
                <w:kern w:val="0"/>
                <w:sz w:val="22"/>
                <w:lang w:eastAsia="ja-JP" w:bidi="mn-Mong-MN"/>
                <w14:ligatures w14:val="none"/>
              </w:rPr>
              <w:t xml:space="preserve"> -2.0</w:t>
            </w:r>
          </w:p>
        </w:tc>
      </w:tr>
    </w:tbl>
    <w:p w14:paraId="6EFCD2E0" w14:textId="77777777" w:rsidR="00EC778A" w:rsidRPr="008C5EE2" w:rsidRDefault="00EC778A" w:rsidP="00EC778A">
      <w:pPr>
        <w:spacing w:afterLines="50"/>
        <w:jc w:val="right"/>
        <w:rPr>
          <w:rFonts w:cs="Arial"/>
          <w:i/>
          <w:sz w:val="20"/>
          <w:szCs w:val="20"/>
        </w:rPr>
      </w:pPr>
      <w:r w:rsidRPr="008C5EE2">
        <w:rPr>
          <w:rFonts w:cs="Arial"/>
          <w:i/>
          <w:iCs/>
          <w:sz w:val="20"/>
          <w:szCs w:val="20"/>
        </w:rPr>
        <w:t>Эх сурвалж: Сангийн яам, ЭЗХЯ-ны төсөөлөл</w:t>
      </w:r>
    </w:p>
    <w:p w14:paraId="208F3F95" w14:textId="77777777" w:rsidR="001A1D8F" w:rsidRPr="00E109FE" w:rsidRDefault="001A1D8F" w:rsidP="00C8284B">
      <w:pPr>
        <w:pStyle w:val="Heading3"/>
        <w:numPr>
          <w:ilvl w:val="2"/>
          <w:numId w:val="37"/>
        </w:numPr>
        <w:ind w:left="0" w:firstLine="720"/>
      </w:pPr>
      <w:bookmarkStart w:id="92" w:name="_Toc238120992"/>
      <w:r w:rsidRPr="00E109FE">
        <w:lastRenderedPageBreak/>
        <w:t>Гадаад худалдааны урсгал тэнцэл</w:t>
      </w:r>
      <w:bookmarkEnd w:id="92"/>
    </w:p>
    <w:p w14:paraId="3286FAA4" w14:textId="77777777" w:rsidR="001A1D8F" w:rsidRPr="007924D6" w:rsidRDefault="001A1D8F" w:rsidP="00816F25">
      <w:pPr>
        <w:spacing w:afterLines="0" w:after="0" w:line="240" w:lineRule="auto"/>
        <w:ind w:firstLine="720"/>
        <w:rPr>
          <w:rFonts w:eastAsia="SimSun" w:cs="Arial"/>
          <w:szCs w:val="24"/>
        </w:rPr>
      </w:pPr>
      <w:r w:rsidRPr="007924D6">
        <w:rPr>
          <w:rFonts w:eastAsia="SimSun" w:cs="Arial"/>
          <w:szCs w:val="24"/>
        </w:rPr>
        <w:t xml:space="preserve">Нийт экспорт 2026 онд 19.0 тэрбум ам.долларт хүрэхээр хүлээгдэж байна. Уул уурхайн гаралтай бүтээгдэхүүний экспорт 17.6 тэрбум ам.долларт, уул уурхайн бус бүтээгдэхүүний экспорт 1.4 тэрбум ам.доллар, тэр дундаа хөдөө аж ахуйн гаралтай бүтээгдэхүүний экспорт 750 сая ам.долларт тус тус хүрэхээр байна. </w:t>
      </w:r>
    </w:p>
    <w:p w14:paraId="7F4A324D" w14:textId="17F79396" w:rsidR="001A1D8F" w:rsidRPr="007924D6" w:rsidRDefault="001A1D8F" w:rsidP="00816F25">
      <w:pPr>
        <w:spacing w:afterLines="0" w:after="0" w:line="240" w:lineRule="auto"/>
        <w:ind w:firstLine="720"/>
        <w:rPr>
          <w:rFonts w:eastAsia="SimSun" w:cs="Arial"/>
          <w:szCs w:val="24"/>
        </w:rPr>
      </w:pPr>
      <w:r w:rsidRPr="007924D6">
        <w:rPr>
          <w:rFonts w:eastAsia="SimSun" w:cs="Arial"/>
          <w:szCs w:val="24"/>
        </w:rPr>
        <w:t xml:space="preserve">Оюу толгойн гүний уурхайн олборлолтын нөлөөгөөр зэсийн баяжмал дахь цэвэр зэс, алтны агуулга нэмэгдэх төлөвтэй байгаагаас гадна дэлхийн зах зээл дэх цэвэр зэс, алтны үнэ өсөх хандлагатай байна. Үүнтэй холбоотойгоор зэсийн баяжмалын экспорт 2,195 мянган тоннд хүрч, зэсийн баяжмалын экспортын орлого 7.2 тэрбум ам.долларт хүрэхээр байна. </w:t>
      </w:r>
      <w:r w:rsidR="00404260">
        <w:rPr>
          <w:rFonts w:eastAsia="SimSun" w:cs="Arial"/>
          <w:szCs w:val="24"/>
        </w:rPr>
        <w:t xml:space="preserve">Түүнчлэн, </w:t>
      </w:r>
      <w:r w:rsidR="00D96F70" w:rsidRPr="006E35B5">
        <w:rPr>
          <w:rFonts w:eastAsia="SimSun" w:cs="Arial"/>
          <w:szCs w:val="24"/>
        </w:rPr>
        <w:t xml:space="preserve">БНХАУ-ын </w:t>
      </w:r>
      <w:r w:rsidR="00D96F70">
        <w:rPr>
          <w:rFonts w:eastAsia="SimSun" w:cs="Arial"/>
          <w:szCs w:val="24"/>
        </w:rPr>
        <w:t xml:space="preserve">Шаньси мужийн </w:t>
      </w:r>
      <w:r w:rsidR="00D96F70" w:rsidRPr="006E35B5">
        <w:rPr>
          <w:rFonts w:eastAsia="SimSun" w:cs="Arial"/>
          <w:szCs w:val="24"/>
        </w:rPr>
        <w:t xml:space="preserve">томоохон уурхайд гарсан ослын улмаас тус улсын нүүрсний үйлдвэрлэл буурсан нь </w:t>
      </w:r>
      <w:r w:rsidR="00404260" w:rsidRPr="00404260">
        <w:rPr>
          <w:rFonts w:eastAsia="SimSun" w:cs="Arial"/>
          <w:szCs w:val="24"/>
        </w:rPr>
        <w:t>Монгол Улсын</w:t>
      </w:r>
      <w:r w:rsidR="00D96F70">
        <w:rPr>
          <w:rFonts w:eastAsia="SimSun" w:cs="Arial"/>
          <w:szCs w:val="24"/>
        </w:rPr>
        <w:t xml:space="preserve"> нүүрсний экспортын эрэлтийг </w:t>
      </w:r>
      <w:r w:rsidR="00404260" w:rsidRPr="00404260">
        <w:rPr>
          <w:rFonts w:eastAsia="SimSun" w:cs="Arial"/>
          <w:szCs w:val="24"/>
        </w:rPr>
        <w:t>дэмжихийн зэрэгцээ боомт, тээврийн</w:t>
      </w:r>
      <w:r w:rsidRPr="007924D6">
        <w:rPr>
          <w:rFonts w:eastAsia="SimSun" w:cs="Arial"/>
          <w:szCs w:val="24"/>
        </w:rPr>
        <w:t xml:space="preserve"> хүчин чадал </w:t>
      </w:r>
      <w:r w:rsidR="007B1A21">
        <w:rPr>
          <w:rFonts w:eastAsia="SimSun" w:cs="Arial"/>
          <w:szCs w:val="24"/>
        </w:rPr>
        <w:t>сайжирснаар</w:t>
      </w:r>
      <w:r>
        <w:rPr>
          <w:rFonts w:eastAsia="SimSun" w:cs="Arial"/>
          <w:szCs w:val="24"/>
        </w:rPr>
        <w:t xml:space="preserve"> </w:t>
      </w:r>
      <w:r w:rsidRPr="007924D6">
        <w:rPr>
          <w:rFonts w:eastAsia="SimSun" w:cs="Arial"/>
          <w:szCs w:val="24"/>
        </w:rPr>
        <w:t xml:space="preserve">нүүрсний экспорт 100 сая тоннд </w:t>
      </w:r>
      <w:r w:rsidR="00404260" w:rsidRPr="00404260">
        <w:rPr>
          <w:rFonts w:eastAsia="SimSun" w:cs="Arial"/>
          <w:szCs w:val="24"/>
        </w:rPr>
        <w:t>хүрэхээр байна.</w:t>
      </w:r>
      <w:r w:rsidRPr="007924D6">
        <w:rPr>
          <w:rFonts w:eastAsia="SimSun" w:cs="Arial"/>
          <w:szCs w:val="24"/>
        </w:rPr>
        <w:t xml:space="preserve"> Олборлолт болон тээвэр зохион байгуулалт сайжирсантай холбоотойгоор төмрийн хүдрийн экспорт 9.2 сая тоннд хүрч нэмэгдэхээр байна. </w:t>
      </w:r>
    </w:p>
    <w:p w14:paraId="5C78B42C" w14:textId="4391C17D" w:rsidR="001A1D8F" w:rsidRPr="00E109FE" w:rsidRDefault="001A1D8F" w:rsidP="00816F25">
      <w:pPr>
        <w:tabs>
          <w:tab w:val="right" w:leader="dot" w:pos="9354"/>
        </w:tabs>
        <w:spacing w:afterLines="0" w:after="0" w:line="240" w:lineRule="auto"/>
        <w:ind w:firstLine="720"/>
        <w:rPr>
          <w:rFonts w:cs="Arial"/>
          <w:szCs w:val="24"/>
        </w:rPr>
      </w:pPr>
      <w:r w:rsidRPr="007924D6">
        <w:rPr>
          <w:rFonts w:cs="Arial"/>
          <w:szCs w:val="24"/>
        </w:rPr>
        <w:t>Нийт импорт 2026 онд 12.9 тэрбум ам.долларт хүрэхээр тооцоолж байна. Ойрхи Дорнодын нөхцөл байдалтай холбоотойгоор дэлхийн зах зээл дээрх газрын тосны үнэ өссөнөөр нефтийн бүтээгдэхүүний үнэ өсөхөд нөлөөлж байна. ОХУ-ын нефтийн бүтээгдэхүүний үйлдвэрүүдэд саатал үүссэнээр нийлүүлэлт буурч, улмаар нефтийн бүтээгдэхүүний үнэ өсөн хэрэглээ болон аж үйлдвэрийн орц бүтээгдэхүүний импорт нэмэгдэх төлөвтэй байгаа бол томоохон төслүүдийн бүтээн байгуулалтын нөлөөгөөр барилгын материалын импорт өсөхөөр байна</w:t>
      </w:r>
      <w:r w:rsidRPr="007924D6">
        <w:rPr>
          <w:rFonts w:eastAsia="Yu Mincho" w:cs="Arial"/>
        </w:rPr>
        <w:t>.</w:t>
      </w:r>
      <w:r w:rsidRPr="007924D6">
        <w:rPr>
          <w:rFonts w:cs="Arial"/>
          <w:szCs w:val="24"/>
        </w:rPr>
        <w:t xml:space="preserve"> Нийт гадаад худалдааны бараа эргэлт 202</w:t>
      </w:r>
      <w:r w:rsidR="00433B19" w:rsidRPr="007924D6">
        <w:rPr>
          <w:rFonts w:cs="Arial"/>
          <w:szCs w:val="24"/>
        </w:rPr>
        <w:t>6</w:t>
      </w:r>
      <w:r w:rsidRPr="007924D6">
        <w:rPr>
          <w:rFonts w:cs="Arial"/>
          <w:szCs w:val="24"/>
        </w:rPr>
        <w:t xml:space="preserve"> оны эцэст </w:t>
      </w:r>
      <w:r w:rsidR="00433B19" w:rsidRPr="007924D6">
        <w:rPr>
          <w:rFonts w:cs="Arial"/>
          <w:szCs w:val="24"/>
        </w:rPr>
        <w:t>32</w:t>
      </w:r>
      <w:r w:rsidRPr="007924D6">
        <w:rPr>
          <w:rFonts w:cs="Arial"/>
          <w:szCs w:val="24"/>
        </w:rPr>
        <w:t xml:space="preserve"> тэрбум ам.долларт хүрч, худалдааны тэнцэл </w:t>
      </w:r>
      <w:r w:rsidR="00A04BC5" w:rsidRPr="007924D6">
        <w:rPr>
          <w:rFonts w:cs="Arial"/>
          <w:szCs w:val="24"/>
        </w:rPr>
        <w:t>6.1</w:t>
      </w:r>
      <w:r w:rsidRPr="007924D6">
        <w:rPr>
          <w:rFonts w:cs="Arial"/>
          <w:szCs w:val="24"/>
        </w:rPr>
        <w:t xml:space="preserve"> тэрбум ам.долларын ашигтай гарахаар тооцож байна</w:t>
      </w:r>
      <w:r w:rsidRPr="00E109FE">
        <w:rPr>
          <w:rFonts w:cs="Arial"/>
          <w:szCs w:val="24"/>
        </w:rPr>
        <w:t xml:space="preserve">. </w:t>
      </w:r>
    </w:p>
    <w:p w14:paraId="1DA4F419" w14:textId="3786142F" w:rsidR="001A1D8F" w:rsidRPr="00E109FE" w:rsidRDefault="001A1D8F" w:rsidP="00C8284B">
      <w:pPr>
        <w:pStyle w:val="Heading3"/>
        <w:numPr>
          <w:ilvl w:val="2"/>
          <w:numId w:val="36"/>
        </w:numPr>
        <w:ind w:left="0" w:firstLine="720"/>
      </w:pPr>
      <w:bookmarkStart w:id="93" w:name="_Toc238120993"/>
      <w:r w:rsidRPr="00E109FE">
        <w:t>Төлбөрийн тэнцэл</w:t>
      </w:r>
      <w:bookmarkEnd w:id="93"/>
    </w:p>
    <w:p w14:paraId="5C351D13" w14:textId="1A549352" w:rsidR="001A1D8F" w:rsidRPr="00614D1A" w:rsidRDefault="001A1D8F" w:rsidP="00816F25">
      <w:pPr>
        <w:tabs>
          <w:tab w:val="right" w:leader="dot" w:pos="9354"/>
        </w:tabs>
        <w:spacing w:afterLines="0" w:after="0" w:line="240" w:lineRule="auto"/>
        <w:ind w:firstLine="720"/>
        <w:rPr>
          <w:rFonts w:cs="Arial"/>
        </w:rPr>
      </w:pPr>
      <w:r w:rsidRPr="00614D1A">
        <w:rPr>
          <w:rFonts w:cs="Arial"/>
        </w:rPr>
        <w:t xml:space="preserve">Төлбөрийн тэнцэл 2026 оны эхний 6 сарын байдлаар 567 сая ам.долларын ашигтай гарлаа. Үүнд эрдэс бүтээгдэхүүний үнэ болон биет хэмжээний өсөлтөөс шалтгаалан бараа, үйлчилгээний экспорт өмнөх оны мөн үеэс 4,330 сая ам.доллароор өссөн нь голлон нөлөөллөө. Гадаад валютын улсын нөөц 2026 оны 7 дугаар сарын эцэст 7,963 сая ам.долларт хүрч, өмнөх оны мөн үетэй харьцуулахад 2,583 сая ам.доллароор өссөн байна. Засгийн газраас экспортын орлого, санхүүгийн дансны ашгийг нэмэгдүүлж, гадаад валютын улсын нөөцийг өсгөхөд чиглэсэн арга хэмжээнүүдийг авч хэрэгжүүлж байна. </w:t>
      </w:r>
      <w:r w:rsidR="0091189C" w:rsidRPr="00614D1A">
        <w:rPr>
          <w:rFonts w:cs="Arial"/>
        </w:rPr>
        <w:t xml:space="preserve"> </w:t>
      </w:r>
    </w:p>
    <w:bookmarkEnd w:id="35"/>
    <w:bookmarkEnd w:id="36"/>
    <w:bookmarkEnd w:id="37"/>
    <w:bookmarkEnd w:id="38"/>
    <w:bookmarkEnd w:id="85"/>
    <w:bookmarkEnd w:id="86"/>
    <w:p w14:paraId="61CC80F3" w14:textId="17A2B268" w:rsidR="004259B8" w:rsidRPr="00614D1A" w:rsidRDefault="004259B8" w:rsidP="00816F25">
      <w:pPr>
        <w:spacing w:afterLines="0" w:after="0" w:line="240" w:lineRule="auto"/>
        <w:ind w:firstLine="720"/>
        <w:jc w:val="left"/>
        <w:rPr>
          <w:rFonts w:cs="Arial"/>
        </w:rPr>
      </w:pPr>
      <w:r w:rsidRPr="00614D1A">
        <w:rPr>
          <w:rFonts w:cs="Arial"/>
        </w:rPr>
        <w:br w:type="page"/>
      </w:r>
    </w:p>
    <w:p w14:paraId="572D11BF" w14:textId="2BF20FA5" w:rsidR="004259B8" w:rsidRPr="00614D1A" w:rsidRDefault="004259B8" w:rsidP="00572305">
      <w:pPr>
        <w:pStyle w:val="Heading1"/>
        <w:spacing w:before="120" w:afterLines="0" w:after="360" w:line="276" w:lineRule="auto"/>
        <w:ind w:left="709" w:hanging="709"/>
        <w:jc w:val="center"/>
        <w:rPr>
          <w:rFonts w:cs="Arial"/>
        </w:rPr>
      </w:pPr>
      <w:bookmarkStart w:id="94" w:name="_Toc201755704"/>
      <w:bookmarkStart w:id="95" w:name="_Toc238120994"/>
      <w:r w:rsidRPr="00614D1A">
        <w:rPr>
          <w:rFonts w:cs="Arial"/>
        </w:rPr>
        <w:lastRenderedPageBreak/>
        <w:t xml:space="preserve">ХОЁРДУГААР БҮЛЭГ. </w:t>
      </w:r>
      <w:bookmarkEnd w:id="94"/>
      <w:r w:rsidR="0086174B" w:rsidRPr="00614D1A">
        <w:rPr>
          <w:rFonts w:cs="Arial"/>
        </w:rPr>
        <w:t>ДУНД ХУГАЦААНЫ ТӨСВИЙН ХҮРЭЭНИЙ МЭДЭГДЛИЙГ ӨӨРЧЛӨХ ҮНДЭСЛЭЛ</w:t>
      </w:r>
      <w:bookmarkEnd w:id="95"/>
    </w:p>
    <w:p w14:paraId="253C6D35" w14:textId="2B313C8B" w:rsidR="00C734A5" w:rsidRPr="00A9568F" w:rsidRDefault="00C734A5" w:rsidP="00572305">
      <w:pPr>
        <w:snapToGrid w:val="0"/>
        <w:spacing w:afterLines="0" w:after="0" w:line="240" w:lineRule="auto"/>
        <w:ind w:firstLine="720"/>
        <w:rPr>
          <w:rStyle w:val="normaltextrun"/>
          <w:rFonts w:eastAsiaTheme="majorEastAsia" w:cs="Arial"/>
        </w:rPr>
      </w:pPr>
      <w:bookmarkStart w:id="96" w:name="_Toc201669480"/>
      <w:bookmarkStart w:id="97" w:name="_Toc201741947"/>
      <w:bookmarkStart w:id="98" w:name="_Toc201747498"/>
      <w:bookmarkStart w:id="99" w:name="_Toc201755705"/>
      <w:bookmarkStart w:id="100" w:name="_Toc201759594"/>
      <w:bookmarkStart w:id="101" w:name="_Toc201759747"/>
      <w:bookmarkStart w:id="102" w:name="_Toc201759853"/>
      <w:bookmarkStart w:id="103" w:name="_Toc201760081"/>
      <w:bookmarkStart w:id="104" w:name="_Toc201760240"/>
      <w:bookmarkStart w:id="105" w:name="_Toc201760735"/>
      <w:bookmarkStart w:id="106" w:name="_Toc238038066"/>
      <w:bookmarkStart w:id="107" w:name="_Toc238038201"/>
      <w:bookmarkStart w:id="108" w:name="_Toc238038289"/>
      <w:bookmarkStart w:id="109" w:name="_Toc238053864"/>
      <w:bookmarkStart w:id="110" w:name="_Toc238054521"/>
      <w:bookmarkStart w:id="111" w:name="_Toc238059141"/>
      <w:bookmarkStart w:id="112" w:name="_Toc238108334"/>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2736DF">
        <w:rPr>
          <w:rFonts w:cs="Arial"/>
        </w:rPr>
        <w:t>Монгол Улсын нэгдсэн төсвийн 2026 оны төсвийн хүрээний мэдэгдэл, 2027-2028 оны төсвийн төсөөллийн тухай хуульд</w:t>
      </w:r>
      <w:r>
        <w:rPr>
          <w:rFonts w:cs="Arial"/>
        </w:rPr>
        <w:t xml:space="preserve"> өөрчлөлт оруулах тухай хуулийн төсөлд</w:t>
      </w:r>
      <w:r w:rsidRPr="00A9568F">
        <w:rPr>
          <w:rStyle w:val="normaltextrun"/>
          <w:rFonts w:eastAsiaTheme="majorEastAsia" w:cs="Arial"/>
        </w:rPr>
        <w:t xml:space="preserve"> зөвхөн орон нутгийн төсвийн урьд оны ашиглаагүй үлдэгдлийг зарцуулах эрхийг нээх байдлаар төсвийн нийт зардал болон төсвийн алдагдлын дүнг </w:t>
      </w:r>
      <w:r>
        <w:rPr>
          <w:rStyle w:val="normaltextrun"/>
          <w:rFonts w:eastAsiaTheme="majorEastAsia" w:cs="Arial"/>
        </w:rPr>
        <w:t>998 тэрбум</w:t>
      </w:r>
      <w:r w:rsidRPr="00A9568F">
        <w:rPr>
          <w:rStyle w:val="normaltextrun"/>
          <w:rFonts w:eastAsiaTheme="majorEastAsia" w:cs="Arial"/>
        </w:rPr>
        <w:t xml:space="preserve"> төгрөгөөр нэмэгдүүлэхээр хуулийн төсөлд </w:t>
      </w:r>
      <w:r w:rsidR="007540B5">
        <w:rPr>
          <w:rStyle w:val="normaltextrun"/>
          <w:rFonts w:eastAsiaTheme="majorEastAsia" w:cs="Arial"/>
        </w:rPr>
        <w:t>тусгасан</w:t>
      </w:r>
      <w:r w:rsidRPr="00A9568F">
        <w:rPr>
          <w:rStyle w:val="normaltextrun"/>
          <w:rFonts w:eastAsiaTheme="majorEastAsia" w:cs="Arial"/>
        </w:rPr>
        <w:t>. Харин бусад эдийн засгийн үндсэн үзүүлэлтүүдийг өөрч</w:t>
      </w:r>
      <w:r>
        <w:rPr>
          <w:rStyle w:val="normaltextrun"/>
          <w:rFonts w:eastAsiaTheme="majorEastAsia" w:cs="Arial"/>
        </w:rPr>
        <w:t>лөхгүй байдлаар т</w:t>
      </w:r>
      <w:r w:rsidR="004D0873">
        <w:rPr>
          <w:rStyle w:val="normaltextrun"/>
          <w:rFonts w:eastAsiaTheme="majorEastAsia" w:cs="Arial"/>
        </w:rPr>
        <w:t>усгасан</w:t>
      </w:r>
      <w:r w:rsidRPr="00A9568F">
        <w:rPr>
          <w:rStyle w:val="normaltextrun"/>
          <w:rFonts w:eastAsiaTheme="majorEastAsia" w:cs="Arial"/>
        </w:rPr>
        <w:t xml:space="preserve">. </w:t>
      </w:r>
    </w:p>
    <w:p w14:paraId="09804BF8" w14:textId="77777777" w:rsidR="00572305" w:rsidRDefault="00572305" w:rsidP="00572305">
      <w:pPr>
        <w:spacing w:afterLines="0" w:after="0" w:line="240" w:lineRule="auto"/>
        <w:ind w:firstLine="720"/>
        <w:rPr>
          <w:rFonts w:cs="Arial"/>
        </w:rPr>
      </w:pPr>
    </w:p>
    <w:p w14:paraId="1B19C05A" w14:textId="77120615" w:rsidR="00537D81" w:rsidRPr="005753B7" w:rsidRDefault="00537D81" w:rsidP="00572305">
      <w:pPr>
        <w:spacing w:afterLines="0" w:after="0" w:line="240" w:lineRule="auto"/>
        <w:ind w:firstLine="720"/>
        <w:rPr>
          <w:rFonts w:cs="Arial"/>
        </w:rPr>
      </w:pPr>
      <w:r w:rsidRPr="002736DF">
        <w:rPr>
          <w:rFonts w:cs="Arial"/>
        </w:rPr>
        <w:t xml:space="preserve">Мөн </w:t>
      </w:r>
      <w:r w:rsidR="00EF663B">
        <w:rPr>
          <w:rFonts w:cs="Arial"/>
        </w:rPr>
        <w:t>Т</w:t>
      </w:r>
      <w:r w:rsidRPr="002736DF">
        <w:rPr>
          <w:rFonts w:cs="Arial"/>
        </w:rPr>
        <w:t>өсвийн хүрээний мэдэгдэлд өөрчлөлт оруулах тухай хуулийн төслийг дагалдуулан Төсвийн тогтвортой байдлын тухай хуульд нэмэлт, өөрчлөлт оруулах тухай хуулийн төслийг боловсруулсан.</w:t>
      </w:r>
      <w:r>
        <w:rPr>
          <w:rFonts w:cs="Arial"/>
        </w:rPr>
        <w:t xml:space="preserve"> </w:t>
      </w:r>
      <w:r w:rsidRPr="005753B7">
        <w:rPr>
          <w:rFonts w:cs="Arial"/>
        </w:rPr>
        <w:t>Хуулийн төсөлд төсвийн хүрээний мэдэгдлийн үндсэн үзүүлэлтэд 2024 оноос өмнө мөрдөгдөж байсан “нэгдсэн төсвийн нийт зарлагын өсөлтийн хэмжээ”, “нэгдсэн төсвийн хөрөнгийн зардлын хэмжээ” гэсэн хоёр үзүүлэлтийг нэмж тусгахаар боловсруулсан. Ингэснээр төсвийн зарлага, хөрөнгийн зардлын дунд хугацааны төлөвлөлтөд тавих хязгаарлалтыг тодорхой болгож, төсвийн сахилга батыг бэхжүүлэх эрх зүйн орчин бүрдэнэ.</w:t>
      </w:r>
      <w:r w:rsidR="000A5180">
        <w:rPr>
          <w:rFonts w:cs="Arial"/>
        </w:rPr>
        <w:t xml:space="preserve"> </w:t>
      </w:r>
    </w:p>
    <w:p w14:paraId="03843199" w14:textId="77777777" w:rsidR="00572305" w:rsidRDefault="00572305" w:rsidP="00572305">
      <w:pPr>
        <w:spacing w:afterLines="0" w:after="0" w:line="240" w:lineRule="auto"/>
        <w:ind w:firstLine="720"/>
        <w:rPr>
          <w:rFonts w:cs="Arial"/>
        </w:rPr>
      </w:pPr>
    </w:p>
    <w:p w14:paraId="53D36A2A" w14:textId="10AB234C" w:rsidR="009B19F3" w:rsidRPr="002736DF" w:rsidRDefault="009B19F3" w:rsidP="00572305">
      <w:pPr>
        <w:spacing w:afterLines="0" w:after="0" w:line="240" w:lineRule="auto"/>
        <w:ind w:firstLine="720"/>
        <w:rPr>
          <w:rFonts w:cs="Arial"/>
        </w:rPr>
      </w:pPr>
      <w:r w:rsidRPr="002736DF">
        <w:rPr>
          <w:rFonts w:cs="Arial"/>
        </w:rPr>
        <w:t>Түүнчлэн Төсвийн тогтвортой байдлын тухай хуулийн 6 дугаар зүйлийн</w:t>
      </w:r>
      <w:r w:rsidR="00572305">
        <w:rPr>
          <w:rFonts w:cs="Arial"/>
        </w:rPr>
        <w:t xml:space="preserve">     </w:t>
      </w:r>
      <w:r w:rsidRPr="002736DF">
        <w:rPr>
          <w:rFonts w:cs="Arial"/>
        </w:rPr>
        <w:t xml:space="preserve"> 6.1.2, 6.1.3 дахь төсвийн тусгай шаардлагыг өөрчлөн найруулж, нэгдсэн төсвийн тэнцвэржүүлсэн тэнцэл болон нэгдсэн төсвийн нийт зарлагын өсөлтөд хязгаар тогтоох зохицуулалтыг тусгасан.</w:t>
      </w:r>
      <w:r>
        <w:rPr>
          <w:rFonts w:cs="Arial"/>
        </w:rPr>
        <w:t xml:space="preserve"> </w:t>
      </w:r>
      <w:r w:rsidRPr="002736DF">
        <w:rPr>
          <w:rFonts w:cs="Arial"/>
        </w:rPr>
        <w:t>Үүнд нэгдсэн төсвийн тэнцвэржүүлсэн тэнцэл нь тухайн төсвийн жилийн ДНБ-ий 2 хувиас илүүгүй алдагдалтай, эсхүл ашигтай байх, нэгдсэн төсвийн нийт зарлагын өсөлт нь тухайн жилийн эрдэс баялгийн бус ДНБ-ий өсөлт болон өмнөх дараалсан 12 жилийн эрдэс баялгийн бус ДНБ-ий өсөлтийн дунджаас аль ихээс хэтрэхгүй байх зохицуулалтыг тусгасан.</w:t>
      </w:r>
    </w:p>
    <w:p w14:paraId="28FB1CD9" w14:textId="77777777" w:rsidR="00572305" w:rsidRDefault="00572305" w:rsidP="00572305">
      <w:pPr>
        <w:spacing w:afterLines="0" w:after="0" w:line="240" w:lineRule="auto"/>
        <w:ind w:firstLine="720"/>
        <w:rPr>
          <w:rFonts w:cs="Arial"/>
        </w:rPr>
      </w:pPr>
    </w:p>
    <w:p w14:paraId="770EA386" w14:textId="18D76A6B" w:rsidR="004259B8" w:rsidRDefault="009B19F3" w:rsidP="00F878EF">
      <w:pPr>
        <w:spacing w:afterLines="0" w:after="0" w:line="240" w:lineRule="auto"/>
        <w:ind w:firstLine="720"/>
        <w:rPr>
          <w:rFonts w:cs="Arial"/>
        </w:rPr>
      </w:pPr>
      <w:r w:rsidRPr="002736DF">
        <w:rPr>
          <w:rFonts w:cs="Arial"/>
        </w:rPr>
        <w:t>Энэхүү зохицуулалт нь эрдэс баялгийн салбарын орлого, түүхий эдийн үнийн хэлбэлзлээс шалтгаалсан төсвийн зарлагын огцом өсөлтийг хязгаарлаж, төсвийн зарлагын өсөлтийг эдийн засгийн суурь, тогтвортой өсөлттэй уялдуулахад чиглэнэ.</w:t>
      </w:r>
      <w:bookmarkStart w:id="113" w:name="_Toc238108978"/>
      <w:bookmarkStart w:id="114" w:name="_Toc238110165"/>
      <w:bookmarkStart w:id="115" w:name="_Toc238111277"/>
      <w:bookmarkStart w:id="116" w:name="_Toc238120995"/>
      <w:bookmarkEnd w:id="113"/>
      <w:bookmarkEnd w:id="114"/>
      <w:bookmarkEnd w:id="115"/>
      <w:bookmarkEnd w:id="116"/>
    </w:p>
    <w:p w14:paraId="5BFE69A9" w14:textId="77777777" w:rsidR="00F878EF" w:rsidRDefault="00F878EF" w:rsidP="00F878EF">
      <w:pPr>
        <w:spacing w:afterLines="0" w:after="0" w:line="240" w:lineRule="auto"/>
        <w:ind w:firstLine="720"/>
        <w:rPr>
          <w:rFonts w:cs="Arial"/>
        </w:rPr>
      </w:pPr>
    </w:p>
    <w:p w14:paraId="0C850452" w14:textId="77777777" w:rsidR="00F878EF" w:rsidRDefault="00F878EF" w:rsidP="00F878EF">
      <w:pPr>
        <w:spacing w:afterLines="0" w:after="0" w:line="240" w:lineRule="auto"/>
        <w:ind w:firstLine="720"/>
        <w:rPr>
          <w:rFonts w:cs="Arial"/>
        </w:rPr>
      </w:pPr>
    </w:p>
    <w:p w14:paraId="2C2E7A1C" w14:textId="77777777" w:rsidR="00F878EF" w:rsidRDefault="00F878EF" w:rsidP="00F878EF">
      <w:pPr>
        <w:spacing w:afterLines="0" w:after="0" w:line="240" w:lineRule="auto"/>
        <w:ind w:firstLine="720"/>
        <w:rPr>
          <w:rFonts w:cs="Arial"/>
        </w:rPr>
      </w:pPr>
    </w:p>
    <w:p w14:paraId="7E099118" w14:textId="77777777" w:rsidR="00F878EF" w:rsidRPr="00F878EF" w:rsidRDefault="00F878EF" w:rsidP="00F878EF">
      <w:pPr>
        <w:spacing w:afterLines="0" w:after="0" w:line="240" w:lineRule="auto"/>
        <w:ind w:firstLine="720"/>
        <w:rPr>
          <w:rFonts w:cs="Arial"/>
        </w:rPr>
      </w:pPr>
    </w:p>
    <w:p w14:paraId="2AB11EB0" w14:textId="7CFF7547" w:rsidR="00BA2C5A" w:rsidRPr="00614D1A" w:rsidRDefault="00D16D91">
      <w:pPr>
        <w:spacing w:afterLines="0" w:after="160" w:line="278" w:lineRule="auto"/>
        <w:jc w:val="left"/>
        <w:rPr>
          <w:rFonts w:cs="Arial"/>
        </w:rPr>
      </w:pPr>
      <w:r w:rsidRPr="00614D1A">
        <w:rPr>
          <w:rFonts w:cs="Arial"/>
        </w:rPr>
        <w:br w:type="page"/>
      </w:r>
    </w:p>
    <w:p w14:paraId="65A80ECF" w14:textId="490C4E92" w:rsidR="004259B8" w:rsidRPr="00500F4B" w:rsidRDefault="004259B8" w:rsidP="00500F4B">
      <w:pPr>
        <w:pStyle w:val="Heading1"/>
        <w:spacing w:before="120" w:afterLines="0" w:after="120" w:line="276" w:lineRule="auto"/>
        <w:ind w:left="709" w:hanging="709"/>
        <w:jc w:val="center"/>
        <w:rPr>
          <w:rFonts w:cs="Arial"/>
        </w:rPr>
      </w:pPr>
      <w:bookmarkStart w:id="117" w:name="_Toc201755716"/>
      <w:bookmarkStart w:id="118" w:name="_Toc238120996"/>
      <w:r w:rsidRPr="00614D1A">
        <w:rPr>
          <w:rFonts w:cs="Arial"/>
        </w:rPr>
        <w:lastRenderedPageBreak/>
        <w:t>ГУРАВДУГААР БҮЛЭГ. МОНГОЛ УЛСЫН 202</w:t>
      </w:r>
      <w:r w:rsidR="005734BE" w:rsidRPr="00614D1A">
        <w:rPr>
          <w:rFonts w:cs="Arial"/>
        </w:rPr>
        <w:t>6</w:t>
      </w:r>
      <w:r w:rsidRPr="00614D1A">
        <w:rPr>
          <w:rFonts w:cs="Arial"/>
        </w:rPr>
        <w:t xml:space="preserve"> ОНЫ ТӨСВИЙН ХҮРЭЭНИЙ МЭДЭГДЭЛ, 202</w:t>
      </w:r>
      <w:r w:rsidR="005734BE" w:rsidRPr="00614D1A">
        <w:rPr>
          <w:rFonts w:cs="Arial"/>
        </w:rPr>
        <w:t>7</w:t>
      </w:r>
      <w:r w:rsidRPr="00614D1A">
        <w:rPr>
          <w:rFonts w:cs="Arial"/>
        </w:rPr>
        <w:t>-202</w:t>
      </w:r>
      <w:r w:rsidR="005734BE" w:rsidRPr="00614D1A">
        <w:rPr>
          <w:rFonts w:cs="Arial"/>
        </w:rPr>
        <w:t>8</w:t>
      </w:r>
      <w:r w:rsidRPr="00614D1A">
        <w:rPr>
          <w:rFonts w:cs="Arial"/>
        </w:rPr>
        <w:t xml:space="preserve"> ОНЫ ТӨСВИЙН ТӨСӨӨЛЛИЙН ТУХАЙ ХУУЛИЙН ТӨСЛИЙН ТАЛААР</w:t>
      </w:r>
      <w:bookmarkStart w:id="119" w:name="_Toc201669492"/>
      <w:bookmarkStart w:id="120" w:name="_Toc201741959"/>
      <w:bookmarkStart w:id="121" w:name="_Toc201747510"/>
      <w:bookmarkStart w:id="122" w:name="_Toc201755717"/>
      <w:bookmarkStart w:id="123" w:name="_Toc201759606"/>
      <w:bookmarkStart w:id="124" w:name="_Toc201759759"/>
      <w:bookmarkStart w:id="125" w:name="_Toc201759865"/>
      <w:bookmarkStart w:id="126" w:name="_Toc201760093"/>
      <w:bookmarkStart w:id="127" w:name="_Toc201760252"/>
      <w:bookmarkStart w:id="128" w:name="_Toc201760747"/>
      <w:bookmarkStart w:id="129" w:name="_Toc238038078"/>
      <w:bookmarkStart w:id="130" w:name="_Toc238038213"/>
      <w:bookmarkStart w:id="131" w:name="_Toc238038301"/>
      <w:bookmarkStart w:id="132" w:name="_Toc238053866"/>
      <w:bookmarkStart w:id="133" w:name="_Toc238054523"/>
      <w:bookmarkStart w:id="134" w:name="_Toc238059143"/>
      <w:bookmarkStart w:id="135" w:name="_Toc238108336"/>
      <w:bookmarkStart w:id="136" w:name="_Toc238108980"/>
      <w:bookmarkStart w:id="137" w:name="_Toc238110167"/>
      <w:bookmarkStart w:id="138" w:name="_Toc238111279"/>
      <w:bookmarkStart w:id="139" w:name="_Toc238120997"/>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14:paraId="7B4D121B" w14:textId="240D7AB9" w:rsidR="004259B8" w:rsidRPr="00614D1A" w:rsidRDefault="004259B8" w:rsidP="00500F4B">
      <w:pPr>
        <w:pStyle w:val="Heading2"/>
        <w:numPr>
          <w:ilvl w:val="1"/>
          <w:numId w:val="31"/>
        </w:numPr>
        <w:spacing w:before="120" w:afterLines="0" w:after="120" w:line="276" w:lineRule="auto"/>
        <w:ind w:left="0" w:firstLine="720"/>
        <w:rPr>
          <w:rFonts w:cs="Arial"/>
        </w:rPr>
      </w:pPr>
      <w:bookmarkStart w:id="140" w:name="_Toc201755718"/>
      <w:bookmarkStart w:id="141" w:name="_Toc238120998"/>
      <w:r w:rsidRPr="00614D1A">
        <w:rPr>
          <w:rFonts w:cs="Arial"/>
        </w:rPr>
        <w:t>Төсвийн тусгай шаардлага хангасан байдал</w:t>
      </w:r>
      <w:r w:rsidRPr="008C5EE2">
        <w:rPr>
          <w:rStyle w:val="FootnoteReference"/>
          <w:rFonts w:cs="Arial"/>
          <w:szCs w:val="24"/>
        </w:rPr>
        <w:footnoteReference w:id="2"/>
      </w:r>
      <w:bookmarkEnd w:id="0"/>
      <w:bookmarkEnd w:id="1"/>
      <w:bookmarkEnd w:id="2"/>
      <w:bookmarkEnd w:id="3"/>
      <w:bookmarkEnd w:id="4"/>
      <w:bookmarkEnd w:id="5"/>
      <w:bookmarkEnd w:id="140"/>
      <w:bookmarkEnd w:id="141"/>
    </w:p>
    <w:p w14:paraId="56BCA020" w14:textId="77777777" w:rsidR="004259B8" w:rsidRPr="00614D1A" w:rsidRDefault="004259B8" w:rsidP="00500F4B">
      <w:pPr>
        <w:spacing w:afterLines="0" w:after="0" w:line="240" w:lineRule="auto"/>
        <w:ind w:firstLine="720"/>
        <w:rPr>
          <w:rFonts w:cs="Arial"/>
        </w:rPr>
      </w:pPr>
      <w:r w:rsidRPr="00614D1A">
        <w:rPr>
          <w:rFonts w:cs="Arial"/>
        </w:rPr>
        <w:t>Төсвийн тогтвортой байдлын тухай хуулийн 6 дугаар зүйлийн 6.1 дэх хэсэгт заасны дагуу дунд хугацааны төсвийн хүрээний мэдэгдэл нь дараах төсвийн тусгай шаардлагуудыг хангаж байна.</w:t>
      </w:r>
    </w:p>
    <w:p w14:paraId="1EBF6111" w14:textId="77777777" w:rsidR="00500F4B" w:rsidRDefault="00500F4B" w:rsidP="00500F4B">
      <w:pPr>
        <w:spacing w:afterLines="0" w:after="0" w:line="240" w:lineRule="auto"/>
        <w:ind w:firstLine="720"/>
        <w:rPr>
          <w:rFonts w:cs="Arial"/>
          <w:b/>
        </w:rPr>
      </w:pPr>
    </w:p>
    <w:p w14:paraId="1D57D174" w14:textId="15E8CAF9" w:rsidR="004259B8" w:rsidRPr="008C5EE2" w:rsidRDefault="004259B8" w:rsidP="00500F4B">
      <w:pPr>
        <w:spacing w:afterLines="0" w:after="0" w:line="240" w:lineRule="auto"/>
        <w:ind w:firstLine="720"/>
        <w:rPr>
          <w:rFonts w:eastAsia="Arial" w:cs="Arial"/>
        </w:rPr>
      </w:pPr>
      <w:r w:rsidRPr="00614D1A">
        <w:rPr>
          <w:rFonts w:cs="Arial"/>
          <w:b/>
        </w:rPr>
        <w:t>Нэгдсэн төсвийн орлогыг тэнцвэржүүлсэн журмаар тооцдог байх.</w:t>
      </w:r>
      <w:r w:rsidRPr="00614D1A">
        <w:rPr>
          <w:rFonts w:cs="Arial"/>
        </w:rPr>
        <w:t xml:space="preserve">  Төсвийн тогтвортой байдлын тухай хуулийн 11 дүгээр зүйлийн 11.1.3.а-д заасан шаардлагын дагуу </w:t>
      </w:r>
      <w:r w:rsidRPr="008C5EE2">
        <w:rPr>
          <w:rFonts w:eastAsia="Arial" w:cs="Arial"/>
        </w:rPr>
        <w:t xml:space="preserve">гол нэр төрлийн эрдэс баялгийн тэнцвэржүүлсэн үнийг олон улсын санхүүгийн мэдээллийн байгууллагуудаас гаргасан үнийн төсөөлөлд үндэслэхээс гадна макро эдийн засгийн үндсэн үзүүлэлтүүдтэй уялдуулан төсвийн тэнцвэржүүлсэн орлогыг тооцсон болно. </w:t>
      </w:r>
    </w:p>
    <w:p w14:paraId="00CD25A3" w14:textId="77777777" w:rsidR="00500F4B" w:rsidRDefault="00500F4B" w:rsidP="00500F4B">
      <w:pPr>
        <w:spacing w:afterLines="0" w:after="0" w:line="240" w:lineRule="auto"/>
        <w:ind w:firstLine="720"/>
        <w:rPr>
          <w:rFonts w:cs="Arial"/>
          <w:b/>
        </w:rPr>
      </w:pPr>
    </w:p>
    <w:p w14:paraId="4D0B2336" w14:textId="2EFB7BE7" w:rsidR="004259B8" w:rsidRDefault="00F326CA" w:rsidP="00500F4B">
      <w:pPr>
        <w:spacing w:afterLines="0" w:after="0" w:line="240" w:lineRule="auto"/>
        <w:ind w:firstLine="720"/>
        <w:rPr>
          <w:rFonts w:cs="Arial"/>
        </w:rPr>
      </w:pPr>
      <w:r w:rsidRPr="00614D1A">
        <w:rPr>
          <w:rFonts w:cs="Arial"/>
          <w:b/>
        </w:rPr>
        <w:t xml:space="preserve">Нэгдсэн төсвийн тэнцвэржүүлсэн тэнцэл. </w:t>
      </w:r>
      <w:r w:rsidRPr="00614D1A">
        <w:rPr>
          <w:rFonts w:cs="Arial"/>
        </w:rPr>
        <w:t>Нэгдсэн төсвийн тэнцвэржүүлсэн тэнцлийг тухайн төсвийн жилийн ДНБ-ий 2 хувиас илүүгүй алдагдалтай, эсхүл ашигтай байхаар тооцож, төсвийн тусгай шаардлагыг хангахаар тусгасан.</w:t>
      </w:r>
    </w:p>
    <w:p w14:paraId="50770AE6" w14:textId="77777777" w:rsidR="00443507" w:rsidRPr="00614D1A" w:rsidRDefault="00443507" w:rsidP="00500F4B">
      <w:pPr>
        <w:spacing w:afterLines="0" w:after="0" w:line="240" w:lineRule="auto"/>
        <w:ind w:firstLine="720"/>
        <w:rPr>
          <w:rFonts w:cs="Arial"/>
        </w:rPr>
      </w:pPr>
    </w:p>
    <w:p w14:paraId="3F52A0D0" w14:textId="2DDF0330" w:rsidR="004259B8" w:rsidRPr="008C5EE2" w:rsidRDefault="004259B8" w:rsidP="00443507">
      <w:pPr>
        <w:pStyle w:val="Caption"/>
        <w:keepNext/>
        <w:jc w:val="right"/>
        <w:rPr>
          <w:rFonts w:ascii="Arial" w:hAnsi="Arial" w:cs="Arial"/>
          <w:color w:val="auto"/>
        </w:rPr>
      </w:pPr>
      <w:bookmarkStart w:id="142" w:name="_Toc201759617"/>
      <w:r w:rsidRPr="008C5EE2">
        <w:rPr>
          <w:rFonts w:ascii="Arial" w:hAnsi="Arial" w:cs="Arial"/>
          <w:color w:val="auto"/>
        </w:rPr>
        <w:t xml:space="preserve">Хүснэгт </w:t>
      </w:r>
      <w:r w:rsidRPr="008C5EE2">
        <w:rPr>
          <w:rFonts w:ascii="Arial" w:hAnsi="Arial" w:cs="Arial"/>
          <w:color w:val="auto"/>
        </w:rPr>
        <w:fldChar w:fldCharType="begin"/>
      </w:r>
      <w:r w:rsidRPr="008C5EE2">
        <w:rPr>
          <w:rFonts w:ascii="Arial" w:hAnsi="Arial" w:cs="Arial"/>
          <w:color w:val="auto"/>
        </w:rPr>
        <w:instrText xml:space="preserve"> STYLEREF 1 \s </w:instrText>
      </w:r>
      <w:r w:rsidRPr="008C5EE2">
        <w:rPr>
          <w:rFonts w:ascii="Arial" w:hAnsi="Arial" w:cs="Arial"/>
          <w:color w:val="auto"/>
        </w:rPr>
        <w:fldChar w:fldCharType="separate"/>
      </w:r>
      <w:r w:rsidR="000E7C9C">
        <w:rPr>
          <w:rFonts w:ascii="Arial" w:hAnsi="Arial" w:cs="Arial"/>
          <w:noProof/>
          <w:color w:val="auto"/>
        </w:rPr>
        <w:t>3</w:t>
      </w:r>
      <w:r w:rsidRPr="008C5EE2">
        <w:rPr>
          <w:rFonts w:ascii="Arial" w:hAnsi="Arial" w:cs="Arial"/>
          <w:color w:val="auto"/>
        </w:rPr>
        <w:fldChar w:fldCharType="end"/>
      </w:r>
      <w:r w:rsidRPr="008C5EE2">
        <w:rPr>
          <w:rFonts w:ascii="Arial" w:hAnsi="Arial" w:cs="Arial"/>
          <w:color w:val="auto"/>
        </w:rPr>
        <w:t>.</w:t>
      </w:r>
      <w:r w:rsidRPr="008C5EE2">
        <w:rPr>
          <w:rFonts w:ascii="Arial" w:hAnsi="Arial" w:cs="Arial"/>
          <w:color w:val="auto"/>
        </w:rPr>
        <w:fldChar w:fldCharType="begin"/>
      </w:r>
      <w:r w:rsidRPr="008C5EE2">
        <w:rPr>
          <w:rFonts w:ascii="Arial" w:hAnsi="Arial" w:cs="Arial"/>
          <w:color w:val="auto"/>
        </w:rPr>
        <w:instrText xml:space="preserve"> SEQ Хүснэгт \* ARABIC \s 1 </w:instrText>
      </w:r>
      <w:r w:rsidRPr="008C5EE2">
        <w:rPr>
          <w:rFonts w:ascii="Arial" w:hAnsi="Arial" w:cs="Arial"/>
          <w:color w:val="auto"/>
        </w:rPr>
        <w:fldChar w:fldCharType="separate"/>
      </w:r>
      <w:r w:rsidR="000E7C9C">
        <w:rPr>
          <w:rFonts w:ascii="Arial" w:hAnsi="Arial" w:cs="Arial"/>
          <w:noProof/>
          <w:color w:val="auto"/>
        </w:rPr>
        <w:t>1</w:t>
      </w:r>
      <w:r w:rsidRPr="008C5EE2">
        <w:rPr>
          <w:rFonts w:ascii="Arial" w:hAnsi="Arial" w:cs="Arial"/>
          <w:color w:val="auto"/>
        </w:rPr>
        <w:fldChar w:fldCharType="end"/>
      </w:r>
      <w:r w:rsidRPr="008C5EE2">
        <w:rPr>
          <w:rFonts w:ascii="Arial" w:hAnsi="Arial" w:cs="Arial"/>
          <w:color w:val="auto"/>
        </w:rPr>
        <w:t xml:space="preserve"> Нэгдсэн төсвийн суурь тэнцлийн төсөөлөл (ДНБ-д эзлэх хувь)</w:t>
      </w:r>
      <w:bookmarkEnd w:id="142"/>
    </w:p>
    <w:tbl>
      <w:tblPr>
        <w:tblStyle w:val="TableGrid1"/>
        <w:tblpPr w:leftFromText="180" w:rightFromText="180" w:vertAnchor="text" w:horzAnchor="margin" w:tblpX="18" w:tblpY="76"/>
        <w:tblW w:w="9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4"/>
        <w:gridCol w:w="2054"/>
        <w:gridCol w:w="2054"/>
        <w:gridCol w:w="2055"/>
      </w:tblGrid>
      <w:tr w:rsidR="004259B8" w:rsidRPr="00614D1A" w14:paraId="0C5F2CDE" w14:textId="77777777" w:rsidTr="00B547F7">
        <w:trPr>
          <w:trHeight w:val="298"/>
        </w:trPr>
        <w:tc>
          <w:tcPr>
            <w:tcW w:w="3174" w:type="dxa"/>
            <w:shd w:val="clear" w:color="auto" w:fill="045957"/>
          </w:tcPr>
          <w:p w14:paraId="5FF02F5E" w14:textId="77777777" w:rsidR="004259B8" w:rsidRPr="008C5EE2" w:rsidRDefault="004259B8">
            <w:pPr>
              <w:tabs>
                <w:tab w:val="left" w:pos="426"/>
              </w:tabs>
              <w:spacing w:after="288" w:afterAutospacing="1"/>
              <w:ind w:right="-90" w:firstLine="567"/>
              <w:jc w:val="center"/>
              <w:rPr>
                <w:rFonts w:cs="Arial"/>
                <w:color w:val="FFFFFF" w:themeColor="background1"/>
              </w:rPr>
            </w:pPr>
          </w:p>
        </w:tc>
        <w:tc>
          <w:tcPr>
            <w:tcW w:w="2054" w:type="dxa"/>
            <w:shd w:val="clear" w:color="auto" w:fill="045957"/>
            <w:vAlign w:val="center"/>
          </w:tcPr>
          <w:p w14:paraId="1C5600E4" w14:textId="73181BB3" w:rsidR="004259B8" w:rsidRPr="008C5EE2" w:rsidRDefault="004259B8">
            <w:pPr>
              <w:tabs>
                <w:tab w:val="left" w:pos="426"/>
              </w:tabs>
              <w:spacing w:after="288" w:afterAutospacing="1"/>
              <w:ind w:left="426" w:right="-90"/>
              <w:jc w:val="center"/>
              <w:rPr>
                <w:rFonts w:cs="Arial"/>
                <w:color w:val="FFFFFF" w:themeColor="background1"/>
              </w:rPr>
            </w:pPr>
            <w:r w:rsidRPr="008C5EE2">
              <w:rPr>
                <w:rFonts w:cs="Arial"/>
                <w:color w:val="FFFFFF" w:themeColor="background1"/>
              </w:rPr>
              <w:t>202</w:t>
            </w:r>
            <w:r w:rsidR="0054259C">
              <w:rPr>
                <w:rFonts w:cs="Arial"/>
                <w:color w:val="FFFFFF" w:themeColor="background1"/>
              </w:rPr>
              <w:t>6</w:t>
            </w:r>
          </w:p>
        </w:tc>
        <w:tc>
          <w:tcPr>
            <w:tcW w:w="2054" w:type="dxa"/>
            <w:shd w:val="clear" w:color="auto" w:fill="045957"/>
            <w:vAlign w:val="center"/>
          </w:tcPr>
          <w:p w14:paraId="2A6CF934" w14:textId="0B93C2BF" w:rsidR="004259B8" w:rsidRPr="008C5EE2" w:rsidRDefault="004259B8">
            <w:pPr>
              <w:tabs>
                <w:tab w:val="left" w:pos="426"/>
              </w:tabs>
              <w:spacing w:after="288" w:afterAutospacing="1"/>
              <w:ind w:right="-90"/>
              <w:jc w:val="center"/>
              <w:rPr>
                <w:rFonts w:cs="Arial"/>
                <w:color w:val="FFFFFF" w:themeColor="background1"/>
              </w:rPr>
            </w:pPr>
            <w:r w:rsidRPr="008C5EE2">
              <w:rPr>
                <w:rFonts w:cs="Arial"/>
                <w:color w:val="FFFFFF" w:themeColor="background1"/>
              </w:rPr>
              <w:t>202</w:t>
            </w:r>
            <w:r w:rsidR="0054259C">
              <w:rPr>
                <w:rFonts w:cs="Arial"/>
                <w:color w:val="FFFFFF" w:themeColor="background1"/>
              </w:rPr>
              <w:t>7</w:t>
            </w:r>
          </w:p>
        </w:tc>
        <w:tc>
          <w:tcPr>
            <w:tcW w:w="2055" w:type="dxa"/>
            <w:shd w:val="clear" w:color="auto" w:fill="045957"/>
            <w:vAlign w:val="center"/>
          </w:tcPr>
          <w:p w14:paraId="31A11995" w14:textId="56F3CB23" w:rsidR="004259B8" w:rsidRPr="008C5EE2" w:rsidRDefault="004259B8">
            <w:pPr>
              <w:tabs>
                <w:tab w:val="left" w:pos="426"/>
              </w:tabs>
              <w:spacing w:after="288" w:afterAutospacing="1"/>
              <w:ind w:left="426" w:right="-90"/>
              <w:jc w:val="center"/>
              <w:rPr>
                <w:rFonts w:cs="Arial"/>
                <w:color w:val="FFFFFF" w:themeColor="background1"/>
              </w:rPr>
            </w:pPr>
            <w:r w:rsidRPr="008C5EE2">
              <w:rPr>
                <w:rFonts w:cs="Arial"/>
                <w:color w:val="FFFFFF" w:themeColor="background1"/>
              </w:rPr>
              <w:t>202</w:t>
            </w:r>
            <w:r w:rsidR="0054259C">
              <w:rPr>
                <w:rFonts w:cs="Arial"/>
                <w:color w:val="FFFFFF" w:themeColor="background1"/>
              </w:rPr>
              <w:t>8</w:t>
            </w:r>
          </w:p>
        </w:tc>
      </w:tr>
      <w:tr w:rsidR="004259B8" w:rsidRPr="00614D1A" w14:paraId="5573FB33" w14:textId="77777777" w:rsidTr="00B547F7">
        <w:trPr>
          <w:trHeight w:val="327"/>
        </w:trPr>
        <w:tc>
          <w:tcPr>
            <w:tcW w:w="3174" w:type="dxa"/>
            <w:tcBorders>
              <w:bottom w:val="single" w:sz="4" w:space="0" w:color="auto"/>
            </w:tcBorders>
          </w:tcPr>
          <w:p w14:paraId="3A48FBEB" w14:textId="77777777" w:rsidR="004259B8" w:rsidRPr="008C5EE2" w:rsidRDefault="004259B8">
            <w:pPr>
              <w:tabs>
                <w:tab w:val="left" w:pos="426"/>
              </w:tabs>
              <w:spacing w:after="288"/>
              <w:ind w:right="-90" w:firstLine="567"/>
              <w:contextualSpacing/>
              <w:jc w:val="left"/>
              <w:rPr>
                <w:rFonts w:cs="Arial"/>
              </w:rPr>
            </w:pPr>
            <w:r w:rsidRPr="008C5EE2">
              <w:rPr>
                <w:rFonts w:cs="Arial"/>
              </w:rPr>
              <w:t>Хуулийн хязгаар</w:t>
            </w:r>
          </w:p>
        </w:tc>
        <w:tc>
          <w:tcPr>
            <w:tcW w:w="2054" w:type="dxa"/>
            <w:tcBorders>
              <w:bottom w:val="single" w:sz="4" w:space="0" w:color="auto"/>
            </w:tcBorders>
            <w:vAlign w:val="center"/>
          </w:tcPr>
          <w:p w14:paraId="1CF533D9" w14:textId="706B7E0D" w:rsidR="004259B8" w:rsidRPr="008C5EE2" w:rsidRDefault="00C31417">
            <w:pPr>
              <w:spacing w:after="288"/>
              <w:ind w:right="350"/>
              <w:contextualSpacing/>
              <w:jc w:val="right"/>
              <w:rPr>
                <w:rFonts w:cs="Arial"/>
              </w:rPr>
            </w:pPr>
            <w:r>
              <w:rPr>
                <w:rFonts w:cs="Arial"/>
              </w:rPr>
              <w:t>-</w:t>
            </w:r>
            <w:r w:rsidR="004259B8" w:rsidRPr="008C5EE2">
              <w:rPr>
                <w:rFonts w:cs="Arial"/>
              </w:rPr>
              <w:t>2.0%</w:t>
            </w:r>
          </w:p>
        </w:tc>
        <w:tc>
          <w:tcPr>
            <w:tcW w:w="2054" w:type="dxa"/>
            <w:tcBorders>
              <w:bottom w:val="single" w:sz="4" w:space="0" w:color="auto"/>
            </w:tcBorders>
            <w:vAlign w:val="center"/>
          </w:tcPr>
          <w:p w14:paraId="05D2DEA2" w14:textId="3874B5B4" w:rsidR="004259B8" w:rsidRPr="008C5EE2" w:rsidRDefault="00C31417">
            <w:pPr>
              <w:spacing w:after="288"/>
              <w:ind w:right="570"/>
              <w:contextualSpacing/>
              <w:jc w:val="right"/>
              <w:rPr>
                <w:rFonts w:cs="Arial"/>
              </w:rPr>
            </w:pPr>
            <w:r>
              <w:rPr>
                <w:rFonts w:cs="Arial"/>
              </w:rPr>
              <w:t>-</w:t>
            </w:r>
            <w:r w:rsidR="004259B8" w:rsidRPr="008C5EE2">
              <w:rPr>
                <w:rFonts w:cs="Arial"/>
              </w:rPr>
              <w:t>2.0%</w:t>
            </w:r>
          </w:p>
        </w:tc>
        <w:tc>
          <w:tcPr>
            <w:tcW w:w="2055" w:type="dxa"/>
            <w:tcBorders>
              <w:bottom w:val="single" w:sz="4" w:space="0" w:color="auto"/>
            </w:tcBorders>
            <w:vAlign w:val="center"/>
          </w:tcPr>
          <w:p w14:paraId="05B39551" w14:textId="01CD34F1" w:rsidR="004259B8" w:rsidRPr="008C5EE2" w:rsidRDefault="00C31417">
            <w:pPr>
              <w:spacing w:after="288"/>
              <w:ind w:right="406"/>
              <w:contextualSpacing/>
              <w:jc w:val="right"/>
              <w:rPr>
                <w:rFonts w:cs="Arial"/>
              </w:rPr>
            </w:pPr>
            <w:r>
              <w:rPr>
                <w:rFonts w:cs="Arial"/>
              </w:rPr>
              <w:t>-</w:t>
            </w:r>
            <w:r w:rsidR="004259B8" w:rsidRPr="008C5EE2">
              <w:rPr>
                <w:rFonts w:cs="Arial"/>
              </w:rPr>
              <w:t>2.0%</w:t>
            </w:r>
          </w:p>
        </w:tc>
      </w:tr>
      <w:tr w:rsidR="004259B8" w:rsidRPr="00614D1A" w14:paraId="3B5B99BE" w14:textId="77777777" w:rsidTr="00B547F7">
        <w:trPr>
          <w:trHeight w:val="307"/>
        </w:trPr>
        <w:tc>
          <w:tcPr>
            <w:tcW w:w="3174" w:type="dxa"/>
            <w:tcBorders>
              <w:top w:val="single" w:sz="4" w:space="0" w:color="auto"/>
              <w:bottom w:val="single" w:sz="4" w:space="0" w:color="auto"/>
            </w:tcBorders>
            <w:vAlign w:val="center"/>
          </w:tcPr>
          <w:p w14:paraId="5D78A4E6" w14:textId="77777777" w:rsidR="004259B8" w:rsidRPr="008C5EE2" w:rsidRDefault="004259B8">
            <w:pPr>
              <w:tabs>
                <w:tab w:val="left" w:pos="426"/>
              </w:tabs>
              <w:spacing w:after="288"/>
              <w:ind w:right="-90" w:firstLine="567"/>
              <w:contextualSpacing/>
              <w:jc w:val="left"/>
              <w:rPr>
                <w:rFonts w:cs="Arial"/>
              </w:rPr>
            </w:pPr>
            <w:r w:rsidRPr="008C5EE2">
              <w:rPr>
                <w:rFonts w:cs="Arial"/>
              </w:rPr>
              <w:t>Төсөөлөл</w:t>
            </w:r>
          </w:p>
        </w:tc>
        <w:tc>
          <w:tcPr>
            <w:tcW w:w="2054" w:type="dxa"/>
            <w:tcBorders>
              <w:top w:val="single" w:sz="4" w:space="0" w:color="auto"/>
              <w:bottom w:val="single" w:sz="4" w:space="0" w:color="auto"/>
            </w:tcBorders>
            <w:vAlign w:val="center"/>
          </w:tcPr>
          <w:p w14:paraId="785AEF6E" w14:textId="0915D018" w:rsidR="004259B8" w:rsidRPr="008C5EE2" w:rsidRDefault="00C31417">
            <w:pPr>
              <w:tabs>
                <w:tab w:val="left" w:pos="426"/>
              </w:tabs>
              <w:spacing w:after="288"/>
              <w:ind w:right="350"/>
              <w:contextualSpacing/>
              <w:jc w:val="right"/>
              <w:rPr>
                <w:rFonts w:cs="Arial"/>
              </w:rPr>
            </w:pPr>
            <w:r>
              <w:rPr>
                <w:rFonts w:cs="Arial"/>
              </w:rPr>
              <w:t>-</w:t>
            </w:r>
            <w:r w:rsidR="004259B8" w:rsidRPr="008C5EE2">
              <w:rPr>
                <w:rFonts w:cs="Arial"/>
              </w:rPr>
              <w:t>2.0%</w:t>
            </w:r>
          </w:p>
        </w:tc>
        <w:tc>
          <w:tcPr>
            <w:tcW w:w="2054" w:type="dxa"/>
            <w:tcBorders>
              <w:top w:val="single" w:sz="4" w:space="0" w:color="auto"/>
              <w:bottom w:val="single" w:sz="4" w:space="0" w:color="auto"/>
            </w:tcBorders>
            <w:vAlign w:val="center"/>
          </w:tcPr>
          <w:p w14:paraId="53A05408" w14:textId="24DCCF4F" w:rsidR="004259B8" w:rsidRPr="008C5EE2" w:rsidRDefault="00C31417">
            <w:pPr>
              <w:spacing w:after="288"/>
              <w:ind w:right="570"/>
              <w:contextualSpacing/>
              <w:jc w:val="right"/>
              <w:rPr>
                <w:rFonts w:cs="Arial"/>
              </w:rPr>
            </w:pPr>
            <w:r>
              <w:rPr>
                <w:rFonts w:cs="Arial"/>
              </w:rPr>
              <w:t>-</w:t>
            </w:r>
            <w:r w:rsidR="005026AB">
              <w:rPr>
                <w:rFonts w:cs="Arial"/>
              </w:rPr>
              <w:t>1</w:t>
            </w:r>
            <w:r w:rsidR="004259B8" w:rsidRPr="008C5EE2">
              <w:rPr>
                <w:rFonts w:cs="Arial"/>
              </w:rPr>
              <w:t>.</w:t>
            </w:r>
            <w:r w:rsidR="005026AB">
              <w:rPr>
                <w:rFonts w:cs="Arial"/>
              </w:rPr>
              <w:t>5</w:t>
            </w:r>
            <w:r w:rsidR="004259B8" w:rsidRPr="008C5EE2">
              <w:rPr>
                <w:rFonts w:cs="Arial"/>
              </w:rPr>
              <w:t>%</w:t>
            </w:r>
          </w:p>
        </w:tc>
        <w:tc>
          <w:tcPr>
            <w:tcW w:w="2055" w:type="dxa"/>
            <w:tcBorders>
              <w:top w:val="single" w:sz="4" w:space="0" w:color="auto"/>
              <w:bottom w:val="single" w:sz="4" w:space="0" w:color="auto"/>
            </w:tcBorders>
            <w:vAlign w:val="center"/>
          </w:tcPr>
          <w:p w14:paraId="48C4A786" w14:textId="4609D214" w:rsidR="004259B8" w:rsidRPr="008C5EE2" w:rsidRDefault="00C31417">
            <w:pPr>
              <w:tabs>
                <w:tab w:val="left" w:pos="426"/>
              </w:tabs>
              <w:spacing w:after="288"/>
              <w:ind w:right="350"/>
              <w:contextualSpacing/>
              <w:jc w:val="right"/>
              <w:rPr>
                <w:rFonts w:cs="Arial"/>
              </w:rPr>
            </w:pPr>
            <w:r>
              <w:rPr>
                <w:rFonts w:cs="Arial"/>
              </w:rPr>
              <w:t>-</w:t>
            </w:r>
            <w:r w:rsidR="005026AB">
              <w:rPr>
                <w:rFonts w:cs="Arial"/>
              </w:rPr>
              <w:t>1</w:t>
            </w:r>
            <w:r w:rsidR="004259B8" w:rsidRPr="008C5EE2">
              <w:rPr>
                <w:rFonts w:cs="Arial"/>
              </w:rPr>
              <w:t>.0%</w:t>
            </w:r>
          </w:p>
        </w:tc>
      </w:tr>
    </w:tbl>
    <w:p w14:paraId="58BA93F9" w14:textId="77777777" w:rsidR="00443507" w:rsidRDefault="00443507" w:rsidP="00443507">
      <w:pPr>
        <w:spacing w:afterLines="0" w:after="0" w:line="240" w:lineRule="auto"/>
        <w:ind w:firstLine="720"/>
        <w:rPr>
          <w:rFonts w:cs="Arial"/>
          <w:b/>
        </w:rPr>
      </w:pPr>
    </w:p>
    <w:p w14:paraId="4425F49A" w14:textId="679008CC" w:rsidR="004259B8" w:rsidRDefault="007D75A8" w:rsidP="00443507">
      <w:pPr>
        <w:spacing w:afterLines="0" w:after="0" w:line="240" w:lineRule="auto"/>
        <w:ind w:firstLine="720"/>
        <w:rPr>
          <w:rFonts w:cs="Arial"/>
          <w:lang w:eastAsia="ja-JP"/>
        </w:rPr>
      </w:pPr>
      <w:r w:rsidRPr="007D75A8">
        <w:rPr>
          <w:rFonts w:cs="Arial"/>
          <w:b/>
        </w:rPr>
        <w:t>Нэгдсэн төсвийн нийт зарлагын өсөлтийн хэмжээ</w:t>
      </w:r>
      <w:r w:rsidR="004259B8" w:rsidRPr="007924D6">
        <w:rPr>
          <w:rFonts w:cs="Arial"/>
          <w:b/>
        </w:rPr>
        <w:t>.</w:t>
      </w:r>
      <w:r w:rsidR="004259B8" w:rsidRPr="007924D6">
        <w:rPr>
          <w:rFonts w:cs="Arial"/>
          <w:i/>
        </w:rPr>
        <w:t xml:space="preserve"> </w:t>
      </w:r>
      <w:r w:rsidR="006335B7" w:rsidRPr="006335B7">
        <w:rPr>
          <w:rFonts w:cs="Arial"/>
        </w:rPr>
        <w:t xml:space="preserve">Төсвийн нийт зарлагын өсөлтийг тухайн жилийн эрдэс баялгийн бус ДНБ-ий өсөлт болон өмнөх дараалсан 12 жилийн эрдэс баялгийн бус ДНБ-ий өсөлтийн дунджаас аль ихээс хэтрэхгүй байхаар тооцож, эдийн засгийн суурь өсөлттэй уялдуулан төсвийн зарлагыг төлөвлөх зохицуулалтыг тусгасан. </w:t>
      </w:r>
      <w:r w:rsidR="00FC4AA8" w:rsidRPr="00BB4496">
        <w:rPr>
          <w:rFonts w:cs="Arial"/>
        </w:rPr>
        <w:t>Нэгдсэн төсвийн нийт зарлага 202</w:t>
      </w:r>
      <w:r w:rsidR="00212C6A">
        <w:rPr>
          <w:rFonts w:cs="Arial"/>
        </w:rPr>
        <w:t>6</w:t>
      </w:r>
      <w:r w:rsidR="00FC4AA8" w:rsidRPr="00BB4496">
        <w:rPr>
          <w:rFonts w:cs="Arial"/>
        </w:rPr>
        <w:t xml:space="preserve"> о</w:t>
      </w:r>
      <w:r w:rsidR="00FC4AA8" w:rsidRPr="00787C88">
        <w:rPr>
          <w:rFonts w:cs="Arial"/>
        </w:rPr>
        <w:t xml:space="preserve">нд </w:t>
      </w:r>
      <w:r w:rsidR="00443507">
        <w:rPr>
          <w:rFonts w:cs="Arial"/>
        </w:rPr>
        <w:t xml:space="preserve">                 </w:t>
      </w:r>
      <w:r w:rsidR="003A11E6" w:rsidRPr="00787C88">
        <w:rPr>
          <w:rFonts w:cs="Arial"/>
        </w:rPr>
        <w:t>8</w:t>
      </w:r>
      <w:r w:rsidR="00FC4AA8" w:rsidRPr="00787C88">
        <w:rPr>
          <w:rFonts w:cs="Arial"/>
        </w:rPr>
        <w:t>.</w:t>
      </w:r>
      <w:r w:rsidR="00D478AE">
        <w:rPr>
          <w:rFonts w:cs="Arial"/>
        </w:rPr>
        <w:t>4</w:t>
      </w:r>
      <w:r w:rsidR="00FC4AA8" w:rsidRPr="00787C88">
        <w:rPr>
          <w:rFonts w:cs="Arial"/>
        </w:rPr>
        <w:t xml:space="preserve"> хувиар,</w:t>
      </w:r>
      <w:r w:rsidR="00FC4AA8" w:rsidRPr="00BB4496">
        <w:rPr>
          <w:rFonts w:cs="Arial"/>
        </w:rPr>
        <w:t xml:space="preserve"> 202</w:t>
      </w:r>
      <w:r w:rsidR="00212C6A">
        <w:rPr>
          <w:rFonts w:cs="Arial"/>
        </w:rPr>
        <w:t>7</w:t>
      </w:r>
      <w:r w:rsidR="00FC4AA8" w:rsidRPr="00BB4496">
        <w:rPr>
          <w:rFonts w:cs="Arial"/>
        </w:rPr>
        <w:t xml:space="preserve"> онд 7.</w:t>
      </w:r>
      <w:r w:rsidR="005D335F">
        <w:rPr>
          <w:rFonts w:cs="Arial"/>
        </w:rPr>
        <w:t>4</w:t>
      </w:r>
      <w:r w:rsidR="00FC4AA8" w:rsidRPr="00BB4496">
        <w:rPr>
          <w:rFonts w:cs="Arial"/>
        </w:rPr>
        <w:t xml:space="preserve"> хувиар, 202</w:t>
      </w:r>
      <w:r w:rsidR="00212C6A">
        <w:rPr>
          <w:rFonts w:cs="Arial"/>
        </w:rPr>
        <w:t>8</w:t>
      </w:r>
      <w:r w:rsidR="00FC4AA8" w:rsidRPr="00BB4496">
        <w:rPr>
          <w:rFonts w:cs="Arial"/>
        </w:rPr>
        <w:t xml:space="preserve"> онд </w:t>
      </w:r>
      <w:r w:rsidR="003A315F">
        <w:rPr>
          <w:rFonts w:cs="Arial"/>
        </w:rPr>
        <w:t>5</w:t>
      </w:r>
      <w:r w:rsidR="00FC4AA8" w:rsidRPr="00BB4496">
        <w:rPr>
          <w:rFonts w:cs="Arial"/>
        </w:rPr>
        <w:t>.</w:t>
      </w:r>
      <w:r w:rsidR="003A315F">
        <w:rPr>
          <w:rFonts w:cs="Arial"/>
        </w:rPr>
        <w:t>8</w:t>
      </w:r>
      <w:r w:rsidR="00FC4AA8" w:rsidRPr="00BB4496">
        <w:rPr>
          <w:rFonts w:cs="Arial"/>
        </w:rPr>
        <w:t xml:space="preserve"> хувиар өсөхөөр төсөөлсөн нь заасан төсвийн зарлагын өсөлтийн тусгай шаардлагыг хангаж байна.</w:t>
      </w:r>
    </w:p>
    <w:p w14:paraId="0494C228" w14:textId="77777777" w:rsidR="00443507" w:rsidRDefault="00443507" w:rsidP="00443507">
      <w:pPr>
        <w:spacing w:afterLines="0" w:after="0" w:line="240" w:lineRule="auto"/>
        <w:ind w:firstLine="720"/>
        <w:rPr>
          <w:rFonts w:cs="Arial"/>
          <w:b/>
        </w:rPr>
      </w:pPr>
    </w:p>
    <w:p w14:paraId="7F2584F8" w14:textId="0E58FA05" w:rsidR="004259B8" w:rsidRDefault="004259B8" w:rsidP="00443507">
      <w:pPr>
        <w:spacing w:afterLines="0" w:after="0" w:line="240" w:lineRule="auto"/>
        <w:ind w:firstLine="720"/>
        <w:rPr>
          <w:rFonts w:cs="Arial"/>
          <w:szCs w:val="24"/>
          <w:lang w:eastAsia="ja-JP"/>
        </w:rPr>
      </w:pPr>
      <w:r w:rsidRPr="008C5EE2">
        <w:rPr>
          <w:rFonts w:cs="Arial"/>
          <w:b/>
        </w:rPr>
        <w:t>Засгийн газрын өрийн нэрлэсэн дүнгээр илэрхийлсэн үлдэгдэл.</w:t>
      </w:r>
      <w:r w:rsidRPr="008C5EE2">
        <w:rPr>
          <w:rFonts w:cs="Arial"/>
          <w:b/>
          <w:i/>
        </w:rPr>
        <w:t xml:space="preserve"> </w:t>
      </w:r>
      <w:r w:rsidR="009363C1" w:rsidRPr="007924D6">
        <w:rPr>
          <w:rFonts w:cs="Arial"/>
          <w:szCs w:val="24"/>
          <w:lang w:eastAsia="ja-JP"/>
        </w:rPr>
        <w:t>Төсвийн тогтвортой байдлын тухай хуулийн 6 дугаар зүйлд Засгийн газрын өрийн нэрлэсэн дүнгээр илэрхийлсэн үлдэгдэл нь тухайн жилийн ДНБ-ий 60 хувиас хэтрэхгүй байна гэж заасан. Засгийн газрын өрийн нэрлэсэн дүнгээр илэрхийлэгдсэн үлдэгдэл 2026-2028 онд хуулийн шаардлагыг хангаж байна.</w:t>
      </w:r>
    </w:p>
    <w:p w14:paraId="6BAE5B0F" w14:textId="77777777" w:rsidR="00B547F7" w:rsidRPr="007924D6" w:rsidRDefault="00B547F7" w:rsidP="00443507">
      <w:pPr>
        <w:spacing w:afterLines="0" w:after="0" w:line="240" w:lineRule="auto"/>
        <w:ind w:firstLine="720"/>
        <w:rPr>
          <w:rFonts w:cs="Arial"/>
          <w:szCs w:val="24"/>
          <w:lang w:eastAsia="ja-JP"/>
        </w:rPr>
      </w:pPr>
    </w:p>
    <w:p w14:paraId="5D6B13CE" w14:textId="548F7B9E" w:rsidR="004259B8" w:rsidRPr="008C5EE2" w:rsidRDefault="004259B8" w:rsidP="00B547F7">
      <w:pPr>
        <w:pStyle w:val="Caption"/>
        <w:keepNext/>
        <w:jc w:val="right"/>
        <w:rPr>
          <w:rFonts w:ascii="Arial" w:hAnsi="Arial" w:cs="Arial"/>
          <w:color w:val="auto"/>
        </w:rPr>
      </w:pPr>
      <w:bookmarkStart w:id="143" w:name="_Toc195371815"/>
      <w:bookmarkStart w:id="144" w:name="_Toc195373130"/>
      <w:bookmarkStart w:id="145" w:name="_Toc195524207"/>
      <w:bookmarkStart w:id="146" w:name="_Toc195524237"/>
      <w:bookmarkStart w:id="147" w:name="_Toc195605841"/>
      <w:bookmarkStart w:id="148" w:name="_Toc195606894"/>
      <w:bookmarkStart w:id="149" w:name="_Toc196481961"/>
      <w:bookmarkStart w:id="150" w:name="_Toc201759618"/>
      <w:r w:rsidRPr="008C5EE2">
        <w:rPr>
          <w:rFonts w:ascii="Arial" w:hAnsi="Arial" w:cs="Arial"/>
          <w:color w:val="auto"/>
        </w:rPr>
        <w:t xml:space="preserve">Хүснэгт </w:t>
      </w:r>
      <w:r w:rsidRPr="008C5EE2">
        <w:rPr>
          <w:rFonts w:ascii="Arial" w:hAnsi="Arial" w:cs="Arial"/>
          <w:color w:val="auto"/>
        </w:rPr>
        <w:fldChar w:fldCharType="begin"/>
      </w:r>
      <w:r w:rsidRPr="008C5EE2">
        <w:rPr>
          <w:rFonts w:ascii="Arial" w:hAnsi="Arial" w:cs="Arial"/>
          <w:color w:val="auto"/>
        </w:rPr>
        <w:instrText xml:space="preserve"> STYLEREF 1 \s </w:instrText>
      </w:r>
      <w:r w:rsidRPr="008C5EE2">
        <w:rPr>
          <w:rFonts w:ascii="Arial" w:hAnsi="Arial" w:cs="Arial"/>
          <w:color w:val="auto"/>
        </w:rPr>
        <w:fldChar w:fldCharType="separate"/>
      </w:r>
      <w:r w:rsidR="000E7C9C">
        <w:rPr>
          <w:rFonts w:ascii="Arial" w:hAnsi="Arial" w:cs="Arial"/>
          <w:noProof/>
          <w:color w:val="auto"/>
        </w:rPr>
        <w:t>3</w:t>
      </w:r>
      <w:r w:rsidRPr="008C5EE2">
        <w:rPr>
          <w:rFonts w:ascii="Arial" w:hAnsi="Arial" w:cs="Arial"/>
          <w:color w:val="auto"/>
        </w:rPr>
        <w:fldChar w:fldCharType="end"/>
      </w:r>
      <w:r w:rsidRPr="008C5EE2">
        <w:rPr>
          <w:rFonts w:ascii="Arial" w:hAnsi="Arial" w:cs="Arial"/>
          <w:color w:val="auto"/>
        </w:rPr>
        <w:t>.</w:t>
      </w:r>
      <w:r w:rsidRPr="008C5EE2">
        <w:rPr>
          <w:rFonts w:ascii="Arial" w:hAnsi="Arial" w:cs="Arial"/>
          <w:color w:val="auto"/>
        </w:rPr>
        <w:fldChar w:fldCharType="begin"/>
      </w:r>
      <w:r w:rsidRPr="008C5EE2">
        <w:rPr>
          <w:rFonts w:ascii="Arial" w:hAnsi="Arial" w:cs="Arial"/>
          <w:color w:val="auto"/>
        </w:rPr>
        <w:instrText xml:space="preserve"> SEQ Хүснэгт \* ARABIC \s 1 </w:instrText>
      </w:r>
      <w:r w:rsidRPr="008C5EE2">
        <w:rPr>
          <w:rFonts w:ascii="Arial" w:hAnsi="Arial" w:cs="Arial"/>
          <w:color w:val="auto"/>
        </w:rPr>
        <w:fldChar w:fldCharType="separate"/>
      </w:r>
      <w:r w:rsidR="000E7C9C">
        <w:rPr>
          <w:rFonts w:ascii="Arial" w:hAnsi="Arial" w:cs="Arial"/>
          <w:noProof/>
          <w:color w:val="auto"/>
        </w:rPr>
        <w:t>2</w:t>
      </w:r>
      <w:r w:rsidRPr="008C5EE2">
        <w:rPr>
          <w:rFonts w:ascii="Arial" w:hAnsi="Arial" w:cs="Arial"/>
          <w:color w:val="auto"/>
        </w:rPr>
        <w:fldChar w:fldCharType="end"/>
      </w:r>
      <w:r w:rsidRPr="008C5EE2">
        <w:rPr>
          <w:rFonts w:ascii="Arial" w:hAnsi="Arial" w:cs="Arial"/>
          <w:color w:val="auto"/>
        </w:rPr>
        <w:t xml:space="preserve"> Засгийн газрын өрийн нэрлэсэн дүнгээр илэрхийлсэн үлдэгдлийн төсөөлөл (ДНБ-д эзлэх хувь)</w:t>
      </w:r>
      <w:bookmarkEnd w:id="143"/>
      <w:bookmarkEnd w:id="144"/>
      <w:bookmarkEnd w:id="145"/>
      <w:bookmarkEnd w:id="146"/>
      <w:bookmarkEnd w:id="147"/>
      <w:bookmarkEnd w:id="148"/>
      <w:bookmarkEnd w:id="149"/>
      <w:bookmarkEnd w:id="150"/>
    </w:p>
    <w:tbl>
      <w:tblPr>
        <w:tblStyle w:val="TableGrid1"/>
        <w:tblpPr w:leftFromText="180" w:rightFromText="180" w:vertAnchor="text" w:horzAnchor="margin" w:tblpX="18" w:tblpY="76"/>
        <w:tblW w:w="93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3"/>
        <w:gridCol w:w="2037"/>
        <w:gridCol w:w="2037"/>
        <w:gridCol w:w="2038"/>
      </w:tblGrid>
      <w:tr w:rsidR="004259B8" w:rsidRPr="00614D1A" w14:paraId="32AFE59E" w14:textId="77777777" w:rsidTr="00B547F7">
        <w:trPr>
          <w:trHeight w:val="298"/>
        </w:trPr>
        <w:tc>
          <w:tcPr>
            <w:tcW w:w="3193" w:type="dxa"/>
            <w:shd w:val="clear" w:color="auto" w:fill="045957"/>
          </w:tcPr>
          <w:p w14:paraId="6FE3AD76" w14:textId="77777777" w:rsidR="004259B8" w:rsidRPr="008C5EE2" w:rsidRDefault="004259B8">
            <w:pPr>
              <w:tabs>
                <w:tab w:val="left" w:pos="426"/>
              </w:tabs>
              <w:spacing w:after="288" w:afterAutospacing="1"/>
              <w:ind w:right="-90" w:firstLine="567"/>
              <w:jc w:val="center"/>
              <w:rPr>
                <w:rFonts w:cs="Arial"/>
                <w:color w:val="FFFFFF" w:themeColor="background1"/>
              </w:rPr>
            </w:pPr>
          </w:p>
        </w:tc>
        <w:tc>
          <w:tcPr>
            <w:tcW w:w="2037" w:type="dxa"/>
            <w:shd w:val="clear" w:color="auto" w:fill="045957"/>
            <w:vAlign w:val="center"/>
          </w:tcPr>
          <w:p w14:paraId="0C8269BA" w14:textId="09CB42CA" w:rsidR="004259B8" w:rsidRPr="008C5EE2" w:rsidRDefault="004259B8">
            <w:pPr>
              <w:tabs>
                <w:tab w:val="left" w:pos="426"/>
              </w:tabs>
              <w:spacing w:after="288" w:afterAutospacing="1"/>
              <w:ind w:left="426" w:right="-90"/>
              <w:jc w:val="center"/>
              <w:rPr>
                <w:rFonts w:cs="Arial"/>
                <w:color w:val="FFFFFF" w:themeColor="background1"/>
              </w:rPr>
            </w:pPr>
            <w:r w:rsidRPr="008C5EE2">
              <w:rPr>
                <w:rFonts w:cs="Arial"/>
                <w:color w:val="FFFFFF" w:themeColor="background1"/>
              </w:rPr>
              <w:t>202</w:t>
            </w:r>
            <w:r w:rsidR="008C2392">
              <w:rPr>
                <w:rFonts w:cs="Arial"/>
                <w:color w:val="FFFFFF" w:themeColor="background1"/>
              </w:rPr>
              <w:t>6</w:t>
            </w:r>
          </w:p>
        </w:tc>
        <w:tc>
          <w:tcPr>
            <w:tcW w:w="2037" w:type="dxa"/>
            <w:shd w:val="clear" w:color="auto" w:fill="045957"/>
            <w:vAlign w:val="center"/>
          </w:tcPr>
          <w:p w14:paraId="021EC0BE" w14:textId="6C2C825C" w:rsidR="004259B8" w:rsidRPr="008C5EE2" w:rsidRDefault="004259B8">
            <w:pPr>
              <w:tabs>
                <w:tab w:val="left" w:pos="426"/>
              </w:tabs>
              <w:spacing w:after="288" w:afterAutospacing="1"/>
              <w:ind w:right="-90"/>
              <w:jc w:val="center"/>
              <w:rPr>
                <w:rFonts w:cs="Arial"/>
                <w:color w:val="FFFFFF" w:themeColor="background1"/>
              </w:rPr>
            </w:pPr>
            <w:r w:rsidRPr="008C5EE2">
              <w:rPr>
                <w:rFonts w:cs="Arial"/>
                <w:color w:val="FFFFFF" w:themeColor="background1"/>
              </w:rPr>
              <w:t>202</w:t>
            </w:r>
            <w:r w:rsidR="008C2392">
              <w:rPr>
                <w:rFonts w:cs="Arial"/>
                <w:color w:val="FFFFFF" w:themeColor="background1"/>
              </w:rPr>
              <w:t>7</w:t>
            </w:r>
          </w:p>
        </w:tc>
        <w:tc>
          <w:tcPr>
            <w:tcW w:w="2038" w:type="dxa"/>
            <w:shd w:val="clear" w:color="auto" w:fill="045957"/>
            <w:vAlign w:val="center"/>
          </w:tcPr>
          <w:p w14:paraId="70D4E707" w14:textId="0C13E631" w:rsidR="004259B8" w:rsidRPr="008C5EE2" w:rsidRDefault="004259B8">
            <w:pPr>
              <w:tabs>
                <w:tab w:val="left" w:pos="426"/>
              </w:tabs>
              <w:spacing w:after="288" w:afterAutospacing="1"/>
              <w:ind w:left="426" w:right="-90"/>
              <w:jc w:val="center"/>
              <w:rPr>
                <w:rFonts w:cs="Arial"/>
                <w:color w:val="FFFFFF" w:themeColor="background1"/>
              </w:rPr>
            </w:pPr>
            <w:r w:rsidRPr="008C5EE2">
              <w:rPr>
                <w:rFonts w:cs="Arial"/>
                <w:color w:val="FFFFFF" w:themeColor="background1"/>
              </w:rPr>
              <w:t>202</w:t>
            </w:r>
            <w:r w:rsidR="008C2392">
              <w:rPr>
                <w:rFonts w:cs="Arial"/>
                <w:color w:val="FFFFFF" w:themeColor="background1"/>
              </w:rPr>
              <w:t>8</w:t>
            </w:r>
          </w:p>
        </w:tc>
      </w:tr>
      <w:tr w:rsidR="004259B8" w:rsidRPr="00614D1A" w14:paraId="693D9BC0" w14:textId="77777777" w:rsidTr="00B547F7">
        <w:trPr>
          <w:trHeight w:val="327"/>
        </w:trPr>
        <w:tc>
          <w:tcPr>
            <w:tcW w:w="3193" w:type="dxa"/>
            <w:tcBorders>
              <w:bottom w:val="single" w:sz="4" w:space="0" w:color="auto"/>
            </w:tcBorders>
          </w:tcPr>
          <w:p w14:paraId="2108A25C" w14:textId="77777777" w:rsidR="004259B8" w:rsidRPr="008C5EE2" w:rsidRDefault="004259B8">
            <w:pPr>
              <w:tabs>
                <w:tab w:val="left" w:pos="426"/>
              </w:tabs>
              <w:spacing w:after="288"/>
              <w:ind w:right="-90" w:firstLine="567"/>
              <w:contextualSpacing/>
              <w:jc w:val="left"/>
              <w:rPr>
                <w:rFonts w:cs="Arial"/>
              </w:rPr>
            </w:pPr>
            <w:r w:rsidRPr="008C5EE2">
              <w:rPr>
                <w:rFonts w:cs="Arial"/>
              </w:rPr>
              <w:t>Хуулийн хязгаар</w:t>
            </w:r>
          </w:p>
        </w:tc>
        <w:tc>
          <w:tcPr>
            <w:tcW w:w="2037" w:type="dxa"/>
            <w:tcBorders>
              <w:bottom w:val="single" w:sz="4" w:space="0" w:color="auto"/>
            </w:tcBorders>
            <w:vAlign w:val="center"/>
          </w:tcPr>
          <w:p w14:paraId="63497398" w14:textId="77777777" w:rsidR="004259B8" w:rsidRPr="008C5EE2" w:rsidRDefault="004259B8">
            <w:pPr>
              <w:spacing w:after="288"/>
              <w:ind w:right="350"/>
              <w:contextualSpacing/>
              <w:jc w:val="right"/>
              <w:rPr>
                <w:rFonts w:cs="Arial"/>
              </w:rPr>
            </w:pPr>
            <w:r w:rsidRPr="008C5EE2">
              <w:rPr>
                <w:rFonts w:cs="Arial"/>
              </w:rPr>
              <w:t>60.0%</w:t>
            </w:r>
          </w:p>
        </w:tc>
        <w:tc>
          <w:tcPr>
            <w:tcW w:w="2037" w:type="dxa"/>
            <w:tcBorders>
              <w:bottom w:val="single" w:sz="4" w:space="0" w:color="auto"/>
            </w:tcBorders>
            <w:vAlign w:val="center"/>
          </w:tcPr>
          <w:p w14:paraId="13E475B3" w14:textId="77777777" w:rsidR="004259B8" w:rsidRPr="008C5EE2" w:rsidRDefault="004259B8">
            <w:pPr>
              <w:spacing w:after="288"/>
              <w:ind w:right="570"/>
              <w:contextualSpacing/>
              <w:jc w:val="right"/>
              <w:rPr>
                <w:rFonts w:cs="Arial"/>
              </w:rPr>
            </w:pPr>
            <w:r w:rsidRPr="008C5EE2">
              <w:rPr>
                <w:rFonts w:cs="Arial"/>
              </w:rPr>
              <w:t>60.0%</w:t>
            </w:r>
          </w:p>
        </w:tc>
        <w:tc>
          <w:tcPr>
            <w:tcW w:w="2038" w:type="dxa"/>
            <w:tcBorders>
              <w:bottom w:val="single" w:sz="4" w:space="0" w:color="auto"/>
            </w:tcBorders>
            <w:vAlign w:val="center"/>
          </w:tcPr>
          <w:p w14:paraId="3E840196" w14:textId="77777777" w:rsidR="004259B8" w:rsidRPr="008C5EE2" w:rsidRDefault="004259B8">
            <w:pPr>
              <w:spacing w:after="288"/>
              <w:ind w:right="406"/>
              <w:contextualSpacing/>
              <w:jc w:val="right"/>
              <w:rPr>
                <w:rFonts w:cs="Arial"/>
              </w:rPr>
            </w:pPr>
            <w:r w:rsidRPr="008C5EE2">
              <w:rPr>
                <w:rFonts w:cs="Arial"/>
              </w:rPr>
              <w:t xml:space="preserve">   60.0%</w:t>
            </w:r>
          </w:p>
        </w:tc>
      </w:tr>
      <w:tr w:rsidR="004259B8" w:rsidRPr="00614D1A" w14:paraId="31B79167" w14:textId="77777777" w:rsidTr="00B547F7">
        <w:trPr>
          <w:trHeight w:val="307"/>
        </w:trPr>
        <w:tc>
          <w:tcPr>
            <w:tcW w:w="3193" w:type="dxa"/>
            <w:tcBorders>
              <w:top w:val="single" w:sz="4" w:space="0" w:color="auto"/>
              <w:bottom w:val="single" w:sz="4" w:space="0" w:color="auto"/>
            </w:tcBorders>
            <w:vAlign w:val="center"/>
          </w:tcPr>
          <w:p w14:paraId="7B8D00CB" w14:textId="77777777" w:rsidR="004259B8" w:rsidRPr="008C5EE2" w:rsidRDefault="004259B8">
            <w:pPr>
              <w:tabs>
                <w:tab w:val="left" w:pos="426"/>
              </w:tabs>
              <w:spacing w:after="288"/>
              <w:ind w:right="-90" w:firstLine="567"/>
              <w:contextualSpacing/>
              <w:jc w:val="left"/>
              <w:rPr>
                <w:rFonts w:cs="Arial"/>
              </w:rPr>
            </w:pPr>
            <w:r w:rsidRPr="008C5EE2">
              <w:rPr>
                <w:rFonts w:cs="Arial"/>
              </w:rPr>
              <w:t>Төсөөлөл</w:t>
            </w:r>
          </w:p>
        </w:tc>
        <w:tc>
          <w:tcPr>
            <w:tcW w:w="2037" w:type="dxa"/>
            <w:tcBorders>
              <w:top w:val="single" w:sz="4" w:space="0" w:color="auto"/>
              <w:bottom w:val="single" w:sz="4" w:space="0" w:color="auto"/>
            </w:tcBorders>
            <w:vAlign w:val="center"/>
          </w:tcPr>
          <w:p w14:paraId="6B646919" w14:textId="1A11EF0A" w:rsidR="004259B8" w:rsidRPr="008C5EE2" w:rsidRDefault="004259B8">
            <w:pPr>
              <w:tabs>
                <w:tab w:val="left" w:pos="426"/>
              </w:tabs>
              <w:spacing w:after="288"/>
              <w:ind w:right="350"/>
              <w:contextualSpacing/>
              <w:jc w:val="right"/>
              <w:rPr>
                <w:rFonts w:cs="Arial"/>
              </w:rPr>
            </w:pPr>
            <w:r w:rsidRPr="008C5EE2">
              <w:rPr>
                <w:rFonts w:cs="Arial"/>
              </w:rPr>
              <w:t>5</w:t>
            </w:r>
            <w:r w:rsidR="008C2392">
              <w:rPr>
                <w:rFonts w:cs="Arial"/>
              </w:rPr>
              <w:t>0</w:t>
            </w:r>
            <w:r w:rsidRPr="008C5EE2">
              <w:rPr>
                <w:rFonts w:cs="Arial"/>
              </w:rPr>
              <w:t>.0%</w:t>
            </w:r>
          </w:p>
        </w:tc>
        <w:tc>
          <w:tcPr>
            <w:tcW w:w="2037" w:type="dxa"/>
            <w:tcBorders>
              <w:top w:val="single" w:sz="4" w:space="0" w:color="auto"/>
              <w:bottom w:val="single" w:sz="4" w:space="0" w:color="auto"/>
            </w:tcBorders>
            <w:vAlign w:val="center"/>
          </w:tcPr>
          <w:p w14:paraId="0620DFF1" w14:textId="3503E8AE" w:rsidR="004259B8" w:rsidRPr="008C5EE2" w:rsidRDefault="008C2392">
            <w:pPr>
              <w:spacing w:after="288"/>
              <w:ind w:right="570"/>
              <w:contextualSpacing/>
              <w:jc w:val="right"/>
              <w:rPr>
                <w:rFonts w:cs="Arial"/>
              </w:rPr>
            </w:pPr>
            <w:r>
              <w:rPr>
                <w:rFonts w:cs="Arial"/>
              </w:rPr>
              <w:t>5</w:t>
            </w:r>
            <w:r w:rsidR="00CA54F6">
              <w:rPr>
                <w:rFonts w:cs="Arial"/>
              </w:rPr>
              <w:t>0</w:t>
            </w:r>
            <w:r w:rsidR="004259B8" w:rsidRPr="008C5EE2">
              <w:rPr>
                <w:rFonts w:cs="Arial"/>
              </w:rPr>
              <w:t>.0%</w:t>
            </w:r>
          </w:p>
        </w:tc>
        <w:tc>
          <w:tcPr>
            <w:tcW w:w="2038" w:type="dxa"/>
            <w:tcBorders>
              <w:top w:val="single" w:sz="4" w:space="0" w:color="auto"/>
              <w:bottom w:val="single" w:sz="4" w:space="0" w:color="auto"/>
            </w:tcBorders>
            <w:vAlign w:val="center"/>
          </w:tcPr>
          <w:p w14:paraId="363BDDC5" w14:textId="5A18E120" w:rsidR="004259B8" w:rsidRPr="008C5EE2" w:rsidRDefault="004259B8">
            <w:pPr>
              <w:tabs>
                <w:tab w:val="left" w:pos="426"/>
              </w:tabs>
              <w:spacing w:after="288"/>
              <w:ind w:right="350"/>
              <w:contextualSpacing/>
              <w:jc w:val="right"/>
              <w:rPr>
                <w:rFonts w:cs="Arial"/>
              </w:rPr>
            </w:pPr>
            <w:r w:rsidRPr="008C5EE2">
              <w:rPr>
                <w:rFonts w:cs="Arial"/>
              </w:rPr>
              <w:t>5</w:t>
            </w:r>
            <w:r w:rsidR="00CA54F6">
              <w:rPr>
                <w:rFonts w:cs="Arial"/>
              </w:rPr>
              <w:t>0</w:t>
            </w:r>
            <w:r w:rsidRPr="008C5EE2">
              <w:rPr>
                <w:rFonts w:cs="Arial"/>
              </w:rPr>
              <w:t>.0%</w:t>
            </w:r>
          </w:p>
        </w:tc>
      </w:tr>
    </w:tbl>
    <w:p w14:paraId="1C219C91" w14:textId="339A0E42" w:rsidR="004E596D" w:rsidRPr="004E596D" w:rsidRDefault="00963DFE" w:rsidP="004E596D">
      <w:pPr>
        <w:pStyle w:val="Heading2"/>
        <w:numPr>
          <w:ilvl w:val="1"/>
          <w:numId w:val="31"/>
        </w:numPr>
        <w:spacing w:before="240" w:afterLines="0" w:line="240" w:lineRule="auto"/>
        <w:ind w:left="0" w:firstLine="720"/>
      </w:pPr>
      <w:bookmarkStart w:id="151" w:name="_Toc196480428"/>
      <w:bookmarkStart w:id="152" w:name="_Toc196480476"/>
      <w:bookmarkStart w:id="153" w:name="_Toc196496066"/>
      <w:bookmarkStart w:id="154" w:name="_Toc196720622"/>
      <w:bookmarkStart w:id="155" w:name="_Toc196721700"/>
      <w:bookmarkStart w:id="156" w:name="_Toc196724066"/>
      <w:bookmarkStart w:id="157" w:name="_Toc201755719"/>
      <w:r w:rsidRPr="004E596D">
        <w:rPr>
          <w:rFonts w:cs="Arial"/>
        </w:rPr>
        <w:lastRenderedPageBreak/>
        <w:t xml:space="preserve"> </w:t>
      </w:r>
      <w:bookmarkStart w:id="158" w:name="_Toc238120999"/>
      <w:r w:rsidR="004259B8" w:rsidRPr="004E596D">
        <w:rPr>
          <w:rFonts w:cs="Arial"/>
        </w:rPr>
        <w:t>Монгол Улсын нэгдсэн төсвийн 202</w:t>
      </w:r>
      <w:r w:rsidR="00D7393C" w:rsidRPr="004E596D">
        <w:rPr>
          <w:rFonts w:cs="Arial"/>
        </w:rPr>
        <w:t>6</w:t>
      </w:r>
      <w:r w:rsidR="004259B8" w:rsidRPr="004E596D">
        <w:rPr>
          <w:rFonts w:cs="Arial"/>
        </w:rPr>
        <w:t xml:space="preserve"> оны төсвийн хүрээний мэдэгдэл,</w:t>
      </w:r>
      <w:r w:rsidR="004E596D" w:rsidRPr="004E596D">
        <w:rPr>
          <w:rFonts w:cs="Arial"/>
        </w:rPr>
        <w:t xml:space="preserve"> </w:t>
      </w:r>
      <w:r w:rsidR="004259B8" w:rsidRPr="004E596D">
        <w:rPr>
          <w:rFonts w:cs="Arial"/>
        </w:rPr>
        <w:t>202</w:t>
      </w:r>
      <w:r w:rsidR="00D7393C" w:rsidRPr="004E596D">
        <w:rPr>
          <w:rFonts w:cs="Arial"/>
        </w:rPr>
        <w:t>7</w:t>
      </w:r>
      <w:r w:rsidR="004259B8" w:rsidRPr="004E596D">
        <w:rPr>
          <w:rFonts w:cs="Arial"/>
        </w:rPr>
        <w:t>-202</w:t>
      </w:r>
      <w:r w:rsidR="00D7393C" w:rsidRPr="004E596D">
        <w:rPr>
          <w:rFonts w:cs="Arial"/>
        </w:rPr>
        <w:t>8</w:t>
      </w:r>
      <w:r w:rsidR="004259B8" w:rsidRPr="004E596D">
        <w:rPr>
          <w:rFonts w:cs="Arial"/>
        </w:rPr>
        <w:t xml:space="preserve"> оны төсвийн төсөөллийн тухай хуулийн төсөл</w:t>
      </w:r>
      <w:bookmarkEnd w:id="151"/>
      <w:bookmarkEnd w:id="152"/>
      <w:bookmarkEnd w:id="153"/>
      <w:bookmarkEnd w:id="154"/>
      <w:bookmarkEnd w:id="155"/>
      <w:bookmarkEnd w:id="156"/>
      <w:bookmarkEnd w:id="157"/>
      <w:bookmarkEnd w:id="158"/>
    </w:p>
    <w:tbl>
      <w:tblPr>
        <w:tblStyle w:val="TableGrid"/>
        <w:tblpPr w:leftFromText="180" w:rightFromText="180" w:vertAnchor="text" w:horzAnchor="margin" w:tblpY="614"/>
        <w:tblW w:w="9403"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539"/>
        <w:gridCol w:w="3728"/>
        <w:gridCol w:w="2002"/>
        <w:gridCol w:w="1567"/>
        <w:gridCol w:w="1567"/>
      </w:tblGrid>
      <w:tr w:rsidR="00511A90" w:rsidRPr="001E52DA" w14:paraId="7A47E404" w14:textId="77777777" w:rsidTr="004E596D">
        <w:trPr>
          <w:trHeight w:val="532"/>
        </w:trPr>
        <w:tc>
          <w:tcPr>
            <w:tcW w:w="4267" w:type="dxa"/>
            <w:gridSpan w:val="2"/>
            <w:vMerge w:val="restart"/>
            <w:tcBorders>
              <w:top w:val="nil"/>
              <w:left w:val="nil"/>
              <w:bottom w:val="nil"/>
            </w:tcBorders>
            <w:shd w:val="clear" w:color="auto" w:fill="045957"/>
            <w:vAlign w:val="center"/>
          </w:tcPr>
          <w:p w14:paraId="0F575DDD" w14:textId="77777777" w:rsidR="00511A90" w:rsidRPr="008C5EE2" w:rsidRDefault="00511A90" w:rsidP="00511A90">
            <w:pPr>
              <w:tabs>
                <w:tab w:val="right" w:leader="dot" w:pos="9354"/>
              </w:tabs>
              <w:snapToGrid w:val="0"/>
              <w:spacing w:before="60" w:afterLines="0" w:after="60"/>
              <w:jc w:val="center"/>
              <w:rPr>
                <w:rFonts w:cs="Arial"/>
                <w:color w:val="FFFFFF" w:themeColor="background1"/>
              </w:rPr>
            </w:pPr>
            <w:bookmarkStart w:id="159" w:name="_Toc194943836"/>
            <w:bookmarkStart w:id="160" w:name="_Toc195256795"/>
            <w:bookmarkStart w:id="161" w:name="_Toc195291967"/>
            <w:bookmarkStart w:id="162" w:name="_Toc195371818"/>
            <w:bookmarkStart w:id="163" w:name="_Toc195373133"/>
            <w:bookmarkStart w:id="164" w:name="_Toc195524210"/>
            <w:bookmarkStart w:id="165" w:name="_Toc195524240"/>
            <w:bookmarkStart w:id="166" w:name="_Toc195605844"/>
            <w:bookmarkStart w:id="167" w:name="_Toc195606897"/>
            <w:bookmarkStart w:id="168" w:name="_Toc196481964"/>
            <w:bookmarkStart w:id="169" w:name="_Toc201759619"/>
            <w:r w:rsidRPr="008C5EE2">
              <w:rPr>
                <w:rFonts w:cs="Arial"/>
                <w:color w:val="FFFFFF" w:themeColor="background1"/>
              </w:rPr>
              <w:t>Эдийн засгийн үндсэн үзүүлэлт</w:t>
            </w:r>
          </w:p>
        </w:tc>
        <w:tc>
          <w:tcPr>
            <w:tcW w:w="2002" w:type="dxa"/>
            <w:tcBorders>
              <w:top w:val="nil"/>
              <w:bottom w:val="nil"/>
            </w:tcBorders>
            <w:shd w:val="clear" w:color="auto" w:fill="045957"/>
          </w:tcPr>
          <w:p w14:paraId="25B8AA7F" w14:textId="77777777" w:rsidR="00511A90" w:rsidRPr="008C5EE2" w:rsidRDefault="00511A90" w:rsidP="00511A90">
            <w:pPr>
              <w:tabs>
                <w:tab w:val="right" w:leader="dot" w:pos="9354"/>
              </w:tabs>
              <w:snapToGrid w:val="0"/>
              <w:spacing w:before="60" w:afterLines="0" w:after="60"/>
              <w:jc w:val="center"/>
              <w:rPr>
                <w:rFonts w:cs="Arial"/>
                <w:color w:val="FFFFFF" w:themeColor="background1"/>
              </w:rPr>
            </w:pPr>
            <w:r w:rsidRPr="008C5EE2">
              <w:rPr>
                <w:rFonts w:cs="Arial"/>
                <w:color w:val="FFFFFF" w:themeColor="background1"/>
              </w:rPr>
              <w:t>Төсвийн хүрээний мэдэгдэл</w:t>
            </w:r>
          </w:p>
        </w:tc>
        <w:tc>
          <w:tcPr>
            <w:tcW w:w="3134" w:type="dxa"/>
            <w:gridSpan w:val="2"/>
            <w:tcBorders>
              <w:top w:val="nil"/>
              <w:bottom w:val="nil"/>
              <w:right w:val="nil"/>
            </w:tcBorders>
            <w:shd w:val="clear" w:color="auto" w:fill="045957"/>
            <w:vAlign w:val="center"/>
          </w:tcPr>
          <w:p w14:paraId="3871A15B" w14:textId="77777777" w:rsidR="00511A90" w:rsidRPr="008C5EE2" w:rsidRDefault="00511A90" w:rsidP="00511A90">
            <w:pPr>
              <w:tabs>
                <w:tab w:val="right" w:leader="dot" w:pos="9354"/>
              </w:tabs>
              <w:snapToGrid w:val="0"/>
              <w:spacing w:before="60" w:afterLines="0" w:after="60"/>
              <w:jc w:val="center"/>
              <w:rPr>
                <w:rFonts w:cs="Arial"/>
                <w:color w:val="FFFFFF" w:themeColor="background1"/>
              </w:rPr>
            </w:pPr>
            <w:r w:rsidRPr="008C5EE2">
              <w:rPr>
                <w:rFonts w:cs="Arial"/>
                <w:color w:val="FFFFFF" w:themeColor="background1"/>
              </w:rPr>
              <w:t>Төсвийн төсөөлөл</w:t>
            </w:r>
          </w:p>
        </w:tc>
      </w:tr>
      <w:tr w:rsidR="00511A90" w:rsidRPr="001E52DA" w14:paraId="1FCB86BD" w14:textId="77777777" w:rsidTr="004E596D">
        <w:trPr>
          <w:trHeight w:val="59"/>
        </w:trPr>
        <w:tc>
          <w:tcPr>
            <w:tcW w:w="4267" w:type="dxa"/>
            <w:gridSpan w:val="2"/>
            <w:vMerge/>
            <w:tcBorders>
              <w:top w:val="nil"/>
              <w:bottom w:val="nil"/>
            </w:tcBorders>
            <w:shd w:val="clear" w:color="auto" w:fill="045957"/>
          </w:tcPr>
          <w:p w14:paraId="330363FE" w14:textId="77777777" w:rsidR="00511A90" w:rsidRPr="008C5EE2" w:rsidRDefault="00511A90" w:rsidP="00511A90">
            <w:pPr>
              <w:tabs>
                <w:tab w:val="right" w:leader="dot" w:pos="9354"/>
              </w:tabs>
              <w:snapToGrid w:val="0"/>
              <w:spacing w:before="60" w:afterLines="0" w:after="60"/>
              <w:jc w:val="center"/>
              <w:rPr>
                <w:rFonts w:cs="Arial"/>
                <w:color w:val="FFFFFF" w:themeColor="background1"/>
              </w:rPr>
            </w:pPr>
          </w:p>
        </w:tc>
        <w:tc>
          <w:tcPr>
            <w:tcW w:w="2002" w:type="dxa"/>
            <w:tcBorders>
              <w:top w:val="nil"/>
              <w:bottom w:val="nil"/>
            </w:tcBorders>
            <w:shd w:val="clear" w:color="auto" w:fill="045957"/>
            <w:vAlign w:val="center"/>
          </w:tcPr>
          <w:p w14:paraId="241FC88A" w14:textId="77777777" w:rsidR="00511A90" w:rsidRPr="008C5EE2" w:rsidRDefault="00511A90" w:rsidP="00511A90">
            <w:pPr>
              <w:tabs>
                <w:tab w:val="right" w:leader="dot" w:pos="9354"/>
              </w:tabs>
              <w:snapToGrid w:val="0"/>
              <w:spacing w:before="60" w:afterLines="0" w:after="60"/>
              <w:jc w:val="center"/>
              <w:rPr>
                <w:rFonts w:cs="Arial"/>
                <w:color w:val="FFFFFF" w:themeColor="background1"/>
              </w:rPr>
            </w:pPr>
            <w:r w:rsidRPr="008C5EE2">
              <w:rPr>
                <w:rFonts w:cs="Arial"/>
                <w:color w:val="FFFFFF" w:themeColor="background1"/>
              </w:rPr>
              <w:t>202</w:t>
            </w:r>
            <w:r>
              <w:rPr>
                <w:rFonts w:cs="Arial"/>
                <w:color w:val="FFFFFF" w:themeColor="background1"/>
              </w:rPr>
              <w:t>6</w:t>
            </w:r>
          </w:p>
        </w:tc>
        <w:tc>
          <w:tcPr>
            <w:tcW w:w="1567" w:type="dxa"/>
            <w:tcBorders>
              <w:top w:val="nil"/>
              <w:bottom w:val="nil"/>
            </w:tcBorders>
            <w:shd w:val="clear" w:color="auto" w:fill="045957"/>
            <w:vAlign w:val="center"/>
          </w:tcPr>
          <w:p w14:paraId="725D11A0" w14:textId="77777777" w:rsidR="00511A90" w:rsidRPr="008C5EE2" w:rsidRDefault="00511A90" w:rsidP="00511A90">
            <w:pPr>
              <w:tabs>
                <w:tab w:val="right" w:leader="dot" w:pos="9354"/>
              </w:tabs>
              <w:snapToGrid w:val="0"/>
              <w:spacing w:before="60" w:afterLines="0" w:after="60"/>
              <w:jc w:val="center"/>
              <w:rPr>
                <w:rFonts w:cs="Arial"/>
                <w:color w:val="FFFFFF" w:themeColor="background1"/>
              </w:rPr>
            </w:pPr>
            <w:r w:rsidRPr="008C5EE2">
              <w:rPr>
                <w:rFonts w:cs="Arial"/>
                <w:color w:val="FFFFFF" w:themeColor="background1"/>
              </w:rPr>
              <w:t>202</w:t>
            </w:r>
            <w:r>
              <w:rPr>
                <w:rFonts w:cs="Arial"/>
                <w:color w:val="FFFFFF" w:themeColor="background1"/>
              </w:rPr>
              <w:t>7</w:t>
            </w:r>
          </w:p>
        </w:tc>
        <w:tc>
          <w:tcPr>
            <w:tcW w:w="1567" w:type="dxa"/>
            <w:tcBorders>
              <w:top w:val="nil"/>
              <w:bottom w:val="nil"/>
            </w:tcBorders>
            <w:shd w:val="clear" w:color="auto" w:fill="045957"/>
            <w:vAlign w:val="center"/>
          </w:tcPr>
          <w:p w14:paraId="777A0981" w14:textId="77777777" w:rsidR="00511A90" w:rsidRPr="008C5EE2" w:rsidRDefault="00511A90" w:rsidP="00511A90">
            <w:pPr>
              <w:tabs>
                <w:tab w:val="right" w:leader="dot" w:pos="9354"/>
              </w:tabs>
              <w:snapToGrid w:val="0"/>
              <w:spacing w:before="60" w:afterLines="0" w:after="60"/>
              <w:jc w:val="center"/>
              <w:rPr>
                <w:rFonts w:cs="Arial"/>
                <w:color w:val="FFFFFF" w:themeColor="background1"/>
              </w:rPr>
            </w:pPr>
            <w:r w:rsidRPr="008C5EE2">
              <w:rPr>
                <w:rFonts w:cs="Arial"/>
                <w:color w:val="FFFFFF" w:themeColor="background1"/>
              </w:rPr>
              <w:t>202</w:t>
            </w:r>
            <w:r>
              <w:rPr>
                <w:rFonts w:cs="Arial"/>
                <w:color w:val="FFFFFF" w:themeColor="background1"/>
              </w:rPr>
              <w:t>8</w:t>
            </w:r>
          </w:p>
        </w:tc>
      </w:tr>
      <w:tr w:rsidR="00511A90" w:rsidRPr="001E52DA" w14:paraId="08347EF7" w14:textId="77777777" w:rsidTr="004E596D">
        <w:trPr>
          <w:trHeight w:val="59"/>
        </w:trPr>
        <w:tc>
          <w:tcPr>
            <w:tcW w:w="539" w:type="dxa"/>
            <w:tcBorders>
              <w:top w:val="nil"/>
            </w:tcBorders>
            <w:vAlign w:val="center"/>
          </w:tcPr>
          <w:p w14:paraId="5DFCB14A" w14:textId="77777777" w:rsidR="00511A90" w:rsidRPr="008C5EE2" w:rsidRDefault="00511A90" w:rsidP="00511A90">
            <w:pPr>
              <w:tabs>
                <w:tab w:val="right" w:leader="dot" w:pos="9354"/>
              </w:tabs>
              <w:snapToGrid w:val="0"/>
              <w:spacing w:afterLines="0"/>
              <w:rPr>
                <w:rFonts w:cs="Arial"/>
              </w:rPr>
            </w:pPr>
            <w:r w:rsidRPr="008C5EE2">
              <w:rPr>
                <w:rFonts w:cs="Arial"/>
              </w:rPr>
              <w:t>1</w:t>
            </w:r>
          </w:p>
        </w:tc>
        <w:tc>
          <w:tcPr>
            <w:tcW w:w="3728" w:type="dxa"/>
            <w:tcBorders>
              <w:top w:val="nil"/>
            </w:tcBorders>
            <w:vAlign w:val="center"/>
          </w:tcPr>
          <w:p w14:paraId="422A394D" w14:textId="77777777" w:rsidR="00511A90" w:rsidRPr="0074726C" w:rsidRDefault="00511A90" w:rsidP="00511A90">
            <w:pPr>
              <w:tabs>
                <w:tab w:val="right" w:leader="dot" w:pos="9354"/>
              </w:tabs>
              <w:snapToGrid w:val="0"/>
              <w:spacing w:before="60" w:afterLines="0" w:after="60"/>
              <w:jc w:val="left"/>
              <w:rPr>
                <w:rFonts w:cs="Arial"/>
                <w:lang w:bidi="mn-Mong-MN"/>
              </w:rPr>
            </w:pPr>
            <w:r w:rsidRPr="0074726C">
              <w:rPr>
                <w:rFonts w:cs="Arial"/>
              </w:rPr>
              <w:t>Дотоодын нийт бүтээгдэхүүний бодит өсөлтийн хэмжээ /хувь/</w:t>
            </w:r>
          </w:p>
        </w:tc>
        <w:tc>
          <w:tcPr>
            <w:tcW w:w="2002" w:type="dxa"/>
            <w:tcBorders>
              <w:top w:val="nil"/>
            </w:tcBorders>
            <w:vAlign w:val="center"/>
          </w:tcPr>
          <w:p w14:paraId="68E51B82" w14:textId="77777777" w:rsidR="00511A90" w:rsidRPr="001E52DA" w:rsidRDefault="00511A90" w:rsidP="00511A90">
            <w:pPr>
              <w:tabs>
                <w:tab w:val="right" w:leader="dot" w:pos="9354"/>
              </w:tabs>
              <w:snapToGrid w:val="0"/>
              <w:spacing w:afterLines="0" w:after="0"/>
              <w:ind w:right="144"/>
              <w:jc w:val="right"/>
              <w:rPr>
                <w:rFonts w:cs="Arial"/>
              </w:rPr>
            </w:pPr>
            <w:r w:rsidRPr="001E52DA">
              <w:rPr>
                <w:rFonts w:cs="Arial"/>
              </w:rPr>
              <w:t>5.7</w:t>
            </w:r>
          </w:p>
        </w:tc>
        <w:tc>
          <w:tcPr>
            <w:tcW w:w="1567" w:type="dxa"/>
            <w:tcBorders>
              <w:top w:val="nil"/>
            </w:tcBorders>
            <w:vAlign w:val="center"/>
          </w:tcPr>
          <w:p w14:paraId="385D3094" w14:textId="77777777" w:rsidR="00511A90" w:rsidRPr="001E52DA" w:rsidRDefault="00511A90" w:rsidP="00511A90">
            <w:pPr>
              <w:tabs>
                <w:tab w:val="right" w:leader="dot" w:pos="9354"/>
              </w:tabs>
              <w:snapToGrid w:val="0"/>
              <w:spacing w:afterLines="0" w:after="0"/>
              <w:ind w:right="144"/>
              <w:jc w:val="right"/>
              <w:rPr>
                <w:rFonts w:cs="Arial"/>
                <w:highlight w:val="yellow"/>
              </w:rPr>
            </w:pPr>
            <w:r w:rsidRPr="001E52DA">
              <w:rPr>
                <w:rFonts w:cs="Arial"/>
              </w:rPr>
              <w:t>5.8</w:t>
            </w:r>
          </w:p>
        </w:tc>
        <w:tc>
          <w:tcPr>
            <w:tcW w:w="1567" w:type="dxa"/>
            <w:tcBorders>
              <w:top w:val="nil"/>
            </w:tcBorders>
            <w:vAlign w:val="center"/>
          </w:tcPr>
          <w:p w14:paraId="6A1D7C3F" w14:textId="77777777" w:rsidR="00511A90" w:rsidRPr="001E52DA" w:rsidRDefault="00511A90" w:rsidP="00511A90">
            <w:pPr>
              <w:tabs>
                <w:tab w:val="right" w:leader="dot" w:pos="9354"/>
              </w:tabs>
              <w:snapToGrid w:val="0"/>
              <w:spacing w:afterLines="0" w:after="0"/>
              <w:ind w:right="144"/>
              <w:jc w:val="right"/>
              <w:rPr>
                <w:rFonts w:cs="Arial"/>
                <w:highlight w:val="yellow"/>
              </w:rPr>
            </w:pPr>
            <w:r w:rsidRPr="001E52DA">
              <w:rPr>
                <w:rFonts w:cs="Arial"/>
              </w:rPr>
              <w:t>6.0</w:t>
            </w:r>
          </w:p>
        </w:tc>
      </w:tr>
      <w:tr w:rsidR="00511A90" w:rsidRPr="001E52DA" w14:paraId="748FBEF7" w14:textId="77777777" w:rsidTr="004E596D">
        <w:trPr>
          <w:trHeight w:val="536"/>
        </w:trPr>
        <w:tc>
          <w:tcPr>
            <w:tcW w:w="539" w:type="dxa"/>
            <w:vAlign w:val="center"/>
          </w:tcPr>
          <w:p w14:paraId="60F789CB" w14:textId="77777777" w:rsidR="00511A90" w:rsidRPr="008C5EE2" w:rsidRDefault="00511A90" w:rsidP="00511A90">
            <w:pPr>
              <w:tabs>
                <w:tab w:val="right" w:leader="dot" w:pos="9354"/>
              </w:tabs>
              <w:snapToGrid w:val="0"/>
              <w:spacing w:afterLines="0"/>
              <w:rPr>
                <w:rFonts w:cs="Arial"/>
              </w:rPr>
            </w:pPr>
            <w:r w:rsidRPr="008C5EE2">
              <w:rPr>
                <w:rFonts w:cs="Arial"/>
              </w:rPr>
              <w:t>2</w:t>
            </w:r>
          </w:p>
        </w:tc>
        <w:tc>
          <w:tcPr>
            <w:tcW w:w="3728" w:type="dxa"/>
            <w:vAlign w:val="center"/>
          </w:tcPr>
          <w:p w14:paraId="136E1634" w14:textId="77777777" w:rsidR="00511A90" w:rsidRPr="0074726C" w:rsidRDefault="00511A90" w:rsidP="00511A90">
            <w:pPr>
              <w:tabs>
                <w:tab w:val="right" w:leader="dot" w:pos="9354"/>
              </w:tabs>
              <w:snapToGrid w:val="0"/>
              <w:spacing w:before="60" w:afterLines="0" w:after="60"/>
              <w:jc w:val="left"/>
              <w:rPr>
                <w:rFonts w:cs="Arial"/>
              </w:rPr>
            </w:pPr>
            <w:r w:rsidRPr="0074726C">
              <w:rPr>
                <w:rFonts w:cs="Arial"/>
              </w:rPr>
              <w:t>Хэрэглээний үнийн өсөлтийн түвшин</w:t>
            </w:r>
          </w:p>
        </w:tc>
        <w:tc>
          <w:tcPr>
            <w:tcW w:w="2002" w:type="dxa"/>
            <w:vAlign w:val="center"/>
          </w:tcPr>
          <w:p w14:paraId="01567A1F" w14:textId="77777777" w:rsidR="00511A90" w:rsidRPr="001E52DA" w:rsidRDefault="00511A90" w:rsidP="00511A90">
            <w:pPr>
              <w:tabs>
                <w:tab w:val="right" w:leader="dot" w:pos="9354"/>
              </w:tabs>
              <w:snapToGrid w:val="0"/>
              <w:spacing w:afterLines="0" w:after="0"/>
              <w:ind w:right="144"/>
              <w:jc w:val="right"/>
              <w:rPr>
                <w:rFonts w:cs="Arial"/>
              </w:rPr>
            </w:pPr>
            <w:r w:rsidRPr="001E52DA">
              <w:rPr>
                <w:rFonts w:cs="Arial"/>
              </w:rPr>
              <w:t>8.0</w:t>
            </w:r>
          </w:p>
        </w:tc>
        <w:tc>
          <w:tcPr>
            <w:tcW w:w="1567" w:type="dxa"/>
            <w:vAlign w:val="center"/>
          </w:tcPr>
          <w:p w14:paraId="6D97B7B3" w14:textId="22A0BF3D" w:rsidR="00511A90" w:rsidRPr="001E52DA" w:rsidRDefault="002823D5" w:rsidP="00511A90">
            <w:pPr>
              <w:tabs>
                <w:tab w:val="right" w:leader="dot" w:pos="9354"/>
              </w:tabs>
              <w:snapToGrid w:val="0"/>
              <w:spacing w:afterLines="0" w:after="0"/>
              <w:ind w:right="144"/>
              <w:jc w:val="right"/>
              <w:rPr>
                <w:rFonts w:cs="Arial"/>
                <w:highlight w:val="yellow"/>
              </w:rPr>
            </w:pPr>
            <w:r w:rsidRPr="001E52DA">
              <w:rPr>
                <w:rFonts w:cs="Arial"/>
              </w:rPr>
              <w:t>7</w:t>
            </w:r>
            <w:r w:rsidR="00511A90" w:rsidRPr="001E52DA">
              <w:rPr>
                <w:rFonts w:cs="Arial"/>
              </w:rPr>
              <w:t>.0</w:t>
            </w:r>
          </w:p>
        </w:tc>
        <w:tc>
          <w:tcPr>
            <w:tcW w:w="1567" w:type="dxa"/>
            <w:vAlign w:val="center"/>
          </w:tcPr>
          <w:p w14:paraId="706F2FF5" w14:textId="11C687E5" w:rsidR="00511A90" w:rsidRPr="001E52DA" w:rsidRDefault="002823D5" w:rsidP="00511A90">
            <w:pPr>
              <w:tabs>
                <w:tab w:val="right" w:leader="dot" w:pos="9354"/>
              </w:tabs>
              <w:snapToGrid w:val="0"/>
              <w:spacing w:afterLines="0" w:after="0"/>
              <w:ind w:right="144"/>
              <w:jc w:val="right"/>
              <w:rPr>
                <w:rFonts w:cs="Arial"/>
                <w:highlight w:val="yellow"/>
              </w:rPr>
            </w:pPr>
            <w:r w:rsidRPr="001E52DA">
              <w:rPr>
                <w:rFonts w:cs="Arial"/>
              </w:rPr>
              <w:t>6</w:t>
            </w:r>
            <w:r w:rsidR="00511A90" w:rsidRPr="001E52DA">
              <w:rPr>
                <w:rFonts w:cs="Arial"/>
              </w:rPr>
              <w:t>.0</w:t>
            </w:r>
          </w:p>
        </w:tc>
      </w:tr>
      <w:tr w:rsidR="00511A90" w:rsidRPr="001E52DA" w14:paraId="5C905A87" w14:textId="77777777" w:rsidTr="004E596D">
        <w:trPr>
          <w:trHeight w:val="59"/>
        </w:trPr>
        <w:tc>
          <w:tcPr>
            <w:tcW w:w="539" w:type="dxa"/>
            <w:vMerge w:val="restart"/>
            <w:vAlign w:val="center"/>
          </w:tcPr>
          <w:p w14:paraId="499DF866" w14:textId="77777777" w:rsidR="00511A90" w:rsidRPr="008C5EE2" w:rsidRDefault="00511A90" w:rsidP="00511A90">
            <w:pPr>
              <w:tabs>
                <w:tab w:val="right" w:leader="dot" w:pos="9354"/>
              </w:tabs>
              <w:snapToGrid w:val="0"/>
              <w:spacing w:afterLines="0"/>
              <w:rPr>
                <w:rFonts w:cs="Arial"/>
              </w:rPr>
            </w:pPr>
            <w:r w:rsidRPr="008C5EE2">
              <w:rPr>
                <w:rFonts w:cs="Arial"/>
              </w:rPr>
              <w:t>3</w:t>
            </w:r>
          </w:p>
        </w:tc>
        <w:tc>
          <w:tcPr>
            <w:tcW w:w="3728" w:type="dxa"/>
            <w:vAlign w:val="center"/>
          </w:tcPr>
          <w:p w14:paraId="4C4F45D5" w14:textId="77777777" w:rsidR="00511A90" w:rsidRPr="0074726C" w:rsidRDefault="00511A90" w:rsidP="00511A90">
            <w:pPr>
              <w:tabs>
                <w:tab w:val="right" w:leader="dot" w:pos="9354"/>
              </w:tabs>
              <w:snapToGrid w:val="0"/>
              <w:spacing w:before="60" w:afterLines="0" w:after="60"/>
              <w:jc w:val="left"/>
              <w:rPr>
                <w:rFonts w:cs="Arial"/>
              </w:rPr>
            </w:pPr>
            <w:r w:rsidRPr="0074726C">
              <w:rPr>
                <w:rFonts w:cs="Arial"/>
              </w:rPr>
              <w:t>Нэгдсэн төсвийн тэнцвэржүүлсэн орлогын доод хэмжээ /тэрбум төгрөг/</w:t>
            </w:r>
          </w:p>
        </w:tc>
        <w:tc>
          <w:tcPr>
            <w:tcW w:w="2002" w:type="dxa"/>
            <w:vAlign w:val="center"/>
          </w:tcPr>
          <w:p w14:paraId="1836E1FC" w14:textId="77777777" w:rsidR="00511A90" w:rsidRPr="001E52DA" w:rsidRDefault="00511A90" w:rsidP="00511A90">
            <w:pPr>
              <w:tabs>
                <w:tab w:val="right" w:leader="dot" w:pos="9354"/>
              </w:tabs>
              <w:snapToGrid w:val="0"/>
              <w:spacing w:afterLines="0" w:after="0"/>
              <w:ind w:right="144"/>
              <w:jc w:val="right"/>
              <w:rPr>
                <w:rFonts w:cs="Arial"/>
              </w:rPr>
            </w:pPr>
            <w:r w:rsidRPr="001E52DA">
              <w:rPr>
                <w:rFonts w:cs="Arial"/>
              </w:rPr>
              <w:t>31,930.0</w:t>
            </w:r>
          </w:p>
        </w:tc>
        <w:tc>
          <w:tcPr>
            <w:tcW w:w="1567" w:type="dxa"/>
            <w:vAlign w:val="center"/>
          </w:tcPr>
          <w:p w14:paraId="0C883FB7" w14:textId="77777777" w:rsidR="00511A90" w:rsidRPr="001E52DA" w:rsidRDefault="00511A90" w:rsidP="00511A90">
            <w:pPr>
              <w:tabs>
                <w:tab w:val="right" w:leader="dot" w:pos="9354"/>
              </w:tabs>
              <w:snapToGrid w:val="0"/>
              <w:spacing w:afterLines="0" w:after="0"/>
              <w:ind w:right="144"/>
              <w:jc w:val="right"/>
              <w:rPr>
                <w:rFonts w:cs="Arial"/>
                <w:highlight w:val="yellow"/>
              </w:rPr>
            </w:pPr>
            <w:r w:rsidRPr="001E52DA">
              <w:rPr>
                <w:rFonts w:cs="Arial"/>
              </w:rPr>
              <w:t>34,780.0</w:t>
            </w:r>
          </w:p>
        </w:tc>
        <w:tc>
          <w:tcPr>
            <w:tcW w:w="1567" w:type="dxa"/>
            <w:vAlign w:val="center"/>
          </w:tcPr>
          <w:p w14:paraId="620107AD" w14:textId="77777777" w:rsidR="00511A90" w:rsidRPr="001E52DA" w:rsidRDefault="00511A90" w:rsidP="00511A90">
            <w:pPr>
              <w:tabs>
                <w:tab w:val="right" w:leader="dot" w:pos="9354"/>
              </w:tabs>
              <w:snapToGrid w:val="0"/>
              <w:spacing w:afterLines="0" w:after="0"/>
              <w:ind w:right="144"/>
              <w:jc w:val="right"/>
              <w:rPr>
                <w:rFonts w:cs="Arial"/>
                <w:highlight w:val="yellow"/>
              </w:rPr>
            </w:pPr>
            <w:r w:rsidRPr="001E52DA">
              <w:rPr>
                <w:rFonts w:cs="Arial"/>
              </w:rPr>
              <w:t>37,371.8</w:t>
            </w:r>
          </w:p>
        </w:tc>
      </w:tr>
      <w:tr w:rsidR="00511A90" w:rsidRPr="001E52DA" w14:paraId="644D7487" w14:textId="77777777" w:rsidTr="004E596D">
        <w:trPr>
          <w:trHeight w:val="94"/>
        </w:trPr>
        <w:tc>
          <w:tcPr>
            <w:tcW w:w="539" w:type="dxa"/>
            <w:vMerge/>
            <w:vAlign w:val="center"/>
          </w:tcPr>
          <w:p w14:paraId="28EDCF5A" w14:textId="77777777" w:rsidR="00511A90" w:rsidRPr="008C5EE2" w:rsidRDefault="00511A90" w:rsidP="00511A90">
            <w:pPr>
              <w:tabs>
                <w:tab w:val="right" w:leader="dot" w:pos="9354"/>
              </w:tabs>
              <w:snapToGrid w:val="0"/>
              <w:spacing w:afterLines="0"/>
              <w:rPr>
                <w:rFonts w:cs="Arial"/>
              </w:rPr>
            </w:pPr>
          </w:p>
        </w:tc>
        <w:tc>
          <w:tcPr>
            <w:tcW w:w="3728" w:type="dxa"/>
            <w:vAlign w:val="center"/>
          </w:tcPr>
          <w:p w14:paraId="46386F29" w14:textId="77777777" w:rsidR="00511A90" w:rsidRPr="0074726C" w:rsidRDefault="00511A90" w:rsidP="00511A90">
            <w:pPr>
              <w:tabs>
                <w:tab w:val="right" w:leader="dot" w:pos="9354"/>
              </w:tabs>
              <w:snapToGrid w:val="0"/>
              <w:spacing w:before="60" w:afterLines="0" w:after="60"/>
              <w:jc w:val="right"/>
              <w:rPr>
                <w:rFonts w:cs="Arial"/>
              </w:rPr>
            </w:pPr>
            <w:r w:rsidRPr="0074726C">
              <w:rPr>
                <w:rFonts w:cs="Arial"/>
              </w:rPr>
              <w:t xml:space="preserve">ДНБ-д эзлэх хувь </w:t>
            </w:r>
          </w:p>
        </w:tc>
        <w:tc>
          <w:tcPr>
            <w:tcW w:w="2002" w:type="dxa"/>
            <w:vAlign w:val="center"/>
          </w:tcPr>
          <w:p w14:paraId="7E0D4BF6" w14:textId="77777777" w:rsidR="00511A90" w:rsidRPr="001E52DA" w:rsidRDefault="00511A90" w:rsidP="00511A90">
            <w:pPr>
              <w:tabs>
                <w:tab w:val="right" w:leader="dot" w:pos="9354"/>
              </w:tabs>
              <w:snapToGrid w:val="0"/>
              <w:spacing w:afterLines="0" w:after="0"/>
              <w:ind w:right="144"/>
              <w:jc w:val="right"/>
              <w:rPr>
                <w:rFonts w:cs="Arial"/>
              </w:rPr>
            </w:pPr>
            <w:r w:rsidRPr="001E52DA">
              <w:rPr>
                <w:rFonts w:cs="Arial"/>
              </w:rPr>
              <w:t>31.2</w:t>
            </w:r>
          </w:p>
        </w:tc>
        <w:tc>
          <w:tcPr>
            <w:tcW w:w="1567" w:type="dxa"/>
            <w:vAlign w:val="center"/>
          </w:tcPr>
          <w:p w14:paraId="5F2814ED" w14:textId="77777777" w:rsidR="00511A90" w:rsidRPr="001E52DA" w:rsidRDefault="00511A90" w:rsidP="00511A90">
            <w:pPr>
              <w:tabs>
                <w:tab w:val="right" w:leader="dot" w:pos="9354"/>
              </w:tabs>
              <w:snapToGrid w:val="0"/>
              <w:spacing w:afterLines="0" w:after="0"/>
              <w:ind w:right="144"/>
              <w:jc w:val="right"/>
              <w:rPr>
                <w:rFonts w:cs="Arial"/>
                <w:highlight w:val="yellow"/>
              </w:rPr>
            </w:pPr>
            <w:r w:rsidRPr="001E52DA">
              <w:rPr>
                <w:rFonts w:cs="Arial"/>
              </w:rPr>
              <w:t>30.4</w:t>
            </w:r>
          </w:p>
        </w:tc>
        <w:tc>
          <w:tcPr>
            <w:tcW w:w="1567" w:type="dxa"/>
            <w:vAlign w:val="center"/>
          </w:tcPr>
          <w:p w14:paraId="1FB7ABFB" w14:textId="77777777" w:rsidR="00511A90" w:rsidRPr="001E52DA" w:rsidRDefault="00511A90" w:rsidP="00511A90">
            <w:pPr>
              <w:tabs>
                <w:tab w:val="right" w:leader="dot" w:pos="9354"/>
              </w:tabs>
              <w:snapToGrid w:val="0"/>
              <w:spacing w:afterLines="0" w:after="0"/>
              <w:ind w:right="144"/>
              <w:jc w:val="right"/>
              <w:rPr>
                <w:rFonts w:cs="Arial"/>
                <w:highlight w:val="yellow"/>
              </w:rPr>
            </w:pPr>
            <w:r w:rsidRPr="001E52DA">
              <w:rPr>
                <w:rFonts w:cs="Arial"/>
              </w:rPr>
              <w:t>29.4</w:t>
            </w:r>
          </w:p>
        </w:tc>
      </w:tr>
      <w:tr w:rsidR="00511A90" w:rsidRPr="001E52DA" w14:paraId="512E09DD" w14:textId="77777777" w:rsidTr="004E596D">
        <w:trPr>
          <w:trHeight w:val="59"/>
        </w:trPr>
        <w:tc>
          <w:tcPr>
            <w:tcW w:w="539" w:type="dxa"/>
            <w:vMerge w:val="restart"/>
            <w:vAlign w:val="center"/>
          </w:tcPr>
          <w:p w14:paraId="0A7C4FAA" w14:textId="77777777" w:rsidR="00511A90" w:rsidRPr="008C5EE2" w:rsidRDefault="00511A90" w:rsidP="00511A90">
            <w:pPr>
              <w:tabs>
                <w:tab w:val="right" w:leader="dot" w:pos="9354"/>
              </w:tabs>
              <w:snapToGrid w:val="0"/>
              <w:spacing w:afterLines="0"/>
              <w:rPr>
                <w:rFonts w:cs="Arial"/>
              </w:rPr>
            </w:pPr>
            <w:r w:rsidRPr="008C5EE2">
              <w:rPr>
                <w:rFonts w:cs="Arial"/>
              </w:rPr>
              <w:t>4</w:t>
            </w:r>
          </w:p>
        </w:tc>
        <w:tc>
          <w:tcPr>
            <w:tcW w:w="3728" w:type="dxa"/>
            <w:vAlign w:val="center"/>
          </w:tcPr>
          <w:p w14:paraId="5E08E075" w14:textId="77777777" w:rsidR="00511A90" w:rsidRPr="0074726C" w:rsidRDefault="00511A90" w:rsidP="00511A90">
            <w:pPr>
              <w:tabs>
                <w:tab w:val="right" w:leader="dot" w:pos="9354"/>
              </w:tabs>
              <w:snapToGrid w:val="0"/>
              <w:spacing w:before="60" w:afterLines="0" w:after="60"/>
              <w:jc w:val="left"/>
              <w:rPr>
                <w:rFonts w:cs="Arial"/>
              </w:rPr>
            </w:pPr>
            <w:r w:rsidRPr="0074726C">
              <w:rPr>
                <w:rFonts w:cs="Arial"/>
              </w:rPr>
              <w:t>Нэгдсэн төсвийн нийт зарлагын дээд хэмжээ /тэрбум төгрөг/</w:t>
            </w:r>
          </w:p>
        </w:tc>
        <w:tc>
          <w:tcPr>
            <w:tcW w:w="2002" w:type="dxa"/>
            <w:vAlign w:val="center"/>
          </w:tcPr>
          <w:p w14:paraId="1597CF15" w14:textId="77777777" w:rsidR="00511A90" w:rsidRPr="001E52DA" w:rsidRDefault="00511A90" w:rsidP="00511A90">
            <w:pPr>
              <w:tabs>
                <w:tab w:val="right" w:leader="dot" w:pos="9354"/>
              </w:tabs>
              <w:snapToGrid w:val="0"/>
              <w:spacing w:afterLines="0" w:after="0"/>
              <w:ind w:right="144"/>
              <w:jc w:val="right"/>
              <w:rPr>
                <w:rFonts w:cs="Arial"/>
              </w:rPr>
            </w:pPr>
            <w:r w:rsidRPr="001E52DA">
              <w:rPr>
                <w:rFonts w:cs="Arial"/>
              </w:rPr>
              <w:t>33,978.0</w:t>
            </w:r>
          </w:p>
        </w:tc>
        <w:tc>
          <w:tcPr>
            <w:tcW w:w="1567" w:type="dxa"/>
            <w:vAlign w:val="center"/>
          </w:tcPr>
          <w:p w14:paraId="7BF025A7" w14:textId="77777777" w:rsidR="00511A90" w:rsidRPr="001E52DA" w:rsidRDefault="00511A90" w:rsidP="00511A90">
            <w:pPr>
              <w:tabs>
                <w:tab w:val="right" w:leader="dot" w:pos="9354"/>
              </w:tabs>
              <w:snapToGrid w:val="0"/>
              <w:spacing w:afterLines="0" w:after="0"/>
              <w:ind w:right="144"/>
              <w:jc w:val="right"/>
              <w:rPr>
                <w:rFonts w:cs="Arial"/>
                <w:highlight w:val="yellow"/>
              </w:rPr>
            </w:pPr>
            <w:r w:rsidRPr="001E52DA">
              <w:rPr>
                <w:rFonts w:cs="Arial"/>
              </w:rPr>
              <w:t>36,493.4</w:t>
            </w:r>
          </w:p>
        </w:tc>
        <w:tc>
          <w:tcPr>
            <w:tcW w:w="1567" w:type="dxa"/>
            <w:vAlign w:val="center"/>
          </w:tcPr>
          <w:p w14:paraId="46E16D61" w14:textId="77777777" w:rsidR="00511A90" w:rsidRPr="001E52DA" w:rsidRDefault="00511A90" w:rsidP="00511A90">
            <w:pPr>
              <w:tabs>
                <w:tab w:val="right" w:leader="dot" w:pos="9354"/>
              </w:tabs>
              <w:snapToGrid w:val="0"/>
              <w:spacing w:afterLines="0" w:after="0"/>
              <w:ind w:right="144"/>
              <w:jc w:val="right"/>
              <w:rPr>
                <w:rFonts w:cs="Arial"/>
                <w:highlight w:val="yellow"/>
              </w:rPr>
            </w:pPr>
            <w:r w:rsidRPr="001E52DA">
              <w:rPr>
                <w:rFonts w:cs="Arial"/>
              </w:rPr>
              <w:t>38,644.0</w:t>
            </w:r>
          </w:p>
        </w:tc>
      </w:tr>
      <w:tr w:rsidR="00511A90" w:rsidRPr="001E52DA" w14:paraId="56BB52D2" w14:textId="77777777" w:rsidTr="004E596D">
        <w:trPr>
          <w:trHeight w:val="160"/>
        </w:trPr>
        <w:tc>
          <w:tcPr>
            <w:tcW w:w="539" w:type="dxa"/>
            <w:vMerge/>
            <w:vAlign w:val="center"/>
          </w:tcPr>
          <w:p w14:paraId="6E3D4524" w14:textId="77777777" w:rsidR="00511A90" w:rsidRPr="008C5EE2" w:rsidRDefault="00511A90" w:rsidP="00511A90">
            <w:pPr>
              <w:tabs>
                <w:tab w:val="right" w:leader="dot" w:pos="9354"/>
              </w:tabs>
              <w:snapToGrid w:val="0"/>
              <w:spacing w:afterLines="0"/>
              <w:rPr>
                <w:rFonts w:cs="Arial"/>
              </w:rPr>
            </w:pPr>
          </w:p>
        </w:tc>
        <w:tc>
          <w:tcPr>
            <w:tcW w:w="3728" w:type="dxa"/>
            <w:vAlign w:val="center"/>
          </w:tcPr>
          <w:p w14:paraId="3F925876" w14:textId="77777777" w:rsidR="00511A90" w:rsidRPr="0074726C" w:rsidRDefault="00511A90" w:rsidP="00511A90">
            <w:pPr>
              <w:tabs>
                <w:tab w:val="right" w:leader="dot" w:pos="9354"/>
              </w:tabs>
              <w:snapToGrid w:val="0"/>
              <w:spacing w:before="60" w:afterLines="0" w:after="60"/>
              <w:jc w:val="right"/>
              <w:rPr>
                <w:rFonts w:cs="Arial"/>
              </w:rPr>
            </w:pPr>
            <w:r w:rsidRPr="0074726C">
              <w:rPr>
                <w:rFonts w:cs="Arial"/>
              </w:rPr>
              <w:t>ДНБ-д эзлэх хувь</w:t>
            </w:r>
          </w:p>
        </w:tc>
        <w:tc>
          <w:tcPr>
            <w:tcW w:w="2002" w:type="dxa"/>
            <w:vAlign w:val="center"/>
          </w:tcPr>
          <w:p w14:paraId="6C586D5F" w14:textId="77777777" w:rsidR="00511A90" w:rsidRPr="001E52DA" w:rsidRDefault="00511A90" w:rsidP="00511A90">
            <w:pPr>
              <w:tabs>
                <w:tab w:val="right" w:leader="dot" w:pos="9354"/>
              </w:tabs>
              <w:snapToGrid w:val="0"/>
              <w:spacing w:afterLines="0" w:after="0"/>
              <w:ind w:right="144"/>
              <w:jc w:val="right"/>
              <w:rPr>
                <w:rFonts w:cs="Arial"/>
              </w:rPr>
            </w:pPr>
            <w:r w:rsidRPr="001E52DA">
              <w:rPr>
                <w:rFonts w:cs="Arial"/>
              </w:rPr>
              <w:t>33.2</w:t>
            </w:r>
          </w:p>
        </w:tc>
        <w:tc>
          <w:tcPr>
            <w:tcW w:w="1567" w:type="dxa"/>
            <w:vAlign w:val="center"/>
          </w:tcPr>
          <w:p w14:paraId="1768D2CB" w14:textId="77777777" w:rsidR="00511A90" w:rsidRPr="001E52DA" w:rsidRDefault="00511A90" w:rsidP="00511A90">
            <w:pPr>
              <w:tabs>
                <w:tab w:val="right" w:leader="dot" w:pos="9354"/>
              </w:tabs>
              <w:snapToGrid w:val="0"/>
              <w:spacing w:afterLines="0" w:after="0"/>
              <w:ind w:right="144"/>
              <w:jc w:val="right"/>
              <w:rPr>
                <w:rFonts w:cs="Arial"/>
                <w:highlight w:val="yellow"/>
              </w:rPr>
            </w:pPr>
            <w:r w:rsidRPr="001E52DA">
              <w:rPr>
                <w:rFonts w:cs="Arial"/>
              </w:rPr>
              <w:t>31.9</w:t>
            </w:r>
          </w:p>
        </w:tc>
        <w:tc>
          <w:tcPr>
            <w:tcW w:w="1567" w:type="dxa"/>
            <w:vAlign w:val="center"/>
          </w:tcPr>
          <w:p w14:paraId="2B6B8433" w14:textId="77777777" w:rsidR="00511A90" w:rsidRPr="001E52DA" w:rsidRDefault="00511A90" w:rsidP="00511A90">
            <w:pPr>
              <w:tabs>
                <w:tab w:val="right" w:leader="dot" w:pos="9354"/>
              </w:tabs>
              <w:snapToGrid w:val="0"/>
              <w:spacing w:afterLines="0" w:after="0"/>
              <w:ind w:right="144"/>
              <w:jc w:val="right"/>
              <w:rPr>
                <w:rFonts w:cs="Arial"/>
                <w:highlight w:val="yellow"/>
              </w:rPr>
            </w:pPr>
            <w:r w:rsidRPr="001E52DA">
              <w:rPr>
                <w:rFonts w:cs="Arial"/>
              </w:rPr>
              <w:t>30.4</w:t>
            </w:r>
          </w:p>
        </w:tc>
      </w:tr>
      <w:tr w:rsidR="00511A90" w:rsidRPr="001E52DA" w14:paraId="5AC39266" w14:textId="77777777" w:rsidTr="004E596D">
        <w:trPr>
          <w:trHeight w:val="59"/>
        </w:trPr>
        <w:tc>
          <w:tcPr>
            <w:tcW w:w="539" w:type="dxa"/>
            <w:vMerge w:val="restart"/>
            <w:vAlign w:val="center"/>
          </w:tcPr>
          <w:p w14:paraId="6B652844" w14:textId="77777777" w:rsidR="00511A90" w:rsidRPr="008C5EE2" w:rsidRDefault="00511A90" w:rsidP="00511A90">
            <w:pPr>
              <w:tabs>
                <w:tab w:val="right" w:leader="dot" w:pos="9354"/>
              </w:tabs>
              <w:snapToGrid w:val="0"/>
              <w:spacing w:afterLines="0"/>
              <w:rPr>
                <w:rFonts w:cs="Arial"/>
              </w:rPr>
            </w:pPr>
            <w:r w:rsidRPr="008C5EE2">
              <w:rPr>
                <w:rFonts w:cs="Arial"/>
              </w:rPr>
              <w:t>5</w:t>
            </w:r>
          </w:p>
        </w:tc>
        <w:tc>
          <w:tcPr>
            <w:tcW w:w="3728" w:type="dxa"/>
            <w:vAlign w:val="center"/>
          </w:tcPr>
          <w:p w14:paraId="22C69AB6" w14:textId="77777777" w:rsidR="00511A90" w:rsidRPr="0074726C" w:rsidRDefault="00511A90" w:rsidP="00511A90">
            <w:pPr>
              <w:tabs>
                <w:tab w:val="right" w:leader="dot" w:pos="9354"/>
              </w:tabs>
              <w:snapToGrid w:val="0"/>
              <w:spacing w:before="60" w:afterLines="0" w:after="60"/>
              <w:jc w:val="left"/>
              <w:rPr>
                <w:rFonts w:cs="Arial"/>
              </w:rPr>
            </w:pPr>
            <w:r w:rsidRPr="0074726C">
              <w:rPr>
                <w:rFonts w:cs="Arial"/>
              </w:rPr>
              <w:t>Нэгдсэн төсвийн тэнцвэржүүлсэн тэнцэл /тэрбум төгрөг/</w:t>
            </w:r>
          </w:p>
        </w:tc>
        <w:tc>
          <w:tcPr>
            <w:tcW w:w="2002" w:type="dxa"/>
            <w:vAlign w:val="center"/>
          </w:tcPr>
          <w:p w14:paraId="382A0212" w14:textId="77777777" w:rsidR="00511A90" w:rsidRPr="001E52DA" w:rsidRDefault="00511A90" w:rsidP="00511A90">
            <w:pPr>
              <w:tabs>
                <w:tab w:val="right" w:leader="dot" w:pos="9354"/>
              </w:tabs>
              <w:snapToGrid w:val="0"/>
              <w:spacing w:afterLines="0" w:after="0"/>
              <w:ind w:right="144"/>
              <w:jc w:val="right"/>
              <w:rPr>
                <w:rFonts w:cs="Arial"/>
              </w:rPr>
            </w:pPr>
            <w:r w:rsidRPr="001E52DA">
              <w:rPr>
                <w:rFonts w:cs="Arial"/>
              </w:rPr>
              <w:t>-2,048.0</w:t>
            </w:r>
          </w:p>
        </w:tc>
        <w:tc>
          <w:tcPr>
            <w:tcW w:w="1567" w:type="dxa"/>
            <w:vAlign w:val="center"/>
          </w:tcPr>
          <w:p w14:paraId="3E9E5118" w14:textId="77777777" w:rsidR="00511A90" w:rsidRPr="001E52DA" w:rsidRDefault="00511A90" w:rsidP="00511A90">
            <w:pPr>
              <w:tabs>
                <w:tab w:val="right" w:leader="dot" w:pos="9354"/>
              </w:tabs>
              <w:snapToGrid w:val="0"/>
              <w:spacing w:afterLines="0" w:after="0"/>
              <w:ind w:right="144"/>
              <w:jc w:val="right"/>
              <w:rPr>
                <w:rFonts w:cs="Arial"/>
                <w:highlight w:val="yellow"/>
              </w:rPr>
            </w:pPr>
            <w:r w:rsidRPr="001E52DA">
              <w:rPr>
                <w:rFonts w:cs="Arial"/>
              </w:rPr>
              <w:t>-1,713.4</w:t>
            </w:r>
          </w:p>
        </w:tc>
        <w:tc>
          <w:tcPr>
            <w:tcW w:w="1567" w:type="dxa"/>
            <w:vAlign w:val="center"/>
          </w:tcPr>
          <w:p w14:paraId="5A99D66A" w14:textId="77777777" w:rsidR="00511A90" w:rsidRPr="001E52DA" w:rsidRDefault="00511A90" w:rsidP="00511A90">
            <w:pPr>
              <w:tabs>
                <w:tab w:val="right" w:leader="dot" w:pos="9354"/>
              </w:tabs>
              <w:snapToGrid w:val="0"/>
              <w:spacing w:afterLines="0" w:after="0"/>
              <w:ind w:right="144"/>
              <w:jc w:val="right"/>
              <w:rPr>
                <w:rFonts w:cs="Arial"/>
                <w:highlight w:val="yellow"/>
              </w:rPr>
            </w:pPr>
            <w:r w:rsidRPr="001E52DA">
              <w:rPr>
                <w:rFonts w:cs="Arial"/>
              </w:rPr>
              <w:t>-1,272.2</w:t>
            </w:r>
          </w:p>
        </w:tc>
      </w:tr>
      <w:tr w:rsidR="00511A90" w:rsidRPr="001E52DA" w14:paraId="2D943C98" w14:textId="77777777" w:rsidTr="004E596D">
        <w:trPr>
          <w:trHeight w:val="59"/>
        </w:trPr>
        <w:tc>
          <w:tcPr>
            <w:tcW w:w="539" w:type="dxa"/>
            <w:vMerge/>
            <w:vAlign w:val="center"/>
          </w:tcPr>
          <w:p w14:paraId="1BD4307E" w14:textId="77777777" w:rsidR="00511A90" w:rsidRPr="008C5EE2" w:rsidRDefault="00511A90" w:rsidP="00511A90">
            <w:pPr>
              <w:tabs>
                <w:tab w:val="right" w:leader="dot" w:pos="9354"/>
              </w:tabs>
              <w:snapToGrid w:val="0"/>
              <w:spacing w:afterLines="0"/>
              <w:rPr>
                <w:rFonts w:cs="Arial"/>
              </w:rPr>
            </w:pPr>
          </w:p>
        </w:tc>
        <w:tc>
          <w:tcPr>
            <w:tcW w:w="3728" w:type="dxa"/>
            <w:vAlign w:val="center"/>
          </w:tcPr>
          <w:p w14:paraId="365518A8" w14:textId="77777777" w:rsidR="00511A90" w:rsidRPr="0074726C" w:rsidRDefault="00511A90" w:rsidP="00511A90">
            <w:pPr>
              <w:tabs>
                <w:tab w:val="right" w:leader="dot" w:pos="9354"/>
              </w:tabs>
              <w:snapToGrid w:val="0"/>
              <w:spacing w:before="60" w:afterLines="0" w:after="60"/>
              <w:jc w:val="right"/>
              <w:rPr>
                <w:rFonts w:cs="Arial"/>
              </w:rPr>
            </w:pPr>
            <w:r w:rsidRPr="0074726C">
              <w:rPr>
                <w:rFonts w:cs="Arial"/>
              </w:rPr>
              <w:t>ДНБ-д эзлэх хувь</w:t>
            </w:r>
          </w:p>
        </w:tc>
        <w:tc>
          <w:tcPr>
            <w:tcW w:w="2002" w:type="dxa"/>
            <w:vAlign w:val="center"/>
          </w:tcPr>
          <w:p w14:paraId="799FB86C" w14:textId="77777777" w:rsidR="00511A90" w:rsidRPr="001E52DA" w:rsidRDefault="00511A90" w:rsidP="00511A90">
            <w:pPr>
              <w:tabs>
                <w:tab w:val="right" w:leader="dot" w:pos="9354"/>
              </w:tabs>
              <w:snapToGrid w:val="0"/>
              <w:spacing w:afterLines="0" w:after="0"/>
              <w:ind w:right="144"/>
              <w:jc w:val="right"/>
              <w:rPr>
                <w:rFonts w:cs="Arial"/>
              </w:rPr>
            </w:pPr>
            <w:r w:rsidRPr="001E52DA">
              <w:rPr>
                <w:rFonts w:cs="Arial"/>
              </w:rPr>
              <w:t>-2.0</w:t>
            </w:r>
          </w:p>
        </w:tc>
        <w:tc>
          <w:tcPr>
            <w:tcW w:w="1567" w:type="dxa"/>
            <w:vAlign w:val="center"/>
          </w:tcPr>
          <w:p w14:paraId="7F730DCD" w14:textId="77777777" w:rsidR="00511A90" w:rsidRPr="001E52DA" w:rsidRDefault="00511A90" w:rsidP="00511A90">
            <w:pPr>
              <w:tabs>
                <w:tab w:val="right" w:leader="dot" w:pos="9354"/>
              </w:tabs>
              <w:snapToGrid w:val="0"/>
              <w:spacing w:afterLines="0" w:after="0"/>
              <w:ind w:right="144"/>
              <w:jc w:val="right"/>
              <w:rPr>
                <w:rFonts w:cs="Arial"/>
                <w:highlight w:val="yellow"/>
              </w:rPr>
            </w:pPr>
            <w:r w:rsidRPr="001E52DA">
              <w:rPr>
                <w:rFonts w:cs="Arial"/>
              </w:rPr>
              <w:t>-1.5</w:t>
            </w:r>
          </w:p>
        </w:tc>
        <w:tc>
          <w:tcPr>
            <w:tcW w:w="1567" w:type="dxa"/>
            <w:vAlign w:val="center"/>
          </w:tcPr>
          <w:p w14:paraId="7BE57A5D" w14:textId="77777777" w:rsidR="00511A90" w:rsidRPr="001E52DA" w:rsidRDefault="00511A90" w:rsidP="00511A90">
            <w:pPr>
              <w:tabs>
                <w:tab w:val="right" w:leader="dot" w:pos="9354"/>
              </w:tabs>
              <w:snapToGrid w:val="0"/>
              <w:spacing w:afterLines="0" w:after="0"/>
              <w:ind w:right="144"/>
              <w:jc w:val="right"/>
              <w:rPr>
                <w:rFonts w:cs="Arial"/>
                <w:highlight w:val="yellow"/>
              </w:rPr>
            </w:pPr>
            <w:r w:rsidRPr="001E52DA">
              <w:rPr>
                <w:rFonts w:cs="Arial"/>
              </w:rPr>
              <w:t>-1.0</w:t>
            </w:r>
          </w:p>
        </w:tc>
      </w:tr>
      <w:tr w:rsidR="00511A90" w:rsidRPr="001E52DA" w14:paraId="23EC41BD" w14:textId="77777777" w:rsidTr="004E596D">
        <w:trPr>
          <w:trHeight w:val="59"/>
        </w:trPr>
        <w:tc>
          <w:tcPr>
            <w:tcW w:w="539" w:type="dxa"/>
            <w:vMerge w:val="restart"/>
            <w:vAlign w:val="center"/>
          </w:tcPr>
          <w:p w14:paraId="2AE561F8" w14:textId="77777777" w:rsidR="00511A90" w:rsidRPr="008C5EE2" w:rsidRDefault="00511A90" w:rsidP="00511A90">
            <w:pPr>
              <w:tabs>
                <w:tab w:val="right" w:leader="dot" w:pos="9354"/>
              </w:tabs>
              <w:snapToGrid w:val="0"/>
              <w:spacing w:afterLines="0"/>
              <w:rPr>
                <w:rFonts w:cs="Arial"/>
              </w:rPr>
            </w:pPr>
            <w:r w:rsidRPr="008C5EE2">
              <w:rPr>
                <w:rFonts w:cs="Arial"/>
              </w:rPr>
              <w:t>6</w:t>
            </w:r>
          </w:p>
        </w:tc>
        <w:tc>
          <w:tcPr>
            <w:tcW w:w="3728" w:type="dxa"/>
            <w:vAlign w:val="center"/>
          </w:tcPr>
          <w:p w14:paraId="3CEC3D43" w14:textId="77777777" w:rsidR="00511A90" w:rsidRPr="0074726C" w:rsidRDefault="00511A90" w:rsidP="00511A90">
            <w:pPr>
              <w:tabs>
                <w:tab w:val="right" w:leader="dot" w:pos="9354"/>
              </w:tabs>
              <w:snapToGrid w:val="0"/>
              <w:spacing w:before="60" w:afterLines="0" w:after="60"/>
              <w:jc w:val="left"/>
              <w:rPr>
                <w:rFonts w:cs="Arial"/>
              </w:rPr>
            </w:pPr>
            <w:r w:rsidRPr="0074726C">
              <w:rPr>
                <w:rFonts w:cs="Arial"/>
              </w:rPr>
              <w:t>Нэгдсэн төсвийн нийт зарлагын өсөлтийн хэмжээ /тэрбум төгрөг/</w:t>
            </w:r>
          </w:p>
        </w:tc>
        <w:tc>
          <w:tcPr>
            <w:tcW w:w="2002" w:type="dxa"/>
            <w:vAlign w:val="center"/>
          </w:tcPr>
          <w:p w14:paraId="4DF708D5" w14:textId="77777777" w:rsidR="00511A90" w:rsidRPr="001E52DA" w:rsidRDefault="00511A90" w:rsidP="00511A90">
            <w:pPr>
              <w:tabs>
                <w:tab w:val="right" w:leader="dot" w:pos="9354"/>
              </w:tabs>
              <w:snapToGrid w:val="0"/>
              <w:spacing w:afterLines="0" w:after="0"/>
              <w:ind w:right="144"/>
              <w:jc w:val="right"/>
              <w:rPr>
                <w:rFonts w:cs="Arial"/>
              </w:rPr>
            </w:pPr>
            <w:r w:rsidRPr="001E52DA">
              <w:rPr>
                <w:rFonts w:cs="Arial"/>
              </w:rPr>
              <w:t>2,647.0</w:t>
            </w:r>
          </w:p>
        </w:tc>
        <w:tc>
          <w:tcPr>
            <w:tcW w:w="1567" w:type="dxa"/>
            <w:vAlign w:val="center"/>
          </w:tcPr>
          <w:p w14:paraId="191AB6E3" w14:textId="77777777" w:rsidR="00511A90" w:rsidRPr="001E52DA" w:rsidRDefault="00511A90" w:rsidP="00511A90">
            <w:pPr>
              <w:tabs>
                <w:tab w:val="right" w:leader="dot" w:pos="9354"/>
              </w:tabs>
              <w:snapToGrid w:val="0"/>
              <w:spacing w:afterLines="0" w:after="0"/>
              <w:ind w:right="144"/>
              <w:jc w:val="right"/>
              <w:rPr>
                <w:rFonts w:cs="Arial"/>
              </w:rPr>
            </w:pPr>
            <w:r w:rsidRPr="001E52DA">
              <w:rPr>
                <w:rFonts w:cs="Arial"/>
              </w:rPr>
              <w:t>2,515.4</w:t>
            </w:r>
          </w:p>
        </w:tc>
        <w:tc>
          <w:tcPr>
            <w:tcW w:w="1567" w:type="dxa"/>
            <w:vAlign w:val="center"/>
          </w:tcPr>
          <w:p w14:paraId="30E6DE55" w14:textId="77777777" w:rsidR="00511A90" w:rsidRPr="001E52DA" w:rsidRDefault="00511A90" w:rsidP="00511A90">
            <w:pPr>
              <w:tabs>
                <w:tab w:val="right" w:leader="dot" w:pos="9354"/>
              </w:tabs>
              <w:snapToGrid w:val="0"/>
              <w:spacing w:afterLines="0" w:after="0"/>
              <w:ind w:right="144"/>
              <w:jc w:val="right"/>
              <w:rPr>
                <w:rFonts w:cs="Arial"/>
              </w:rPr>
            </w:pPr>
            <w:r w:rsidRPr="001E52DA">
              <w:rPr>
                <w:rFonts w:cs="Arial"/>
              </w:rPr>
              <w:t>2,150.6</w:t>
            </w:r>
          </w:p>
        </w:tc>
      </w:tr>
      <w:tr w:rsidR="00511A90" w:rsidRPr="001E52DA" w14:paraId="0140C0A4" w14:textId="77777777" w:rsidTr="004E596D">
        <w:trPr>
          <w:trHeight w:val="59"/>
        </w:trPr>
        <w:tc>
          <w:tcPr>
            <w:tcW w:w="539" w:type="dxa"/>
            <w:vMerge/>
            <w:vAlign w:val="center"/>
          </w:tcPr>
          <w:p w14:paraId="39A2C7DA" w14:textId="77777777" w:rsidR="00511A90" w:rsidRPr="008C5EE2" w:rsidRDefault="00511A90" w:rsidP="00511A90">
            <w:pPr>
              <w:tabs>
                <w:tab w:val="right" w:leader="dot" w:pos="9354"/>
              </w:tabs>
              <w:snapToGrid w:val="0"/>
              <w:spacing w:afterLines="0"/>
              <w:rPr>
                <w:rFonts w:cs="Arial"/>
              </w:rPr>
            </w:pPr>
          </w:p>
        </w:tc>
        <w:tc>
          <w:tcPr>
            <w:tcW w:w="3728" w:type="dxa"/>
            <w:vAlign w:val="center"/>
          </w:tcPr>
          <w:p w14:paraId="34D9C805" w14:textId="77777777" w:rsidR="00511A90" w:rsidRPr="0074726C" w:rsidRDefault="00511A90" w:rsidP="00511A90">
            <w:pPr>
              <w:tabs>
                <w:tab w:val="right" w:leader="dot" w:pos="9354"/>
              </w:tabs>
              <w:snapToGrid w:val="0"/>
              <w:spacing w:before="60" w:afterLines="0" w:after="60"/>
              <w:jc w:val="right"/>
              <w:rPr>
                <w:rFonts w:cs="Arial"/>
              </w:rPr>
            </w:pPr>
            <w:r w:rsidRPr="0074726C">
              <w:rPr>
                <w:rFonts w:cs="Arial"/>
              </w:rPr>
              <w:t>ДНБ-д эзлэх хувь</w:t>
            </w:r>
          </w:p>
        </w:tc>
        <w:tc>
          <w:tcPr>
            <w:tcW w:w="2002" w:type="dxa"/>
            <w:vAlign w:val="center"/>
          </w:tcPr>
          <w:p w14:paraId="21DB28C8" w14:textId="77777777" w:rsidR="00511A90" w:rsidRPr="001E52DA" w:rsidRDefault="00511A90" w:rsidP="00511A90">
            <w:pPr>
              <w:tabs>
                <w:tab w:val="right" w:leader="dot" w:pos="9354"/>
              </w:tabs>
              <w:snapToGrid w:val="0"/>
              <w:spacing w:afterLines="0" w:after="0"/>
              <w:ind w:right="144"/>
              <w:jc w:val="right"/>
              <w:rPr>
                <w:rFonts w:cs="Arial"/>
              </w:rPr>
            </w:pPr>
            <w:r w:rsidRPr="001E52DA">
              <w:rPr>
                <w:rFonts w:cs="Arial"/>
              </w:rPr>
              <w:t>2.6</w:t>
            </w:r>
          </w:p>
        </w:tc>
        <w:tc>
          <w:tcPr>
            <w:tcW w:w="1567" w:type="dxa"/>
            <w:vAlign w:val="center"/>
          </w:tcPr>
          <w:p w14:paraId="6FB846A3" w14:textId="77777777" w:rsidR="00511A90" w:rsidRPr="001E52DA" w:rsidRDefault="00511A90" w:rsidP="00511A90">
            <w:pPr>
              <w:tabs>
                <w:tab w:val="right" w:leader="dot" w:pos="9354"/>
              </w:tabs>
              <w:snapToGrid w:val="0"/>
              <w:spacing w:afterLines="0" w:after="0"/>
              <w:ind w:right="144"/>
              <w:jc w:val="right"/>
              <w:rPr>
                <w:rFonts w:cs="Arial"/>
              </w:rPr>
            </w:pPr>
            <w:r w:rsidRPr="001E52DA">
              <w:rPr>
                <w:rFonts w:cs="Arial"/>
              </w:rPr>
              <w:t>2.2</w:t>
            </w:r>
          </w:p>
        </w:tc>
        <w:tc>
          <w:tcPr>
            <w:tcW w:w="1567" w:type="dxa"/>
            <w:vAlign w:val="center"/>
          </w:tcPr>
          <w:p w14:paraId="0B7ACE15" w14:textId="77777777" w:rsidR="00511A90" w:rsidRPr="001E52DA" w:rsidRDefault="00511A90" w:rsidP="00511A90">
            <w:pPr>
              <w:tabs>
                <w:tab w:val="right" w:leader="dot" w:pos="9354"/>
              </w:tabs>
              <w:snapToGrid w:val="0"/>
              <w:spacing w:afterLines="0" w:after="0"/>
              <w:ind w:right="144"/>
              <w:jc w:val="right"/>
              <w:rPr>
                <w:rFonts w:cs="Arial"/>
              </w:rPr>
            </w:pPr>
            <w:r w:rsidRPr="001E52DA">
              <w:rPr>
                <w:rFonts w:cs="Arial"/>
              </w:rPr>
              <w:t>1.7</w:t>
            </w:r>
          </w:p>
        </w:tc>
      </w:tr>
      <w:tr w:rsidR="00C76890" w:rsidRPr="001E52DA" w14:paraId="11AADB80" w14:textId="77777777" w:rsidTr="004E596D">
        <w:trPr>
          <w:trHeight w:val="159"/>
        </w:trPr>
        <w:tc>
          <w:tcPr>
            <w:tcW w:w="539" w:type="dxa"/>
            <w:vMerge w:val="restart"/>
            <w:vAlign w:val="center"/>
          </w:tcPr>
          <w:p w14:paraId="2C2B1238" w14:textId="77777777" w:rsidR="00C76890" w:rsidRPr="008C5EE2" w:rsidRDefault="00C76890" w:rsidP="00C76890">
            <w:pPr>
              <w:tabs>
                <w:tab w:val="right" w:leader="dot" w:pos="9354"/>
              </w:tabs>
              <w:snapToGrid w:val="0"/>
              <w:spacing w:afterLines="0"/>
              <w:rPr>
                <w:rFonts w:cs="Arial"/>
              </w:rPr>
            </w:pPr>
            <w:r w:rsidRPr="008C5EE2">
              <w:rPr>
                <w:rFonts w:cs="Arial"/>
              </w:rPr>
              <w:t>7</w:t>
            </w:r>
          </w:p>
        </w:tc>
        <w:tc>
          <w:tcPr>
            <w:tcW w:w="3728" w:type="dxa"/>
            <w:vAlign w:val="center"/>
          </w:tcPr>
          <w:p w14:paraId="0B66C27E" w14:textId="77777777" w:rsidR="00C76890" w:rsidRPr="0074726C" w:rsidRDefault="00C76890" w:rsidP="00C76890">
            <w:pPr>
              <w:tabs>
                <w:tab w:val="right" w:leader="dot" w:pos="9354"/>
              </w:tabs>
              <w:snapToGrid w:val="0"/>
              <w:spacing w:before="60" w:afterLines="0" w:after="60"/>
              <w:jc w:val="left"/>
              <w:rPr>
                <w:rFonts w:cs="Arial"/>
              </w:rPr>
            </w:pPr>
            <w:r w:rsidRPr="0074726C">
              <w:rPr>
                <w:rFonts w:cs="Arial"/>
              </w:rPr>
              <w:t>Нэгдсэн төсвийн хөрөнгийн зардлын хэмжээ /тэрбум төгрөг/</w:t>
            </w:r>
          </w:p>
        </w:tc>
        <w:tc>
          <w:tcPr>
            <w:tcW w:w="2002" w:type="dxa"/>
            <w:vAlign w:val="center"/>
          </w:tcPr>
          <w:p w14:paraId="00401A15" w14:textId="6C17A2F9" w:rsidR="00C76890" w:rsidRPr="001E52DA" w:rsidRDefault="00C76890" w:rsidP="00C76890">
            <w:pPr>
              <w:tabs>
                <w:tab w:val="right" w:leader="dot" w:pos="9354"/>
              </w:tabs>
              <w:snapToGrid w:val="0"/>
              <w:spacing w:afterLines="0" w:after="0"/>
              <w:ind w:right="144"/>
              <w:jc w:val="right"/>
              <w:rPr>
                <w:rFonts w:cs="Arial"/>
              </w:rPr>
            </w:pPr>
            <w:r w:rsidRPr="001E52DA">
              <w:rPr>
                <w:rFonts w:cs="Arial"/>
              </w:rPr>
              <w:t>8,414.4</w:t>
            </w:r>
          </w:p>
        </w:tc>
        <w:tc>
          <w:tcPr>
            <w:tcW w:w="1567" w:type="dxa"/>
            <w:vAlign w:val="center"/>
          </w:tcPr>
          <w:p w14:paraId="3635393C" w14:textId="77777777" w:rsidR="00C76890" w:rsidRPr="001E52DA" w:rsidRDefault="00C76890" w:rsidP="00C76890">
            <w:pPr>
              <w:tabs>
                <w:tab w:val="right" w:leader="dot" w:pos="9354"/>
              </w:tabs>
              <w:snapToGrid w:val="0"/>
              <w:spacing w:afterLines="0" w:after="0"/>
              <w:ind w:right="144"/>
              <w:jc w:val="right"/>
              <w:rPr>
                <w:rFonts w:cs="Arial"/>
              </w:rPr>
            </w:pPr>
            <w:r w:rsidRPr="001E52DA">
              <w:rPr>
                <w:rFonts w:cs="Arial"/>
              </w:rPr>
              <w:t>8,962.6</w:t>
            </w:r>
          </w:p>
        </w:tc>
        <w:tc>
          <w:tcPr>
            <w:tcW w:w="1567" w:type="dxa"/>
            <w:vAlign w:val="center"/>
          </w:tcPr>
          <w:p w14:paraId="32E18B54" w14:textId="77777777" w:rsidR="00C76890" w:rsidRPr="001E52DA" w:rsidRDefault="00C76890" w:rsidP="00C76890">
            <w:pPr>
              <w:tabs>
                <w:tab w:val="right" w:leader="dot" w:pos="9354"/>
              </w:tabs>
              <w:snapToGrid w:val="0"/>
              <w:spacing w:afterLines="0" w:after="0"/>
              <w:ind w:right="144"/>
              <w:jc w:val="right"/>
              <w:rPr>
                <w:rFonts w:cs="Arial"/>
              </w:rPr>
            </w:pPr>
            <w:r w:rsidRPr="001E52DA">
              <w:rPr>
                <w:rFonts w:cs="Arial"/>
              </w:rPr>
              <w:t>9,032.6</w:t>
            </w:r>
          </w:p>
        </w:tc>
      </w:tr>
      <w:tr w:rsidR="00C76890" w:rsidRPr="001E52DA" w14:paraId="3DCA6F34" w14:textId="77777777" w:rsidTr="004E596D">
        <w:trPr>
          <w:trHeight w:val="159"/>
        </w:trPr>
        <w:tc>
          <w:tcPr>
            <w:tcW w:w="539" w:type="dxa"/>
            <w:vMerge/>
            <w:vAlign w:val="center"/>
          </w:tcPr>
          <w:p w14:paraId="62B38A00" w14:textId="77777777" w:rsidR="00C76890" w:rsidRPr="008C5EE2" w:rsidRDefault="00C76890" w:rsidP="00C76890">
            <w:pPr>
              <w:tabs>
                <w:tab w:val="right" w:leader="dot" w:pos="9354"/>
              </w:tabs>
              <w:snapToGrid w:val="0"/>
              <w:spacing w:afterLines="0"/>
              <w:rPr>
                <w:rFonts w:cs="Arial"/>
              </w:rPr>
            </w:pPr>
          </w:p>
        </w:tc>
        <w:tc>
          <w:tcPr>
            <w:tcW w:w="3728" w:type="dxa"/>
            <w:vAlign w:val="center"/>
          </w:tcPr>
          <w:p w14:paraId="1CC20D4D" w14:textId="77777777" w:rsidR="00C76890" w:rsidRPr="0074726C" w:rsidRDefault="00C76890" w:rsidP="00C76890">
            <w:pPr>
              <w:tabs>
                <w:tab w:val="right" w:leader="dot" w:pos="9354"/>
              </w:tabs>
              <w:snapToGrid w:val="0"/>
              <w:spacing w:before="60" w:afterLines="0" w:after="60"/>
              <w:jc w:val="right"/>
              <w:rPr>
                <w:rFonts w:cs="Arial"/>
              </w:rPr>
            </w:pPr>
            <w:r w:rsidRPr="0074726C">
              <w:rPr>
                <w:rFonts w:cs="Arial"/>
              </w:rPr>
              <w:t>ДНБ-д эзлэх хувь</w:t>
            </w:r>
          </w:p>
        </w:tc>
        <w:tc>
          <w:tcPr>
            <w:tcW w:w="2002" w:type="dxa"/>
            <w:vAlign w:val="center"/>
          </w:tcPr>
          <w:p w14:paraId="5B84FAA5" w14:textId="58A9135E" w:rsidR="00C76890" w:rsidRPr="001E52DA" w:rsidRDefault="00C76890" w:rsidP="00C76890">
            <w:pPr>
              <w:tabs>
                <w:tab w:val="right" w:leader="dot" w:pos="9354"/>
              </w:tabs>
              <w:snapToGrid w:val="0"/>
              <w:spacing w:afterLines="0" w:after="0"/>
              <w:ind w:right="144"/>
              <w:jc w:val="right"/>
              <w:rPr>
                <w:rFonts w:cs="Arial"/>
              </w:rPr>
            </w:pPr>
            <w:r w:rsidRPr="001E52DA">
              <w:rPr>
                <w:rFonts w:cs="Arial"/>
              </w:rPr>
              <w:t>8.2</w:t>
            </w:r>
          </w:p>
        </w:tc>
        <w:tc>
          <w:tcPr>
            <w:tcW w:w="1567" w:type="dxa"/>
            <w:vAlign w:val="center"/>
          </w:tcPr>
          <w:p w14:paraId="17906436" w14:textId="77777777" w:rsidR="00C76890" w:rsidRPr="001E52DA" w:rsidRDefault="00C76890" w:rsidP="00C76890">
            <w:pPr>
              <w:tabs>
                <w:tab w:val="right" w:leader="dot" w:pos="9354"/>
              </w:tabs>
              <w:snapToGrid w:val="0"/>
              <w:spacing w:afterLines="0" w:after="0"/>
              <w:ind w:right="144"/>
              <w:jc w:val="right"/>
              <w:rPr>
                <w:rFonts w:cs="Arial"/>
              </w:rPr>
            </w:pPr>
            <w:r w:rsidRPr="001E52DA">
              <w:rPr>
                <w:rFonts w:cs="Arial"/>
              </w:rPr>
              <w:t>7.8</w:t>
            </w:r>
          </w:p>
        </w:tc>
        <w:tc>
          <w:tcPr>
            <w:tcW w:w="1567" w:type="dxa"/>
            <w:vAlign w:val="center"/>
          </w:tcPr>
          <w:p w14:paraId="19611E0C" w14:textId="77777777" w:rsidR="00C76890" w:rsidRPr="001E52DA" w:rsidRDefault="00C76890" w:rsidP="00C76890">
            <w:pPr>
              <w:tabs>
                <w:tab w:val="right" w:leader="dot" w:pos="9354"/>
              </w:tabs>
              <w:snapToGrid w:val="0"/>
              <w:spacing w:afterLines="0" w:after="0"/>
              <w:ind w:right="144"/>
              <w:jc w:val="right"/>
              <w:rPr>
                <w:rFonts w:cs="Arial"/>
              </w:rPr>
            </w:pPr>
            <w:r w:rsidRPr="001E52DA">
              <w:rPr>
                <w:rFonts w:cs="Arial"/>
              </w:rPr>
              <w:t>7.1</w:t>
            </w:r>
          </w:p>
        </w:tc>
      </w:tr>
      <w:tr w:rsidR="00511A90" w:rsidRPr="001E52DA" w14:paraId="30A4AD87" w14:textId="77777777" w:rsidTr="004E596D">
        <w:trPr>
          <w:trHeight w:val="159"/>
        </w:trPr>
        <w:tc>
          <w:tcPr>
            <w:tcW w:w="539" w:type="dxa"/>
            <w:vMerge w:val="restart"/>
            <w:vAlign w:val="center"/>
          </w:tcPr>
          <w:p w14:paraId="1A18E440" w14:textId="77777777" w:rsidR="00511A90" w:rsidRPr="008C5EE2" w:rsidRDefault="00511A90" w:rsidP="00511A90">
            <w:pPr>
              <w:tabs>
                <w:tab w:val="right" w:leader="dot" w:pos="9354"/>
              </w:tabs>
              <w:snapToGrid w:val="0"/>
              <w:spacing w:afterLines="0"/>
              <w:rPr>
                <w:rFonts w:cs="Arial"/>
              </w:rPr>
            </w:pPr>
            <w:r w:rsidRPr="008C5EE2">
              <w:rPr>
                <w:rFonts w:cs="Arial"/>
              </w:rPr>
              <w:t>8</w:t>
            </w:r>
          </w:p>
        </w:tc>
        <w:tc>
          <w:tcPr>
            <w:tcW w:w="3728" w:type="dxa"/>
            <w:vAlign w:val="center"/>
          </w:tcPr>
          <w:p w14:paraId="47F9343B" w14:textId="77777777" w:rsidR="00511A90" w:rsidRPr="0074726C" w:rsidRDefault="00511A90" w:rsidP="00511A90">
            <w:pPr>
              <w:tabs>
                <w:tab w:val="right" w:leader="dot" w:pos="9354"/>
              </w:tabs>
              <w:snapToGrid w:val="0"/>
              <w:spacing w:before="60" w:afterLines="0" w:after="60"/>
              <w:jc w:val="left"/>
              <w:rPr>
                <w:rFonts w:cs="Arial"/>
              </w:rPr>
            </w:pPr>
            <w:r w:rsidRPr="0074726C">
              <w:rPr>
                <w:rFonts w:cs="Arial"/>
              </w:rPr>
              <w:t>Засгийн газрын өрийн нийт хэмжээ /тэрбум төгрөг/</w:t>
            </w:r>
          </w:p>
        </w:tc>
        <w:tc>
          <w:tcPr>
            <w:tcW w:w="2002" w:type="dxa"/>
            <w:vAlign w:val="center"/>
          </w:tcPr>
          <w:p w14:paraId="3E559220" w14:textId="77777777" w:rsidR="00511A90" w:rsidRPr="001E52DA" w:rsidRDefault="00511A90" w:rsidP="00511A90">
            <w:pPr>
              <w:tabs>
                <w:tab w:val="right" w:leader="dot" w:pos="9354"/>
              </w:tabs>
              <w:snapToGrid w:val="0"/>
              <w:spacing w:afterLines="0" w:after="0"/>
              <w:ind w:right="144"/>
              <w:jc w:val="right"/>
              <w:rPr>
                <w:rFonts w:cs="Arial"/>
              </w:rPr>
            </w:pPr>
            <w:r w:rsidRPr="001E52DA">
              <w:rPr>
                <w:rFonts w:cs="Arial"/>
              </w:rPr>
              <w:t>51,200.0</w:t>
            </w:r>
          </w:p>
        </w:tc>
        <w:tc>
          <w:tcPr>
            <w:tcW w:w="1567" w:type="dxa"/>
            <w:vAlign w:val="center"/>
          </w:tcPr>
          <w:p w14:paraId="73D3B588" w14:textId="77777777" w:rsidR="00511A90" w:rsidRPr="001E52DA" w:rsidRDefault="00511A90" w:rsidP="00511A90">
            <w:pPr>
              <w:tabs>
                <w:tab w:val="right" w:leader="dot" w:pos="9354"/>
              </w:tabs>
              <w:snapToGrid w:val="0"/>
              <w:spacing w:afterLines="0" w:after="0"/>
              <w:ind w:right="144"/>
              <w:jc w:val="right"/>
              <w:rPr>
                <w:rFonts w:cs="Arial"/>
                <w:highlight w:val="yellow"/>
              </w:rPr>
            </w:pPr>
            <w:r w:rsidRPr="001E52DA">
              <w:rPr>
                <w:rFonts w:cs="Arial"/>
              </w:rPr>
              <w:t>57,114.9</w:t>
            </w:r>
          </w:p>
        </w:tc>
        <w:tc>
          <w:tcPr>
            <w:tcW w:w="1567" w:type="dxa"/>
            <w:vAlign w:val="center"/>
          </w:tcPr>
          <w:p w14:paraId="1BE80F6E" w14:textId="77777777" w:rsidR="00511A90" w:rsidRPr="001E52DA" w:rsidRDefault="00511A90" w:rsidP="00511A90">
            <w:pPr>
              <w:tabs>
                <w:tab w:val="right" w:leader="dot" w:pos="9354"/>
              </w:tabs>
              <w:snapToGrid w:val="0"/>
              <w:spacing w:afterLines="0" w:after="0"/>
              <w:ind w:right="254"/>
              <w:jc w:val="right"/>
              <w:rPr>
                <w:rFonts w:cs="Arial"/>
                <w:highlight w:val="yellow"/>
              </w:rPr>
            </w:pPr>
            <w:r w:rsidRPr="001E52DA">
              <w:rPr>
                <w:rFonts w:cs="Arial"/>
              </w:rPr>
              <w:t xml:space="preserve">   63,610.1</w:t>
            </w:r>
          </w:p>
        </w:tc>
      </w:tr>
      <w:tr w:rsidR="00511A90" w:rsidRPr="001E52DA" w14:paraId="7C13DBFC" w14:textId="77777777" w:rsidTr="004E596D">
        <w:trPr>
          <w:trHeight w:val="159"/>
        </w:trPr>
        <w:tc>
          <w:tcPr>
            <w:tcW w:w="539" w:type="dxa"/>
            <w:vMerge/>
            <w:vAlign w:val="center"/>
          </w:tcPr>
          <w:p w14:paraId="38A1E138" w14:textId="77777777" w:rsidR="00511A90" w:rsidRPr="008C5EE2" w:rsidRDefault="00511A90" w:rsidP="00511A90">
            <w:pPr>
              <w:tabs>
                <w:tab w:val="right" w:leader="dot" w:pos="9354"/>
              </w:tabs>
              <w:snapToGrid w:val="0"/>
              <w:spacing w:afterLines="0"/>
              <w:rPr>
                <w:rFonts w:cs="Arial"/>
              </w:rPr>
            </w:pPr>
          </w:p>
        </w:tc>
        <w:tc>
          <w:tcPr>
            <w:tcW w:w="3728" w:type="dxa"/>
            <w:vAlign w:val="center"/>
          </w:tcPr>
          <w:p w14:paraId="3549FEA1" w14:textId="77777777" w:rsidR="00511A90" w:rsidRPr="0074726C" w:rsidRDefault="00511A90" w:rsidP="00511A90">
            <w:pPr>
              <w:tabs>
                <w:tab w:val="right" w:leader="dot" w:pos="9354"/>
              </w:tabs>
              <w:snapToGrid w:val="0"/>
              <w:spacing w:before="60" w:afterLines="0" w:after="60"/>
              <w:jc w:val="right"/>
              <w:rPr>
                <w:rFonts w:cs="Arial"/>
              </w:rPr>
            </w:pPr>
            <w:r w:rsidRPr="0074726C">
              <w:rPr>
                <w:rFonts w:cs="Arial"/>
              </w:rPr>
              <w:t>ДНБ-д эзлэх хувь</w:t>
            </w:r>
          </w:p>
        </w:tc>
        <w:tc>
          <w:tcPr>
            <w:tcW w:w="2002" w:type="dxa"/>
            <w:vAlign w:val="center"/>
          </w:tcPr>
          <w:p w14:paraId="72BA45CB" w14:textId="77777777" w:rsidR="00511A90" w:rsidRPr="001E52DA" w:rsidRDefault="00511A90" w:rsidP="00511A90">
            <w:pPr>
              <w:tabs>
                <w:tab w:val="right" w:leader="dot" w:pos="9354"/>
              </w:tabs>
              <w:snapToGrid w:val="0"/>
              <w:spacing w:afterLines="0" w:after="0"/>
              <w:ind w:right="144"/>
              <w:jc w:val="right"/>
              <w:rPr>
                <w:rFonts w:cs="Arial"/>
              </w:rPr>
            </w:pPr>
            <w:r w:rsidRPr="001E52DA">
              <w:rPr>
                <w:rFonts w:cs="Arial"/>
              </w:rPr>
              <w:t>50.0</w:t>
            </w:r>
          </w:p>
        </w:tc>
        <w:tc>
          <w:tcPr>
            <w:tcW w:w="1567" w:type="dxa"/>
            <w:vAlign w:val="center"/>
          </w:tcPr>
          <w:p w14:paraId="6F147EBE" w14:textId="77777777" w:rsidR="00511A90" w:rsidRPr="001E52DA" w:rsidRDefault="00511A90" w:rsidP="00511A90">
            <w:pPr>
              <w:tabs>
                <w:tab w:val="right" w:leader="dot" w:pos="9354"/>
              </w:tabs>
              <w:snapToGrid w:val="0"/>
              <w:spacing w:afterLines="0" w:after="0"/>
              <w:ind w:right="144"/>
              <w:jc w:val="right"/>
              <w:rPr>
                <w:rFonts w:cs="Arial"/>
                <w:highlight w:val="yellow"/>
              </w:rPr>
            </w:pPr>
            <w:r w:rsidRPr="001E52DA">
              <w:rPr>
                <w:rFonts w:cs="Arial"/>
              </w:rPr>
              <w:t>50.0</w:t>
            </w:r>
          </w:p>
        </w:tc>
        <w:tc>
          <w:tcPr>
            <w:tcW w:w="1567" w:type="dxa"/>
            <w:vAlign w:val="center"/>
          </w:tcPr>
          <w:p w14:paraId="004F44ED" w14:textId="77777777" w:rsidR="00511A90" w:rsidRPr="001E52DA" w:rsidRDefault="00511A90" w:rsidP="00511A90">
            <w:pPr>
              <w:tabs>
                <w:tab w:val="right" w:leader="dot" w:pos="9354"/>
              </w:tabs>
              <w:snapToGrid w:val="0"/>
              <w:spacing w:afterLines="0" w:after="0"/>
              <w:ind w:right="144"/>
              <w:jc w:val="right"/>
              <w:rPr>
                <w:rFonts w:cs="Arial"/>
                <w:highlight w:val="yellow"/>
              </w:rPr>
            </w:pPr>
            <w:r w:rsidRPr="001E52DA">
              <w:rPr>
                <w:rFonts w:cs="Arial"/>
              </w:rPr>
              <w:t>50.0</w:t>
            </w:r>
          </w:p>
        </w:tc>
      </w:tr>
      <w:tr w:rsidR="00511A90" w:rsidRPr="001E52DA" w14:paraId="7850E051" w14:textId="77777777" w:rsidTr="004E596D">
        <w:trPr>
          <w:trHeight w:val="159"/>
        </w:trPr>
        <w:tc>
          <w:tcPr>
            <w:tcW w:w="539" w:type="dxa"/>
            <w:vMerge w:val="restart"/>
            <w:vAlign w:val="center"/>
          </w:tcPr>
          <w:p w14:paraId="20EB52FA" w14:textId="77777777" w:rsidR="00511A90" w:rsidRPr="008C5EE2" w:rsidRDefault="00511A90" w:rsidP="00511A90">
            <w:pPr>
              <w:tabs>
                <w:tab w:val="right" w:leader="dot" w:pos="9354"/>
              </w:tabs>
              <w:snapToGrid w:val="0"/>
              <w:spacing w:afterLines="0"/>
              <w:rPr>
                <w:rFonts w:cs="Arial"/>
              </w:rPr>
            </w:pPr>
            <w:r w:rsidRPr="008C5EE2">
              <w:rPr>
                <w:rFonts w:cs="Arial"/>
              </w:rPr>
              <w:t>9</w:t>
            </w:r>
          </w:p>
        </w:tc>
        <w:tc>
          <w:tcPr>
            <w:tcW w:w="3728" w:type="dxa"/>
            <w:vAlign w:val="center"/>
          </w:tcPr>
          <w:p w14:paraId="7EDB0F6B" w14:textId="77777777" w:rsidR="00511A90" w:rsidRPr="0074726C" w:rsidRDefault="00511A90" w:rsidP="00511A90">
            <w:pPr>
              <w:tabs>
                <w:tab w:val="right" w:leader="dot" w:pos="9354"/>
              </w:tabs>
              <w:snapToGrid w:val="0"/>
              <w:spacing w:before="60" w:afterLines="0" w:after="60"/>
              <w:jc w:val="left"/>
              <w:rPr>
                <w:rFonts w:cs="Arial"/>
              </w:rPr>
            </w:pPr>
            <w:r w:rsidRPr="0074726C">
              <w:rPr>
                <w:rFonts w:cs="Arial"/>
              </w:rPr>
              <w:t>Нийгмийн халамжийн тухай хуульд заасны дагуу төсвөөс хуваарилах зардлын дээд хэмжээ /тэрбум төгрөг/</w:t>
            </w:r>
          </w:p>
        </w:tc>
        <w:tc>
          <w:tcPr>
            <w:tcW w:w="2002" w:type="dxa"/>
            <w:vAlign w:val="center"/>
          </w:tcPr>
          <w:p w14:paraId="34EB6A77" w14:textId="77777777" w:rsidR="00511A90" w:rsidRPr="001E52DA" w:rsidRDefault="00511A90" w:rsidP="00511A90">
            <w:pPr>
              <w:tabs>
                <w:tab w:val="right" w:leader="dot" w:pos="9354"/>
              </w:tabs>
              <w:snapToGrid w:val="0"/>
              <w:spacing w:afterLines="0" w:after="0"/>
              <w:ind w:right="144"/>
              <w:jc w:val="right"/>
              <w:rPr>
                <w:rFonts w:cs="Arial"/>
              </w:rPr>
            </w:pPr>
            <w:r w:rsidRPr="001E52DA">
              <w:rPr>
                <w:rFonts w:cs="Arial"/>
              </w:rPr>
              <w:t>2,664.3</w:t>
            </w:r>
          </w:p>
        </w:tc>
        <w:tc>
          <w:tcPr>
            <w:tcW w:w="1567" w:type="dxa"/>
            <w:vAlign w:val="center"/>
          </w:tcPr>
          <w:p w14:paraId="466034F7" w14:textId="77777777" w:rsidR="00511A90" w:rsidRPr="001E52DA" w:rsidRDefault="00511A90" w:rsidP="00511A90">
            <w:pPr>
              <w:tabs>
                <w:tab w:val="right" w:leader="dot" w:pos="9354"/>
              </w:tabs>
              <w:snapToGrid w:val="0"/>
              <w:spacing w:afterLines="0" w:after="0"/>
              <w:ind w:right="144"/>
              <w:jc w:val="right"/>
              <w:rPr>
                <w:rFonts w:cs="Arial"/>
                <w:highlight w:val="yellow"/>
              </w:rPr>
            </w:pPr>
            <w:r w:rsidRPr="001E52DA">
              <w:rPr>
                <w:rFonts w:cs="Arial"/>
              </w:rPr>
              <w:t>2,823.0</w:t>
            </w:r>
          </w:p>
        </w:tc>
        <w:tc>
          <w:tcPr>
            <w:tcW w:w="1567" w:type="dxa"/>
            <w:vAlign w:val="center"/>
          </w:tcPr>
          <w:p w14:paraId="73DCCA7C" w14:textId="77777777" w:rsidR="00511A90" w:rsidRPr="001E52DA" w:rsidRDefault="00511A90" w:rsidP="00511A90">
            <w:pPr>
              <w:tabs>
                <w:tab w:val="right" w:leader="dot" w:pos="9354"/>
              </w:tabs>
              <w:snapToGrid w:val="0"/>
              <w:spacing w:afterLines="0" w:after="0"/>
              <w:ind w:right="144"/>
              <w:jc w:val="right"/>
              <w:rPr>
                <w:rFonts w:cs="Arial"/>
                <w:highlight w:val="yellow"/>
              </w:rPr>
            </w:pPr>
            <w:r w:rsidRPr="001E52DA">
              <w:rPr>
                <w:rFonts w:cs="Arial"/>
              </w:rPr>
              <w:t>2,998.2</w:t>
            </w:r>
          </w:p>
        </w:tc>
      </w:tr>
      <w:tr w:rsidR="00511A90" w:rsidRPr="001E52DA" w14:paraId="591898A8" w14:textId="77777777" w:rsidTr="004E596D">
        <w:trPr>
          <w:trHeight w:val="159"/>
        </w:trPr>
        <w:tc>
          <w:tcPr>
            <w:tcW w:w="539" w:type="dxa"/>
            <w:vMerge/>
            <w:vAlign w:val="center"/>
          </w:tcPr>
          <w:p w14:paraId="51BA8B92" w14:textId="77777777" w:rsidR="00511A90" w:rsidRPr="008C5EE2" w:rsidRDefault="00511A90" w:rsidP="00511A90">
            <w:pPr>
              <w:tabs>
                <w:tab w:val="right" w:leader="dot" w:pos="9354"/>
              </w:tabs>
              <w:snapToGrid w:val="0"/>
              <w:spacing w:afterLines="0"/>
              <w:rPr>
                <w:rFonts w:cs="Arial"/>
              </w:rPr>
            </w:pPr>
          </w:p>
        </w:tc>
        <w:tc>
          <w:tcPr>
            <w:tcW w:w="3728" w:type="dxa"/>
            <w:vAlign w:val="center"/>
          </w:tcPr>
          <w:p w14:paraId="7C893B86" w14:textId="77777777" w:rsidR="00511A90" w:rsidRPr="0074726C" w:rsidRDefault="00511A90" w:rsidP="00511A90">
            <w:pPr>
              <w:tabs>
                <w:tab w:val="right" w:leader="dot" w:pos="9354"/>
              </w:tabs>
              <w:snapToGrid w:val="0"/>
              <w:spacing w:before="60" w:afterLines="0" w:after="60"/>
              <w:jc w:val="right"/>
              <w:rPr>
                <w:rFonts w:cs="Arial"/>
              </w:rPr>
            </w:pPr>
            <w:r w:rsidRPr="0074726C">
              <w:rPr>
                <w:rFonts w:cs="Arial"/>
              </w:rPr>
              <w:t>ДНБ-д эзлэх хувь</w:t>
            </w:r>
          </w:p>
        </w:tc>
        <w:tc>
          <w:tcPr>
            <w:tcW w:w="2002" w:type="dxa"/>
            <w:vAlign w:val="center"/>
          </w:tcPr>
          <w:p w14:paraId="37BD7B91" w14:textId="77777777" w:rsidR="00511A90" w:rsidRPr="001E52DA" w:rsidRDefault="00511A90" w:rsidP="00511A90">
            <w:pPr>
              <w:tabs>
                <w:tab w:val="right" w:leader="dot" w:pos="9354"/>
              </w:tabs>
              <w:snapToGrid w:val="0"/>
              <w:spacing w:afterLines="0" w:after="0"/>
              <w:ind w:right="144"/>
              <w:jc w:val="right"/>
              <w:rPr>
                <w:rFonts w:cs="Arial"/>
              </w:rPr>
            </w:pPr>
            <w:r w:rsidRPr="001E52DA">
              <w:rPr>
                <w:rFonts w:cs="Arial"/>
              </w:rPr>
              <w:t>2.6</w:t>
            </w:r>
          </w:p>
        </w:tc>
        <w:tc>
          <w:tcPr>
            <w:tcW w:w="1567" w:type="dxa"/>
            <w:vAlign w:val="center"/>
          </w:tcPr>
          <w:p w14:paraId="7B3A3520" w14:textId="77777777" w:rsidR="00511A90" w:rsidRPr="001E52DA" w:rsidRDefault="00511A90" w:rsidP="00511A90">
            <w:pPr>
              <w:tabs>
                <w:tab w:val="right" w:leader="dot" w:pos="9354"/>
              </w:tabs>
              <w:snapToGrid w:val="0"/>
              <w:spacing w:afterLines="0" w:after="0"/>
              <w:ind w:right="144"/>
              <w:jc w:val="right"/>
              <w:rPr>
                <w:rFonts w:cs="Arial"/>
                <w:highlight w:val="yellow"/>
              </w:rPr>
            </w:pPr>
            <w:r w:rsidRPr="001E52DA">
              <w:rPr>
                <w:rFonts w:cs="Arial"/>
              </w:rPr>
              <w:t>2.5</w:t>
            </w:r>
          </w:p>
        </w:tc>
        <w:tc>
          <w:tcPr>
            <w:tcW w:w="1567" w:type="dxa"/>
            <w:vAlign w:val="center"/>
          </w:tcPr>
          <w:p w14:paraId="03150976" w14:textId="77777777" w:rsidR="00511A90" w:rsidRPr="001E52DA" w:rsidRDefault="00511A90" w:rsidP="00511A90">
            <w:pPr>
              <w:tabs>
                <w:tab w:val="right" w:leader="dot" w:pos="9354"/>
              </w:tabs>
              <w:snapToGrid w:val="0"/>
              <w:spacing w:afterLines="0" w:after="0"/>
              <w:ind w:right="144"/>
              <w:jc w:val="right"/>
              <w:rPr>
                <w:rFonts w:cs="Arial"/>
                <w:highlight w:val="yellow"/>
              </w:rPr>
            </w:pPr>
            <w:r w:rsidRPr="001E52DA">
              <w:rPr>
                <w:rFonts w:cs="Arial"/>
              </w:rPr>
              <w:t>2.4</w:t>
            </w:r>
          </w:p>
        </w:tc>
      </w:tr>
    </w:tbl>
    <w:bookmarkEnd w:id="159"/>
    <w:bookmarkEnd w:id="160"/>
    <w:bookmarkEnd w:id="161"/>
    <w:bookmarkEnd w:id="162"/>
    <w:bookmarkEnd w:id="163"/>
    <w:bookmarkEnd w:id="164"/>
    <w:bookmarkEnd w:id="165"/>
    <w:bookmarkEnd w:id="166"/>
    <w:bookmarkEnd w:id="167"/>
    <w:bookmarkEnd w:id="168"/>
    <w:bookmarkEnd w:id="169"/>
    <w:p w14:paraId="36D70FF1" w14:textId="4AE03AC6" w:rsidR="00C1452A" w:rsidRPr="00061514" w:rsidRDefault="00061514" w:rsidP="004E596D">
      <w:pPr>
        <w:pStyle w:val="Caption"/>
        <w:keepNext/>
        <w:spacing w:after="120"/>
        <w:jc w:val="right"/>
        <w:rPr>
          <w:rFonts w:ascii="Arial" w:hAnsi="Arial" w:cs="Arial"/>
          <w:color w:val="000000" w:themeColor="text1"/>
        </w:rPr>
      </w:pPr>
      <w:r w:rsidRPr="008C5EE2">
        <w:rPr>
          <w:rFonts w:ascii="Arial" w:hAnsi="Arial" w:cs="Arial"/>
          <w:color w:val="000000" w:themeColor="text1"/>
        </w:rPr>
        <w:t xml:space="preserve">Хүснэгт </w:t>
      </w:r>
      <w:r w:rsidRPr="008C5EE2">
        <w:rPr>
          <w:rFonts w:ascii="Arial" w:hAnsi="Arial" w:cs="Arial"/>
          <w:color w:val="000000" w:themeColor="text1"/>
        </w:rPr>
        <w:fldChar w:fldCharType="begin"/>
      </w:r>
      <w:r w:rsidRPr="008C5EE2">
        <w:rPr>
          <w:rFonts w:ascii="Arial" w:hAnsi="Arial" w:cs="Arial"/>
          <w:color w:val="000000" w:themeColor="text1"/>
        </w:rPr>
        <w:instrText xml:space="preserve"> STYLEREF 1 \s </w:instrText>
      </w:r>
      <w:r w:rsidRPr="008C5EE2">
        <w:rPr>
          <w:rFonts w:ascii="Arial" w:hAnsi="Arial" w:cs="Arial"/>
          <w:color w:val="000000" w:themeColor="text1"/>
        </w:rPr>
        <w:fldChar w:fldCharType="separate"/>
      </w:r>
      <w:r>
        <w:rPr>
          <w:rFonts w:ascii="Arial" w:hAnsi="Arial" w:cs="Arial"/>
          <w:noProof/>
          <w:color w:val="000000" w:themeColor="text1"/>
        </w:rPr>
        <w:t>3</w:t>
      </w:r>
      <w:r w:rsidRPr="008C5EE2">
        <w:rPr>
          <w:rFonts w:ascii="Arial" w:hAnsi="Arial" w:cs="Arial"/>
          <w:color w:val="000000" w:themeColor="text1"/>
        </w:rPr>
        <w:fldChar w:fldCharType="end"/>
      </w:r>
      <w:r w:rsidRPr="008C5EE2">
        <w:rPr>
          <w:rFonts w:ascii="Arial" w:hAnsi="Arial" w:cs="Arial"/>
          <w:color w:val="000000" w:themeColor="text1"/>
        </w:rPr>
        <w:t>.</w:t>
      </w:r>
      <w:r w:rsidRPr="008C5EE2">
        <w:rPr>
          <w:rFonts w:ascii="Arial" w:hAnsi="Arial" w:cs="Arial"/>
          <w:color w:val="000000" w:themeColor="text1"/>
        </w:rPr>
        <w:fldChar w:fldCharType="begin"/>
      </w:r>
      <w:r w:rsidRPr="008C5EE2">
        <w:rPr>
          <w:rFonts w:ascii="Arial" w:hAnsi="Arial" w:cs="Arial"/>
          <w:color w:val="000000" w:themeColor="text1"/>
        </w:rPr>
        <w:instrText xml:space="preserve"> SEQ Хүснэгт \* ARABIC \s 1 </w:instrText>
      </w:r>
      <w:r w:rsidRPr="008C5EE2">
        <w:rPr>
          <w:rFonts w:ascii="Arial" w:hAnsi="Arial" w:cs="Arial"/>
          <w:color w:val="000000" w:themeColor="text1"/>
        </w:rPr>
        <w:fldChar w:fldCharType="separate"/>
      </w:r>
      <w:r>
        <w:rPr>
          <w:rFonts w:ascii="Arial" w:hAnsi="Arial" w:cs="Arial"/>
          <w:noProof/>
          <w:color w:val="000000" w:themeColor="text1"/>
        </w:rPr>
        <w:t>3</w:t>
      </w:r>
      <w:r w:rsidRPr="008C5EE2">
        <w:rPr>
          <w:rFonts w:ascii="Arial" w:hAnsi="Arial" w:cs="Arial"/>
          <w:color w:val="000000" w:themeColor="text1"/>
        </w:rPr>
        <w:fldChar w:fldCharType="end"/>
      </w:r>
      <w:r w:rsidRPr="008C5EE2">
        <w:rPr>
          <w:rFonts w:ascii="Arial" w:hAnsi="Arial" w:cs="Arial"/>
          <w:color w:val="000000" w:themeColor="text1"/>
        </w:rPr>
        <w:t xml:space="preserve"> Монгол Улсын нэгдсэн төсвийн 202</w:t>
      </w:r>
      <w:r>
        <w:rPr>
          <w:rFonts w:ascii="Arial" w:hAnsi="Arial" w:cs="Arial"/>
          <w:color w:val="000000" w:themeColor="text1"/>
        </w:rPr>
        <w:t>6</w:t>
      </w:r>
      <w:r w:rsidRPr="008C5EE2">
        <w:rPr>
          <w:rFonts w:ascii="Arial" w:hAnsi="Arial" w:cs="Arial"/>
          <w:color w:val="000000" w:themeColor="text1"/>
        </w:rPr>
        <w:t xml:space="preserve"> оны төсвийн хүрээний мэдэгдэл, 2027-20</w:t>
      </w:r>
      <w:r>
        <w:rPr>
          <w:rFonts w:ascii="Arial" w:hAnsi="Arial" w:cs="Arial"/>
          <w:color w:val="000000" w:themeColor="text1"/>
        </w:rPr>
        <w:t>28</w:t>
      </w:r>
      <w:r w:rsidRPr="008C5EE2">
        <w:rPr>
          <w:rFonts w:ascii="Arial" w:hAnsi="Arial" w:cs="Arial"/>
          <w:color w:val="000000" w:themeColor="text1"/>
        </w:rPr>
        <w:t xml:space="preserve"> оны төсвийн төсөөллийн үзүүлэлт</w:t>
      </w:r>
    </w:p>
    <w:sectPr w:rsidR="00C1452A" w:rsidRPr="00061514" w:rsidSect="00374FAF">
      <w:footerReference w:type="default" r:id="rId39"/>
      <w:pgSz w:w="11906" w:h="16838"/>
      <w:pgMar w:top="1134" w:right="851" w:bottom="1134" w:left="1701" w:header="561"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1203E18" w14:textId="77777777" w:rsidR="00145A0D" w:rsidRDefault="00145A0D" w:rsidP="004259B8">
      <w:pPr>
        <w:spacing w:after="288" w:line="240" w:lineRule="auto"/>
      </w:pPr>
      <w:r>
        <w:separator/>
      </w:r>
    </w:p>
  </w:endnote>
  <w:endnote w:type="continuationSeparator" w:id="0">
    <w:p w14:paraId="483A3CC7" w14:textId="77777777" w:rsidR="00145A0D" w:rsidRDefault="00145A0D" w:rsidP="004259B8">
      <w:pPr>
        <w:spacing w:after="288"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Segoe UI Light">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h Freeset">
    <w:altName w:val="Arial"/>
    <w:panose1 w:val="020B0604020202020204"/>
    <w:charset w:val="00"/>
    <w:family w:val="swiss"/>
    <w:pitch w:val="variable"/>
    <w:sig w:usb0="8000020F" w:usb1="00000008" w:usb2="00000000" w:usb3="00000000" w:csb0="00000005"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AA78E1" w14:textId="77777777" w:rsidR="004259B8" w:rsidRDefault="004259B8">
    <w:pPr>
      <w:pStyle w:val="Footer"/>
      <w:spacing w:after="28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AD514C" w14:textId="77777777" w:rsidR="004259B8" w:rsidRPr="006C4433" w:rsidRDefault="004259B8">
    <w:pPr>
      <w:pStyle w:val="Footer"/>
      <w:spacing w:after="288"/>
      <w:jc w:val="center"/>
      <w:rPr>
        <w:sz w:val="20"/>
        <w:szCs w:val="18"/>
      </w:rPr>
    </w:pPr>
  </w:p>
  <w:p w14:paraId="1B14ADE6" w14:textId="77777777" w:rsidR="004259B8" w:rsidRDefault="004259B8">
    <w:pPr>
      <w:pStyle w:val="Footer"/>
      <w:spacing w:after="28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8E6E90" w14:textId="77777777" w:rsidR="004259B8" w:rsidRDefault="004259B8">
    <w:pPr>
      <w:pStyle w:val="Footer"/>
      <w:spacing w:after="28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20"/>
        <w:szCs w:val="18"/>
      </w:rPr>
      <w:id w:val="559834999"/>
      <w:docPartObj>
        <w:docPartGallery w:val="Page Numbers (Bottom of Page)"/>
        <w:docPartUnique/>
      </w:docPartObj>
    </w:sdtPr>
    <w:sdtEndPr>
      <w:rPr>
        <w:szCs w:val="20"/>
      </w:rPr>
    </w:sdtEndPr>
    <w:sdtContent>
      <w:p w14:paraId="6AD18473" w14:textId="77777777" w:rsidR="004259B8" w:rsidRPr="006C4433" w:rsidRDefault="004259B8">
        <w:pPr>
          <w:pStyle w:val="Footer"/>
          <w:spacing w:after="288"/>
          <w:jc w:val="center"/>
          <w:rPr>
            <w:sz w:val="20"/>
            <w:szCs w:val="18"/>
          </w:rPr>
        </w:pPr>
        <w:r w:rsidRPr="006C4433">
          <w:rPr>
            <w:sz w:val="20"/>
            <w:szCs w:val="18"/>
          </w:rPr>
          <w:fldChar w:fldCharType="begin"/>
        </w:r>
        <w:r w:rsidRPr="006C4433">
          <w:rPr>
            <w:sz w:val="20"/>
            <w:szCs w:val="18"/>
          </w:rPr>
          <w:instrText xml:space="preserve"> PAGE   \* MERGEFORMAT </w:instrText>
        </w:r>
        <w:r w:rsidRPr="006C4433">
          <w:rPr>
            <w:sz w:val="20"/>
            <w:szCs w:val="18"/>
          </w:rPr>
          <w:fldChar w:fldCharType="separate"/>
        </w:r>
        <w:r w:rsidRPr="006C4433">
          <w:rPr>
            <w:sz w:val="20"/>
            <w:szCs w:val="18"/>
          </w:rPr>
          <w:t>2</w:t>
        </w:r>
        <w:r w:rsidRPr="006C4433">
          <w:rPr>
            <w:sz w:val="20"/>
            <w:szCs w:val="18"/>
          </w:rPr>
          <w:fldChar w:fldCharType="end"/>
        </w:r>
      </w:p>
    </w:sdtContent>
  </w:sdt>
  <w:p w14:paraId="02D32232" w14:textId="77777777" w:rsidR="004259B8" w:rsidRDefault="004259B8">
    <w:pPr>
      <w:pStyle w:val="Footer"/>
      <w:spacing w:after="28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23AECD1" w14:textId="77777777" w:rsidR="00145A0D" w:rsidRDefault="00145A0D" w:rsidP="004259B8">
      <w:pPr>
        <w:spacing w:after="288" w:line="240" w:lineRule="auto"/>
      </w:pPr>
      <w:r>
        <w:separator/>
      </w:r>
    </w:p>
  </w:footnote>
  <w:footnote w:type="continuationSeparator" w:id="0">
    <w:p w14:paraId="530D7734" w14:textId="77777777" w:rsidR="00145A0D" w:rsidRDefault="00145A0D" w:rsidP="004259B8">
      <w:pPr>
        <w:spacing w:after="288" w:line="240" w:lineRule="auto"/>
      </w:pPr>
      <w:r>
        <w:continuationSeparator/>
      </w:r>
    </w:p>
  </w:footnote>
  <w:footnote w:id="1">
    <w:p w14:paraId="663CA5A9" w14:textId="77777777" w:rsidR="00C131A4" w:rsidRPr="00344334" w:rsidRDefault="00C131A4" w:rsidP="00C131A4">
      <w:pPr>
        <w:pStyle w:val="FootnoteText"/>
        <w:spacing w:after="288"/>
        <w:rPr>
          <w:rFonts w:asciiTheme="minorBidi" w:hAnsiTheme="minorBidi"/>
          <w:i/>
          <w:sz w:val="18"/>
          <w:szCs w:val="18"/>
        </w:rPr>
      </w:pPr>
      <w:r w:rsidRPr="00344334">
        <w:rPr>
          <w:rStyle w:val="FootnoteReference"/>
          <w:rFonts w:asciiTheme="minorBidi" w:hAnsiTheme="minorBidi"/>
          <w:i/>
          <w:sz w:val="16"/>
          <w:szCs w:val="16"/>
        </w:rPr>
        <w:footnoteRef/>
      </w:r>
      <w:r w:rsidRPr="00344334">
        <w:rPr>
          <w:rFonts w:asciiTheme="minorBidi" w:hAnsiTheme="minorBidi"/>
          <w:i/>
          <w:sz w:val="16"/>
          <w:szCs w:val="16"/>
        </w:rPr>
        <w:t xml:space="preserve"> </w:t>
      </w:r>
      <w:r w:rsidRPr="00344334">
        <w:rPr>
          <w:rFonts w:ascii="Arial" w:hAnsi="Arial" w:cs="Arial"/>
          <w:i/>
          <w:sz w:val="18"/>
          <w:szCs w:val="18"/>
        </w:rPr>
        <w:t>Төмөрлөг бус эрдэс бодисоор хийсэн бүтээгдэхүүн үйлдвэрлэлд цемент, шохой, бетон, цемент болон гипсээр хийсэн бусад материал, чулуу засах, чулуун тавилга, галд тэсвэртэй бүтээгдэхүүн, барилгын шавран материал зэрэг үйлдвэрлэл орно.</w:t>
      </w:r>
    </w:p>
  </w:footnote>
  <w:footnote w:id="2">
    <w:p w14:paraId="1CC0EE79" w14:textId="77777777" w:rsidR="004259B8" w:rsidRPr="00C131A4" w:rsidRDefault="004259B8" w:rsidP="004259B8">
      <w:pPr>
        <w:pStyle w:val="FootnoteText"/>
        <w:rPr>
          <w:rFonts w:asciiTheme="minorBidi" w:hAnsiTheme="minorBidi"/>
          <w:i/>
        </w:rPr>
      </w:pPr>
      <w:r w:rsidRPr="00C131A4">
        <w:rPr>
          <w:rStyle w:val="FootnoteReference"/>
          <w:rFonts w:asciiTheme="minorBidi" w:hAnsiTheme="minorBidi"/>
          <w:i/>
          <w:sz w:val="18"/>
          <w:szCs w:val="18"/>
        </w:rPr>
        <w:footnoteRef/>
      </w:r>
      <w:r w:rsidRPr="00C131A4">
        <w:rPr>
          <w:rFonts w:asciiTheme="minorBidi" w:hAnsiTheme="minorBidi"/>
          <w:i/>
          <w:sz w:val="18"/>
          <w:szCs w:val="18"/>
        </w:rPr>
        <w:t xml:space="preserve"> </w:t>
      </w:r>
      <w:r w:rsidRPr="007429FF">
        <w:rPr>
          <w:rFonts w:ascii="Arial" w:hAnsi="Arial" w:cs="Arial"/>
          <w:i/>
          <w:sz w:val="18"/>
          <w:szCs w:val="18"/>
        </w:rPr>
        <w:t>Төсвийн тогтвортой байдлын тухай хуулийн “12.3.9.төсвийн төлөвлөлтийн төсвийн тусгай шаардлагад нийцсэн байдал, дунд хугацааны төсвийн хүрээний мэдэгдлээр тавигдсан зорилт, арга хэмжээг хэрэгжүүлэхэд чиглэсэн байдал”</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89491C" w14:textId="77777777" w:rsidR="004259B8" w:rsidRDefault="004259B8">
    <w:pPr>
      <w:pStyle w:val="Header"/>
      <w:spacing w:after="28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9BE76A" w14:textId="77777777" w:rsidR="004259B8" w:rsidRDefault="004259B8">
    <w:pPr>
      <w:pStyle w:val="Header"/>
      <w:spacing w:after="28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594F24" w14:textId="77777777" w:rsidR="004259B8" w:rsidRDefault="004259B8">
    <w:pPr>
      <w:pStyle w:val="Header"/>
      <w:spacing w:after="28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63058C"/>
    <w:multiLevelType w:val="multilevel"/>
    <w:tmpl w:val="DCD0CA7A"/>
    <w:lvl w:ilvl="0">
      <w:start w:val="1"/>
      <w:numFmt w:val="decimal"/>
      <w:lvlText w:val="%1."/>
      <w:lvlJc w:val="left"/>
      <w:pPr>
        <w:ind w:left="360" w:hanging="360"/>
      </w:pPr>
      <w:rPr>
        <w:rFonts w:hint="default"/>
      </w:rPr>
    </w:lvl>
    <w:lvl w:ilvl="1">
      <w:start w:val="1"/>
      <w:numFmt w:val="decimal"/>
      <w:lvlText w:val="%1.%2."/>
      <w:lvlJc w:val="left"/>
      <w:pPr>
        <w:ind w:left="81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0A7F64"/>
    <w:multiLevelType w:val="multilevel"/>
    <w:tmpl w:val="C6543B5E"/>
    <w:lvl w:ilvl="0">
      <w:start w:val="1"/>
      <w:numFmt w:val="decimal"/>
      <w:lvlText w:val="%1."/>
      <w:lvlJc w:val="left"/>
      <w:pPr>
        <w:ind w:left="720" w:hanging="720"/>
      </w:pPr>
      <w:rPr>
        <w:rFonts w:ascii="Arial" w:hAnsi="Arial" w:hint="default"/>
        <w:b/>
        <w:i w:val="0"/>
        <w:sz w:val="28"/>
        <w:szCs w:val="22"/>
      </w:rPr>
    </w:lvl>
    <w:lvl w:ilvl="1">
      <w:start w:val="1"/>
      <w:numFmt w:val="decimal"/>
      <w:isLgl/>
      <w:lvlText w:val="%1.%2."/>
      <w:lvlJc w:val="left"/>
      <w:pPr>
        <w:ind w:left="720" w:hanging="720"/>
      </w:pPr>
      <w:rPr>
        <w:rFonts w:ascii="Arial" w:hAnsi="Arial" w:cs="Arial" w:hint="default"/>
        <w:b/>
        <w:i w:val="0"/>
        <w:color w:val="auto"/>
        <w:sz w:val="24"/>
        <w:szCs w:val="24"/>
      </w:rPr>
    </w:lvl>
    <w:lvl w:ilvl="2">
      <w:start w:val="1"/>
      <w:numFmt w:val="decimal"/>
      <w:isLgl/>
      <w:lvlText w:val="%1.%2.%3."/>
      <w:lvlJc w:val="left"/>
      <w:pPr>
        <w:ind w:left="720" w:hanging="720"/>
      </w:pPr>
      <w:rPr>
        <w:rFonts w:ascii="Arial" w:hAnsi="Arial" w:cs="Arial" w:hint="default"/>
        <w:b/>
        <w:bCs/>
        <w:color w:val="auto"/>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90D6A08"/>
    <w:multiLevelType w:val="multilevel"/>
    <w:tmpl w:val="F89C3834"/>
    <w:lvl w:ilvl="0">
      <w:start w:val="1"/>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007D91"/>
    <w:multiLevelType w:val="hybridMultilevel"/>
    <w:tmpl w:val="C82CD87C"/>
    <w:lvl w:ilvl="0" w:tplc="C6762604">
      <w:start w:val="1"/>
      <w:numFmt w:val="decimal"/>
      <w:pStyle w:val="Heading2"/>
      <w:lvlText w:val="1.%1."/>
      <w:lvlJc w:val="left"/>
      <w:pPr>
        <w:ind w:left="360" w:hanging="360"/>
      </w:p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EE3763"/>
    <w:multiLevelType w:val="multilevel"/>
    <w:tmpl w:val="B30C6B0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DAF2824"/>
    <w:multiLevelType w:val="hybridMultilevel"/>
    <w:tmpl w:val="A6441446"/>
    <w:lvl w:ilvl="0" w:tplc="FF24BD0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825409"/>
    <w:multiLevelType w:val="multilevel"/>
    <w:tmpl w:val="3EB8A24A"/>
    <w:lvl w:ilvl="0">
      <w:start w:val="1"/>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2FC7451"/>
    <w:multiLevelType w:val="hybridMultilevel"/>
    <w:tmpl w:val="1D7C74A6"/>
    <w:lvl w:ilvl="0" w:tplc="8A5C54C8">
      <w:start w:val="1"/>
      <w:numFmt w:val="decimal"/>
      <w:lvlText w:val="1.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DA8719E"/>
    <w:multiLevelType w:val="multilevel"/>
    <w:tmpl w:val="0BC83A94"/>
    <w:lvl w:ilvl="0">
      <w:start w:val="1"/>
      <w:numFmt w:val="decimal"/>
      <w:pStyle w:val="Heading1"/>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06C0B30"/>
    <w:multiLevelType w:val="multilevel"/>
    <w:tmpl w:val="B8286244"/>
    <w:lvl w:ilvl="0">
      <w:start w:val="1"/>
      <w:numFmt w:val="decimal"/>
      <w:lvlText w:val="%1."/>
      <w:lvlJc w:val="left"/>
      <w:pPr>
        <w:ind w:left="360" w:hanging="360"/>
      </w:pPr>
      <w:rPr>
        <w:rFonts w:hint="default"/>
        <w:b/>
        <w:bCs w:val="0"/>
        <w:sz w:val="32"/>
        <w:szCs w:val="32"/>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b/>
        <w:bCs w:val="0"/>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09D5702"/>
    <w:multiLevelType w:val="multilevel"/>
    <w:tmpl w:val="08E4886C"/>
    <w:styleLink w:val="Style6"/>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792" w:hanging="792"/>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2C92BF6"/>
    <w:multiLevelType w:val="multilevel"/>
    <w:tmpl w:val="0409001D"/>
    <w:styleLink w:val="Style5"/>
    <w:lvl w:ilvl="0">
      <w:start w:val="1"/>
      <w:numFmt w:val="decimal"/>
      <w:lvlText w:val="%1)"/>
      <w:lvlJc w:val="left"/>
      <w:pPr>
        <w:ind w:left="360" w:hanging="360"/>
      </w:pPr>
    </w:lvl>
    <w:lvl w:ilvl="1">
      <w:start w:val="1"/>
      <w:numFmt w:val="lowerLetter"/>
      <w:lvlText w:val="%2)"/>
      <w:lvlJc w:val="left"/>
      <w:pPr>
        <w:ind w:left="36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5677496"/>
    <w:multiLevelType w:val="hybridMultilevel"/>
    <w:tmpl w:val="B440A2E4"/>
    <w:lvl w:ilvl="0" w:tplc="9A9CBE20">
      <w:start w:val="1"/>
      <w:numFmt w:val="bullet"/>
      <w:lvlText w:val="·"/>
      <w:lvlJc w:val="left"/>
      <w:pPr>
        <w:ind w:left="720" w:hanging="360"/>
      </w:pPr>
      <w:rPr>
        <w:rFonts w:ascii="Symbol" w:hAnsi="Symbol" w:hint="default"/>
      </w:rPr>
    </w:lvl>
    <w:lvl w:ilvl="1" w:tplc="72F82A58">
      <w:start w:val="1"/>
      <w:numFmt w:val="bullet"/>
      <w:lvlText w:val="o"/>
      <w:lvlJc w:val="left"/>
      <w:pPr>
        <w:ind w:left="1440" w:hanging="360"/>
      </w:pPr>
      <w:rPr>
        <w:rFonts w:ascii="Courier New" w:hAnsi="Courier New" w:hint="default"/>
      </w:rPr>
    </w:lvl>
    <w:lvl w:ilvl="2" w:tplc="DEB4305C">
      <w:start w:val="1"/>
      <w:numFmt w:val="bullet"/>
      <w:lvlText w:val=""/>
      <w:lvlJc w:val="left"/>
      <w:pPr>
        <w:ind w:left="2160" w:hanging="360"/>
      </w:pPr>
      <w:rPr>
        <w:rFonts w:ascii="Wingdings" w:hAnsi="Wingdings" w:hint="default"/>
      </w:rPr>
    </w:lvl>
    <w:lvl w:ilvl="3" w:tplc="90C68D30">
      <w:start w:val="1"/>
      <w:numFmt w:val="bullet"/>
      <w:lvlText w:val=""/>
      <w:lvlJc w:val="left"/>
      <w:pPr>
        <w:ind w:left="2880" w:hanging="360"/>
      </w:pPr>
      <w:rPr>
        <w:rFonts w:ascii="Symbol" w:hAnsi="Symbol" w:hint="default"/>
      </w:rPr>
    </w:lvl>
    <w:lvl w:ilvl="4" w:tplc="FE98C664">
      <w:start w:val="1"/>
      <w:numFmt w:val="bullet"/>
      <w:lvlText w:val="o"/>
      <w:lvlJc w:val="left"/>
      <w:pPr>
        <w:ind w:left="3600" w:hanging="360"/>
      </w:pPr>
      <w:rPr>
        <w:rFonts w:ascii="Courier New" w:hAnsi="Courier New" w:hint="default"/>
      </w:rPr>
    </w:lvl>
    <w:lvl w:ilvl="5" w:tplc="9F843C38">
      <w:start w:val="1"/>
      <w:numFmt w:val="bullet"/>
      <w:lvlText w:val=""/>
      <w:lvlJc w:val="left"/>
      <w:pPr>
        <w:ind w:left="4320" w:hanging="360"/>
      </w:pPr>
      <w:rPr>
        <w:rFonts w:ascii="Wingdings" w:hAnsi="Wingdings" w:hint="default"/>
      </w:rPr>
    </w:lvl>
    <w:lvl w:ilvl="6" w:tplc="B9045632">
      <w:start w:val="1"/>
      <w:numFmt w:val="bullet"/>
      <w:lvlText w:val=""/>
      <w:lvlJc w:val="left"/>
      <w:pPr>
        <w:ind w:left="5040" w:hanging="360"/>
      </w:pPr>
      <w:rPr>
        <w:rFonts w:ascii="Symbol" w:hAnsi="Symbol" w:hint="default"/>
      </w:rPr>
    </w:lvl>
    <w:lvl w:ilvl="7" w:tplc="173A68F0">
      <w:start w:val="1"/>
      <w:numFmt w:val="bullet"/>
      <w:lvlText w:val="o"/>
      <w:lvlJc w:val="left"/>
      <w:pPr>
        <w:ind w:left="5760" w:hanging="360"/>
      </w:pPr>
      <w:rPr>
        <w:rFonts w:ascii="Courier New" w:hAnsi="Courier New" w:hint="default"/>
      </w:rPr>
    </w:lvl>
    <w:lvl w:ilvl="8" w:tplc="20048D50">
      <w:start w:val="1"/>
      <w:numFmt w:val="bullet"/>
      <w:lvlText w:val=""/>
      <w:lvlJc w:val="left"/>
      <w:pPr>
        <w:ind w:left="6480" w:hanging="360"/>
      </w:pPr>
      <w:rPr>
        <w:rFonts w:ascii="Wingdings" w:hAnsi="Wingdings" w:hint="default"/>
      </w:rPr>
    </w:lvl>
  </w:abstractNum>
  <w:abstractNum w:abstractNumId="13" w15:restartNumberingAfterBreak="0">
    <w:nsid w:val="278426DC"/>
    <w:multiLevelType w:val="multilevel"/>
    <w:tmpl w:val="AF1C372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8F92459"/>
    <w:multiLevelType w:val="multilevel"/>
    <w:tmpl w:val="C9A6919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5F6054"/>
    <w:multiLevelType w:val="multilevel"/>
    <w:tmpl w:val="F35CB30A"/>
    <w:styleLink w:val="Style7"/>
    <w:lvl w:ilvl="0">
      <w:start w:val="1"/>
      <w:numFmt w:val="decimal"/>
      <w:lvlText w:val="%1."/>
      <w:lvlJc w:val="left"/>
      <w:pPr>
        <w:ind w:left="720" w:hanging="720"/>
      </w:pPr>
      <w:rPr>
        <w:rFonts w:ascii="Arial" w:hAnsi="Arial" w:hint="default"/>
        <w:b/>
        <w:i w:val="0"/>
        <w:sz w:val="28"/>
        <w:szCs w:val="22"/>
      </w:rPr>
    </w:lvl>
    <w:lvl w:ilvl="1">
      <w:start w:val="1"/>
      <w:numFmt w:val="decimal"/>
      <w:lvlRestart w:val="0"/>
      <w:isLgl/>
      <w:lvlText w:val="%1.%2."/>
      <w:lvlJc w:val="left"/>
      <w:pPr>
        <w:ind w:left="720" w:hanging="720"/>
      </w:pPr>
      <w:rPr>
        <w:rFonts w:ascii="Arial" w:hAnsi="Arial" w:cs="Arial" w:hint="default"/>
        <w:b/>
        <w:i w:val="0"/>
        <w:color w:val="auto"/>
        <w:sz w:val="24"/>
        <w:szCs w:val="24"/>
      </w:rPr>
    </w:lvl>
    <w:lvl w:ilvl="2">
      <w:start w:val="1"/>
      <w:numFmt w:val="decimal"/>
      <w:lvlRestart w:val="0"/>
      <w:isLgl/>
      <w:lvlText w:val="%1.%2.%3."/>
      <w:lvlJc w:val="left"/>
      <w:pPr>
        <w:ind w:left="720" w:hanging="720"/>
      </w:pPr>
      <w:rPr>
        <w:rFonts w:ascii="Arial" w:hAnsi="Arial" w:cs="Arial" w:hint="default"/>
        <w:b/>
        <w:bCs/>
        <w:i w:val="0"/>
        <w:iCs/>
        <w:color w:val="auto"/>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321F0383"/>
    <w:multiLevelType w:val="hybridMultilevel"/>
    <w:tmpl w:val="64B60B26"/>
    <w:lvl w:ilvl="0" w:tplc="2B78F808">
      <w:start w:val="1"/>
      <w:numFmt w:val="decimal"/>
      <w:pStyle w:val="Heading3"/>
      <w:lvlText w:val="1.1.%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49F0064"/>
    <w:multiLevelType w:val="hybridMultilevel"/>
    <w:tmpl w:val="C9A69192"/>
    <w:styleLink w:val="Style2"/>
    <w:lvl w:ilvl="0" w:tplc="B526F688">
      <w:numFmt w:val="bullet"/>
      <w:lvlText w:val="•"/>
      <w:lvlJc w:val="left"/>
      <w:pPr>
        <w:ind w:left="504" w:hanging="360"/>
      </w:pPr>
      <w:rPr>
        <w:rFonts w:hint="default"/>
        <w:lang w:val="en-US" w:eastAsia="en-US" w:bidi="ar-SA"/>
      </w:rPr>
    </w:lvl>
    <w:lvl w:ilvl="1" w:tplc="04090003">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8" w15:restartNumberingAfterBreak="0">
    <w:nsid w:val="38B70937"/>
    <w:multiLevelType w:val="hybridMultilevel"/>
    <w:tmpl w:val="F2A68124"/>
    <w:lvl w:ilvl="0" w:tplc="0409000F">
      <w:start w:val="1"/>
      <w:numFmt w:val="decimal"/>
      <w:lvlText w:val="%1."/>
      <w:lvlJc w:val="left"/>
      <w:pPr>
        <w:ind w:left="502" w:hanging="360"/>
      </w:pPr>
      <w:rPr>
        <w:rFonts w:hint="default"/>
        <w:b/>
        <w:i w:val="0"/>
        <w:color w:val="000000" w:themeColor="text1"/>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3A1272D8"/>
    <w:multiLevelType w:val="multilevel"/>
    <w:tmpl w:val="95E4E1BC"/>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792" w:hanging="792"/>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A940DA4"/>
    <w:multiLevelType w:val="hybridMultilevel"/>
    <w:tmpl w:val="218C6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941FE9"/>
    <w:multiLevelType w:val="multilevel"/>
    <w:tmpl w:val="7B68C598"/>
    <w:lvl w:ilvl="0">
      <w:start w:val="1"/>
      <w:numFmt w:val="decimal"/>
      <w:lvlText w:val="%1."/>
      <w:lvlJc w:val="left"/>
      <w:pPr>
        <w:ind w:left="720" w:hanging="360"/>
      </w:pPr>
      <w:rPr>
        <w:rFonts w:hint="default"/>
        <w:b/>
        <w:bCs w:val="0"/>
        <w:sz w:val="24"/>
        <w:szCs w:val="20"/>
      </w:rPr>
    </w:lvl>
    <w:lvl w:ilvl="1">
      <w:start w:val="1"/>
      <w:numFmt w:val="decimal"/>
      <w:isLgl/>
      <w:lvlText w:val="%1.%2."/>
      <w:lvlJc w:val="left"/>
      <w:pPr>
        <w:ind w:left="720" w:hanging="72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3F916E55"/>
    <w:multiLevelType w:val="multilevel"/>
    <w:tmpl w:val="3F5E5C4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2561C38"/>
    <w:multiLevelType w:val="multilevel"/>
    <w:tmpl w:val="7338A42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F4D701B"/>
    <w:multiLevelType w:val="multilevel"/>
    <w:tmpl w:val="08E4886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2AE11C9"/>
    <w:multiLevelType w:val="multilevel"/>
    <w:tmpl w:val="DFF09E4C"/>
    <w:lvl w:ilvl="0">
      <w:start w:val="1"/>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5D47C16"/>
    <w:multiLevelType w:val="hybridMultilevel"/>
    <w:tmpl w:val="45AAE69A"/>
    <w:lvl w:ilvl="0" w:tplc="3BBC1B32">
      <w:start w:val="1"/>
      <w:numFmt w:val="decimal"/>
      <w:lvlText w:val="1.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75E052F"/>
    <w:multiLevelType w:val="hybridMultilevel"/>
    <w:tmpl w:val="50B80360"/>
    <w:styleLink w:val="Style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6A370C"/>
    <w:multiLevelType w:val="multilevel"/>
    <w:tmpl w:val="08E4886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A8F5E4D"/>
    <w:multiLevelType w:val="multilevel"/>
    <w:tmpl w:val="08E4886C"/>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792" w:hanging="792"/>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C2C4C33"/>
    <w:multiLevelType w:val="multilevel"/>
    <w:tmpl w:val="FDF09190"/>
    <w:lvl w:ilvl="0">
      <w:start w:val="1"/>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CA90B07"/>
    <w:multiLevelType w:val="multilevel"/>
    <w:tmpl w:val="63D2EA6C"/>
    <w:lvl w:ilvl="0">
      <w:start w:val="1"/>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CD22621"/>
    <w:multiLevelType w:val="multilevel"/>
    <w:tmpl w:val="E2D48616"/>
    <w:lvl w:ilvl="0">
      <w:start w:val="1"/>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74E76FB"/>
    <w:multiLevelType w:val="multilevel"/>
    <w:tmpl w:val="B9AEB80C"/>
    <w:lvl w:ilvl="0">
      <w:start w:val="1"/>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85012FD"/>
    <w:multiLevelType w:val="multilevel"/>
    <w:tmpl w:val="0E7E6AF8"/>
    <w:styleLink w:val="Style1"/>
    <w:lvl w:ilvl="0">
      <w:start w:val="1"/>
      <w:numFmt w:val="decimal"/>
      <w:lvlText w:val="%1."/>
      <w:lvlJc w:val="left"/>
      <w:pPr>
        <w:ind w:left="360" w:hanging="360"/>
      </w:pPr>
      <w:rPr>
        <w:rFonts w:hint="default"/>
      </w:rPr>
    </w:lvl>
    <w:lvl w:ilvl="1">
      <w:start w:val="1"/>
      <w:numFmt w:val="decimal"/>
      <w:lvlText w:val="%1.%2."/>
      <w:lvlJc w:val="left"/>
      <w:pPr>
        <w:ind w:left="81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E550F40"/>
    <w:multiLevelType w:val="multilevel"/>
    <w:tmpl w:val="796827C6"/>
    <w:lvl w:ilvl="0">
      <w:start w:val="1"/>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D9937CF"/>
    <w:multiLevelType w:val="multilevel"/>
    <w:tmpl w:val="B8286244"/>
    <w:styleLink w:val="Style4"/>
    <w:lvl w:ilvl="0">
      <w:start w:val="1"/>
      <w:numFmt w:val="decimal"/>
      <w:lvlText w:val="%1."/>
      <w:lvlJc w:val="left"/>
      <w:pPr>
        <w:ind w:left="360" w:hanging="360"/>
      </w:pPr>
      <w:rPr>
        <w:rFonts w:hint="default"/>
        <w:b/>
        <w:bCs w:val="0"/>
        <w:sz w:val="32"/>
        <w:szCs w:val="32"/>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b/>
        <w:bCs w:val="0"/>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E8C1368"/>
    <w:multiLevelType w:val="multilevel"/>
    <w:tmpl w:val="7AF8E82C"/>
    <w:lvl w:ilvl="0">
      <w:start w:val="1"/>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432670677">
    <w:abstractNumId w:val="4"/>
  </w:num>
  <w:num w:numId="2" w16cid:durableId="1919901212">
    <w:abstractNumId w:val="9"/>
  </w:num>
  <w:num w:numId="3" w16cid:durableId="1795294507">
    <w:abstractNumId w:val="36"/>
  </w:num>
  <w:num w:numId="4" w16cid:durableId="1739552624">
    <w:abstractNumId w:val="34"/>
    <w:lvlOverride w:ilvl="0">
      <w:lvl w:ilvl="0">
        <w:start w:val="1"/>
        <w:numFmt w:val="decimal"/>
        <w:lvlText w:val="%1."/>
        <w:lvlJc w:val="left"/>
        <w:pPr>
          <w:ind w:left="720" w:hanging="720"/>
        </w:pPr>
        <w:rPr>
          <w:rFonts w:ascii="Arial" w:hAnsi="Arial" w:hint="default"/>
          <w:b/>
          <w:i w:val="0"/>
          <w:sz w:val="28"/>
          <w:szCs w:val="22"/>
        </w:rPr>
      </w:lvl>
    </w:lvlOverride>
    <w:lvlOverride w:ilvl="1">
      <w:lvl w:ilvl="1">
        <w:start w:val="1"/>
        <w:numFmt w:val="decimal"/>
        <w:isLgl/>
        <w:lvlText w:val="%1.%2."/>
        <w:lvlJc w:val="left"/>
        <w:pPr>
          <w:ind w:left="720" w:hanging="720"/>
        </w:pPr>
        <w:rPr>
          <w:rFonts w:ascii="Arial" w:hAnsi="Arial" w:cs="Arial" w:hint="default"/>
          <w:b/>
          <w:i w:val="0"/>
          <w:color w:val="auto"/>
          <w:sz w:val="24"/>
          <w:szCs w:val="24"/>
        </w:rPr>
      </w:lvl>
    </w:lvlOverride>
    <w:lvlOverride w:ilvl="2">
      <w:lvl w:ilvl="2">
        <w:start w:val="1"/>
        <w:numFmt w:val="decimal"/>
        <w:isLgl/>
        <w:lvlText w:val="%1.%2.%3."/>
        <w:lvlJc w:val="left"/>
        <w:pPr>
          <w:ind w:left="720" w:hanging="720"/>
        </w:pPr>
        <w:rPr>
          <w:rFonts w:ascii="Arial" w:hAnsi="Arial" w:cs="Arial" w:hint="default"/>
          <w:b/>
          <w:bCs/>
          <w:color w:val="auto"/>
          <w:sz w:val="24"/>
          <w:szCs w:val="24"/>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800" w:hanging="144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2160" w:hanging="180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520" w:hanging="2160"/>
        </w:pPr>
        <w:rPr>
          <w:rFonts w:hint="default"/>
        </w:rPr>
      </w:lvl>
    </w:lvlOverride>
  </w:num>
  <w:num w:numId="5" w16cid:durableId="1348485231">
    <w:abstractNumId w:val="24"/>
  </w:num>
  <w:num w:numId="6" w16cid:durableId="259223583">
    <w:abstractNumId w:val="27"/>
  </w:num>
  <w:num w:numId="7" w16cid:durableId="603000600">
    <w:abstractNumId w:val="12"/>
  </w:num>
  <w:num w:numId="8" w16cid:durableId="1741053905">
    <w:abstractNumId w:val="11"/>
  </w:num>
  <w:num w:numId="9" w16cid:durableId="1618685069">
    <w:abstractNumId w:val="29"/>
  </w:num>
  <w:num w:numId="10" w16cid:durableId="2058190643">
    <w:abstractNumId w:val="0"/>
  </w:num>
  <w:num w:numId="11" w16cid:durableId="539560581">
    <w:abstractNumId w:val="10"/>
  </w:num>
  <w:num w:numId="12" w16cid:durableId="821430306">
    <w:abstractNumId w:val="19"/>
  </w:num>
  <w:num w:numId="13" w16cid:durableId="5035172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44826584">
    <w:abstractNumId w:val="15"/>
  </w:num>
  <w:num w:numId="15" w16cid:durableId="1986931858">
    <w:abstractNumId w:val="13"/>
  </w:num>
  <w:num w:numId="16" w16cid:durableId="133646882">
    <w:abstractNumId w:val="22"/>
  </w:num>
  <w:num w:numId="17" w16cid:durableId="909853647">
    <w:abstractNumId w:val="14"/>
  </w:num>
  <w:num w:numId="18" w16cid:durableId="1290934900">
    <w:abstractNumId w:val="1"/>
  </w:num>
  <w:num w:numId="19" w16cid:durableId="518157459">
    <w:abstractNumId w:val="34"/>
  </w:num>
  <w:num w:numId="20" w16cid:durableId="1170288871">
    <w:abstractNumId w:val="28"/>
  </w:num>
  <w:num w:numId="21" w16cid:durableId="877356260">
    <w:abstractNumId w:val="17"/>
  </w:num>
  <w:num w:numId="22" w16cid:durableId="1587569123">
    <w:abstractNumId w:val="21"/>
  </w:num>
  <w:num w:numId="23" w16cid:durableId="339742027">
    <w:abstractNumId w:val="8"/>
  </w:num>
  <w:num w:numId="24" w16cid:durableId="698507844">
    <w:abstractNumId w:val="3"/>
  </w:num>
  <w:num w:numId="25" w16cid:durableId="1890720759">
    <w:abstractNumId w:val="5"/>
  </w:num>
  <w:num w:numId="26" w16cid:durableId="977303599">
    <w:abstractNumId w:val="3"/>
    <w:lvlOverride w:ilvl="0">
      <w:startOverride w:val="1"/>
    </w:lvlOverride>
  </w:num>
  <w:num w:numId="27" w16cid:durableId="1945334440">
    <w:abstractNumId w:val="26"/>
  </w:num>
  <w:num w:numId="28" w16cid:durableId="2125225764">
    <w:abstractNumId w:val="20"/>
  </w:num>
  <w:num w:numId="29" w16cid:durableId="705831377">
    <w:abstractNumId w:val="18"/>
  </w:num>
  <w:num w:numId="30" w16cid:durableId="41641373">
    <w:abstractNumId w:val="7"/>
  </w:num>
  <w:num w:numId="31" w16cid:durableId="534468518">
    <w:abstractNumId w:val="23"/>
  </w:num>
  <w:num w:numId="32" w16cid:durableId="1435396664">
    <w:abstractNumId w:val="16"/>
  </w:num>
  <w:num w:numId="33" w16cid:durableId="1816986706">
    <w:abstractNumId w:val="31"/>
  </w:num>
  <w:num w:numId="34" w16cid:durableId="617568991">
    <w:abstractNumId w:val="33"/>
  </w:num>
  <w:num w:numId="35" w16cid:durableId="1910922191">
    <w:abstractNumId w:val="30"/>
  </w:num>
  <w:num w:numId="36" w16cid:durableId="847911888">
    <w:abstractNumId w:val="37"/>
  </w:num>
  <w:num w:numId="37" w16cid:durableId="1178617225">
    <w:abstractNumId w:val="2"/>
  </w:num>
  <w:num w:numId="38" w16cid:durableId="847526852">
    <w:abstractNumId w:val="25"/>
  </w:num>
  <w:num w:numId="39" w16cid:durableId="1302425884">
    <w:abstractNumId w:val="6"/>
  </w:num>
  <w:num w:numId="40" w16cid:durableId="662969638">
    <w:abstractNumId w:val="35"/>
  </w:num>
  <w:num w:numId="41" w16cid:durableId="1172648769">
    <w:abstractNumId w:val="32"/>
  </w:num>
  <w:num w:numId="42" w16cid:durableId="1130246622">
    <w:abstractNumId w:val="16"/>
  </w:num>
  <w:num w:numId="43" w16cid:durableId="1326010426">
    <w:abstractNumId w:val="16"/>
  </w:num>
  <w:num w:numId="44" w16cid:durableId="369455905">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446"/>
    <w:rsid w:val="0000006D"/>
    <w:rsid w:val="0000054B"/>
    <w:rsid w:val="00000A26"/>
    <w:rsid w:val="00000B97"/>
    <w:rsid w:val="00000DFD"/>
    <w:rsid w:val="00001573"/>
    <w:rsid w:val="0000175A"/>
    <w:rsid w:val="0000259D"/>
    <w:rsid w:val="00002A37"/>
    <w:rsid w:val="00002EAB"/>
    <w:rsid w:val="00002F14"/>
    <w:rsid w:val="000035DF"/>
    <w:rsid w:val="000036F6"/>
    <w:rsid w:val="000038A5"/>
    <w:rsid w:val="00003E0D"/>
    <w:rsid w:val="00004058"/>
    <w:rsid w:val="00004E82"/>
    <w:rsid w:val="00004FAF"/>
    <w:rsid w:val="00005D7B"/>
    <w:rsid w:val="00005F08"/>
    <w:rsid w:val="00006100"/>
    <w:rsid w:val="00006321"/>
    <w:rsid w:val="00006376"/>
    <w:rsid w:val="0000648C"/>
    <w:rsid w:val="0000692F"/>
    <w:rsid w:val="00006970"/>
    <w:rsid w:val="00006C17"/>
    <w:rsid w:val="000072D7"/>
    <w:rsid w:val="00007929"/>
    <w:rsid w:val="00007A24"/>
    <w:rsid w:val="00007C60"/>
    <w:rsid w:val="00010605"/>
    <w:rsid w:val="000108FD"/>
    <w:rsid w:val="00011091"/>
    <w:rsid w:val="00011B82"/>
    <w:rsid w:val="00011E70"/>
    <w:rsid w:val="0001232A"/>
    <w:rsid w:val="00012AD0"/>
    <w:rsid w:val="00012B19"/>
    <w:rsid w:val="00012BF4"/>
    <w:rsid w:val="00013D94"/>
    <w:rsid w:val="00013E05"/>
    <w:rsid w:val="000143F3"/>
    <w:rsid w:val="00014638"/>
    <w:rsid w:val="00014661"/>
    <w:rsid w:val="00014A2F"/>
    <w:rsid w:val="00014A30"/>
    <w:rsid w:val="00014A62"/>
    <w:rsid w:val="00014E46"/>
    <w:rsid w:val="0001511B"/>
    <w:rsid w:val="00015567"/>
    <w:rsid w:val="000155B8"/>
    <w:rsid w:val="00015953"/>
    <w:rsid w:val="00015F47"/>
    <w:rsid w:val="000162F4"/>
    <w:rsid w:val="000165A4"/>
    <w:rsid w:val="00016849"/>
    <w:rsid w:val="00017185"/>
    <w:rsid w:val="00017366"/>
    <w:rsid w:val="00017694"/>
    <w:rsid w:val="00017E9E"/>
    <w:rsid w:val="00020108"/>
    <w:rsid w:val="00020BD0"/>
    <w:rsid w:val="000212EC"/>
    <w:rsid w:val="00021B2C"/>
    <w:rsid w:val="00021DA1"/>
    <w:rsid w:val="00021DB3"/>
    <w:rsid w:val="00021EEA"/>
    <w:rsid w:val="0002233E"/>
    <w:rsid w:val="000223DF"/>
    <w:rsid w:val="0002258E"/>
    <w:rsid w:val="000228EE"/>
    <w:rsid w:val="00022C27"/>
    <w:rsid w:val="000239AF"/>
    <w:rsid w:val="000239D0"/>
    <w:rsid w:val="00023D28"/>
    <w:rsid w:val="00024244"/>
    <w:rsid w:val="0002442F"/>
    <w:rsid w:val="000245B2"/>
    <w:rsid w:val="0002476D"/>
    <w:rsid w:val="00024B52"/>
    <w:rsid w:val="00024D95"/>
    <w:rsid w:val="0002538F"/>
    <w:rsid w:val="00025398"/>
    <w:rsid w:val="000256D8"/>
    <w:rsid w:val="00025718"/>
    <w:rsid w:val="000257FB"/>
    <w:rsid w:val="000261FE"/>
    <w:rsid w:val="000269BE"/>
    <w:rsid w:val="00026AFF"/>
    <w:rsid w:val="000270C0"/>
    <w:rsid w:val="000271DC"/>
    <w:rsid w:val="000276D7"/>
    <w:rsid w:val="000279EF"/>
    <w:rsid w:val="00027A5C"/>
    <w:rsid w:val="00027C06"/>
    <w:rsid w:val="00027CF8"/>
    <w:rsid w:val="00027F10"/>
    <w:rsid w:val="000303A3"/>
    <w:rsid w:val="00030A8C"/>
    <w:rsid w:val="00030CF6"/>
    <w:rsid w:val="00030DAD"/>
    <w:rsid w:val="00031080"/>
    <w:rsid w:val="000310CD"/>
    <w:rsid w:val="00031241"/>
    <w:rsid w:val="0003144A"/>
    <w:rsid w:val="00031679"/>
    <w:rsid w:val="000316F3"/>
    <w:rsid w:val="00031B02"/>
    <w:rsid w:val="00031EE4"/>
    <w:rsid w:val="000323FD"/>
    <w:rsid w:val="00032624"/>
    <w:rsid w:val="00032742"/>
    <w:rsid w:val="00032767"/>
    <w:rsid w:val="00032B17"/>
    <w:rsid w:val="00032BF3"/>
    <w:rsid w:val="00032F24"/>
    <w:rsid w:val="00033D6C"/>
    <w:rsid w:val="00033E1A"/>
    <w:rsid w:val="000341D2"/>
    <w:rsid w:val="00034656"/>
    <w:rsid w:val="00034902"/>
    <w:rsid w:val="00034C67"/>
    <w:rsid w:val="00034D50"/>
    <w:rsid w:val="00034F40"/>
    <w:rsid w:val="00035073"/>
    <w:rsid w:val="0003516F"/>
    <w:rsid w:val="000358FF"/>
    <w:rsid w:val="0003591A"/>
    <w:rsid w:val="00036358"/>
    <w:rsid w:val="00036ACA"/>
    <w:rsid w:val="00036BCE"/>
    <w:rsid w:val="000375A3"/>
    <w:rsid w:val="00040471"/>
    <w:rsid w:val="00040473"/>
    <w:rsid w:val="000405A5"/>
    <w:rsid w:val="000406A6"/>
    <w:rsid w:val="000406F2"/>
    <w:rsid w:val="00040E00"/>
    <w:rsid w:val="00040E57"/>
    <w:rsid w:val="000411A0"/>
    <w:rsid w:val="000412F1"/>
    <w:rsid w:val="00041A25"/>
    <w:rsid w:val="00041AF6"/>
    <w:rsid w:val="00041C76"/>
    <w:rsid w:val="00041E0A"/>
    <w:rsid w:val="000422F0"/>
    <w:rsid w:val="0004233A"/>
    <w:rsid w:val="00042379"/>
    <w:rsid w:val="000424FC"/>
    <w:rsid w:val="00042AAA"/>
    <w:rsid w:val="00042CD2"/>
    <w:rsid w:val="00042F1E"/>
    <w:rsid w:val="00042F9C"/>
    <w:rsid w:val="00043991"/>
    <w:rsid w:val="00043CC0"/>
    <w:rsid w:val="00044112"/>
    <w:rsid w:val="00044236"/>
    <w:rsid w:val="0004469D"/>
    <w:rsid w:val="00044DF2"/>
    <w:rsid w:val="00044E24"/>
    <w:rsid w:val="0004588C"/>
    <w:rsid w:val="00045E55"/>
    <w:rsid w:val="00045FB5"/>
    <w:rsid w:val="000462E8"/>
    <w:rsid w:val="00046620"/>
    <w:rsid w:val="00046688"/>
    <w:rsid w:val="0004694A"/>
    <w:rsid w:val="000471E8"/>
    <w:rsid w:val="0004735F"/>
    <w:rsid w:val="000473D8"/>
    <w:rsid w:val="0004755B"/>
    <w:rsid w:val="00047793"/>
    <w:rsid w:val="000478C8"/>
    <w:rsid w:val="00047970"/>
    <w:rsid w:val="000505EE"/>
    <w:rsid w:val="00050B02"/>
    <w:rsid w:val="00050B24"/>
    <w:rsid w:val="000511AE"/>
    <w:rsid w:val="000517A0"/>
    <w:rsid w:val="000522C7"/>
    <w:rsid w:val="000524B6"/>
    <w:rsid w:val="000525C5"/>
    <w:rsid w:val="00052D96"/>
    <w:rsid w:val="00052F72"/>
    <w:rsid w:val="000533A6"/>
    <w:rsid w:val="00053A12"/>
    <w:rsid w:val="00053C0C"/>
    <w:rsid w:val="000542AE"/>
    <w:rsid w:val="00054413"/>
    <w:rsid w:val="00054750"/>
    <w:rsid w:val="00054883"/>
    <w:rsid w:val="00054961"/>
    <w:rsid w:val="00054EDB"/>
    <w:rsid w:val="0005519D"/>
    <w:rsid w:val="00055356"/>
    <w:rsid w:val="000553EB"/>
    <w:rsid w:val="00055A08"/>
    <w:rsid w:val="000563A1"/>
    <w:rsid w:val="000566E7"/>
    <w:rsid w:val="00056AA2"/>
    <w:rsid w:val="00056B9E"/>
    <w:rsid w:val="00056C7A"/>
    <w:rsid w:val="00056DC1"/>
    <w:rsid w:val="0005700E"/>
    <w:rsid w:val="0005727E"/>
    <w:rsid w:val="00057359"/>
    <w:rsid w:val="00057879"/>
    <w:rsid w:val="00057CBA"/>
    <w:rsid w:val="00057F0E"/>
    <w:rsid w:val="000603E1"/>
    <w:rsid w:val="000606E9"/>
    <w:rsid w:val="00061514"/>
    <w:rsid w:val="000615DB"/>
    <w:rsid w:val="0006177D"/>
    <w:rsid w:val="000617F7"/>
    <w:rsid w:val="00061B76"/>
    <w:rsid w:val="0006216C"/>
    <w:rsid w:val="00062324"/>
    <w:rsid w:val="00062533"/>
    <w:rsid w:val="00062C0E"/>
    <w:rsid w:val="00062C5B"/>
    <w:rsid w:val="00062F3A"/>
    <w:rsid w:val="0006323B"/>
    <w:rsid w:val="00063490"/>
    <w:rsid w:val="00063D0E"/>
    <w:rsid w:val="00063D19"/>
    <w:rsid w:val="00063E6F"/>
    <w:rsid w:val="00063FFC"/>
    <w:rsid w:val="0006453C"/>
    <w:rsid w:val="000646A2"/>
    <w:rsid w:val="0006471C"/>
    <w:rsid w:val="00064A7C"/>
    <w:rsid w:val="00064C2E"/>
    <w:rsid w:val="00064E97"/>
    <w:rsid w:val="0006524A"/>
    <w:rsid w:val="0006544A"/>
    <w:rsid w:val="000655B7"/>
    <w:rsid w:val="00065A51"/>
    <w:rsid w:val="00065B96"/>
    <w:rsid w:val="00065BDD"/>
    <w:rsid w:val="00065C7B"/>
    <w:rsid w:val="00065FDE"/>
    <w:rsid w:val="00066242"/>
    <w:rsid w:val="00066945"/>
    <w:rsid w:val="00066976"/>
    <w:rsid w:val="00066A42"/>
    <w:rsid w:val="00066DC5"/>
    <w:rsid w:val="00066F35"/>
    <w:rsid w:val="00067A03"/>
    <w:rsid w:val="00067FB0"/>
    <w:rsid w:val="0007017F"/>
    <w:rsid w:val="00070189"/>
    <w:rsid w:val="00070442"/>
    <w:rsid w:val="000705AD"/>
    <w:rsid w:val="00070601"/>
    <w:rsid w:val="00070A33"/>
    <w:rsid w:val="00070E61"/>
    <w:rsid w:val="000711F6"/>
    <w:rsid w:val="00071687"/>
    <w:rsid w:val="00071F09"/>
    <w:rsid w:val="00072612"/>
    <w:rsid w:val="0007298C"/>
    <w:rsid w:val="00072A84"/>
    <w:rsid w:val="00072C56"/>
    <w:rsid w:val="0007337D"/>
    <w:rsid w:val="000734BD"/>
    <w:rsid w:val="000742E0"/>
    <w:rsid w:val="00074636"/>
    <w:rsid w:val="00074B9A"/>
    <w:rsid w:val="00074BFF"/>
    <w:rsid w:val="000753B9"/>
    <w:rsid w:val="00075E7B"/>
    <w:rsid w:val="000767A5"/>
    <w:rsid w:val="00076F26"/>
    <w:rsid w:val="00077325"/>
    <w:rsid w:val="00080385"/>
    <w:rsid w:val="000806BC"/>
    <w:rsid w:val="00080717"/>
    <w:rsid w:val="00080BA8"/>
    <w:rsid w:val="0008286B"/>
    <w:rsid w:val="00082D5D"/>
    <w:rsid w:val="00082E0C"/>
    <w:rsid w:val="00083AF3"/>
    <w:rsid w:val="00083C09"/>
    <w:rsid w:val="00083E00"/>
    <w:rsid w:val="00084219"/>
    <w:rsid w:val="00084D81"/>
    <w:rsid w:val="00085024"/>
    <w:rsid w:val="000852FE"/>
    <w:rsid w:val="0008585D"/>
    <w:rsid w:val="00085A52"/>
    <w:rsid w:val="00085D1D"/>
    <w:rsid w:val="00086F00"/>
    <w:rsid w:val="000871E6"/>
    <w:rsid w:val="0008760A"/>
    <w:rsid w:val="00087C9A"/>
    <w:rsid w:val="000902F6"/>
    <w:rsid w:val="00090302"/>
    <w:rsid w:val="00090903"/>
    <w:rsid w:val="00090BE2"/>
    <w:rsid w:val="00091294"/>
    <w:rsid w:val="00091578"/>
    <w:rsid w:val="00091613"/>
    <w:rsid w:val="00091BE9"/>
    <w:rsid w:val="00091CBE"/>
    <w:rsid w:val="00091EEC"/>
    <w:rsid w:val="000922AB"/>
    <w:rsid w:val="00092694"/>
    <w:rsid w:val="00092748"/>
    <w:rsid w:val="0009278B"/>
    <w:rsid w:val="00092832"/>
    <w:rsid w:val="00092D31"/>
    <w:rsid w:val="00093CD0"/>
    <w:rsid w:val="000940ED"/>
    <w:rsid w:val="00094ADF"/>
    <w:rsid w:val="00094BF7"/>
    <w:rsid w:val="00094DA0"/>
    <w:rsid w:val="00095147"/>
    <w:rsid w:val="0009530A"/>
    <w:rsid w:val="0009539C"/>
    <w:rsid w:val="000955F8"/>
    <w:rsid w:val="00095626"/>
    <w:rsid w:val="000956D1"/>
    <w:rsid w:val="0009576B"/>
    <w:rsid w:val="00095EBB"/>
    <w:rsid w:val="000961E6"/>
    <w:rsid w:val="00096265"/>
    <w:rsid w:val="0009657F"/>
    <w:rsid w:val="000969C4"/>
    <w:rsid w:val="00096A5D"/>
    <w:rsid w:val="00097452"/>
    <w:rsid w:val="00097507"/>
    <w:rsid w:val="00097EF5"/>
    <w:rsid w:val="000A007A"/>
    <w:rsid w:val="000A05BC"/>
    <w:rsid w:val="000A0826"/>
    <w:rsid w:val="000A0CF0"/>
    <w:rsid w:val="000A0E62"/>
    <w:rsid w:val="000A107D"/>
    <w:rsid w:val="000A12B4"/>
    <w:rsid w:val="000A2491"/>
    <w:rsid w:val="000A27C8"/>
    <w:rsid w:val="000A2A29"/>
    <w:rsid w:val="000A2D41"/>
    <w:rsid w:val="000A2D9A"/>
    <w:rsid w:val="000A32B0"/>
    <w:rsid w:val="000A33C7"/>
    <w:rsid w:val="000A3A0C"/>
    <w:rsid w:val="000A3A1F"/>
    <w:rsid w:val="000A441C"/>
    <w:rsid w:val="000A475D"/>
    <w:rsid w:val="000A49BD"/>
    <w:rsid w:val="000A4CC4"/>
    <w:rsid w:val="000A4D3B"/>
    <w:rsid w:val="000A5159"/>
    <w:rsid w:val="000A5180"/>
    <w:rsid w:val="000A5564"/>
    <w:rsid w:val="000A56E0"/>
    <w:rsid w:val="000A588D"/>
    <w:rsid w:val="000A5D10"/>
    <w:rsid w:val="000A64DA"/>
    <w:rsid w:val="000A6B2F"/>
    <w:rsid w:val="000A6FA8"/>
    <w:rsid w:val="000A73CF"/>
    <w:rsid w:val="000A76E0"/>
    <w:rsid w:val="000A77A3"/>
    <w:rsid w:val="000A77CA"/>
    <w:rsid w:val="000B0085"/>
    <w:rsid w:val="000B039E"/>
    <w:rsid w:val="000B0478"/>
    <w:rsid w:val="000B04B5"/>
    <w:rsid w:val="000B082A"/>
    <w:rsid w:val="000B085A"/>
    <w:rsid w:val="000B088D"/>
    <w:rsid w:val="000B0DAA"/>
    <w:rsid w:val="000B14CD"/>
    <w:rsid w:val="000B15EB"/>
    <w:rsid w:val="000B17F0"/>
    <w:rsid w:val="000B1AFC"/>
    <w:rsid w:val="000B1F12"/>
    <w:rsid w:val="000B2397"/>
    <w:rsid w:val="000B2966"/>
    <w:rsid w:val="000B2A14"/>
    <w:rsid w:val="000B3171"/>
    <w:rsid w:val="000B324B"/>
    <w:rsid w:val="000B37E8"/>
    <w:rsid w:val="000B3BE5"/>
    <w:rsid w:val="000B3C26"/>
    <w:rsid w:val="000B4853"/>
    <w:rsid w:val="000B4C0E"/>
    <w:rsid w:val="000B4CC3"/>
    <w:rsid w:val="000B5176"/>
    <w:rsid w:val="000B5258"/>
    <w:rsid w:val="000B5442"/>
    <w:rsid w:val="000B5880"/>
    <w:rsid w:val="000B5B03"/>
    <w:rsid w:val="000B5B7B"/>
    <w:rsid w:val="000B5E47"/>
    <w:rsid w:val="000B5FF7"/>
    <w:rsid w:val="000B612B"/>
    <w:rsid w:val="000B6390"/>
    <w:rsid w:val="000B6494"/>
    <w:rsid w:val="000B6541"/>
    <w:rsid w:val="000B65B9"/>
    <w:rsid w:val="000B69BF"/>
    <w:rsid w:val="000B6C95"/>
    <w:rsid w:val="000B6D0E"/>
    <w:rsid w:val="000B6F59"/>
    <w:rsid w:val="000B6F7C"/>
    <w:rsid w:val="000B7115"/>
    <w:rsid w:val="000B741A"/>
    <w:rsid w:val="000B754A"/>
    <w:rsid w:val="000B7D6B"/>
    <w:rsid w:val="000B7EAB"/>
    <w:rsid w:val="000C07F0"/>
    <w:rsid w:val="000C0D5F"/>
    <w:rsid w:val="000C0E39"/>
    <w:rsid w:val="000C0E6A"/>
    <w:rsid w:val="000C15E3"/>
    <w:rsid w:val="000C2029"/>
    <w:rsid w:val="000C2075"/>
    <w:rsid w:val="000C2175"/>
    <w:rsid w:val="000C2724"/>
    <w:rsid w:val="000C2B42"/>
    <w:rsid w:val="000C3215"/>
    <w:rsid w:val="000C381C"/>
    <w:rsid w:val="000C3CBC"/>
    <w:rsid w:val="000C3D11"/>
    <w:rsid w:val="000C3DE7"/>
    <w:rsid w:val="000C43AB"/>
    <w:rsid w:val="000C45F3"/>
    <w:rsid w:val="000C4833"/>
    <w:rsid w:val="000C577F"/>
    <w:rsid w:val="000C5B10"/>
    <w:rsid w:val="000C6A66"/>
    <w:rsid w:val="000C6A81"/>
    <w:rsid w:val="000C6FA5"/>
    <w:rsid w:val="000C79EB"/>
    <w:rsid w:val="000C7CFD"/>
    <w:rsid w:val="000D0D9A"/>
    <w:rsid w:val="000D0FFD"/>
    <w:rsid w:val="000D1556"/>
    <w:rsid w:val="000D1A4E"/>
    <w:rsid w:val="000D1F10"/>
    <w:rsid w:val="000D21D2"/>
    <w:rsid w:val="000D28EB"/>
    <w:rsid w:val="000D296E"/>
    <w:rsid w:val="000D2A75"/>
    <w:rsid w:val="000D354C"/>
    <w:rsid w:val="000D39BA"/>
    <w:rsid w:val="000D3BF8"/>
    <w:rsid w:val="000D3BFE"/>
    <w:rsid w:val="000D3DC1"/>
    <w:rsid w:val="000D3DC6"/>
    <w:rsid w:val="000D3EFA"/>
    <w:rsid w:val="000D4131"/>
    <w:rsid w:val="000D44D5"/>
    <w:rsid w:val="000D4767"/>
    <w:rsid w:val="000D4E7E"/>
    <w:rsid w:val="000D4FB3"/>
    <w:rsid w:val="000D50C5"/>
    <w:rsid w:val="000D5242"/>
    <w:rsid w:val="000D54AE"/>
    <w:rsid w:val="000D5749"/>
    <w:rsid w:val="000D5A61"/>
    <w:rsid w:val="000D604B"/>
    <w:rsid w:val="000D653F"/>
    <w:rsid w:val="000D66A0"/>
    <w:rsid w:val="000D68DF"/>
    <w:rsid w:val="000D69B7"/>
    <w:rsid w:val="000D6DE9"/>
    <w:rsid w:val="000D6FEE"/>
    <w:rsid w:val="000D7175"/>
    <w:rsid w:val="000D75E1"/>
    <w:rsid w:val="000D77EC"/>
    <w:rsid w:val="000E00F4"/>
    <w:rsid w:val="000E0207"/>
    <w:rsid w:val="000E0568"/>
    <w:rsid w:val="000E0B3C"/>
    <w:rsid w:val="000E1011"/>
    <w:rsid w:val="000E1555"/>
    <w:rsid w:val="000E18CF"/>
    <w:rsid w:val="000E1E81"/>
    <w:rsid w:val="000E1F7C"/>
    <w:rsid w:val="000E1FCE"/>
    <w:rsid w:val="000E1FCF"/>
    <w:rsid w:val="000E23BA"/>
    <w:rsid w:val="000E2445"/>
    <w:rsid w:val="000E2991"/>
    <w:rsid w:val="000E2A5F"/>
    <w:rsid w:val="000E2C5E"/>
    <w:rsid w:val="000E2F45"/>
    <w:rsid w:val="000E3077"/>
    <w:rsid w:val="000E3116"/>
    <w:rsid w:val="000E31B4"/>
    <w:rsid w:val="000E3310"/>
    <w:rsid w:val="000E3BDF"/>
    <w:rsid w:val="000E3BE1"/>
    <w:rsid w:val="000E3BE5"/>
    <w:rsid w:val="000E3D65"/>
    <w:rsid w:val="000E4030"/>
    <w:rsid w:val="000E40B6"/>
    <w:rsid w:val="000E40C6"/>
    <w:rsid w:val="000E40EB"/>
    <w:rsid w:val="000E42F2"/>
    <w:rsid w:val="000E4376"/>
    <w:rsid w:val="000E443F"/>
    <w:rsid w:val="000E4AC4"/>
    <w:rsid w:val="000E537E"/>
    <w:rsid w:val="000E59A6"/>
    <w:rsid w:val="000E5A53"/>
    <w:rsid w:val="000E5D06"/>
    <w:rsid w:val="000E6529"/>
    <w:rsid w:val="000E6677"/>
    <w:rsid w:val="000E68BD"/>
    <w:rsid w:val="000E695D"/>
    <w:rsid w:val="000E6D7F"/>
    <w:rsid w:val="000E6DC8"/>
    <w:rsid w:val="000E6FE7"/>
    <w:rsid w:val="000E7797"/>
    <w:rsid w:val="000E7A9D"/>
    <w:rsid w:val="000E7C9C"/>
    <w:rsid w:val="000E7FC6"/>
    <w:rsid w:val="000F0066"/>
    <w:rsid w:val="000F020A"/>
    <w:rsid w:val="000F03DE"/>
    <w:rsid w:val="000F050F"/>
    <w:rsid w:val="000F098B"/>
    <w:rsid w:val="000F15D8"/>
    <w:rsid w:val="000F176F"/>
    <w:rsid w:val="000F1DC9"/>
    <w:rsid w:val="000F234D"/>
    <w:rsid w:val="000F27D6"/>
    <w:rsid w:val="000F2BB7"/>
    <w:rsid w:val="000F2D80"/>
    <w:rsid w:val="000F3589"/>
    <w:rsid w:val="000F391C"/>
    <w:rsid w:val="000F39C7"/>
    <w:rsid w:val="000F3F33"/>
    <w:rsid w:val="000F3F68"/>
    <w:rsid w:val="000F421F"/>
    <w:rsid w:val="000F4349"/>
    <w:rsid w:val="000F43C0"/>
    <w:rsid w:val="000F46C0"/>
    <w:rsid w:val="000F50EA"/>
    <w:rsid w:val="000F5621"/>
    <w:rsid w:val="000F5E69"/>
    <w:rsid w:val="000F6185"/>
    <w:rsid w:val="000F62F3"/>
    <w:rsid w:val="000F6662"/>
    <w:rsid w:val="000F6DE6"/>
    <w:rsid w:val="000F6DEC"/>
    <w:rsid w:val="000F6FE9"/>
    <w:rsid w:val="000F6FED"/>
    <w:rsid w:val="000F7065"/>
    <w:rsid w:val="00100CA0"/>
    <w:rsid w:val="00100FFB"/>
    <w:rsid w:val="001010A4"/>
    <w:rsid w:val="001014E3"/>
    <w:rsid w:val="0010165C"/>
    <w:rsid w:val="00101AC7"/>
    <w:rsid w:val="0010228B"/>
    <w:rsid w:val="001026E6"/>
    <w:rsid w:val="00102B14"/>
    <w:rsid w:val="00102CE8"/>
    <w:rsid w:val="00102F3F"/>
    <w:rsid w:val="00102F8F"/>
    <w:rsid w:val="0010321C"/>
    <w:rsid w:val="001032DA"/>
    <w:rsid w:val="00103522"/>
    <w:rsid w:val="001035DA"/>
    <w:rsid w:val="001037AA"/>
    <w:rsid w:val="001038D1"/>
    <w:rsid w:val="00103B28"/>
    <w:rsid w:val="00103C84"/>
    <w:rsid w:val="00103E38"/>
    <w:rsid w:val="00103E80"/>
    <w:rsid w:val="00104143"/>
    <w:rsid w:val="001053FB"/>
    <w:rsid w:val="001056D9"/>
    <w:rsid w:val="00105832"/>
    <w:rsid w:val="0010584E"/>
    <w:rsid w:val="00105C41"/>
    <w:rsid w:val="00105D97"/>
    <w:rsid w:val="00105DD1"/>
    <w:rsid w:val="00105F53"/>
    <w:rsid w:val="001060DB"/>
    <w:rsid w:val="0010615B"/>
    <w:rsid w:val="00106959"/>
    <w:rsid w:val="00106A2C"/>
    <w:rsid w:val="00106D39"/>
    <w:rsid w:val="00107188"/>
    <w:rsid w:val="00107266"/>
    <w:rsid w:val="001073B5"/>
    <w:rsid w:val="001074E3"/>
    <w:rsid w:val="00107A88"/>
    <w:rsid w:val="00107DC2"/>
    <w:rsid w:val="00107DF9"/>
    <w:rsid w:val="00110367"/>
    <w:rsid w:val="00110549"/>
    <w:rsid w:val="00110EEE"/>
    <w:rsid w:val="00110F3C"/>
    <w:rsid w:val="00111185"/>
    <w:rsid w:val="001112A4"/>
    <w:rsid w:val="001113CE"/>
    <w:rsid w:val="00111531"/>
    <w:rsid w:val="0011175A"/>
    <w:rsid w:val="001118E6"/>
    <w:rsid w:val="00111957"/>
    <w:rsid w:val="00111D91"/>
    <w:rsid w:val="001123EC"/>
    <w:rsid w:val="0011287F"/>
    <w:rsid w:val="00112CE4"/>
    <w:rsid w:val="00113173"/>
    <w:rsid w:val="00113BFA"/>
    <w:rsid w:val="001140C7"/>
    <w:rsid w:val="001141E7"/>
    <w:rsid w:val="001145C6"/>
    <w:rsid w:val="00114887"/>
    <w:rsid w:val="001148DF"/>
    <w:rsid w:val="00114B69"/>
    <w:rsid w:val="00114B7F"/>
    <w:rsid w:val="00114BC5"/>
    <w:rsid w:val="001151FE"/>
    <w:rsid w:val="00115240"/>
    <w:rsid w:val="00115437"/>
    <w:rsid w:val="0011580A"/>
    <w:rsid w:val="0011581D"/>
    <w:rsid w:val="00115C47"/>
    <w:rsid w:val="00116103"/>
    <w:rsid w:val="001162D3"/>
    <w:rsid w:val="00116318"/>
    <w:rsid w:val="001166D8"/>
    <w:rsid w:val="0011695C"/>
    <w:rsid w:val="00116BD1"/>
    <w:rsid w:val="00116C82"/>
    <w:rsid w:val="0011706E"/>
    <w:rsid w:val="00117548"/>
    <w:rsid w:val="00117D7B"/>
    <w:rsid w:val="00117FE3"/>
    <w:rsid w:val="001203D7"/>
    <w:rsid w:val="00120A67"/>
    <w:rsid w:val="00120EBA"/>
    <w:rsid w:val="00121033"/>
    <w:rsid w:val="001215D7"/>
    <w:rsid w:val="00121893"/>
    <w:rsid w:val="001222E5"/>
    <w:rsid w:val="00122478"/>
    <w:rsid w:val="001224BC"/>
    <w:rsid w:val="00122829"/>
    <w:rsid w:val="00122BFA"/>
    <w:rsid w:val="0012337D"/>
    <w:rsid w:val="001234AD"/>
    <w:rsid w:val="00123814"/>
    <w:rsid w:val="0012385D"/>
    <w:rsid w:val="00123C67"/>
    <w:rsid w:val="00124237"/>
    <w:rsid w:val="0012449C"/>
    <w:rsid w:val="0012499B"/>
    <w:rsid w:val="00124D84"/>
    <w:rsid w:val="001253B0"/>
    <w:rsid w:val="00125A3A"/>
    <w:rsid w:val="00125AB4"/>
    <w:rsid w:val="00126016"/>
    <w:rsid w:val="00126196"/>
    <w:rsid w:val="00126412"/>
    <w:rsid w:val="001265C2"/>
    <w:rsid w:val="00126AB2"/>
    <w:rsid w:val="00126FB0"/>
    <w:rsid w:val="00126FD9"/>
    <w:rsid w:val="00127270"/>
    <w:rsid w:val="00127357"/>
    <w:rsid w:val="00127987"/>
    <w:rsid w:val="00127A84"/>
    <w:rsid w:val="00127E00"/>
    <w:rsid w:val="00127E98"/>
    <w:rsid w:val="00127F45"/>
    <w:rsid w:val="001300C4"/>
    <w:rsid w:val="001305FC"/>
    <w:rsid w:val="00130628"/>
    <w:rsid w:val="00130F52"/>
    <w:rsid w:val="001312DC"/>
    <w:rsid w:val="001318EE"/>
    <w:rsid w:val="00131972"/>
    <w:rsid w:val="00131B29"/>
    <w:rsid w:val="00131BAA"/>
    <w:rsid w:val="00132094"/>
    <w:rsid w:val="0013220E"/>
    <w:rsid w:val="0013229B"/>
    <w:rsid w:val="00132692"/>
    <w:rsid w:val="001328DF"/>
    <w:rsid w:val="00132BFA"/>
    <w:rsid w:val="001332B6"/>
    <w:rsid w:val="00133528"/>
    <w:rsid w:val="001335D0"/>
    <w:rsid w:val="001335F1"/>
    <w:rsid w:val="00133922"/>
    <w:rsid w:val="00133AD4"/>
    <w:rsid w:val="00133F41"/>
    <w:rsid w:val="00134F42"/>
    <w:rsid w:val="001350C9"/>
    <w:rsid w:val="001352A6"/>
    <w:rsid w:val="001353BA"/>
    <w:rsid w:val="001354E4"/>
    <w:rsid w:val="001357F4"/>
    <w:rsid w:val="00135C57"/>
    <w:rsid w:val="00135D3E"/>
    <w:rsid w:val="00135DDC"/>
    <w:rsid w:val="0013634E"/>
    <w:rsid w:val="00136A79"/>
    <w:rsid w:val="00136D84"/>
    <w:rsid w:val="001372CB"/>
    <w:rsid w:val="001376C8"/>
    <w:rsid w:val="0013776D"/>
    <w:rsid w:val="00137913"/>
    <w:rsid w:val="001379C6"/>
    <w:rsid w:val="00137E10"/>
    <w:rsid w:val="00137FD1"/>
    <w:rsid w:val="00140108"/>
    <w:rsid w:val="00140271"/>
    <w:rsid w:val="001403B3"/>
    <w:rsid w:val="00140414"/>
    <w:rsid w:val="00140714"/>
    <w:rsid w:val="00140971"/>
    <w:rsid w:val="0014098E"/>
    <w:rsid w:val="00140C76"/>
    <w:rsid w:val="001410F8"/>
    <w:rsid w:val="0014135F"/>
    <w:rsid w:val="00141477"/>
    <w:rsid w:val="001414C9"/>
    <w:rsid w:val="001417F0"/>
    <w:rsid w:val="00141BD7"/>
    <w:rsid w:val="0014243F"/>
    <w:rsid w:val="001424AC"/>
    <w:rsid w:val="00142FFE"/>
    <w:rsid w:val="001434AB"/>
    <w:rsid w:val="00143529"/>
    <w:rsid w:val="001435A0"/>
    <w:rsid w:val="0014360F"/>
    <w:rsid w:val="001437C5"/>
    <w:rsid w:val="00143C1B"/>
    <w:rsid w:val="001443D0"/>
    <w:rsid w:val="001448FE"/>
    <w:rsid w:val="0014498E"/>
    <w:rsid w:val="00144ECA"/>
    <w:rsid w:val="001452E3"/>
    <w:rsid w:val="001453DA"/>
    <w:rsid w:val="00145908"/>
    <w:rsid w:val="00145A0D"/>
    <w:rsid w:val="00145DB0"/>
    <w:rsid w:val="00146010"/>
    <w:rsid w:val="00146B1D"/>
    <w:rsid w:val="0014782D"/>
    <w:rsid w:val="00147C0D"/>
    <w:rsid w:val="001505A9"/>
    <w:rsid w:val="00150641"/>
    <w:rsid w:val="001508D7"/>
    <w:rsid w:val="00150986"/>
    <w:rsid w:val="00150ACF"/>
    <w:rsid w:val="00150C70"/>
    <w:rsid w:val="00150C85"/>
    <w:rsid w:val="001519DD"/>
    <w:rsid w:val="00151A3D"/>
    <w:rsid w:val="00151CD2"/>
    <w:rsid w:val="0015268F"/>
    <w:rsid w:val="0015280B"/>
    <w:rsid w:val="00152ACD"/>
    <w:rsid w:val="00153082"/>
    <w:rsid w:val="00153521"/>
    <w:rsid w:val="001535FA"/>
    <w:rsid w:val="00153688"/>
    <w:rsid w:val="001536CA"/>
    <w:rsid w:val="00153E64"/>
    <w:rsid w:val="00154525"/>
    <w:rsid w:val="0015475C"/>
    <w:rsid w:val="00154CB8"/>
    <w:rsid w:val="00154EC4"/>
    <w:rsid w:val="0015532F"/>
    <w:rsid w:val="001557E3"/>
    <w:rsid w:val="0015599C"/>
    <w:rsid w:val="00155D81"/>
    <w:rsid w:val="001561BF"/>
    <w:rsid w:val="001563C4"/>
    <w:rsid w:val="00156577"/>
    <w:rsid w:val="00157293"/>
    <w:rsid w:val="001577A7"/>
    <w:rsid w:val="00157843"/>
    <w:rsid w:val="001579A6"/>
    <w:rsid w:val="00157A2B"/>
    <w:rsid w:val="00157D04"/>
    <w:rsid w:val="00157D90"/>
    <w:rsid w:val="001601C0"/>
    <w:rsid w:val="001602B6"/>
    <w:rsid w:val="001603F8"/>
    <w:rsid w:val="00160462"/>
    <w:rsid w:val="0016119E"/>
    <w:rsid w:val="0016122A"/>
    <w:rsid w:val="00161844"/>
    <w:rsid w:val="00161B8D"/>
    <w:rsid w:val="00162C38"/>
    <w:rsid w:val="00162E01"/>
    <w:rsid w:val="001630D3"/>
    <w:rsid w:val="001635E2"/>
    <w:rsid w:val="001636E0"/>
    <w:rsid w:val="001638FF"/>
    <w:rsid w:val="00163A77"/>
    <w:rsid w:val="00163D23"/>
    <w:rsid w:val="00164150"/>
    <w:rsid w:val="0016490F"/>
    <w:rsid w:val="00164C5B"/>
    <w:rsid w:val="00164E6F"/>
    <w:rsid w:val="00164F45"/>
    <w:rsid w:val="0016525B"/>
    <w:rsid w:val="001658E1"/>
    <w:rsid w:val="00165967"/>
    <w:rsid w:val="00165A46"/>
    <w:rsid w:val="00165FD5"/>
    <w:rsid w:val="00166101"/>
    <w:rsid w:val="0016625C"/>
    <w:rsid w:val="0016649F"/>
    <w:rsid w:val="001664B9"/>
    <w:rsid w:val="00166534"/>
    <w:rsid w:val="00166554"/>
    <w:rsid w:val="001667FF"/>
    <w:rsid w:val="0016682A"/>
    <w:rsid w:val="00166976"/>
    <w:rsid w:val="00166F55"/>
    <w:rsid w:val="00167036"/>
    <w:rsid w:val="0016749F"/>
    <w:rsid w:val="001674AA"/>
    <w:rsid w:val="00167C4A"/>
    <w:rsid w:val="00167C7B"/>
    <w:rsid w:val="00167D4C"/>
    <w:rsid w:val="00167DA9"/>
    <w:rsid w:val="00167DF3"/>
    <w:rsid w:val="00170020"/>
    <w:rsid w:val="00170273"/>
    <w:rsid w:val="001703D4"/>
    <w:rsid w:val="00170B58"/>
    <w:rsid w:val="0017108E"/>
    <w:rsid w:val="0017128B"/>
    <w:rsid w:val="001714D6"/>
    <w:rsid w:val="001718CD"/>
    <w:rsid w:val="00171BB1"/>
    <w:rsid w:val="00171BFC"/>
    <w:rsid w:val="00171C48"/>
    <w:rsid w:val="00171C54"/>
    <w:rsid w:val="0017205C"/>
    <w:rsid w:val="001720AE"/>
    <w:rsid w:val="0017231C"/>
    <w:rsid w:val="0017252B"/>
    <w:rsid w:val="001726AC"/>
    <w:rsid w:val="00172705"/>
    <w:rsid w:val="00172843"/>
    <w:rsid w:val="00172EDB"/>
    <w:rsid w:val="001731B2"/>
    <w:rsid w:val="0017322D"/>
    <w:rsid w:val="00173529"/>
    <w:rsid w:val="001735C2"/>
    <w:rsid w:val="00173719"/>
    <w:rsid w:val="00173793"/>
    <w:rsid w:val="001737D2"/>
    <w:rsid w:val="00173922"/>
    <w:rsid w:val="001739DF"/>
    <w:rsid w:val="00173C42"/>
    <w:rsid w:val="0017427D"/>
    <w:rsid w:val="00174433"/>
    <w:rsid w:val="001744AD"/>
    <w:rsid w:val="001745D6"/>
    <w:rsid w:val="0017477E"/>
    <w:rsid w:val="00174F24"/>
    <w:rsid w:val="00174F83"/>
    <w:rsid w:val="0017539A"/>
    <w:rsid w:val="0017592E"/>
    <w:rsid w:val="00175994"/>
    <w:rsid w:val="00175E4C"/>
    <w:rsid w:val="00175F75"/>
    <w:rsid w:val="0017616D"/>
    <w:rsid w:val="001762F3"/>
    <w:rsid w:val="00176418"/>
    <w:rsid w:val="001765B2"/>
    <w:rsid w:val="00176973"/>
    <w:rsid w:val="001769D6"/>
    <w:rsid w:val="00176A06"/>
    <w:rsid w:val="00176A97"/>
    <w:rsid w:val="00176AD2"/>
    <w:rsid w:val="00176D17"/>
    <w:rsid w:val="001775D0"/>
    <w:rsid w:val="0017774E"/>
    <w:rsid w:val="001777D8"/>
    <w:rsid w:val="00177D20"/>
    <w:rsid w:val="001804C7"/>
    <w:rsid w:val="00180526"/>
    <w:rsid w:val="001806E4"/>
    <w:rsid w:val="001813A3"/>
    <w:rsid w:val="00181887"/>
    <w:rsid w:val="00181CA1"/>
    <w:rsid w:val="00181CE9"/>
    <w:rsid w:val="00181DEB"/>
    <w:rsid w:val="00181EE8"/>
    <w:rsid w:val="001822A0"/>
    <w:rsid w:val="001824AE"/>
    <w:rsid w:val="00182EC8"/>
    <w:rsid w:val="0018308F"/>
    <w:rsid w:val="0018337B"/>
    <w:rsid w:val="001842BE"/>
    <w:rsid w:val="00184445"/>
    <w:rsid w:val="0018464B"/>
    <w:rsid w:val="001847E4"/>
    <w:rsid w:val="00184812"/>
    <w:rsid w:val="001849C5"/>
    <w:rsid w:val="00184DF5"/>
    <w:rsid w:val="00185139"/>
    <w:rsid w:val="0018533B"/>
    <w:rsid w:val="00185FAF"/>
    <w:rsid w:val="001860A6"/>
    <w:rsid w:val="0018629A"/>
    <w:rsid w:val="001878B7"/>
    <w:rsid w:val="0018794E"/>
    <w:rsid w:val="00187AC3"/>
    <w:rsid w:val="00187C9D"/>
    <w:rsid w:val="00190EE7"/>
    <w:rsid w:val="001911EF"/>
    <w:rsid w:val="0019124C"/>
    <w:rsid w:val="001916FA"/>
    <w:rsid w:val="001917B0"/>
    <w:rsid w:val="0019180E"/>
    <w:rsid w:val="001919C0"/>
    <w:rsid w:val="00191DE5"/>
    <w:rsid w:val="00192095"/>
    <w:rsid w:val="00192A2F"/>
    <w:rsid w:val="00192D3A"/>
    <w:rsid w:val="00192D81"/>
    <w:rsid w:val="00193003"/>
    <w:rsid w:val="001930CD"/>
    <w:rsid w:val="001936B2"/>
    <w:rsid w:val="00193B4D"/>
    <w:rsid w:val="0019406D"/>
    <w:rsid w:val="001945E3"/>
    <w:rsid w:val="0019473B"/>
    <w:rsid w:val="001948FA"/>
    <w:rsid w:val="00194C49"/>
    <w:rsid w:val="00194F90"/>
    <w:rsid w:val="00195355"/>
    <w:rsid w:val="00195DC2"/>
    <w:rsid w:val="00196079"/>
    <w:rsid w:val="001961BB"/>
    <w:rsid w:val="001961BC"/>
    <w:rsid w:val="0019632D"/>
    <w:rsid w:val="0019647E"/>
    <w:rsid w:val="0019672D"/>
    <w:rsid w:val="00196748"/>
    <w:rsid w:val="001968AE"/>
    <w:rsid w:val="00196B78"/>
    <w:rsid w:val="001970D6"/>
    <w:rsid w:val="00197888"/>
    <w:rsid w:val="00197D09"/>
    <w:rsid w:val="00197E3D"/>
    <w:rsid w:val="001A031D"/>
    <w:rsid w:val="001A08EA"/>
    <w:rsid w:val="001A09CC"/>
    <w:rsid w:val="001A0C5E"/>
    <w:rsid w:val="001A0C5F"/>
    <w:rsid w:val="001A0CA3"/>
    <w:rsid w:val="001A0E7B"/>
    <w:rsid w:val="001A0F93"/>
    <w:rsid w:val="001A11AD"/>
    <w:rsid w:val="001A1245"/>
    <w:rsid w:val="001A148A"/>
    <w:rsid w:val="001A1492"/>
    <w:rsid w:val="001A1B95"/>
    <w:rsid w:val="001A1BBF"/>
    <w:rsid w:val="001A1BF1"/>
    <w:rsid w:val="001A1D8F"/>
    <w:rsid w:val="001A1E2F"/>
    <w:rsid w:val="001A1ECF"/>
    <w:rsid w:val="001A1F0C"/>
    <w:rsid w:val="001A2913"/>
    <w:rsid w:val="001A2B15"/>
    <w:rsid w:val="001A2F25"/>
    <w:rsid w:val="001A32E3"/>
    <w:rsid w:val="001A3BF6"/>
    <w:rsid w:val="001A3D98"/>
    <w:rsid w:val="001A3F6B"/>
    <w:rsid w:val="001A4A27"/>
    <w:rsid w:val="001A4B28"/>
    <w:rsid w:val="001A4F6A"/>
    <w:rsid w:val="001A5128"/>
    <w:rsid w:val="001A53B0"/>
    <w:rsid w:val="001A5804"/>
    <w:rsid w:val="001A5CC8"/>
    <w:rsid w:val="001A6123"/>
    <w:rsid w:val="001A6D08"/>
    <w:rsid w:val="001A7035"/>
    <w:rsid w:val="001A798E"/>
    <w:rsid w:val="001A7BA0"/>
    <w:rsid w:val="001B07A6"/>
    <w:rsid w:val="001B0B40"/>
    <w:rsid w:val="001B1011"/>
    <w:rsid w:val="001B122E"/>
    <w:rsid w:val="001B143C"/>
    <w:rsid w:val="001B16B4"/>
    <w:rsid w:val="001B1B19"/>
    <w:rsid w:val="001B1B77"/>
    <w:rsid w:val="001B25AC"/>
    <w:rsid w:val="001B2661"/>
    <w:rsid w:val="001B28F2"/>
    <w:rsid w:val="001B2916"/>
    <w:rsid w:val="001B2C68"/>
    <w:rsid w:val="001B3BBA"/>
    <w:rsid w:val="001B3FB7"/>
    <w:rsid w:val="001B4196"/>
    <w:rsid w:val="001B4596"/>
    <w:rsid w:val="001B471B"/>
    <w:rsid w:val="001B4C19"/>
    <w:rsid w:val="001B4D41"/>
    <w:rsid w:val="001B5202"/>
    <w:rsid w:val="001B5682"/>
    <w:rsid w:val="001B570F"/>
    <w:rsid w:val="001B59A6"/>
    <w:rsid w:val="001B677E"/>
    <w:rsid w:val="001B67E3"/>
    <w:rsid w:val="001B7011"/>
    <w:rsid w:val="001B705B"/>
    <w:rsid w:val="001B7346"/>
    <w:rsid w:val="001B74C4"/>
    <w:rsid w:val="001B7D83"/>
    <w:rsid w:val="001C05B1"/>
    <w:rsid w:val="001C0A42"/>
    <w:rsid w:val="001C0C5B"/>
    <w:rsid w:val="001C0DE9"/>
    <w:rsid w:val="001C1B3C"/>
    <w:rsid w:val="001C1D75"/>
    <w:rsid w:val="001C1EB0"/>
    <w:rsid w:val="001C221F"/>
    <w:rsid w:val="001C22A2"/>
    <w:rsid w:val="001C2360"/>
    <w:rsid w:val="001C23AD"/>
    <w:rsid w:val="001C29A2"/>
    <w:rsid w:val="001C2DAF"/>
    <w:rsid w:val="001C30E9"/>
    <w:rsid w:val="001C3448"/>
    <w:rsid w:val="001C3691"/>
    <w:rsid w:val="001C3B2C"/>
    <w:rsid w:val="001C40E3"/>
    <w:rsid w:val="001C4678"/>
    <w:rsid w:val="001C4967"/>
    <w:rsid w:val="001C4AD7"/>
    <w:rsid w:val="001C4BFE"/>
    <w:rsid w:val="001C4E3E"/>
    <w:rsid w:val="001C531C"/>
    <w:rsid w:val="001C564B"/>
    <w:rsid w:val="001C58E3"/>
    <w:rsid w:val="001C63AE"/>
    <w:rsid w:val="001C6B60"/>
    <w:rsid w:val="001C6BCE"/>
    <w:rsid w:val="001C6D15"/>
    <w:rsid w:val="001C726C"/>
    <w:rsid w:val="001C7336"/>
    <w:rsid w:val="001C7591"/>
    <w:rsid w:val="001D0178"/>
    <w:rsid w:val="001D0249"/>
    <w:rsid w:val="001D0287"/>
    <w:rsid w:val="001D06FC"/>
    <w:rsid w:val="001D09BE"/>
    <w:rsid w:val="001D0A1D"/>
    <w:rsid w:val="001D1144"/>
    <w:rsid w:val="001D1360"/>
    <w:rsid w:val="001D1685"/>
    <w:rsid w:val="001D1BD7"/>
    <w:rsid w:val="001D1D9E"/>
    <w:rsid w:val="001D2072"/>
    <w:rsid w:val="001D21A7"/>
    <w:rsid w:val="001D2648"/>
    <w:rsid w:val="001D2AE0"/>
    <w:rsid w:val="001D2F12"/>
    <w:rsid w:val="001D3A83"/>
    <w:rsid w:val="001D3C91"/>
    <w:rsid w:val="001D3DFA"/>
    <w:rsid w:val="001D3F2B"/>
    <w:rsid w:val="001D4358"/>
    <w:rsid w:val="001D5561"/>
    <w:rsid w:val="001D557A"/>
    <w:rsid w:val="001D5801"/>
    <w:rsid w:val="001D5939"/>
    <w:rsid w:val="001D5AF4"/>
    <w:rsid w:val="001D5D85"/>
    <w:rsid w:val="001D61E8"/>
    <w:rsid w:val="001D6321"/>
    <w:rsid w:val="001D6967"/>
    <w:rsid w:val="001D69A6"/>
    <w:rsid w:val="001D6B9C"/>
    <w:rsid w:val="001D6C61"/>
    <w:rsid w:val="001D6E1A"/>
    <w:rsid w:val="001D6F94"/>
    <w:rsid w:val="001D75EE"/>
    <w:rsid w:val="001D782E"/>
    <w:rsid w:val="001D7CBF"/>
    <w:rsid w:val="001D7EEF"/>
    <w:rsid w:val="001D7F15"/>
    <w:rsid w:val="001E019D"/>
    <w:rsid w:val="001E04D0"/>
    <w:rsid w:val="001E063B"/>
    <w:rsid w:val="001E0A7B"/>
    <w:rsid w:val="001E1BB1"/>
    <w:rsid w:val="001E2155"/>
    <w:rsid w:val="001E243D"/>
    <w:rsid w:val="001E2982"/>
    <w:rsid w:val="001E3382"/>
    <w:rsid w:val="001E3752"/>
    <w:rsid w:val="001E3A02"/>
    <w:rsid w:val="001E417E"/>
    <w:rsid w:val="001E43E1"/>
    <w:rsid w:val="001E4874"/>
    <w:rsid w:val="001E52DA"/>
    <w:rsid w:val="001E5323"/>
    <w:rsid w:val="001E542C"/>
    <w:rsid w:val="001E54B2"/>
    <w:rsid w:val="001E5564"/>
    <w:rsid w:val="001E5606"/>
    <w:rsid w:val="001E5704"/>
    <w:rsid w:val="001E58FF"/>
    <w:rsid w:val="001E5A52"/>
    <w:rsid w:val="001E5FD8"/>
    <w:rsid w:val="001E626E"/>
    <w:rsid w:val="001E6FDA"/>
    <w:rsid w:val="001E732D"/>
    <w:rsid w:val="001E74E8"/>
    <w:rsid w:val="001E76AF"/>
    <w:rsid w:val="001E770C"/>
    <w:rsid w:val="001E7977"/>
    <w:rsid w:val="001E79F0"/>
    <w:rsid w:val="001E7D9B"/>
    <w:rsid w:val="001F00E0"/>
    <w:rsid w:val="001F0676"/>
    <w:rsid w:val="001F073F"/>
    <w:rsid w:val="001F0E5C"/>
    <w:rsid w:val="001F1B33"/>
    <w:rsid w:val="001F1B4B"/>
    <w:rsid w:val="001F2858"/>
    <w:rsid w:val="001F294B"/>
    <w:rsid w:val="001F2C21"/>
    <w:rsid w:val="001F3760"/>
    <w:rsid w:val="001F3786"/>
    <w:rsid w:val="001F39F1"/>
    <w:rsid w:val="001F3D3F"/>
    <w:rsid w:val="001F4325"/>
    <w:rsid w:val="001F4575"/>
    <w:rsid w:val="001F4A8D"/>
    <w:rsid w:val="001F5549"/>
    <w:rsid w:val="001F5589"/>
    <w:rsid w:val="001F5934"/>
    <w:rsid w:val="001F59AB"/>
    <w:rsid w:val="001F5C34"/>
    <w:rsid w:val="001F5D3F"/>
    <w:rsid w:val="001F5D70"/>
    <w:rsid w:val="001F5E95"/>
    <w:rsid w:val="001F5EE6"/>
    <w:rsid w:val="001F618F"/>
    <w:rsid w:val="001F627F"/>
    <w:rsid w:val="001F635C"/>
    <w:rsid w:val="001F68D4"/>
    <w:rsid w:val="001F6F39"/>
    <w:rsid w:val="001F7E69"/>
    <w:rsid w:val="00200380"/>
    <w:rsid w:val="0020062E"/>
    <w:rsid w:val="00200BA5"/>
    <w:rsid w:val="002013FC"/>
    <w:rsid w:val="002014EA"/>
    <w:rsid w:val="00201963"/>
    <w:rsid w:val="00201C9E"/>
    <w:rsid w:val="00201F53"/>
    <w:rsid w:val="00201F5C"/>
    <w:rsid w:val="00201F72"/>
    <w:rsid w:val="002028E4"/>
    <w:rsid w:val="00203762"/>
    <w:rsid w:val="002038E7"/>
    <w:rsid w:val="002043F2"/>
    <w:rsid w:val="00204408"/>
    <w:rsid w:val="00204862"/>
    <w:rsid w:val="00204F56"/>
    <w:rsid w:val="002053B9"/>
    <w:rsid w:val="002058CA"/>
    <w:rsid w:val="00206170"/>
    <w:rsid w:val="002061BF"/>
    <w:rsid w:val="0020620D"/>
    <w:rsid w:val="00206F5D"/>
    <w:rsid w:val="00207011"/>
    <w:rsid w:val="0020746F"/>
    <w:rsid w:val="002074E9"/>
    <w:rsid w:val="00207B45"/>
    <w:rsid w:val="00207E54"/>
    <w:rsid w:val="00210699"/>
    <w:rsid w:val="0021088F"/>
    <w:rsid w:val="00210A7C"/>
    <w:rsid w:val="00210B08"/>
    <w:rsid w:val="00210D05"/>
    <w:rsid w:val="00212470"/>
    <w:rsid w:val="00212834"/>
    <w:rsid w:val="0021284D"/>
    <w:rsid w:val="00212C6A"/>
    <w:rsid w:val="00213BC4"/>
    <w:rsid w:val="00214033"/>
    <w:rsid w:val="002144FE"/>
    <w:rsid w:val="0021498A"/>
    <w:rsid w:val="00214A41"/>
    <w:rsid w:val="00214DCB"/>
    <w:rsid w:val="00214EED"/>
    <w:rsid w:val="00215C0E"/>
    <w:rsid w:val="00216034"/>
    <w:rsid w:val="00216E7F"/>
    <w:rsid w:val="00216ED3"/>
    <w:rsid w:val="00216F4A"/>
    <w:rsid w:val="0021708A"/>
    <w:rsid w:val="00217175"/>
    <w:rsid w:val="002171A1"/>
    <w:rsid w:val="0021748B"/>
    <w:rsid w:val="00217705"/>
    <w:rsid w:val="0021773E"/>
    <w:rsid w:val="00217BC8"/>
    <w:rsid w:val="00217C57"/>
    <w:rsid w:val="00217E74"/>
    <w:rsid w:val="00220298"/>
    <w:rsid w:val="00220562"/>
    <w:rsid w:val="00220598"/>
    <w:rsid w:val="002205C1"/>
    <w:rsid w:val="0022077A"/>
    <w:rsid w:val="002210EC"/>
    <w:rsid w:val="00221428"/>
    <w:rsid w:val="002219E7"/>
    <w:rsid w:val="00221B79"/>
    <w:rsid w:val="00221EB5"/>
    <w:rsid w:val="00222312"/>
    <w:rsid w:val="00222842"/>
    <w:rsid w:val="002232D7"/>
    <w:rsid w:val="002238F8"/>
    <w:rsid w:val="00223C80"/>
    <w:rsid w:val="00224483"/>
    <w:rsid w:val="00224715"/>
    <w:rsid w:val="002248FE"/>
    <w:rsid w:val="00224F3B"/>
    <w:rsid w:val="00224F5D"/>
    <w:rsid w:val="002250AF"/>
    <w:rsid w:val="002251BF"/>
    <w:rsid w:val="00225F30"/>
    <w:rsid w:val="00226049"/>
    <w:rsid w:val="00226072"/>
    <w:rsid w:val="00226178"/>
    <w:rsid w:val="002261D1"/>
    <w:rsid w:val="00226688"/>
    <w:rsid w:val="002266C2"/>
    <w:rsid w:val="00226794"/>
    <w:rsid w:val="002267AE"/>
    <w:rsid w:val="00226847"/>
    <w:rsid w:val="00226927"/>
    <w:rsid w:val="00226B81"/>
    <w:rsid w:val="00227107"/>
    <w:rsid w:val="0022718E"/>
    <w:rsid w:val="00227636"/>
    <w:rsid w:val="0022768F"/>
    <w:rsid w:val="002277CF"/>
    <w:rsid w:val="00227A7D"/>
    <w:rsid w:val="00227B01"/>
    <w:rsid w:val="00227CFE"/>
    <w:rsid w:val="00227E09"/>
    <w:rsid w:val="00230AA1"/>
    <w:rsid w:val="0023100A"/>
    <w:rsid w:val="00231029"/>
    <w:rsid w:val="002313F1"/>
    <w:rsid w:val="00231479"/>
    <w:rsid w:val="002317BB"/>
    <w:rsid w:val="00231934"/>
    <w:rsid w:val="00231DD1"/>
    <w:rsid w:val="00231EEE"/>
    <w:rsid w:val="00232C8C"/>
    <w:rsid w:val="00232D8B"/>
    <w:rsid w:val="002330A3"/>
    <w:rsid w:val="002331AC"/>
    <w:rsid w:val="0023332B"/>
    <w:rsid w:val="00233618"/>
    <w:rsid w:val="00233F44"/>
    <w:rsid w:val="00234082"/>
    <w:rsid w:val="002340E0"/>
    <w:rsid w:val="002340EB"/>
    <w:rsid w:val="00234588"/>
    <w:rsid w:val="00234699"/>
    <w:rsid w:val="002353BC"/>
    <w:rsid w:val="002354E8"/>
    <w:rsid w:val="00235631"/>
    <w:rsid w:val="002356C9"/>
    <w:rsid w:val="00235A1F"/>
    <w:rsid w:val="00235E3A"/>
    <w:rsid w:val="002362AA"/>
    <w:rsid w:val="002367F8"/>
    <w:rsid w:val="00236A99"/>
    <w:rsid w:val="00236EED"/>
    <w:rsid w:val="00237000"/>
    <w:rsid w:val="0023719B"/>
    <w:rsid w:val="002371C6"/>
    <w:rsid w:val="00237462"/>
    <w:rsid w:val="002377B4"/>
    <w:rsid w:val="00237A19"/>
    <w:rsid w:val="00237B98"/>
    <w:rsid w:val="00237DD0"/>
    <w:rsid w:val="00237DFF"/>
    <w:rsid w:val="002401AA"/>
    <w:rsid w:val="002408DA"/>
    <w:rsid w:val="00240CE4"/>
    <w:rsid w:val="00240E00"/>
    <w:rsid w:val="00241D2A"/>
    <w:rsid w:val="00241F27"/>
    <w:rsid w:val="00242456"/>
    <w:rsid w:val="002424B6"/>
    <w:rsid w:val="002424C8"/>
    <w:rsid w:val="00242716"/>
    <w:rsid w:val="00242749"/>
    <w:rsid w:val="00242782"/>
    <w:rsid w:val="00242945"/>
    <w:rsid w:val="00242E43"/>
    <w:rsid w:val="002433A5"/>
    <w:rsid w:val="002436AE"/>
    <w:rsid w:val="00243B02"/>
    <w:rsid w:val="00244249"/>
    <w:rsid w:val="00244B20"/>
    <w:rsid w:val="002451D1"/>
    <w:rsid w:val="0024530C"/>
    <w:rsid w:val="002453C9"/>
    <w:rsid w:val="002456C3"/>
    <w:rsid w:val="002456D5"/>
    <w:rsid w:val="00245EA6"/>
    <w:rsid w:val="00246579"/>
    <w:rsid w:val="002467FB"/>
    <w:rsid w:val="00246989"/>
    <w:rsid w:val="002469B5"/>
    <w:rsid w:val="00246D27"/>
    <w:rsid w:val="00246DCC"/>
    <w:rsid w:val="002473A7"/>
    <w:rsid w:val="00247437"/>
    <w:rsid w:val="002475E8"/>
    <w:rsid w:val="002477C2"/>
    <w:rsid w:val="002478C0"/>
    <w:rsid w:val="00247E66"/>
    <w:rsid w:val="00250268"/>
    <w:rsid w:val="002506F2"/>
    <w:rsid w:val="00250710"/>
    <w:rsid w:val="00250889"/>
    <w:rsid w:val="00250B46"/>
    <w:rsid w:val="002511B7"/>
    <w:rsid w:val="00251BA9"/>
    <w:rsid w:val="00251F59"/>
    <w:rsid w:val="002520F8"/>
    <w:rsid w:val="00252122"/>
    <w:rsid w:val="00252220"/>
    <w:rsid w:val="002526D6"/>
    <w:rsid w:val="00252B24"/>
    <w:rsid w:val="00252DCB"/>
    <w:rsid w:val="00252F47"/>
    <w:rsid w:val="00253117"/>
    <w:rsid w:val="002532ED"/>
    <w:rsid w:val="002534DA"/>
    <w:rsid w:val="002536C3"/>
    <w:rsid w:val="0025379B"/>
    <w:rsid w:val="00253BD9"/>
    <w:rsid w:val="00253CFD"/>
    <w:rsid w:val="00253D84"/>
    <w:rsid w:val="00253FED"/>
    <w:rsid w:val="00254590"/>
    <w:rsid w:val="0025473C"/>
    <w:rsid w:val="00254F0E"/>
    <w:rsid w:val="00255910"/>
    <w:rsid w:val="00255B76"/>
    <w:rsid w:val="00256168"/>
    <w:rsid w:val="002563B6"/>
    <w:rsid w:val="00256559"/>
    <w:rsid w:val="00256AF6"/>
    <w:rsid w:val="00256FEA"/>
    <w:rsid w:val="002570A1"/>
    <w:rsid w:val="0025718F"/>
    <w:rsid w:val="00257205"/>
    <w:rsid w:val="00257347"/>
    <w:rsid w:val="00257512"/>
    <w:rsid w:val="0025783D"/>
    <w:rsid w:val="00257947"/>
    <w:rsid w:val="00257B06"/>
    <w:rsid w:val="00257B20"/>
    <w:rsid w:val="00257B2A"/>
    <w:rsid w:val="00257C5F"/>
    <w:rsid w:val="00257D98"/>
    <w:rsid w:val="00257E10"/>
    <w:rsid w:val="00257E5C"/>
    <w:rsid w:val="002601A0"/>
    <w:rsid w:val="0026103C"/>
    <w:rsid w:val="0026113D"/>
    <w:rsid w:val="0026142E"/>
    <w:rsid w:val="002615DF"/>
    <w:rsid w:val="0026173A"/>
    <w:rsid w:val="00261821"/>
    <w:rsid w:val="002619CA"/>
    <w:rsid w:val="00261AB3"/>
    <w:rsid w:val="00261D18"/>
    <w:rsid w:val="00261E35"/>
    <w:rsid w:val="00261F8B"/>
    <w:rsid w:val="0026202B"/>
    <w:rsid w:val="002620E5"/>
    <w:rsid w:val="0026215A"/>
    <w:rsid w:val="00262ACD"/>
    <w:rsid w:val="00262D81"/>
    <w:rsid w:val="00262DDF"/>
    <w:rsid w:val="00263210"/>
    <w:rsid w:val="002633C3"/>
    <w:rsid w:val="0026343B"/>
    <w:rsid w:val="0026370A"/>
    <w:rsid w:val="00263897"/>
    <w:rsid w:val="002642A5"/>
    <w:rsid w:val="0026483B"/>
    <w:rsid w:val="00264B19"/>
    <w:rsid w:val="00264E61"/>
    <w:rsid w:val="002656AC"/>
    <w:rsid w:val="002656E9"/>
    <w:rsid w:val="00265761"/>
    <w:rsid w:val="002657B7"/>
    <w:rsid w:val="002659E5"/>
    <w:rsid w:val="00265D1D"/>
    <w:rsid w:val="00266085"/>
    <w:rsid w:val="00266283"/>
    <w:rsid w:val="00266333"/>
    <w:rsid w:val="00266E0E"/>
    <w:rsid w:val="00266EBA"/>
    <w:rsid w:val="00267424"/>
    <w:rsid w:val="002676B6"/>
    <w:rsid w:val="00267955"/>
    <w:rsid w:val="002703F9"/>
    <w:rsid w:val="00270568"/>
    <w:rsid w:val="002709CB"/>
    <w:rsid w:val="00270BCF"/>
    <w:rsid w:val="00270EEE"/>
    <w:rsid w:val="00270EF6"/>
    <w:rsid w:val="002712A2"/>
    <w:rsid w:val="00271553"/>
    <w:rsid w:val="00271804"/>
    <w:rsid w:val="00271949"/>
    <w:rsid w:val="00271998"/>
    <w:rsid w:val="00271CCB"/>
    <w:rsid w:val="00272A53"/>
    <w:rsid w:val="00272D17"/>
    <w:rsid w:val="00272E16"/>
    <w:rsid w:val="00273075"/>
    <w:rsid w:val="00273106"/>
    <w:rsid w:val="0027313D"/>
    <w:rsid w:val="002732FC"/>
    <w:rsid w:val="002736E0"/>
    <w:rsid w:val="0027392D"/>
    <w:rsid w:val="00273BCC"/>
    <w:rsid w:val="00273C37"/>
    <w:rsid w:val="002744DC"/>
    <w:rsid w:val="00274896"/>
    <w:rsid w:val="00274B2B"/>
    <w:rsid w:val="00274D40"/>
    <w:rsid w:val="00275ECC"/>
    <w:rsid w:val="002760BB"/>
    <w:rsid w:val="002761AB"/>
    <w:rsid w:val="0027648A"/>
    <w:rsid w:val="0027658B"/>
    <w:rsid w:val="002765CF"/>
    <w:rsid w:val="00276BCC"/>
    <w:rsid w:val="00276F9E"/>
    <w:rsid w:val="00276FAB"/>
    <w:rsid w:val="00277078"/>
    <w:rsid w:val="0027713B"/>
    <w:rsid w:val="002771E5"/>
    <w:rsid w:val="002774E3"/>
    <w:rsid w:val="0027757A"/>
    <w:rsid w:val="00277857"/>
    <w:rsid w:val="00277882"/>
    <w:rsid w:val="00277C49"/>
    <w:rsid w:val="0028079A"/>
    <w:rsid w:val="00280B57"/>
    <w:rsid w:val="00280C1E"/>
    <w:rsid w:val="00280DD3"/>
    <w:rsid w:val="00280E34"/>
    <w:rsid w:val="00280EC8"/>
    <w:rsid w:val="002811BC"/>
    <w:rsid w:val="0028191F"/>
    <w:rsid w:val="00281B11"/>
    <w:rsid w:val="00281C13"/>
    <w:rsid w:val="00281F06"/>
    <w:rsid w:val="002823D5"/>
    <w:rsid w:val="00283157"/>
    <w:rsid w:val="0028373A"/>
    <w:rsid w:val="00283771"/>
    <w:rsid w:val="00284598"/>
    <w:rsid w:val="00284B18"/>
    <w:rsid w:val="00285452"/>
    <w:rsid w:val="00285E1C"/>
    <w:rsid w:val="0028622C"/>
    <w:rsid w:val="00286421"/>
    <w:rsid w:val="00286438"/>
    <w:rsid w:val="00286986"/>
    <w:rsid w:val="00287672"/>
    <w:rsid w:val="00287B99"/>
    <w:rsid w:val="00287F03"/>
    <w:rsid w:val="00287F6D"/>
    <w:rsid w:val="00290264"/>
    <w:rsid w:val="002902AD"/>
    <w:rsid w:val="00290419"/>
    <w:rsid w:val="002906F1"/>
    <w:rsid w:val="00290B26"/>
    <w:rsid w:val="00290E5A"/>
    <w:rsid w:val="0029121A"/>
    <w:rsid w:val="0029143D"/>
    <w:rsid w:val="00291524"/>
    <w:rsid w:val="002921A6"/>
    <w:rsid w:val="00292307"/>
    <w:rsid w:val="002923BC"/>
    <w:rsid w:val="00292651"/>
    <w:rsid w:val="002933FD"/>
    <w:rsid w:val="00293417"/>
    <w:rsid w:val="00293620"/>
    <w:rsid w:val="0029364A"/>
    <w:rsid w:val="00293C34"/>
    <w:rsid w:val="00293C54"/>
    <w:rsid w:val="0029400E"/>
    <w:rsid w:val="00294349"/>
    <w:rsid w:val="002944CA"/>
    <w:rsid w:val="002948BE"/>
    <w:rsid w:val="00294E39"/>
    <w:rsid w:val="00294F91"/>
    <w:rsid w:val="0029512E"/>
    <w:rsid w:val="002952AE"/>
    <w:rsid w:val="00295667"/>
    <w:rsid w:val="00295A22"/>
    <w:rsid w:val="00295A86"/>
    <w:rsid w:val="00295AD4"/>
    <w:rsid w:val="002960CD"/>
    <w:rsid w:val="0029616E"/>
    <w:rsid w:val="0029710C"/>
    <w:rsid w:val="00297301"/>
    <w:rsid w:val="0029770C"/>
    <w:rsid w:val="00297C5F"/>
    <w:rsid w:val="00297CDB"/>
    <w:rsid w:val="00297DD9"/>
    <w:rsid w:val="00297EA0"/>
    <w:rsid w:val="002A0665"/>
    <w:rsid w:val="002A09EF"/>
    <w:rsid w:val="002A09F1"/>
    <w:rsid w:val="002A0BD2"/>
    <w:rsid w:val="002A136B"/>
    <w:rsid w:val="002A137F"/>
    <w:rsid w:val="002A15A9"/>
    <w:rsid w:val="002A1C81"/>
    <w:rsid w:val="002A1CB4"/>
    <w:rsid w:val="002A1DC6"/>
    <w:rsid w:val="002A1F24"/>
    <w:rsid w:val="002A2830"/>
    <w:rsid w:val="002A2A0F"/>
    <w:rsid w:val="002A2E31"/>
    <w:rsid w:val="002A3572"/>
    <w:rsid w:val="002A3D1D"/>
    <w:rsid w:val="002A3ED9"/>
    <w:rsid w:val="002A3F0D"/>
    <w:rsid w:val="002A404C"/>
    <w:rsid w:val="002A4FEE"/>
    <w:rsid w:val="002A50EB"/>
    <w:rsid w:val="002A53CA"/>
    <w:rsid w:val="002A5B27"/>
    <w:rsid w:val="002A5D95"/>
    <w:rsid w:val="002A5DA7"/>
    <w:rsid w:val="002A5E90"/>
    <w:rsid w:val="002A5FED"/>
    <w:rsid w:val="002A6549"/>
    <w:rsid w:val="002A687C"/>
    <w:rsid w:val="002A6D2D"/>
    <w:rsid w:val="002A6E49"/>
    <w:rsid w:val="002A6E81"/>
    <w:rsid w:val="002A73AF"/>
    <w:rsid w:val="002A7416"/>
    <w:rsid w:val="002A7754"/>
    <w:rsid w:val="002B05C2"/>
    <w:rsid w:val="002B06C9"/>
    <w:rsid w:val="002B0857"/>
    <w:rsid w:val="002B0968"/>
    <w:rsid w:val="002B0E73"/>
    <w:rsid w:val="002B1082"/>
    <w:rsid w:val="002B12A8"/>
    <w:rsid w:val="002B1387"/>
    <w:rsid w:val="002B182B"/>
    <w:rsid w:val="002B19B7"/>
    <w:rsid w:val="002B19C4"/>
    <w:rsid w:val="002B1ABF"/>
    <w:rsid w:val="002B1DCF"/>
    <w:rsid w:val="002B1FCE"/>
    <w:rsid w:val="002B20E6"/>
    <w:rsid w:val="002B26E3"/>
    <w:rsid w:val="002B2935"/>
    <w:rsid w:val="002B3125"/>
    <w:rsid w:val="002B34BA"/>
    <w:rsid w:val="002B3864"/>
    <w:rsid w:val="002B3870"/>
    <w:rsid w:val="002B407D"/>
    <w:rsid w:val="002B470C"/>
    <w:rsid w:val="002B48D8"/>
    <w:rsid w:val="002B4995"/>
    <w:rsid w:val="002B4BF0"/>
    <w:rsid w:val="002B4D3B"/>
    <w:rsid w:val="002B551A"/>
    <w:rsid w:val="002B55C9"/>
    <w:rsid w:val="002B58FF"/>
    <w:rsid w:val="002B5D16"/>
    <w:rsid w:val="002B5F1F"/>
    <w:rsid w:val="002B60B8"/>
    <w:rsid w:val="002B6265"/>
    <w:rsid w:val="002B680E"/>
    <w:rsid w:val="002B6963"/>
    <w:rsid w:val="002B6CDB"/>
    <w:rsid w:val="002B7263"/>
    <w:rsid w:val="002B7697"/>
    <w:rsid w:val="002B78D0"/>
    <w:rsid w:val="002B78FE"/>
    <w:rsid w:val="002B7BEC"/>
    <w:rsid w:val="002C0214"/>
    <w:rsid w:val="002C024B"/>
    <w:rsid w:val="002C08EE"/>
    <w:rsid w:val="002C0D7D"/>
    <w:rsid w:val="002C0FA6"/>
    <w:rsid w:val="002C12FC"/>
    <w:rsid w:val="002C14C2"/>
    <w:rsid w:val="002C15C1"/>
    <w:rsid w:val="002C1665"/>
    <w:rsid w:val="002C195B"/>
    <w:rsid w:val="002C1AFA"/>
    <w:rsid w:val="002C1FE6"/>
    <w:rsid w:val="002C1FEC"/>
    <w:rsid w:val="002C20CE"/>
    <w:rsid w:val="002C219C"/>
    <w:rsid w:val="002C2F25"/>
    <w:rsid w:val="002C2F30"/>
    <w:rsid w:val="002C2F8D"/>
    <w:rsid w:val="002C343E"/>
    <w:rsid w:val="002C4585"/>
    <w:rsid w:val="002C489A"/>
    <w:rsid w:val="002C5017"/>
    <w:rsid w:val="002C5213"/>
    <w:rsid w:val="002C539D"/>
    <w:rsid w:val="002C5515"/>
    <w:rsid w:val="002C55F4"/>
    <w:rsid w:val="002C57F5"/>
    <w:rsid w:val="002C58D3"/>
    <w:rsid w:val="002C5A67"/>
    <w:rsid w:val="002C5FEE"/>
    <w:rsid w:val="002C60B9"/>
    <w:rsid w:val="002C656A"/>
    <w:rsid w:val="002C67CB"/>
    <w:rsid w:val="002C6905"/>
    <w:rsid w:val="002C69FD"/>
    <w:rsid w:val="002C6D19"/>
    <w:rsid w:val="002C6DE6"/>
    <w:rsid w:val="002C6EF6"/>
    <w:rsid w:val="002C7673"/>
    <w:rsid w:val="002C79D1"/>
    <w:rsid w:val="002C7A01"/>
    <w:rsid w:val="002C7F4F"/>
    <w:rsid w:val="002C7F6B"/>
    <w:rsid w:val="002D02B6"/>
    <w:rsid w:val="002D02EB"/>
    <w:rsid w:val="002D0646"/>
    <w:rsid w:val="002D0A4A"/>
    <w:rsid w:val="002D0DE0"/>
    <w:rsid w:val="002D1048"/>
    <w:rsid w:val="002D132F"/>
    <w:rsid w:val="002D1789"/>
    <w:rsid w:val="002D1836"/>
    <w:rsid w:val="002D1871"/>
    <w:rsid w:val="002D1C31"/>
    <w:rsid w:val="002D1CB0"/>
    <w:rsid w:val="002D1EB3"/>
    <w:rsid w:val="002D1FAF"/>
    <w:rsid w:val="002D28BC"/>
    <w:rsid w:val="002D2CD4"/>
    <w:rsid w:val="002D304E"/>
    <w:rsid w:val="002D329B"/>
    <w:rsid w:val="002D33B5"/>
    <w:rsid w:val="002D3551"/>
    <w:rsid w:val="002D3775"/>
    <w:rsid w:val="002D37F4"/>
    <w:rsid w:val="002D388B"/>
    <w:rsid w:val="002D39DE"/>
    <w:rsid w:val="002D3B5B"/>
    <w:rsid w:val="002D45AC"/>
    <w:rsid w:val="002D51E0"/>
    <w:rsid w:val="002D5259"/>
    <w:rsid w:val="002D5335"/>
    <w:rsid w:val="002D5409"/>
    <w:rsid w:val="002D57A0"/>
    <w:rsid w:val="002D59D1"/>
    <w:rsid w:val="002D5C3D"/>
    <w:rsid w:val="002D60D7"/>
    <w:rsid w:val="002D6270"/>
    <w:rsid w:val="002D63C5"/>
    <w:rsid w:val="002D6418"/>
    <w:rsid w:val="002D64C6"/>
    <w:rsid w:val="002D6652"/>
    <w:rsid w:val="002D72DE"/>
    <w:rsid w:val="002D74AF"/>
    <w:rsid w:val="002D785B"/>
    <w:rsid w:val="002E010A"/>
    <w:rsid w:val="002E0152"/>
    <w:rsid w:val="002E02FD"/>
    <w:rsid w:val="002E057C"/>
    <w:rsid w:val="002E08DA"/>
    <w:rsid w:val="002E0D26"/>
    <w:rsid w:val="002E1C1B"/>
    <w:rsid w:val="002E1CBB"/>
    <w:rsid w:val="002E2573"/>
    <w:rsid w:val="002E2FFE"/>
    <w:rsid w:val="002E31EB"/>
    <w:rsid w:val="002E32C9"/>
    <w:rsid w:val="002E337E"/>
    <w:rsid w:val="002E3A4D"/>
    <w:rsid w:val="002E400F"/>
    <w:rsid w:val="002E41B2"/>
    <w:rsid w:val="002E42D1"/>
    <w:rsid w:val="002E45B3"/>
    <w:rsid w:val="002E4E63"/>
    <w:rsid w:val="002E5015"/>
    <w:rsid w:val="002E5550"/>
    <w:rsid w:val="002E5716"/>
    <w:rsid w:val="002E5875"/>
    <w:rsid w:val="002E6296"/>
    <w:rsid w:val="002E6DE4"/>
    <w:rsid w:val="002E75FD"/>
    <w:rsid w:val="002E785F"/>
    <w:rsid w:val="002E7ABC"/>
    <w:rsid w:val="002E7D3D"/>
    <w:rsid w:val="002E7DF4"/>
    <w:rsid w:val="002F001F"/>
    <w:rsid w:val="002F01BA"/>
    <w:rsid w:val="002F094B"/>
    <w:rsid w:val="002F0AB7"/>
    <w:rsid w:val="002F107A"/>
    <w:rsid w:val="002F1997"/>
    <w:rsid w:val="002F199E"/>
    <w:rsid w:val="002F1CC2"/>
    <w:rsid w:val="002F2227"/>
    <w:rsid w:val="002F2326"/>
    <w:rsid w:val="002F2B4D"/>
    <w:rsid w:val="002F312F"/>
    <w:rsid w:val="002F3150"/>
    <w:rsid w:val="002F387C"/>
    <w:rsid w:val="002F3972"/>
    <w:rsid w:val="002F3A20"/>
    <w:rsid w:val="002F4018"/>
    <w:rsid w:val="002F404E"/>
    <w:rsid w:val="002F4B1A"/>
    <w:rsid w:val="002F5567"/>
    <w:rsid w:val="002F577C"/>
    <w:rsid w:val="002F583E"/>
    <w:rsid w:val="002F67F8"/>
    <w:rsid w:val="002F6B22"/>
    <w:rsid w:val="002F72CD"/>
    <w:rsid w:val="002F76D8"/>
    <w:rsid w:val="002F7C86"/>
    <w:rsid w:val="002F7DCD"/>
    <w:rsid w:val="002F7F58"/>
    <w:rsid w:val="003000C8"/>
    <w:rsid w:val="00300179"/>
    <w:rsid w:val="0030024F"/>
    <w:rsid w:val="0030071C"/>
    <w:rsid w:val="0030074C"/>
    <w:rsid w:val="003009F5"/>
    <w:rsid w:val="00300F2A"/>
    <w:rsid w:val="00301C91"/>
    <w:rsid w:val="003025DE"/>
    <w:rsid w:val="0030264F"/>
    <w:rsid w:val="00302AA0"/>
    <w:rsid w:val="003030C1"/>
    <w:rsid w:val="003037C6"/>
    <w:rsid w:val="00304683"/>
    <w:rsid w:val="00304A77"/>
    <w:rsid w:val="00304E4B"/>
    <w:rsid w:val="0030503E"/>
    <w:rsid w:val="003052EE"/>
    <w:rsid w:val="00305383"/>
    <w:rsid w:val="00305A79"/>
    <w:rsid w:val="003061DB"/>
    <w:rsid w:val="003063B8"/>
    <w:rsid w:val="00306612"/>
    <w:rsid w:val="003066B6"/>
    <w:rsid w:val="003067E2"/>
    <w:rsid w:val="003068F4"/>
    <w:rsid w:val="00306935"/>
    <w:rsid w:val="00306E8D"/>
    <w:rsid w:val="00306F78"/>
    <w:rsid w:val="0030755D"/>
    <w:rsid w:val="00307BEF"/>
    <w:rsid w:val="00307E60"/>
    <w:rsid w:val="00307E87"/>
    <w:rsid w:val="00310074"/>
    <w:rsid w:val="0031039D"/>
    <w:rsid w:val="00310A59"/>
    <w:rsid w:val="00310AE0"/>
    <w:rsid w:val="003115C4"/>
    <w:rsid w:val="00311994"/>
    <w:rsid w:val="00311A99"/>
    <w:rsid w:val="00311C8C"/>
    <w:rsid w:val="00312114"/>
    <w:rsid w:val="003121CA"/>
    <w:rsid w:val="003124B5"/>
    <w:rsid w:val="00312AAF"/>
    <w:rsid w:val="00312B73"/>
    <w:rsid w:val="00312F79"/>
    <w:rsid w:val="003133B6"/>
    <w:rsid w:val="00313633"/>
    <w:rsid w:val="003136F4"/>
    <w:rsid w:val="003139F1"/>
    <w:rsid w:val="00313CF0"/>
    <w:rsid w:val="00313D4E"/>
    <w:rsid w:val="003142AE"/>
    <w:rsid w:val="00314615"/>
    <w:rsid w:val="00314F1B"/>
    <w:rsid w:val="003150C2"/>
    <w:rsid w:val="0031524F"/>
    <w:rsid w:val="003152A0"/>
    <w:rsid w:val="003152CF"/>
    <w:rsid w:val="0031555A"/>
    <w:rsid w:val="003155A8"/>
    <w:rsid w:val="0031583E"/>
    <w:rsid w:val="00315853"/>
    <w:rsid w:val="00315BCA"/>
    <w:rsid w:val="003161C2"/>
    <w:rsid w:val="00316268"/>
    <w:rsid w:val="003177B7"/>
    <w:rsid w:val="003200AB"/>
    <w:rsid w:val="0032047E"/>
    <w:rsid w:val="00320905"/>
    <w:rsid w:val="003209B4"/>
    <w:rsid w:val="00320A66"/>
    <w:rsid w:val="00320D87"/>
    <w:rsid w:val="003211FC"/>
    <w:rsid w:val="00321617"/>
    <w:rsid w:val="00321B5B"/>
    <w:rsid w:val="00321C31"/>
    <w:rsid w:val="00321F3A"/>
    <w:rsid w:val="003223F2"/>
    <w:rsid w:val="003226A4"/>
    <w:rsid w:val="003227B4"/>
    <w:rsid w:val="00322D50"/>
    <w:rsid w:val="00322E6D"/>
    <w:rsid w:val="00323116"/>
    <w:rsid w:val="003233BD"/>
    <w:rsid w:val="00323DBE"/>
    <w:rsid w:val="00323ED5"/>
    <w:rsid w:val="003244A4"/>
    <w:rsid w:val="00324D2A"/>
    <w:rsid w:val="00324D41"/>
    <w:rsid w:val="00324EA6"/>
    <w:rsid w:val="003252DC"/>
    <w:rsid w:val="003254E8"/>
    <w:rsid w:val="00325897"/>
    <w:rsid w:val="003259A5"/>
    <w:rsid w:val="0032630D"/>
    <w:rsid w:val="003263C2"/>
    <w:rsid w:val="0032656F"/>
    <w:rsid w:val="003266B5"/>
    <w:rsid w:val="0032699F"/>
    <w:rsid w:val="00326A89"/>
    <w:rsid w:val="00326AD8"/>
    <w:rsid w:val="00326D43"/>
    <w:rsid w:val="00327162"/>
    <w:rsid w:val="003271E9"/>
    <w:rsid w:val="0032751B"/>
    <w:rsid w:val="003277DC"/>
    <w:rsid w:val="00327990"/>
    <w:rsid w:val="00327BB0"/>
    <w:rsid w:val="00327D03"/>
    <w:rsid w:val="00327D3C"/>
    <w:rsid w:val="0033001B"/>
    <w:rsid w:val="00330488"/>
    <w:rsid w:val="003304DE"/>
    <w:rsid w:val="00330554"/>
    <w:rsid w:val="003305E7"/>
    <w:rsid w:val="00330668"/>
    <w:rsid w:val="00330898"/>
    <w:rsid w:val="00330A4A"/>
    <w:rsid w:val="00330A76"/>
    <w:rsid w:val="00330C97"/>
    <w:rsid w:val="00330E8B"/>
    <w:rsid w:val="00330F62"/>
    <w:rsid w:val="00331438"/>
    <w:rsid w:val="0033164A"/>
    <w:rsid w:val="00331797"/>
    <w:rsid w:val="0033187B"/>
    <w:rsid w:val="00331D24"/>
    <w:rsid w:val="00331DCD"/>
    <w:rsid w:val="0033218C"/>
    <w:rsid w:val="003323F3"/>
    <w:rsid w:val="00332913"/>
    <w:rsid w:val="00332D9E"/>
    <w:rsid w:val="00333187"/>
    <w:rsid w:val="00333363"/>
    <w:rsid w:val="0033391E"/>
    <w:rsid w:val="00333B29"/>
    <w:rsid w:val="00334011"/>
    <w:rsid w:val="00334074"/>
    <w:rsid w:val="0033436C"/>
    <w:rsid w:val="003344A2"/>
    <w:rsid w:val="00334639"/>
    <w:rsid w:val="00334B40"/>
    <w:rsid w:val="00334BFE"/>
    <w:rsid w:val="00334BFF"/>
    <w:rsid w:val="00334C0D"/>
    <w:rsid w:val="00334CD8"/>
    <w:rsid w:val="00334EE7"/>
    <w:rsid w:val="0033518F"/>
    <w:rsid w:val="0033525B"/>
    <w:rsid w:val="0033579F"/>
    <w:rsid w:val="00335841"/>
    <w:rsid w:val="003358D3"/>
    <w:rsid w:val="0033648C"/>
    <w:rsid w:val="003369CD"/>
    <w:rsid w:val="00336EC1"/>
    <w:rsid w:val="00336EEE"/>
    <w:rsid w:val="00337482"/>
    <w:rsid w:val="00337CBD"/>
    <w:rsid w:val="003402A9"/>
    <w:rsid w:val="003405A4"/>
    <w:rsid w:val="00340725"/>
    <w:rsid w:val="0034074B"/>
    <w:rsid w:val="00340904"/>
    <w:rsid w:val="0034099A"/>
    <w:rsid w:val="00340BAB"/>
    <w:rsid w:val="00340C09"/>
    <w:rsid w:val="00340FF3"/>
    <w:rsid w:val="0034108D"/>
    <w:rsid w:val="00341DC6"/>
    <w:rsid w:val="00341F7A"/>
    <w:rsid w:val="00342282"/>
    <w:rsid w:val="00342723"/>
    <w:rsid w:val="00342B1F"/>
    <w:rsid w:val="00342C78"/>
    <w:rsid w:val="00342D4D"/>
    <w:rsid w:val="00343195"/>
    <w:rsid w:val="00343688"/>
    <w:rsid w:val="00343710"/>
    <w:rsid w:val="00343930"/>
    <w:rsid w:val="00343D84"/>
    <w:rsid w:val="00343F27"/>
    <w:rsid w:val="00344334"/>
    <w:rsid w:val="003447C5"/>
    <w:rsid w:val="00344918"/>
    <w:rsid w:val="00344FE6"/>
    <w:rsid w:val="0034512D"/>
    <w:rsid w:val="0034514A"/>
    <w:rsid w:val="00345A99"/>
    <w:rsid w:val="00345E2D"/>
    <w:rsid w:val="00345F64"/>
    <w:rsid w:val="003460E5"/>
    <w:rsid w:val="00346147"/>
    <w:rsid w:val="00346364"/>
    <w:rsid w:val="003464DC"/>
    <w:rsid w:val="00346608"/>
    <w:rsid w:val="00346639"/>
    <w:rsid w:val="00346AAE"/>
    <w:rsid w:val="00346D0D"/>
    <w:rsid w:val="00346DE6"/>
    <w:rsid w:val="00347316"/>
    <w:rsid w:val="00347550"/>
    <w:rsid w:val="00347729"/>
    <w:rsid w:val="003478BE"/>
    <w:rsid w:val="00347E98"/>
    <w:rsid w:val="00347ED0"/>
    <w:rsid w:val="003500A7"/>
    <w:rsid w:val="0035022D"/>
    <w:rsid w:val="00350BC2"/>
    <w:rsid w:val="0035106F"/>
    <w:rsid w:val="0035112E"/>
    <w:rsid w:val="00351235"/>
    <w:rsid w:val="00351364"/>
    <w:rsid w:val="0035148F"/>
    <w:rsid w:val="00351676"/>
    <w:rsid w:val="0035198F"/>
    <w:rsid w:val="00351ACD"/>
    <w:rsid w:val="00351F22"/>
    <w:rsid w:val="00351F3A"/>
    <w:rsid w:val="00352027"/>
    <w:rsid w:val="00352CE6"/>
    <w:rsid w:val="003531FC"/>
    <w:rsid w:val="00353431"/>
    <w:rsid w:val="00353665"/>
    <w:rsid w:val="0035399F"/>
    <w:rsid w:val="00353B7C"/>
    <w:rsid w:val="00353D12"/>
    <w:rsid w:val="003540A2"/>
    <w:rsid w:val="00354245"/>
    <w:rsid w:val="003542BA"/>
    <w:rsid w:val="00354911"/>
    <w:rsid w:val="00354EEC"/>
    <w:rsid w:val="0035545D"/>
    <w:rsid w:val="003556EF"/>
    <w:rsid w:val="00355741"/>
    <w:rsid w:val="0035589A"/>
    <w:rsid w:val="003558F7"/>
    <w:rsid w:val="00355B10"/>
    <w:rsid w:val="00355CE2"/>
    <w:rsid w:val="00355E92"/>
    <w:rsid w:val="00355FEE"/>
    <w:rsid w:val="00356149"/>
    <w:rsid w:val="0035630F"/>
    <w:rsid w:val="00356CCA"/>
    <w:rsid w:val="00356F7E"/>
    <w:rsid w:val="00356FFE"/>
    <w:rsid w:val="0035717E"/>
    <w:rsid w:val="0035727B"/>
    <w:rsid w:val="003572A6"/>
    <w:rsid w:val="003572FD"/>
    <w:rsid w:val="003573B0"/>
    <w:rsid w:val="003575B6"/>
    <w:rsid w:val="003575EF"/>
    <w:rsid w:val="0035794E"/>
    <w:rsid w:val="00357A15"/>
    <w:rsid w:val="00357EC2"/>
    <w:rsid w:val="00360678"/>
    <w:rsid w:val="00360DC3"/>
    <w:rsid w:val="003611B9"/>
    <w:rsid w:val="003612F8"/>
    <w:rsid w:val="00361336"/>
    <w:rsid w:val="003619E7"/>
    <w:rsid w:val="00361CD6"/>
    <w:rsid w:val="00361D1F"/>
    <w:rsid w:val="00362B2B"/>
    <w:rsid w:val="00362E94"/>
    <w:rsid w:val="003631DF"/>
    <w:rsid w:val="003633F1"/>
    <w:rsid w:val="003634DD"/>
    <w:rsid w:val="00363746"/>
    <w:rsid w:val="003637E5"/>
    <w:rsid w:val="00363BD7"/>
    <w:rsid w:val="00364543"/>
    <w:rsid w:val="003645A9"/>
    <w:rsid w:val="0036477C"/>
    <w:rsid w:val="00364C19"/>
    <w:rsid w:val="00364FCB"/>
    <w:rsid w:val="00365169"/>
    <w:rsid w:val="00365278"/>
    <w:rsid w:val="00365355"/>
    <w:rsid w:val="00365737"/>
    <w:rsid w:val="00365F16"/>
    <w:rsid w:val="00366259"/>
    <w:rsid w:val="0036635E"/>
    <w:rsid w:val="00366ABE"/>
    <w:rsid w:val="00366D12"/>
    <w:rsid w:val="00366E1B"/>
    <w:rsid w:val="0036707A"/>
    <w:rsid w:val="003672A0"/>
    <w:rsid w:val="0036748E"/>
    <w:rsid w:val="003675F2"/>
    <w:rsid w:val="00367724"/>
    <w:rsid w:val="00367854"/>
    <w:rsid w:val="003679A1"/>
    <w:rsid w:val="003707AA"/>
    <w:rsid w:val="00370CA9"/>
    <w:rsid w:val="00370CD9"/>
    <w:rsid w:val="00370E78"/>
    <w:rsid w:val="00371AB0"/>
    <w:rsid w:val="00371CE7"/>
    <w:rsid w:val="00371D25"/>
    <w:rsid w:val="00371D61"/>
    <w:rsid w:val="00372122"/>
    <w:rsid w:val="0037216A"/>
    <w:rsid w:val="00372267"/>
    <w:rsid w:val="003722C7"/>
    <w:rsid w:val="003723EA"/>
    <w:rsid w:val="003724C8"/>
    <w:rsid w:val="00372CB4"/>
    <w:rsid w:val="0037307E"/>
    <w:rsid w:val="00373A7F"/>
    <w:rsid w:val="00373CA1"/>
    <w:rsid w:val="00374112"/>
    <w:rsid w:val="00374417"/>
    <w:rsid w:val="0037442C"/>
    <w:rsid w:val="00374B08"/>
    <w:rsid w:val="00374FAF"/>
    <w:rsid w:val="00374FE5"/>
    <w:rsid w:val="003756E5"/>
    <w:rsid w:val="003761B7"/>
    <w:rsid w:val="003762EE"/>
    <w:rsid w:val="003762F4"/>
    <w:rsid w:val="00376992"/>
    <w:rsid w:val="00376A98"/>
    <w:rsid w:val="00376C35"/>
    <w:rsid w:val="00376CF8"/>
    <w:rsid w:val="00376E82"/>
    <w:rsid w:val="00376F11"/>
    <w:rsid w:val="0037712B"/>
    <w:rsid w:val="00380146"/>
    <w:rsid w:val="003801A5"/>
    <w:rsid w:val="00380327"/>
    <w:rsid w:val="00380388"/>
    <w:rsid w:val="00380457"/>
    <w:rsid w:val="003805EA"/>
    <w:rsid w:val="0038087B"/>
    <w:rsid w:val="00380A4D"/>
    <w:rsid w:val="00380BA4"/>
    <w:rsid w:val="00380CE0"/>
    <w:rsid w:val="00380DA1"/>
    <w:rsid w:val="00380DCD"/>
    <w:rsid w:val="003810D0"/>
    <w:rsid w:val="0038130F"/>
    <w:rsid w:val="003813E8"/>
    <w:rsid w:val="00381493"/>
    <w:rsid w:val="003814B2"/>
    <w:rsid w:val="00381F56"/>
    <w:rsid w:val="0038214B"/>
    <w:rsid w:val="00382536"/>
    <w:rsid w:val="00382CA5"/>
    <w:rsid w:val="003839C8"/>
    <w:rsid w:val="00384457"/>
    <w:rsid w:val="00384647"/>
    <w:rsid w:val="00384750"/>
    <w:rsid w:val="003848FB"/>
    <w:rsid w:val="00384A0A"/>
    <w:rsid w:val="00384B90"/>
    <w:rsid w:val="00384CA0"/>
    <w:rsid w:val="00384D81"/>
    <w:rsid w:val="0038548A"/>
    <w:rsid w:val="00385605"/>
    <w:rsid w:val="003857F3"/>
    <w:rsid w:val="00385E97"/>
    <w:rsid w:val="003860BD"/>
    <w:rsid w:val="003865D0"/>
    <w:rsid w:val="00387909"/>
    <w:rsid w:val="00387A88"/>
    <w:rsid w:val="00387B13"/>
    <w:rsid w:val="00387EF4"/>
    <w:rsid w:val="00387F08"/>
    <w:rsid w:val="00387F12"/>
    <w:rsid w:val="00387F32"/>
    <w:rsid w:val="00390073"/>
    <w:rsid w:val="0039010E"/>
    <w:rsid w:val="00390591"/>
    <w:rsid w:val="0039081A"/>
    <w:rsid w:val="00390A94"/>
    <w:rsid w:val="00390ACA"/>
    <w:rsid w:val="00390BDF"/>
    <w:rsid w:val="0039138D"/>
    <w:rsid w:val="003914CD"/>
    <w:rsid w:val="00391575"/>
    <w:rsid w:val="0039185D"/>
    <w:rsid w:val="00391BDE"/>
    <w:rsid w:val="00391FBD"/>
    <w:rsid w:val="00392051"/>
    <w:rsid w:val="00392168"/>
    <w:rsid w:val="00392687"/>
    <w:rsid w:val="003929A8"/>
    <w:rsid w:val="003929BA"/>
    <w:rsid w:val="00392A91"/>
    <w:rsid w:val="00392DC2"/>
    <w:rsid w:val="00393224"/>
    <w:rsid w:val="0039329E"/>
    <w:rsid w:val="00393708"/>
    <w:rsid w:val="00393775"/>
    <w:rsid w:val="00393884"/>
    <w:rsid w:val="003947AF"/>
    <w:rsid w:val="00394871"/>
    <w:rsid w:val="003949CB"/>
    <w:rsid w:val="00394AE3"/>
    <w:rsid w:val="003951C1"/>
    <w:rsid w:val="0039570A"/>
    <w:rsid w:val="00395B95"/>
    <w:rsid w:val="00395F9A"/>
    <w:rsid w:val="00396141"/>
    <w:rsid w:val="00396B29"/>
    <w:rsid w:val="00396CDF"/>
    <w:rsid w:val="00396D19"/>
    <w:rsid w:val="003971E5"/>
    <w:rsid w:val="00397DCB"/>
    <w:rsid w:val="00397E52"/>
    <w:rsid w:val="003A013D"/>
    <w:rsid w:val="003A0429"/>
    <w:rsid w:val="003A0AC8"/>
    <w:rsid w:val="003A0B71"/>
    <w:rsid w:val="003A11E6"/>
    <w:rsid w:val="003A131B"/>
    <w:rsid w:val="003A1436"/>
    <w:rsid w:val="003A1993"/>
    <w:rsid w:val="003A1ED6"/>
    <w:rsid w:val="003A281F"/>
    <w:rsid w:val="003A2856"/>
    <w:rsid w:val="003A2F6B"/>
    <w:rsid w:val="003A2FA6"/>
    <w:rsid w:val="003A315F"/>
    <w:rsid w:val="003A3735"/>
    <w:rsid w:val="003A38E6"/>
    <w:rsid w:val="003A4655"/>
    <w:rsid w:val="003A4A11"/>
    <w:rsid w:val="003A4AAD"/>
    <w:rsid w:val="003A55AB"/>
    <w:rsid w:val="003A5975"/>
    <w:rsid w:val="003A5A2F"/>
    <w:rsid w:val="003A5BE9"/>
    <w:rsid w:val="003A5E50"/>
    <w:rsid w:val="003A5EE0"/>
    <w:rsid w:val="003A61AA"/>
    <w:rsid w:val="003A6854"/>
    <w:rsid w:val="003A6A6A"/>
    <w:rsid w:val="003A6B99"/>
    <w:rsid w:val="003A712D"/>
    <w:rsid w:val="003A7559"/>
    <w:rsid w:val="003A77A6"/>
    <w:rsid w:val="003A7F47"/>
    <w:rsid w:val="003B0157"/>
    <w:rsid w:val="003B0A5F"/>
    <w:rsid w:val="003B1277"/>
    <w:rsid w:val="003B1B2D"/>
    <w:rsid w:val="003B21B1"/>
    <w:rsid w:val="003B2A8C"/>
    <w:rsid w:val="003B2AD6"/>
    <w:rsid w:val="003B2D0E"/>
    <w:rsid w:val="003B3233"/>
    <w:rsid w:val="003B43B8"/>
    <w:rsid w:val="003B484B"/>
    <w:rsid w:val="003B48CD"/>
    <w:rsid w:val="003B4A59"/>
    <w:rsid w:val="003B4BD0"/>
    <w:rsid w:val="003B57A4"/>
    <w:rsid w:val="003B5961"/>
    <w:rsid w:val="003B5AFA"/>
    <w:rsid w:val="003B5B9B"/>
    <w:rsid w:val="003B5C2E"/>
    <w:rsid w:val="003B5EC7"/>
    <w:rsid w:val="003B6357"/>
    <w:rsid w:val="003B642F"/>
    <w:rsid w:val="003B66E3"/>
    <w:rsid w:val="003B771B"/>
    <w:rsid w:val="003B7979"/>
    <w:rsid w:val="003B7D78"/>
    <w:rsid w:val="003C03DD"/>
    <w:rsid w:val="003C072B"/>
    <w:rsid w:val="003C0AFF"/>
    <w:rsid w:val="003C0BB5"/>
    <w:rsid w:val="003C0F19"/>
    <w:rsid w:val="003C12C4"/>
    <w:rsid w:val="003C1454"/>
    <w:rsid w:val="003C187A"/>
    <w:rsid w:val="003C1C0C"/>
    <w:rsid w:val="003C1E63"/>
    <w:rsid w:val="003C20FA"/>
    <w:rsid w:val="003C2182"/>
    <w:rsid w:val="003C29EF"/>
    <w:rsid w:val="003C29F6"/>
    <w:rsid w:val="003C2A81"/>
    <w:rsid w:val="003C2EAC"/>
    <w:rsid w:val="003C396A"/>
    <w:rsid w:val="003C3DB1"/>
    <w:rsid w:val="003C3DCB"/>
    <w:rsid w:val="003C3EA5"/>
    <w:rsid w:val="003C4DD8"/>
    <w:rsid w:val="003C52DF"/>
    <w:rsid w:val="003C52F5"/>
    <w:rsid w:val="003C5904"/>
    <w:rsid w:val="003C5E0C"/>
    <w:rsid w:val="003C5EC9"/>
    <w:rsid w:val="003C638F"/>
    <w:rsid w:val="003C647A"/>
    <w:rsid w:val="003C6BFB"/>
    <w:rsid w:val="003C6D5D"/>
    <w:rsid w:val="003C6FC5"/>
    <w:rsid w:val="003C716F"/>
    <w:rsid w:val="003C7176"/>
    <w:rsid w:val="003C77DB"/>
    <w:rsid w:val="003C790C"/>
    <w:rsid w:val="003D0658"/>
    <w:rsid w:val="003D0C17"/>
    <w:rsid w:val="003D152A"/>
    <w:rsid w:val="003D15E1"/>
    <w:rsid w:val="003D19FE"/>
    <w:rsid w:val="003D1A52"/>
    <w:rsid w:val="003D1AAB"/>
    <w:rsid w:val="003D1C78"/>
    <w:rsid w:val="003D22CE"/>
    <w:rsid w:val="003D22F8"/>
    <w:rsid w:val="003D2978"/>
    <w:rsid w:val="003D2B32"/>
    <w:rsid w:val="003D2D0A"/>
    <w:rsid w:val="003D2FDB"/>
    <w:rsid w:val="003D322D"/>
    <w:rsid w:val="003D36C8"/>
    <w:rsid w:val="003D3CA2"/>
    <w:rsid w:val="003D4295"/>
    <w:rsid w:val="003D4324"/>
    <w:rsid w:val="003D4517"/>
    <w:rsid w:val="003D4769"/>
    <w:rsid w:val="003D4D63"/>
    <w:rsid w:val="003D5649"/>
    <w:rsid w:val="003D56A0"/>
    <w:rsid w:val="003D5EA6"/>
    <w:rsid w:val="003D622D"/>
    <w:rsid w:val="003D624F"/>
    <w:rsid w:val="003D6370"/>
    <w:rsid w:val="003D6396"/>
    <w:rsid w:val="003D655D"/>
    <w:rsid w:val="003D6A25"/>
    <w:rsid w:val="003D6AC6"/>
    <w:rsid w:val="003D6ED0"/>
    <w:rsid w:val="003D6F12"/>
    <w:rsid w:val="003D6FD1"/>
    <w:rsid w:val="003D70F0"/>
    <w:rsid w:val="003D719B"/>
    <w:rsid w:val="003E013F"/>
    <w:rsid w:val="003E04ED"/>
    <w:rsid w:val="003E094D"/>
    <w:rsid w:val="003E0A41"/>
    <w:rsid w:val="003E15CE"/>
    <w:rsid w:val="003E1E18"/>
    <w:rsid w:val="003E1E56"/>
    <w:rsid w:val="003E290D"/>
    <w:rsid w:val="003E2AE5"/>
    <w:rsid w:val="003E33DA"/>
    <w:rsid w:val="003E344A"/>
    <w:rsid w:val="003E36F7"/>
    <w:rsid w:val="003E40C4"/>
    <w:rsid w:val="003E424C"/>
    <w:rsid w:val="003E4C41"/>
    <w:rsid w:val="003E4C9E"/>
    <w:rsid w:val="003E4CBC"/>
    <w:rsid w:val="003E4D89"/>
    <w:rsid w:val="003E4D90"/>
    <w:rsid w:val="003E55FC"/>
    <w:rsid w:val="003E6062"/>
    <w:rsid w:val="003E644F"/>
    <w:rsid w:val="003E6659"/>
    <w:rsid w:val="003E673E"/>
    <w:rsid w:val="003E6C94"/>
    <w:rsid w:val="003E6E1F"/>
    <w:rsid w:val="003E6F5F"/>
    <w:rsid w:val="003E7DC3"/>
    <w:rsid w:val="003F0216"/>
    <w:rsid w:val="003F05C8"/>
    <w:rsid w:val="003F0D93"/>
    <w:rsid w:val="003F10B0"/>
    <w:rsid w:val="003F11BE"/>
    <w:rsid w:val="003F248A"/>
    <w:rsid w:val="003F274F"/>
    <w:rsid w:val="003F2878"/>
    <w:rsid w:val="003F2A35"/>
    <w:rsid w:val="003F2E86"/>
    <w:rsid w:val="003F2F7B"/>
    <w:rsid w:val="003F2FF9"/>
    <w:rsid w:val="003F31AD"/>
    <w:rsid w:val="003F36C6"/>
    <w:rsid w:val="003F3821"/>
    <w:rsid w:val="003F3C74"/>
    <w:rsid w:val="003F465E"/>
    <w:rsid w:val="003F4E76"/>
    <w:rsid w:val="003F4F19"/>
    <w:rsid w:val="003F5289"/>
    <w:rsid w:val="003F52E9"/>
    <w:rsid w:val="003F578B"/>
    <w:rsid w:val="003F57C7"/>
    <w:rsid w:val="003F5B8F"/>
    <w:rsid w:val="003F5C9F"/>
    <w:rsid w:val="003F5EB6"/>
    <w:rsid w:val="003F608F"/>
    <w:rsid w:val="003F6151"/>
    <w:rsid w:val="003F61F4"/>
    <w:rsid w:val="003F63CA"/>
    <w:rsid w:val="003F642A"/>
    <w:rsid w:val="003F662D"/>
    <w:rsid w:val="003F67A2"/>
    <w:rsid w:val="003F736E"/>
    <w:rsid w:val="003F7931"/>
    <w:rsid w:val="003F7957"/>
    <w:rsid w:val="003F7BA1"/>
    <w:rsid w:val="003F7D08"/>
    <w:rsid w:val="003F7D22"/>
    <w:rsid w:val="0040032C"/>
    <w:rsid w:val="0040085B"/>
    <w:rsid w:val="00401495"/>
    <w:rsid w:val="0040199B"/>
    <w:rsid w:val="00402395"/>
    <w:rsid w:val="0040266E"/>
    <w:rsid w:val="00402954"/>
    <w:rsid w:val="00402B88"/>
    <w:rsid w:val="00402FEB"/>
    <w:rsid w:val="00403489"/>
    <w:rsid w:val="0040355C"/>
    <w:rsid w:val="00403A9A"/>
    <w:rsid w:val="00403E97"/>
    <w:rsid w:val="00403EED"/>
    <w:rsid w:val="00404260"/>
    <w:rsid w:val="00404333"/>
    <w:rsid w:val="00404444"/>
    <w:rsid w:val="0040453F"/>
    <w:rsid w:val="00404557"/>
    <w:rsid w:val="004047C0"/>
    <w:rsid w:val="004049B2"/>
    <w:rsid w:val="00404B49"/>
    <w:rsid w:val="00404EB3"/>
    <w:rsid w:val="00405071"/>
    <w:rsid w:val="00405128"/>
    <w:rsid w:val="0040584E"/>
    <w:rsid w:val="00405F59"/>
    <w:rsid w:val="00406E2C"/>
    <w:rsid w:val="004070F7"/>
    <w:rsid w:val="004073CC"/>
    <w:rsid w:val="004074B8"/>
    <w:rsid w:val="0040765A"/>
    <w:rsid w:val="00407840"/>
    <w:rsid w:val="00407B58"/>
    <w:rsid w:val="00410483"/>
    <w:rsid w:val="004106AF"/>
    <w:rsid w:val="00410B2F"/>
    <w:rsid w:val="00410EC5"/>
    <w:rsid w:val="00410F49"/>
    <w:rsid w:val="0041164E"/>
    <w:rsid w:val="00411728"/>
    <w:rsid w:val="00411F95"/>
    <w:rsid w:val="00412337"/>
    <w:rsid w:val="004124CB"/>
    <w:rsid w:val="004126DD"/>
    <w:rsid w:val="00412BEE"/>
    <w:rsid w:val="00413811"/>
    <w:rsid w:val="00413C5A"/>
    <w:rsid w:val="00413FBD"/>
    <w:rsid w:val="004142BA"/>
    <w:rsid w:val="004144CF"/>
    <w:rsid w:val="00414758"/>
    <w:rsid w:val="00414822"/>
    <w:rsid w:val="004149AD"/>
    <w:rsid w:val="00414A42"/>
    <w:rsid w:val="00414A5C"/>
    <w:rsid w:val="00414BB4"/>
    <w:rsid w:val="00414CF0"/>
    <w:rsid w:val="00415260"/>
    <w:rsid w:val="004157EC"/>
    <w:rsid w:val="00415842"/>
    <w:rsid w:val="00415B9D"/>
    <w:rsid w:val="00415CA1"/>
    <w:rsid w:val="00416251"/>
    <w:rsid w:val="004162D7"/>
    <w:rsid w:val="00416986"/>
    <w:rsid w:val="00416CFA"/>
    <w:rsid w:val="00417562"/>
    <w:rsid w:val="004205E8"/>
    <w:rsid w:val="00420F21"/>
    <w:rsid w:val="00421297"/>
    <w:rsid w:val="00421414"/>
    <w:rsid w:val="0042186B"/>
    <w:rsid w:val="00421BF1"/>
    <w:rsid w:val="00421F99"/>
    <w:rsid w:val="0042229B"/>
    <w:rsid w:val="00422FBA"/>
    <w:rsid w:val="0042326B"/>
    <w:rsid w:val="004235E9"/>
    <w:rsid w:val="00423AFB"/>
    <w:rsid w:val="00423CC1"/>
    <w:rsid w:val="00424281"/>
    <w:rsid w:val="00424463"/>
    <w:rsid w:val="00424879"/>
    <w:rsid w:val="004248AB"/>
    <w:rsid w:val="00424C3E"/>
    <w:rsid w:val="00424E43"/>
    <w:rsid w:val="0042508B"/>
    <w:rsid w:val="0042517D"/>
    <w:rsid w:val="00425816"/>
    <w:rsid w:val="004258A5"/>
    <w:rsid w:val="004259B8"/>
    <w:rsid w:val="00425AEC"/>
    <w:rsid w:val="00425CAF"/>
    <w:rsid w:val="00425EB9"/>
    <w:rsid w:val="00426325"/>
    <w:rsid w:val="00426391"/>
    <w:rsid w:val="004267B9"/>
    <w:rsid w:val="004269D6"/>
    <w:rsid w:val="00426BDF"/>
    <w:rsid w:val="00426DB2"/>
    <w:rsid w:val="00426DB8"/>
    <w:rsid w:val="00426EEF"/>
    <w:rsid w:val="00427A9D"/>
    <w:rsid w:val="00430039"/>
    <w:rsid w:val="00430FB9"/>
    <w:rsid w:val="00431010"/>
    <w:rsid w:val="0043106B"/>
    <w:rsid w:val="004310E2"/>
    <w:rsid w:val="0043112B"/>
    <w:rsid w:val="0043114E"/>
    <w:rsid w:val="00431306"/>
    <w:rsid w:val="004315F3"/>
    <w:rsid w:val="00431742"/>
    <w:rsid w:val="00431917"/>
    <w:rsid w:val="00431B51"/>
    <w:rsid w:val="00431E12"/>
    <w:rsid w:val="0043226B"/>
    <w:rsid w:val="00432D1D"/>
    <w:rsid w:val="00432E0E"/>
    <w:rsid w:val="00432EEE"/>
    <w:rsid w:val="004330DF"/>
    <w:rsid w:val="00433377"/>
    <w:rsid w:val="00433507"/>
    <w:rsid w:val="00433724"/>
    <w:rsid w:val="00433B19"/>
    <w:rsid w:val="00433B4D"/>
    <w:rsid w:val="00433C41"/>
    <w:rsid w:val="00433D6D"/>
    <w:rsid w:val="00433E41"/>
    <w:rsid w:val="00434230"/>
    <w:rsid w:val="00434402"/>
    <w:rsid w:val="004346A5"/>
    <w:rsid w:val="00434971"/>
    <w:rsid w:val="00434A29"/>
    <w:rsid w:val="00434B3D"/>
    <w:rsid w:val="00434DB9"/>
    <w:rsid w:val="004350FE"/>
    <w:rsid w:val="00435143"/>
    <w:rsid w:val="00435DD4"/>
    <w:rsid w:val="00436ECA"/>
    <w:rsid w:val="0043721D"/>
    <w:rsid w:val="00437286"/>
    <w:rsid w:val="00437800"/>
    <w:rsid w:val="00437C7C"/>
    <w:rsid w:val="00437D60"/>
    <w:rsid w:val="00437F48"/>
    <w:rsid w:val="00440487"/>
    <w:rsid w:val="00440765"/>
    <w:rsid w:val="004409C1"/>
    <w:rsid w:val="004409E8"/>
    <w:rsid w:val="00440E25"/>
    <w:rsid w:val="00440FFF"/>
    <w:rsid w:val="0044117E"/>
    <w:rsid w:val="004412CC"/>
    <w:rsid w:val="004414DA"/>
    <w:rsid w:val="0044172F"/>
    <w:rsid w:val="00441882"/>
    <w:rsid w:val="004419F8"/>
    <w:rsid w:val="00441C04"/>
    <w:rsid w:val="00441C4E"/>
    <w:rsid w:val="00441C68"/>
    <w:rsid w:val="00441E68"/>
    <w:rsid w:val="00441F52"/>
    <w:rsid w:val="0044280F"/>
    <w:rsid w:val="00442E0A"/>
    <w:rsid w:val="0044313B"/>
    <w:rsid w:val="00443252"/>
    <w:rsid w:val="0044332B"/>
    <w:rsid w:val="00443507"/>
    <w:rsid w:val="00443B5F"/>
    <w:rsid w:val="00443B6F"/>
    <w:rsid w:val="00443D88"/>
    <w:rsid w:val="00443D9A"/>
    <w:rsid w:val="00443E34"/>
    <w:rsid w:val="00443E99"/>
    <w:rsid w:val="00443FE5"/>
    <w:rsid w:val="00444113"/>
    <w:rsid w:val="004441D4"/>
    <w:rsid w:val="00444278"/>
    <w:rsid w:val="00444650"/>
    <w:rsid w:val="00444785"/>
    <w:rsid w:val="00444B2B"/>
    <w:rsid w:val="00444D80"/>
    <w:rsid w:val="004454B2"/>
    <w:rsid w:val="00446026"/>
    <w:rsid w:val="00446088"/>
    <w:rsid w:val="00446131"/>
    <w:rsid w:val="0044616B"/>
    <w:rsid w:val="004465E6"/>
    <w:rsid w:val="00446DC5"/>
    <w:rsid w:val="00447226"/>
    <w:rsid w:val="00447317"/>
    <w:rsid w:val="004474C2"/>
    <w:rsid w:val="00447CE2"/>
    <w:rsid w:val="00447D47"/>
    <w:rsid w:val="004503E5"/>
    <w:rsid w:val="0045061E"/>
    <w:rsid w:val="0045087C"/>
    <w:rsid w:val="004508AF"/>
    <w:rsid w:val="00450B1E"/>
    <w:rsid w:val="00450D04"/>
    <w:rsid w:val="00451A44"/>
    <w:rsid w:val="00451E7D"/>
    <w:rsid w:val="00451EA7"/>
    <w:rsid w:val="00452735"/>
    <w:rsid w:val="004527F6"/>
    <w:rsid w:val="00452A5D"/>
    <w:rsid w:val="00452AB3"/>
    <w:rsid w:val="0045345D"/>
    <w:rsid w:val="00453B10"/>
    <w:rsid w:val="00453DFA"/>
    <w:rsid w:val="004542E3"/>
    <w:rsid w:val="004545AF"/>
    <w:rsid w:val="0045468F"/>
    <w:rsid w:val="004548EA"/>
    <w:rsid w:val="00454972"/>
    <w:rsid w:val="00454DD3"/>
    <w:rsid w:val="00454F3C"/>
    <w:rsid w:val="00455A56"/>
    <w:rsid w:val="00455F5A"/>
    <w:rsid w:val="00456687"/>
    <w:rsid w:val="004566FF"/>
    <w:rsid w:val="004568F7"/>
    <w:rsid w:val="00456A15"/>
    <w:rsid w:val="00456B93"/>
    <w:rsid w:val="00457825"/>
    <w:rsid w:val="00460231"/>
    <w:rsid w:val="004603E1"/>
    <w:rsid w:val="004604D0"/>
    <w:rsid w:val="0046076A"/>
    <w:rsid w:val="0046094E"/>
    <w:rsid w:val="00460CC4"/>
    <w:rsid w:val="00460E06"/>
    <w:rsid w:val="00460FA0"/>
    <w:rsid w:val="00461140"/>
    <w:rsid w:val="00461210"/>
    <w:rsid w:val="004617A4"/>
    <w:rsid w:val="00461BAC"/>
    <w:rsid w:val="00461C2F"/>
    <w:rsid w:val="00461C58"/>
    <w:rsid w:val="00462081"/>
    <w:rsid w:val="0046286B"/>
    <w:rsid w:val="00462CEC"/>
    <w:rsid w:val="004630B4"/>
    <w:rsid w:val="00463469"/>
    <w:rsid w:val="004635B6"/>
    <w:rsid w:val="00463A24"/>
    <w:rsid w:val="00463D8B"/>
    <w:rsid w:val="00463EE7"/>
    <w:rsid w:val="00464095"/>
    <w:rsid w:val="004645A7"/>
    <w:rsid w:val="00464BDE"/>
    <w:rsid w:val="00465445"/>
    <w:rsid w:val="0046548E"/>
    <w:rsid w:val="0046580F"/>
    <w:rsid w:val="0046591C"/>
    <w:rsid w:val="004664DE"/>
    <w:rsid w:val="00466846"/>
    <w:rsid w:val="00466A00"/>
    <w:rsid w:val="00466C2A"/>
    <w:rsid w:val="00466DF8"/>
    <w:rsid w:val="00466EB1"/>
    <w:rsid w:val="004670D4"/>
    <w:rsid w:val="00467685"/>
    <w:rsid w:val="00470184"/>
    <w:rsid w:val="004705EA"/>
    <w:rsid w:val="004709AA"/>
    <w:rsid w:val="00470D1C"/>
    <w:rsid w:val="00470E9A"/>
    <w:rsid w:val="00471179"/>
    <w:rsid w:val="004714E4"/>
    <w:rsid w:val="00471525"/>
    <w:rsid w:val="004716CD"/>
    <w:rsid w:val="004720C2"/>
    <w:rsid w:val="0047236B"/>
    <w:rsid w:val="0047251F"/>
    <w:rsid w:val="004726DC"/>
    <w:rsid w:val="00472B1C"/>
    <w:rsid w:val="00472D7C"/>
    <w:rsid w:val="00472E07"/>
    <w:rsid w:val="00473809"/>
    <w:rsid w:val="004741F1"/>
    <w:rsid w:val="0047451B"/>
    <w:rsid w:val="00474959"/>
    <w:rsid w:val="00474970"/>
    <w:rsid w:val="00474B09"/>
    <w:rsid w:val="00475065"/>
    <w:rsid w:val="004752C3"/>
    <w:rsid w:val="004756F6"/>
    <w:rsid w:val="00475CA5"/>
    <w:rsid w:val="00475CEE"/>
    <w:rsid w:val="0047614E"/>
    <w:rsid w:val="004767E9"/>
    <w:rsid w:val="0047738C"/>
    <w:rsid w:val="00477F4A"/>
    <w:rsid w:val="00477F64"/>
    <w:rsid w:val="0048067C"/>
    <w:rsid w:val="00480735"/>
    <w:rsid w:val="00480A6E"/>
    <w:rsid w:val="00480E34"/>
    <w:rsid w:val="00480F59"/>
    <w:rsid w:val="004819B5"/>
    <w:rsid w:val="00481BA2"/>
    <w:rsid w:val="00481BB2"/>
    <w:rsid w:val="00481C0C"/>
    <w:rsid w:val="00481C29"/>
    <w:rsid w:val="00481DAB"/>
    <w:rsid w:val="00482529"/>
    <w:rsid w:val="00482572"/>
    <w:rsid w:val="00482604"/>
    <w:rsid w:val="004829F2"/>
    <w:rsid w:val="004833AC"/>
    <w:rsid w:val="00483598"/>
    <w:rsid w:val="00483C10"/>
    <w:rsid w:val="00483C87"/>
    <w:rsid w:val="00483F8C"/>
    <w:rsid w:val="0048448B"/>
    <w:rsid w:val="0048451C"/>
    <w:rsid w:val="0048460A"/>
    <w:rsid w:val="004846FC"/>
    <w:rsid w:val="00484729"/>
    <w:rsid w:val="00484840"/>
    <w:rsid w:val="00484CF1"/>
    <w:rsid w:val="00484F21"/>
    <w:rsid w:val="004851D2"/>
    <w:rsid w:val="00485296"/>
    <w:rsid w:val="004852BB"/>
    <w:rsid w:val="004854B2"/>
    <w:rsid w:val="004854C6"/>
    <w:rsid w:val="0048569D"/>
    <w:rsid w:val="00486633"/>
    <w:rsid w:val="00486977"/>
    <w:rsid w:val="004869E3"/>
    <w:rsid w:val="004870AF"/>
    <w:rsid w:val="004872CC"/>
    <w:rsid w:val="0048748B"/>
    <w:rsid w:val="00487AE9"/>
    <w:rsid w:val="00487BAE"/>
    <w:rsid w:val="00487C4B"/>
    <w:rsid w:val="00487E37"/>
    <w:rsid w:val="00490198"/>
    <w:rsid w:val="00490303"/>
    <w:rsid w:val="00490600"/>
    <w:rsid w:val="00490878"/>
    <w:rsid w:val="00490A95"/>
    <w:rsid w:val="00490C74"/>
    <w:rsid w:val="00490CD0"/>
    <w:rsid w:val="00490E55"/>
    <w:rsid w:val="0049110A"/>
    <w:rsid w:val="004914F3"/>
    <w:rsid w:val="0049189C"/>
    <w:rsid w:val="00491E10"/>
    <w:rsid w:val="00491E1B"/>
    <w:rsid w:val="00492554"/>
    <w:rsid w:val="00492880"/>
    <w:rsid w:val="00492924"/>
    <w:rsid w:val="00492D3F"/>
    <w:rsid w:val="00492FF2"/>
    <w:rsid w:val="00493071"/>
    <w:rsid w:val="004931C8"/>
    <w:rsid w:val="004935A2"/>
    <w:rsid w:val="00493850"/>
    <w:rsid w:val="00494584"/>
    <w:rsid w:val="00494725"/>
    <w:rsid w:val="004948BC"/>
    <w:rsid w:val="004949DF"/>
    <w:rsid w:val="004950CA"/>
    <w:rsid w:val="00495A1C"/>
    <w:rsid w:val="00495AF7"/>
    <w:rsid w:val="00495B46"/>
    <w:rsid w:val="00496C04"/>
    <w:rsid w:val="00496DD6"/>
    <w:rsid w:val="00496FA3"/>
    <w:rsid w:val="00497173"/>
    <w:rsid w:val="00497393"/>
    <w:rsid w:val="00497847"/>
    <w:rsid w:val="00497E39"/>
    <w:rsid w:val="00497E70"/>
    <w:rsid w:val="00497FE0"/>
    <w:rsid w:val="004A0555"/>
    <w:rsid w:val="004A0626"/>
    <w:rsid w:val="004A0800"/>
    <w:rsid w:val="004A14FE"/>
    <w:rsid w:val="004A157F"/>
    <w:rsid w:val="004A166A"/>
    <w:rsid w:val="004A17BB"/>
    <w:rsid w:val="004A188F"/>
    <w:rsid w:val="004A1CA2"/>
    <w:rsid w:val="004A23E8"/>
    <w:rsid w:val="004A242A"/>
    <w:rsid w:val="004A2937"/>
    <w:rsid w:val="004A2B4F"/>
    <w:rsid w:val="004A2D76"/>
    <w:rsid w:val="004A2F35"/>
    <w:rsid w:val="004A310F"/>
    <w:rsid w:val="004A3175"/>
    <w:rsid w:val="004A32C4"/>
    <w:rsid w:val="004A343D"/>
    <w:rsid w:val="004A35C9"/>
    <w:rsid w:val="004A3618"/>
    <w:rsid w:val="004A3871"/>
    <w:rsid w:val="004A3AB1"/>
    <w:rsid w:val="004A3E96"/>
    <w:rsid w:val="004A3F27"/>
    <w:rsid w:val="004A40EF"/>
    <w:rsid w:val="004A4157"/>
    <w:rsid w:val="004A4295"/>
    <w:rsid w:val="004A4DCD"/>
    <w:rsid w:val="004A4E1F"/>
    <w:rsid w:val="004A56B1"/>
    <w:rsid w:val="004A57BE"/>
    <w:rsid w:val="004A584A"/>
    <w:rsid w:val="004A5A1F"/>
    <w:rsid w:val="004A5C7F"/>
    <w:rsid w:val="004A6B27"/>
    <w:rsid w:val="004A744F"/>
    <w:rsid w:val="004A76DA"/>
    <w:rsid w:val="004A7970"/>
    <w:rsid w:val="004A7C6F"/>
    <w:rsid w:val="004A7EE2"/>
    <w:rsid w:val="004B0AC3"/>
    <w:rsid w:val="004B0E52"/>
    <w:rsid w:val="004B165F"/>
    <w:rsid w:val="004B16A9"/>
    <w:rsid w:val="004B1B71"/>
    <w:rsid w:val="004B1D66"/>
    <w:rsid w:val="004B2031"/>
    <w:rsid w:val="004B2142"/>
    <w:rsid w:val="004B264F"/>
    <w:rsid w:val="004B27EC"/>
    <w:rsid w:val="004B2942"/>
    <w:rsid w:val="004B295B"/>
    <w:rsid w:val="004B32C0"/>
    <w:rsid w:val="004B34B4"/>
    <w:rsid w:val="004B3DEC"/>
    <w:rsid w:val="004B3EDE"/>
    <w:rsid w:val="004B48C3"/>
    <w:rsid w:val="004B48D1"/>
    <w:rsid w:val="004B4A70"/>
    <w:rsid w:val="004B5087"/>
    <w:rsid w:val="004B537A"/>
    <w:rsid w:val="004B5754"/>
    <w:rsid w:val="004B5A0A"/>
    <w:rsid w:val="004B5AAC"/>
    <w:rsid w:val="004B5B14"/>
    <w:rsid w:val="004B5BE5"/>
    <w:rsid w:val="004B60AD"/>
    <w:rsid w:val="004B62B4"/>
    <w:rsid w:val="004B6451"/>
    <w:rsid w:val="004B65DD"/>
    <w:rsid w:val="004B66D2"/>
    <w:rsid w:val="004B6A4B"/>
    <w:rsid w:val="004B6A7A"/>
    <w:rsid w:val="004B6E5D"/>
    <w:rsid w:val="004B6F8E"/>
    <w:rsid w:val="004B74B0"/>
    <w:rsid w:val="004B76AF"/>
    <w:rsid w:val="004B7869"/>
    <w:rsid w:val="004B7B36"/>
    <w:rsid w:val="004B7B64"/>
    <w:rsid w:val="004B7CC8"/>
    <w:rsid w:val="004C0378"/>
    <w:rsid w:val="004C072D"/>
    <w:rsid w:val="004C08E3"/>
    <w:rsid w:val="004C0BAA"/>
    <w:rsid w:val="004C0E6C"/>
    <w:rsid w:val="004C16F4"/>
    <w:rsid w:val="004C171A"/>
    <w:rsid w:val="004C17B3"/>
    <w:rsid w:val="004C1F6B"/>
    <w:rsid w:val="004C1FB1"/>
    <w:rsid w:val="004C212A"/>
    <w:rsid w:val="004C212E"/>
    <w:rsid w:val="004C2248"/>
    <w:rsid w:val="004C2B2F"/>
    <w:rsid w:val="004C2B7D"/>
    <w:rsid w:val="004C32C9"/>
    <w:rsid w:val="004C3497"/>
    <w:rsid w:val="004C37A8"/>
    <w:rsid w:val="004C3BA1"/>
    <w:rsid w:val="004C3C18"/>
    <w:rsid w:val="004C4BCC"/>
    <w:rsid w:val="004C5406"/>
    <w:rsid w:val="004C5F1D"/>
    <w:rsid w:val="004C62CD"/>
    <w:rsid w:val="004C6305"/>
    <w:rsid w:val="004C69FF"/>
    <w:rsid w:val="004C7199"/>
    <w:rsid w:val="004C794C"/>
    <w:rsid w:val="004C7A14"/>
    <w:rsid w:val="004C7A46"/>
    <w:rsid w:val="004D0873"/>
    <w:rsid w:val="004D0F87"/>
    <w:rsid w:val="004D1112"/>
    <w:rsid w:val="004D121E"/>
    <w:rsid w:val="004D1264"/>
    <w:rsid w:val="004D1796"/>
    <w:rsid w:val="004D19D3"/>
    <w:rsid w:val="004D1A32"/>
    <w:rsid w:val="004D1A40"/>
    <w:rsid w:val="004D1BFD"/>
    <w:rsid w:val="004D1E83"/>
    <w:rsid w:val="004D1E92"/>
    <w:rsid w:val="004D247F"/>
    <w:rsid w:val="004D2819"/>
    <w:rsid w:val="004D2998"/>
    <w:rsid w:val="004D31F9"/>
    <w:rsid w:val="004D352F"/>
    <w:rsid w:val="004D3590"/>
    <w:rsid w:val="004D362B"/>
    <w:rsid w:val="004D38A5"/>
    <w:rsid w:val="004D38DD"/>
    <w:rsid w:val="004D3A4F"/>
    <w:rsid w:val="004D3CDD"/>
    <w:rsid w:val="004D3ECB"/>
    <w:rsid w:val="004D4109"/>
    <w:rsid w:val="004D495F"/>
    <w:rsid w:val="004D4B1F"/>
    <w:rsid w:val="004D4BE6"/>
    <w:rsid w:val="004D4D51"/>
    <w:rsid w:val="004D4F6B"/>
    <w:rsid w:val="004D5070"/>
    <w:rsid w:val="004D5168"/>
    <w:rsid w:val="004D5330"/>
    <w:rsid w:val="004D5C8B"/>
    <w:rsid w:val="004D5D90"/>
    <w:rsid w:val="004D5FDB"/>
    <w:rsid w:val="004D618E"/>
    <w:rsid w:val="004D6408"/>
    <w:rsid w:val="004D64E5"/>
    <w:rsid w:val="004D6C51"/>
    <w:rsid w:val="004D7536"/>
    <w:rsid w:val="004D754B"/>
    <w:rsid w:val="004D7D76"/>
    <w:rsid w:val="004E0302"/>
    <w:rsid w:val="004E08BD"/>
    <w:rsid w:val="004E09DC"/>
    <w:rsid w:val="004E0F43"/>
    <w:rsid w:val="004E0FB6"/>
    <w:rsid w:val="004E14D5"/>
    <w:rsid w:val="004E1A60"/>
    <w:rsid w:val="004E1AE6"/>
    <w:rsid w:val="004E1E21"/>
    <w:rsid w:val="004E2362"/>
    <w:rsid w:val="004E27A0"/>
    <w:rsid w:val="004E2849"/>
    <w:rsid w:val="004E2C01"/>
    <w:rsid w:val="004E2F7F"/>
    <w:rsid w:val="004E3171"/>
    <w:rsid w:val="004E317E"/>
    <w:rsid w:val="004E317F"/>
    <w:rsid w:val="004E31EE"/>
    <w:rsid w:val="004E35AD"/>
    <w:rsid w:val="004E375F"/>
    <w:rsid w:val="004E3887"/>
    <w:rsid w:val="004E3BA7"/>
    <w:rsid w:val="004E3E1E"/>
    <w:rsid w:val="004E46C4"/>
    <w:rsid w:val="004E4F67"/>
    <w:rsid w:val="004E5053"/>
    <w:rsid w:val="004E5229"/>
    <w:rsid w:val="004E5694"/>
    <w:rsid w:val="004E56C8"/>
    <w:rsid w:val="004E57EB"/>
    <w:rsid w:val="004E590E"/>
    <w:rsid w:val="004E596D"/>
    <w:rsid w:val="004E5D8E"/>
    <w:rsid w:val="004E6269"/>
    <w:rsid w:val="004E62F6"/>
    <w:rsid w:val="004E6495"/>
    <w:rsid w:val="004E6BFA"/>
    <w:rsid w:val="004E6ECC"/>
    <w:rsid w:val="004E6EFD"/>
    <w:rsid w:val="004E6FD8"/>
    <w:rsid w:val="004E74B2"/>
    <w:rsid w:val="004E7850"/>
    <w:rsid w:val="004E79CA"/>
    <w:rsid w:val="004E7D74"/>
    <w:rsid w:val="004F042E"/>
    <w:rsid w:val="004F0EB6"/>
    <w:rsid w:val="004F10C6"/>
    <w:rsid w:val="004F1369"/>
    <w:rsid w:val="004F169F"/>
    <w:rsid w:val="004F1F41"/>
    <w:rsid w:val="004F2164"/>
    <w:rsid w:val="004F21AF"/>
    <w:rsid w:val="004F22ED"/>
    <w:rsid w:val="004F2956"/>
    <w:rsid w:val="004F2E85"/>
    <w:rsid w:val="004F3357"/>
    <w:rsid w:val="004F3512"/>
    <w:rsid w:val="004F37CA"/>
    <w:rsid w:val="004F3935"/>
    <w:rsid w:val="004F3B8F"/>
    <w:rsid w:val="004F3EA7"/>
    <w:rsid w:val="004F421D"/>
    <w:rsid w:val="004F44F5"/>
    <w:rsid w:val="004F4612"/>
    <w:rsid w:val="004F4761"/>
    <w:rsid w:val="004F4798"/>
    <w:rsid w:val="004F50A6"/>
    <w:rsid w:val="004F5855"/>
    <w:rsid w:val="004F5938"/>
    <w:rsid w:val="004F5AEB"/>
    <w:rsid w:val="004F5D13"/>
    <w:rsid w:val="004F623C"/>
    <w:rsid w:val="004F6528"/>
    <w:rsid w:val="004F66BA"/>
    <w:rsid w:val="004F6A84"/>
    <w:rsid w:val="004F6F0F"/>
    <w:rsid w:val="004F6F87"/>
    <w:rsid w:val="004F7132"/>
    <w:rsid w:val="004F717C"/>
    <w:rsid w:val="004F72D8"/>
    <w:rsid w:val="004F7E6A"/>
    <w:rsid w:val="0050055D"/>
    <w:rsid w:val="005007AD"/>
    <w:rsid w:val="0050083F"/>
    <w:rsid w:val="0050087A"/>
    <w:rsid w:val="0050098D"/>
    <w:rsid w:val="00500ADF"/>
    <w:rsid w:val="00500F4B"/>
    <w:rsid w:val="00501672"/>
    <w:rsid w:val="005018EF"/>
    <w:rsid w:val="00501A26"/>
    <w:rsid w:val="00501ABF"/>
    <w:rsid w:val="00501B77"/>
    <w:rsid w:val="00501C2F"/>
    <w:rsid w:val="00501EEE"/>
    <w:rsid w:val="00501FF5"/>
    <w:rsid w:val="005020E4"/>
    <w:rsid w:val="00502278"/>
    <w:rsid w:val="0050251A"/>
    <w:rsid w:val="0050253E"/>
    <w:rsid w:val="005026AB"/>
    <w:rsid w:val="00502716"/>
    <w:rsid w:val="005027D4"/>
    <w:rsid w:val="005028C0"/>
    <w:rsid w:val="0050297D"/>
    <w:rsid w:val="0050306A"/>
    <w:rsid w:val="00503070"/>
    <w:rsid w:val="00503383"/>
    <w:rsid w:val="0050359D"/>
    <w:rsid w:val="00503ED2"/>
    <w:rsid w:val="00503FB9"/>
    <w:rsid w:val="00504038"/>
    <w:rsid w:val="0050408D"/>
    <w:rsid w:val="0050423E"/>
    <w:rsid w:val="005043B9"/>
    <w:rsid w:val="00504675"/>
    <w:rsid w:val="00504E43"/>
    <w:rsid w:val="00505814"/>
    <w:rsid w:val="005058A9"/>
    <w:rsid w:val="00505CAC"/>
    <w:rsid w:val="00505CD9"/>
    <w:rsid w:val="00506795"/>
    <w:rsid w:val="00506C05"/>
    <w:rsid w:val="00506DB0"/>
    <w:rsid w:val="0050700A"/>
    <w:rsid w:val="005070B1"/>
    <w:rsid w:val="00507169"/>
    <w:rsid w:val="00507330"/>
    <w:rsid w:val="005078AF"/>
    <w:rsid w:val="00507A24"/>
    <w:rsid w:val="00507EF0"/>
    <w:rsid w:val="005103F2"/>
    <w:rsid w:val="005107DF"/>
    <w:rsid w:val="0051081E"/>
    <w:rsid w:val="00510B38"/>
    <w:rsid w:val="0051167A"/>
    <w:rsid w:val="00511863"/>
    <w:rsid w:val="00511A47"/>
    <w:rsid w:val="00511A90"/>
    <w:rsid w:val="00511ABE"/>
    <w:rsid w:val="00511F62"/>
    <w:rsid w:val="0051219D"/>
    <w:rsid w:val="005124BF"/>
    <w:rsid w:val="00512796"/>
    <w:rsid w:val="00512C66"/>
    <w:rsid w:val="0051340E"/>
    <w:rsid w:val="00513C45"/>
    <w:rsid w:val="00513D19"/>
    <w:rsid w:val="00514A20"/>
    <w:rsid w:val="0051502C"/>
    <w:rsid w:val="0051536A"/>
    <w:rsid w:val="0051562C"/>
    <w:rsid w:val="005165B2"/>
    <w:rsid w:val="00516684"/>
    <w:rsid w:val="0051693F"/>
    <w:rsid w:val="00516C20"/>
    <w:rsid w:val="00516DB0"/>
    <w:rsid w:val="0051712D"/>
    <w:rsid w:val="005171D7"/>
    <w:rsid w:val="00517315"/>
    <w:rsid w:val="00520C58"/>
    <w:rsid w:val="00520C6F"/>
    <w:rsid w:val="00520DFA"/>
    <w:rsid w:val="00520E38"/>
    <w:rsid w:val="00520E7D"/>
    <w:rsid w:val="00521406"/>
    <w:rsid w:val="005218E3"/>
    <w:rsid w:val="00522226"/>
    <w:rsid w:val="00522F47"/>
    <w:rsid w:val="005230A5"/>
    <w:rsid w:val="0052339E"/>
    <w:rsid w:val="005233E4"/>
    <w:rsid w:val="005237E8"/>
    <w:rsid w:val="00523B51"/>
    <w:rsid w:val="005240E1"/>
    <w:rsid w:val="005244F2"/>
    <w:rsid w:val="00524674"/>
    <w:rsid w:val="00524A34"/>
    <w:rsid w:val="00524EBA"/>
    <w:rsid w:val="00524FD2"/>
    <w:rsid w:val="00525301"/>
    <w:rsid w:val="00525905"/>
    <w:rsid w:val="005260BD"/>
    <w:rsid w:val="00526175"/>
    <w:rsid w:val="005272DE"/>
    <w:rsid w:val="0052733F"/>
    <w:rsid w:val="00527BB4"/>
    <w:rsid w:val="00527D48"/>
    <w:rsid w:val="00527EB5"/>
    <w:rsid w:val="00530017"/>
    <w:rsid w:val="0053009C"/>
    <w:rsid w:val="00530232"/>
    <w:rsid w:val="00530361"/>
    <w:rsid w:val="0053042F"/>
    <w:rsid w:val="005306B5"/>
    <w:rsid w:val="00530780"/>
    <w:rsid w:val="005307CD"/>
    <w:rsid w:val="00530870"/>
    <w:rsid w:val="00531151"/>
    <w:rsid w:val="005312DC"/>
    <w:rsid w:val="005319EB"/>
    <w:rsid w:val="00531DBF"/>
    <w:rsid w:val="005321EC"/>
    <w:rsid w:val="005328E3"/>
    <w:rsid w:val="00532A3B"/>
    <w:rsid w:val="00532BA7"/>
    <w:rsid w:val="00532BBA"/>
    <w:rsid w:val="00532D91"/>
    <w:rsid w:val="00532DBD"/>
    <w:rsid w:val="005330B5"/>
    <w:rsid w:val="005338FA"/>
    <w:rsid w:val="00533A34"/>
    <w:rsid w:val="00534459"/>
    <w:rsid w:val="005346A2"/>
    <w:rsid w:val="00534CC3"/>
    <w:rsid w:val="00535996"/>
    <w:rsid w:val="00535B45"/>
    <w:rsid w:val="00535EC3"/>
    <w:rsid w:val="00536050"/>
    <w:rsid w:val="005362FE"/>
    <w:rsid w:val="00536792"/>
    <w:rsid w:val="00536809"/>
    <w:rsid w:val="00536B07"/>
    <w:rsid w:val="00536DDD"/>
    <w:rsid w:val="0053778C"/>
    <w:rsid w:val="0053779A"/>
    <w:rsid w:val="00537810"/>
    <w:rsid w:val="00537D81"/>
    <w:rsid w:val="00540040"/>
    <w:rsid w:val="005401B6"/>
    <w:rsid w:val="00540994"/>
    <w:rsid w:val="00540B60"/>
    <w:rsid w:val="0054139D"/>
    <w:rsid w:val="0054170E"/>
    <w:rsid w:val="00541AC7"/>
    <w:rsid w:val="00541B3E"/>
    <w:rsid w:val="00541D5A"/>
    <w:rsid w:val="005423EB"/>
    <w:rsid w:val="0054259C"/>
    <w:rsid w:val="00542AFF"/>
    <w:rsid w:val="00543871"/>
    <w:rsid w:val="005439FC"/>
    <w:rsid w:val="00543B04"/>
    <w:rsid w:val="005445C0"/>
    <w:rsid w:val="00544ADB"/>
    <w:rsid w:val="00544D29"/>
    <w:rsid w:val="00545AF8"/>
    <w:rsid w:val="00545BFF"/>
    <w:rsid w:val="00546259"/>
    <w:rsid w:val="005462B1"/>
    <w:rsid w:val="00546423"/>
    <w:rsid w:val="00546C1C"/>
    <w:rsid w:val="00547249"/>
    <w:rsid w:val="00547600"/>
    <w:rsid w:val="005477A3"/>
    <w:rsid w:val="00547D16"/>
    <w:rsid w:val="00547EA6"/>
    <w:rsid w:val="00547F44"/>
    <w:rsid w:val="0055013C"/>
    <w:rsid w:val="00550699"/>
    <w:rsid w:val="00550CFB"/>
    <w:rsid w:val="00551611"/>
    <w:rsid w:val="0055172B"/>
    <w:rsid w:val="00551C31"/>
    <w:rsid w:val="00551D51"/>
    <w:rsid w:val="00551F3E"/>
    <w:rsid w:val="00552109"/>
    <w:rsid w:val="005524F6"/>
    <w:rsid w:val="00552AA1"/>
    <w:rsid w:val="00552CFD"/>
    <w:rsid w:val="00552DD8"/>
    <w:rsid w:val="00552F9C"/>
    <w:rsid w:val="005530DA"/>
    <w:rsid w:val="0055311C"/>
    <w:rsid w:val="005542B5"/>
    <w:rsid w:val="00554A4E"/>
    <w:rsid w:val="00554AB9"/>
    <w:rsid w:val="00554F43"/>
    <w:rsid w:val="00555215"/>
    <w:rsid w:val="00555982"/>
    <w:rsid w:val="00555DAF"/>
    <w:rsid w:val="00555F38"/>
    <w:rsid w:val="0055667D"/>
    <w:rsid w:val="005568E4"/>
    <w:rsid w:val="00556BCD"/>
    <w:rsid w:val="00556C04"/>
    <w:rsid w:val="00556CDC"/>
    <w:rsid w:val="00556E2E"/>
    <w:rsid w:val="00557105"/>
    <w:rsid w:val="0055719D"/>
    <w:rsid w:val="0055719F"/>
    <w:rsid w:val="00557498"/>
    <w:rsid w:val="005574EF"/>
    <w:rsid w:val="00557768"/>
    <w:rsid w:val="00560EAA"/>
    <w:rsid w:val="0056129F"/>
    <w:rsid w:val="005612DF"/>
    <w:rsid w:val="0056180D"/>
    <w:rsid w:val="00561D36"/>
    <w:rsid w:val="005625D9"/>
    <w:rsid w:val="005629FC"/>
    <w:rsid w:val="00562C55"/>
    <w:rsid w:val="00562D22"/>
    <w:rsid w:val="00562F74"/>
    <w:rsid w:val="00563262"/>
    <w:rsid w:val="00563967"/>
    <w:rsid w:val="00563D90"/>
    <w:rsid w:val="00564261"/>
    <w:rsid w:val="005642A1"/>
    <w:rsid w:val="00564529"/>
    <w:rsid w:val="00564A8D"/>
    <w:rsid w:val="00564E66"/>
    <w:rsid w:val="0056507C"/>
    <w:rsid w:val="00565532"/>
    <w:rsid w:val="00565608"/>
    <w:rsid w:val="005659ED"/>
    <w:rsid w:val="00565A9E"/>
    <w:rsid w:val="00565F18"/>
    <w:rsid w:val="00566511"/>
    <w:rsid w:val="005667BA"/>
    <w:rsid w:val="005667F4"/>
    <w:rsid w:val="00566A19"/>
    <w:rsid w:val="00566A89"/>
    <w:rsid w:val="00566A92"/>
    <w:rsid w:val="00566AF7"/>
    <w:rsid w:val="00566C95"/>
    <w:rsid w:val="00566E3E"/>
    <w:rsid w:val="00566F49"/>
    <w:rsid w:val="00566FAE"/>
    <w:rsid w:val="005672CB"/>
    <w:rsid w:val="00567418"/>
    <w:rsid w:val="005674A5"/>
    <w:rsid w:val="00570914"/>
    <w:rsid w:val="00570DC9"/>
    <w:rsid w:val="00570EC4"/>
    <w:rsid w:val="00571457"/>
    <w:rsid w:val="00571499"/>
    <w:rsid w:val="005716F0"/>
    <w:rsid w:val="00571962"/>
    <w:rsid w:val="00571D96"/>
    <w:rsid w:val="005722FD"/>
    <w:rsid w:val="00572305"/>
    <w:rsid w:val="00572405"/>
    <w:rsid w:val="005728CB"/>
    <w:rsid w:val="00572CEE"/>
    <w:rsid w:val="00572D0C"/>
    <w:rsid w:val="00573149"/>
    <w:rsid w:val="005734BE"/>
    <w:rsid w:val="0057376D"/>
    <w:rsid w:val="005737F5"/>
    <w:rsid w:val="00573C80"/>
    <w:rsid w:val="0057435D"/>
    <w:rsid w:val="00574B23"/>
    <w:rsid w:val="00574C69"/>
    <w:rsid w:val="00574CAB"/>
    <w:rsid w:val="00574F62"/>
    <w:rsid w:val="00575314"/>
    <w:rsid w:val="0057569A"/>
    <w:rsid w:val="005766DE"/>
    <w:rsid w:val="00576C1F"/>
    <w:rsid w:val="00577203"/>
    <w:rsid w:val="00577278"/>
    <w:rsid w:val="00577551"/>
    <w:rsid w:val="0057781C"/>
    <w:rsid w:val="005779BB"/>
    <w:rsid w:val="00580148"/>
    <w:rsid w:val="0058027B"/>
    <w:rsid w:val="0058037B"/>
    <w:rsid w:val="00580682"/>
    <w:rsid w:val="00580752"/>
    <w:rsid w:val="0058085E"/>
    <w:rsid w:val="005808B6"/>
    <w:rsid w:val="00580A12"/>
    <w:rsid w:val="00580B2B"/>
    <w:rsid w:val="00580EF5"/>
    <w:rsid w:val="0058118B"/>
    <w:rsid w:val="005813B9"/>
    <w:rsid w:val="005814E7"/>
    <w:rsid w:val="005815F9"/>
    <w:rsid w:val="00581AC8"/>
    <w:rsid w:val="00581F4F"/>
    <w:rsid w:val="00582372"/>
    <w:rsid w:val="00583681"/>
    <w:rsid w:val="005836C1"/>
    <w:rsid w:val="00583AB5"/>
    <w:rsid w:val="00583FED"/>
    <w:rsid w:val="005841B4"/>
    <w:rsid w:val="00584310"/>
    <w:rsid w:val="00584427"/>
    <w:rsid w:val="00584564"/>
    <w:rsid w:val="0058524D"/>
    <w:rsid w:val="005852CD"/>
    <w:rsid w:val="00585B4D"/>
    <w:rsid w:val="00585CDB"/>
    <w:rsid w:val="00586373"/>
    <w:rsid w:val="005863DD"/>
    <w:rsid w:val="00586620"/>
    <w:rsid w:val="00586698"/>
    <w:rsid w:val="00587776"/>
    <w:rsid w:val="00587CCE"/>
    <w:rsid w:val="00587D0D"/>
    <w:rsid w:val="00587EAA"/>
    <w:rsid w:val="00587EE3"/>
    <w:rsid w:val="00587EF6"/>
    <w:rsid w:val="005903F2"/>
    <w:rsid w:val="00590545"/>
    <w:rsid w:val="00590A16"/>
    <w:rsid w:val="00591120"/>
    <w:rsid w:val="005912E8"/>
    <w:rsid w:val="005913AC"/>
    <w:rsid w:val="005915E6"/>
    <w:rsid w:val="0059195B"/>
    <w:rsid w:val="00591B46"/>
    <w:rsid w:val="00591D67"/>
    <w:rsid w:val="00592211"/>
    <w:rsid w:val="005923FE"/>
    <w:rsid w:val="00592702"/>
    <w:rsid w:val="00592A51"/>
    <w:rsid w:val="00592D71"/>
    <w:rsid w:val="00593249"/>
    <w:rsid w:val="00593E4B"/>
    <w:rsid w:val="00594634"/>
    <w:rsid w:val="0059465C"/>
    <w:rsid w:val="00594780"/>
    <w:rsid w:val="00595093"/>
    <w:rsid w:val="005953DC"/>
    <w:rsid w:val="005954BE"/>
    <w:rsid w:val="005956CF"/>
    <w:rsid w:val="005956D9"/>
    <w:rsid w:val="00595890"/>
    <w:rsid w:val="00595A24"/>
    <w:rsid w:val="00595ACE"/>
    <w:rsid w:val="00595DE8"/>
    <w:rsid w:val="00596446"/>
    <w:rsid w:val="00596671"/>
    <w:rsid w:val="0059685E"/>
    <w:rsid w:val="00596964"/>
    <w:rsid w:val="00596AC3"/>
    <w:rsid w:val="00596C0F"/>
    <w:rsid w:val="00596EDB"/>
    <w:rsid w:val="0059721C"/>
    <w:rsid w:val="005975FD"/>
    <w:rsid w:val="005976AE"/>
    <w:rsid w:val="005A04BA"/>
    <w:rsid w:val="005A0552"/>
    <w:rsid w:val="005A0C54"/>
    <w:rsid w:val="005A0F60"/>
    <w:rsid w:val="005A106C"/>
    <w:rsid w:val="005A1212"/>
    <w:rsid w:val="005A1306"/>
    <w:rsid w:val="005A1BEA"/>
    <w:rsid w:val="005A1C09"/>
    <w:rsid w:val="005A21D6"/>
    <w:rsid w:val="005A27B7"/>
    <w:rsid w:val="005A293F"/>
    <w:rsid w:val="005A29F9"/>
    <w:rsid w:val="005A2CC8"/>
    <w:rsid w:val="005A2F44"/>
    <w:rsid w:val="005A301C"/>
    <w:rsid w:val="005A3D36"/>
    <w:rsid w:val="005A3E03"/>
    <w:rsid w:val="005A406C"/>
    <w:rsid w:val="005A45D0"/>
    <w:rsid w:val="005A4701"/>
    <w:rsid w:val="005A52FC"/>
    <w:rsid w:val="005A555D"/>
    <w:rsid w:val="005A55CB"/>
    <w:rsid w:val="005A5C84"/>
    <w:rsid w:val="005A5D7C"/>
    <w:rsid w:val="005A63B7"/>
    <w:rsid w:val="005A63ED"/>
    <w:rsid w:val="005A686C"/>
    <w:rsid w:val="005A69D1"/>
    <w:rsid w:val="005A6CEE"/>
    <w:rsid w:val="005A7577"/>
    <w:rsid w:val="005A75AE"/>
    <w:rsid w:val="005A7764"/>
    <w:rsid w:val="005A79F6"/>
    <w:rsid w:val="005A7D67"/>
    <w:rsid w:val="005A7E0D"/>
    <w:rsid w:val="005A7F66"/>
    <w:rsid w:val="005B0895"/>
    <w:rsid w:val="005B0F87"/>
    <w:rsid w:val="005B1E47"/>
    <w:rsid w:val="005B2023"/>
    <w:rsid w:val="005B207D"/>
    <w:rsid w:val="005B2181"/>
    <w:rsid w:val="005B242F"/>
    <w:rsid w:val="005B2AE8"/>
    <w:rsid w:val="005B2CF1"/>
    <w:rsid w:val="005B2E74"/>
    <w:rsid w:val="005B328C"/>
    <w:rsid w:val="005B33FC"/>
    <w:rsid w:val="005B39BB"/>
    <w:rsid w:val="005B4000"/>
    <w:rsid w:val="005B41A9"/>
    <w:rsid w:val="005B48FC"/>
    <w:rsid w:val="005B4B21"/>
    <w:rsid w:val="005B4E71"/>
    <w:rsid w:val="005B5408"/>
    <w:rsid w:val="005B610E"/>
    <w:rsid w:val="005B6125"/>
    <w:rsid w:val="005B63BE"/>
    <w:rsid w:val="005B63F1"/>
    <w:rsid w:val="005B6B36"/>
    <w:rsid w:val="005B6D0E"/>
    <w:rsid w:val="005B6F78"/>
    <w:rsid w:val="005B713C"/>
    <w:rsid w:val="005B744D"/>
    <w:rsid w:val="005B7CB3"/>
    <w:rsid w:val="005C03C8"/>
    <w:rsid w:val="005C0A52"/>
    <w:rsid w:val="005C0C36"/>
    <w:rsid w:val="005C0EE1"/>
    <w:rsid w:val="005C115A"/>
    <w:rsid w:val="005C1354"/>
    <w:rsid w:val="005C13E6"/>
    <w:rsid w:val="005C161A"/>
    <w:rsid w:val="005C1898"/>
    <w:rsid w:val="005C19DC"/>
    <w:rsid w:val="005C1D10"/>
    <w:rsid w:val="005C2B3C"/>
    <w:rsid w:val="005C2CAC"/>
    <w:rsid w:val="005C2E63"/>
    <w:rsid w:val="005C2FC1"/>
    <w:rsid w:val="005C444C"/>
    <w:rsid w:val="005C499C"/>
    <w:rsid w:val="005C4BAC"/>
    <w:rsid w:val="005C4FF3"/>
    <w:rsid w:val="005C518B"/>
    <w:rsid w:val="005C52DB"/>
    <w:rsid w:val="005C5BD4"/>
    <w:rsid w:val="005C5EF0"/>
    <w:rsid w:val="005C608B"/>
    <w:rsid w:val="005C62C6"/>
    <w:rsid w:val="005C6B27"/>
    <w:rsid w:val="005C6CAB"/>
    <w:rsid w:val="005C712A"/>
    <w:rsid w:val="005C720E"/>
    <w:rsid w:val="005C7325"/>
    <w:rsid w:val="005C739C"/>
    <w:rsid w:val="005C741C"/>
    <w:rsid w:val="005C7899"/>
    <w:rsid w:val="005C78D8"/>
    <w:rsid w:val="005C79E3"/>
    <w:rsid w:val="005C7ED3"/>
    <w:rsid w:val="005D0078"/>
    <w:rsid w:val="005D01B3"/>
    <w:rsid w:val="005D04DD"/>
    <w:rsid w:val="005D0E9B"/>
    <w:rsid w:val="005D1274"/>
    <w:rsid w:val="005D1355"/>
    <w:rsid w:val="005D143E"/>
    <w:rsid w:val="005D14DE"/>
    <w:rsid w:val="005D17C9"/>
    <w:rsid w:val="005D18F7"/>
    <w:rsid w:val="005D1909"/>
    <w:rsid w:val="005D198D"/>
    <w:rsid w:val="005D2436"/>
    <w:rsid w:val="005D2D9D"/>
    <w:rsid w:val="005D2E29"/>
    <w:rsid w:val="005D2F17"/>
    <w:rsid w:val="005D335F"/>
    <w:rsid w:val="005D3499"/>
    <w:rsid w:val="005D34FF"/>
    <w:rsid w:val="005D3725"/>
    <w:rsid w:val="005D38B8"/>
    <w:rsid w:val="005D390B"/>
    <w:rsid w:val="005D3A55"/>
    <w:rsid w:val="005D3BDD"/>
    <w:rsid w:val="005D3C5F"/>
    <w:rsid w:val="005D3C8C"/>
    <w:rsid w:val="005D4233"/>
    <w:rsid w:val="005D42EF"/>
    <w:rsid w:val="005D46DF"/>
    <w:rsid w:val="005D48A6"/>
    <w:rsid w:val="005D5079"/>
    <w:rsid w:val="005D592A"/>
    <w:rsid w:val="005D5BEB"/>
    <w:rsid w:val="005D5DC5"/>
    <w:rsid w:val="005D66FE"/>
    <w:rsid w:val="005D6D6C"/>
    <w:rsid w:val="005D6D8F"/>
    <w:rsid w:val="005D7181"/>
    <w:rsid w:val="005D735A"/>
    <w:rsid w:val="005D78BC"/>
    <w:rsid w:val="005D7E0A"/>
    <w:rsid w:val="005D7EFC"/>
    <w:rsid w:val="005D7FBE"/>
    <w:rsid w:val="005E04C8"/>
    <w:rsid w:val="005E059F"/>
    <w:rsid w:val="005E070B"/>
    <w:rsid w:val="005E107C"/>
    <w:rsid w:val="005E1155"/>
    <w:rsid w:val="005E11AA"/>
    <w:rsid w:val="005E19D1"/>
    <w:rsid w:val="005E1D5C"/>
    <w:rsid w:val="005E2059"/>
    <w:rsid w:val="005E26F0"/>
    <w:rsid w:val="005E2C04"/>
    <w:rsid w:val="005E2D72"/>
    <w:rsid w:val="005E33F8"/>
    <w:rsid w:val="005E3466"/>
    <w:rsid w:val="005E3733"/>
    <w:rsid w:val="005E3921"/>
    <w:rsid w:val="005E3B68"/>
    <w:rsid w:val="005E3C47"/>
    <w:rsid w:val="005E3C87"/>
    <w:rsid w:val="005E3E06"/>
    <w:rsid w:val="005E4224"/>
    <w:rsid w:val="005E437B"/>
    <w:rsid w:val="005E4B47"/>
    <w:rsid w:val="005E4BA7"/>
    <w:rsid w:val="005E51C3"/>
    <w:rsid w:val="005E592E"/>
    <w:rsid w:val="005E636C"/>
    <w:rsid w:val="005E63DE"/>
    <w:rsid w:val="005E6504"/>
    <w:rsid w:val="005E6690"/>
    <w:rsid w:val="005E69E9"/>
    <w:rsid w:val="005E750A"/>
    <w:rsid w:val="005E79DA"/>
    <w:rsid w:val="005F01DA"/>
    <w:rsid w:val="005F0236"/>
    <w:rsid w:val="005F0278"/>
    <w:rsid w:val="005F04AC"/>
    <w:rsid w:val="005F04F7"/>
    <w:rsid w:val="005F0886"/>
    <w:rsid w:val="005F0BAD"/>
    <w:rsid w:val="005F0BC1"/>
    <w:rsid w:val="005F1030"/>
    <w:rsid w:val="005F19CD"/>
    <w:rsid w:val="005F1AF7"/>
    <w:rsid w:val="005F1B9F"/>
    <w:rsid w:val="005F2115"/>
    <w:rsid w:val="005F21D0"/>
    <w:rsid w:val="005F2773"/>
    <w:rsid w:val="005F281A"/>
    <w:rsid w:val="005F283E"/>
    <w:rsid w:val="005F2A97"/>
    <w:rsid w:val="005F3003"/>
    <w:rsid w:val="005F3475"/>
    <w:rsid w:val="005F3A8A"/>
    <w:rsid w:val="005F3B07"/>
    <w:rsid w:val="005F3B84"/>
    <w:rsid w:val="005F3FE9"/>
    <w:rsid w:val="005F4021"/>
    <w:rsid w:val="005F458C"/>
    <w:rsid w:val="005F4A54"/>
    <w:rsid w:val="005F4C81"/>
    <w:rsid w:val="005F4D9F"/>
    <w:rsid w:val="005F4ED1"/>
    <w:rsid w:val="005F5278"/>
    <w:rsid w:val="005F5488"/>
    <w:rsid w:val="005F54B1"/>
    <w:rsid w:val="005F55B4"/>
    <w:rsid w:val="005F57A5"/>
    <w:rsid w:val="005F5C46"/>
    <w:rsid w:val="005F5EC3"/>
    <w:rsid w:val="005F6321"/>
    <w:rsid w:val="005F6378"/>
    <w:rsid w:val="005F6532"/>
    <w:rsid w:val="005F668E"/>
    <w:rsid w:val="005F6699"/>
    <w:rsid w:val="005F6779"/>
    <w:rsid w:val="005F67AD"/>
    <w:rsid w:val="005F6889"/>
    <w:rsid w:val="005F6EE8"/>
    <w:rsid w:val="005F76B1"/>
    <w:rsid w:val="005F77D6"/>
    <w:rsid w:val="005F7CB5"/>
    <w:rsid w:val="005F7D56"/>
    <w:rsid w:val="005F7E28"/>
    <w:rsid w:val="006000B9"/>
    <w:rsid w:val="00601036"/>
    <w:rsid w:val="0060112F"/>
    <w:rsid w:val="006019E1"/>
    <w:rsid w:val="00601EF4"/>
    <w:rsid w:val="00602382"/>
    <w:rsid w:val="006025BC"/>
    <w:rsid w:val="00602CAA"/>
    <w:rsid w:val="00602E90"/>
    <w:rsid w:val="006037B2"/>
    <w:rsid w:val="00603833"/>
    <w:rsid w:val="0060397F"/>
    <w:rsid w:val="006040C1"/>
    <w:rsid w:val="00604121"/>
    <w:rsid w:val="0060454C"/>
    <w:rsid w:val="00604BAE"/>
    <w:rsid w:val="00604D6A"/>
    <w:rsid w:val="00605322"/>
    <w:rsid w:val="0060534C"/>
    <w:rsid w:val="00605BC6"/>
    <w:rsid w:val="00605CCF"/>
    <w:rsid w:val="00605F24"/>
    <w:rsid w:val="00606610"/>
    <w:rsid w:val="0060693D"/>
    <w:rsid w:val="006070D2"/>
    <w:rsid w:val="00607326"/>
    <w:rsid w:val="0060743C"/>
    <w:rsid w:val="006076B7"/>
    <w:rsid w:val="0060797E"/>
    <w:rsid w:val="00607CC8"/>
    <w:rsid w:val="006100E5"/>
    <w:rsid w:val="00610163"/>
    <w:rsid w:val="00610902"/>
    <w:rsid w:val="00610F89"/>
    <w:rsid w:val="006112F2"/>
    <w:rsid w:val="0061143E"/>
    <w:rsid w:val="0061153B"/>
    <w:rsid w:val="00611D9C"/>
    <w:rsid w:val="006120E4"/>
    <w:rsid w:val="00612260"/>
    <w:rsid w:val="00612852"/>
    <w:rsid w:val="00612862"/>
    <w:rsid w:val="0061287C"/>
    <w:rsid w:val="00612EB0"/>
    <w:rsid w:val="00612F5F"/>
    <w:rsid w:val="00613140"/>
    <w:rsid w:val="00613411"/>
    <w:rsid w:val="0061345F"/>
    <w:rsid w:val="006138D2"/>
    <w:rsid w:val="00613A28"/>
    <w:rsid w:val="00613D13"/>
    <w:rsid w:val="00613FA0"/>
    <w:rsid w:val="0061400B"/>
    <w:rsid w:val="00614064"/>
    <w:rsid w:val="00614343"/>
    <w:rsid w:val="0061434C"/>
    <w:rsid w:val="00614654"/>
    <w:rsid w:val="00614901"/>
    <w:rsid w:val="00614D1A"/>
    <w:rsid w:val="00615D34"/>
    <w:rsid w:val="00616124"/>
    <w:rsid w:val="006162AD"/>
    <w:rsid w:val="00616F56"/>
    <w:rsid w:val="0061777A"/>
    <w:rsid w:val="00617C7C"/>
    <w:rsid w:val="0062004E"/>
    <w:rsid w:val="0062071A"/>
    <w:rsid w:val="0062098F"/>
    <w:rsid w:val="00620B6F"/>
    <w:rsid w:val="006212F3"/>
    <w:rsid w:val="006217A7"/>
    <w:rsid w:val="00622178"/>
    <w:rsid w:val="006222DA"/>
    <w:rsid w:val="0062263A"/>
    <w:rsid w:val="00622DEA"/>
    <w:rsid w:val="00622E8E"/>
    <w:rsid w:val="00623B5A"/>
    <w:rsid w:val="00623C5A"/>
    <w:rsid w:val="00624006"/>
    <w:rsid w:val="006242E8"/>
    <w:rsid w:val="00624349"/>
    <w:rsid w:val="0062439C"/>
    <w:rsid w:val="00624451"/>
    <w:rsid w:val="0062488E"/>
    <w:rsid w:val="00624EDA"/>
    <w:rsid w:val="006251CB"/>
    <w:rsid w:val="00625528"/>
    <w:rsid w:val="0062556D"/>
    <w:rsid w:val="006255A4"/>
    <w:rsid w:val="00625BB1"/>
    <w:rsid w:val="00626141"/>
    <w:rsid w:val="006261E8"/>
    <w:rsid w:val="00626325"/>
    <w:rsid w:val="006264FD"/>
    <w:rsid w:val="0062667D"/>
    <w:rsid w:val="00626D08"/>
    <w:rsid w:val="00627273"/>
    <w:rsid w:val="006275C1"/>
    <w:rsid w:val="00627AEA"/>
    <w:rsid w:val="00630034"/>
    <w:rsid w:val="0063006A"/>
    <w:rsid w:val="006300C3"/>
    <w:rsid w:val="00630B05"/>
    <w:rsid w:val="00631438"/>
    <w:rsid w:val="006314A2"/>
    <w:rsid w:val="0063180B"/>
    <w:rsid w:val="006319F3"/>
    <w:rsid w:val="006322B8"/>
    <w:rsid w:val="006325F4"/>
    <w:rsid w:val="00632794"/>
    <w:rsid w:val="00632887"/>
    <w:rsid w:val="00632917"/>
    <w:rsid w:val="00632C3E"/>
    <w:rsid w:val="00632E1F"/>
    <w:rsid w:val="006331E9"/>
    <w:rsid w:val="0063350D"/>
    <w:rsid w:val="006335B7"/>
    <w:rsid w:val="00633AAD"/>
    <w:rsid w:val="00633E56"/>
    <w:rsid w:val="006340F7"/>
    <w:rsid w:val="00634310"/>
    <w:rsid w:val="00634355"/>
    <w:rsid w:val="00634DC0"/>
    <w:rsid w:val="00635100"/>
    <w:rsid w:val="00635440"/>
    <w:rsid w:val="00635813"/>
    <w:rsid w:val="0063594C"/>
    <w:rsid w:val="0063657F"/>
    <w:rsid w:val="006366BF"/>
    <w:rsid w:val="00636AF1"/>
    <w:rsid w:val="00636B5C"/>
    <w:rsid w:val="00637330"/>
    <w:rsid w:val="006373C2"/>
    <w:rsid w:val="00637515"/>
    <w:rsid w:val="00637811"/>
    <w:rsid w:val="00637AF2"/>
    <w:rsid w:val="00637C94"/>
    <w:rsid w:val="00637DCC"/>
    <w:rsid w:val="00640016"/>
    <w:rsid w:val="00640266"/>
    <w:rsid w:val="006407CE"/>
    <w:rsid w:val="0064086E"/>
    <w:rsid w:val="00640A62"/>
    <w:rsid w:val="00640C53"/>
    <w:rsid w:val="00641169"/>
    <w:rsid w:val="006415D1"/>
    <w:rsid w:val="00641699"/>
    <w:rsid w:val="00641B5C"/>
    <w:rsid w:val="00641CA0"/>
    <w:rsid w:val="00641FC6"/>
    <w:rsid w:val="0064243F"/>
    <w:rsid w:val="00642745"/>
    <w:rsid w:val="00642823"/>
    <w:rsid w:val="00642985"/>
    <w:rsid w:val="00643EF6"/>
    <w:rsid w:val="00644798"/>
    <w:rsid w:val="006449C3"/>
    <w:rsid w:val="00644E2D"/>
    <w:rsid w:val="00645045"/>
    <w:rsid w:val="006450E0"/>
    <w:rsid w:val="0064528A"/>
    <w:rsid w:val="0064542F"/>
    <w:rsid w:val="0064555F"/>
    <w:rsid w:val="0064578F"/>
    <w:rsid w:val="00645BB8"/>
    <w:rsid w:val="00645D34"/>
    <w:rsid w:val="00645F54"/>
    <w:rsid w:val="006460C7"/>
    <w:rsid w:val="0064675D"/>
    <w:rsid w:val="00646CCC"/>
    <w:rsid w:val="00646CE9"/>
    <w:rsid w:val="006476E4"/>
    <w:rsid w:val="00647931"/>
    <w:rsid w:val="0064C928"/>
    <w:rsid w:val="006506C6"/>
    <w:rsid w:val="00650958"/>
    <w:rsid w:val="00650C97"/>
    <w:rsid w:val="00650F89"/>
    <w:rsid w:val="00650FB5"/>
    <w:rsid w:val="00651103"/>
    <w:rsid w:val="0065150C"/>
    <w:rsid w:val="00651ECC"/>
    <w:rsid w:val="00651FED"/>
    <w:rsid w:val="00652306"/>
    <w:rsid w:val="00652486"/>
    <w:rsid w:val="006524BA"/>
    <w:rsid w:val="00652CFE"/>
    <w:rsid w:val="00653493"/>
    <w:rsid w:val="0065396D"/>
    <w:rsid w:val="00654475"/>
    <w:rsid w:val="006545C5"/>
    <w:rsid w:val="00654608"/>
    <w:rsid w:val="006547DB"/>
    <w:rsid w:val="00654F4A"/>
    <w:rsid w:val="00655295"/>
    <w:rsid w:val="006555E1"/>
    <w:rsid w:val="006555F0"/>
    <w:rsid w:val="006556B0"/>
    <w:rsid w:val="006557E7"/>
    <w:rsid w:val="00655B64"/>
    <w:rsid w:val="00655E76"/>
    <w:rsid w:val="00656154"/>
    <w:rsid w:val="00656CE7"/>
    <w:rsid w:val="0065736A"/>
    <w:rsid w:val="00657626"/>
    <w:rsid w:val="00657679"/>
    <w:rsid w:val="00657BA7"/>
    <w:rsid w:val="00657C28"/>
    <w:rsid w:val="00657DCD"/>
    <w:rsid w:val="00657E7C"/>
    <w:rsid w:val="0066011B"/>
    <w:rsid w:val="0066019E"/>
    <w:rsid w:val="006601B6"/>
    <w:rsid w:val="006606B1"/>
    <w:rsid w:val="00660C79"/>
    <w:rsid w:val="00660F7D"/>
    <w:rsid w:val="006612FA"/>
    <w:rsid w:val="00661407"/>
    <w:rsid w:val="00661557"/>
    <w:rsid w:val="006618AC"/>
    <w:rsid w:val="0066190B"/>
    <w:rsid w:val="00661EE1"/>
    <w:rsid w:val="00662267"/>
    <w:rsid w:val="006624BA"/>
    <w:rsid w:val="006626E5"/>
    <w:rsid w:val="00662F8F"/>
    <w:rsid w:val="0066300D"/>
    <w:rsid w:val="00663287"/>
    <w:rsid w:val="00663430"/>
    <w:rsid w:val="0066358A"/>
    <w:rsid w:val="00663731"/>
    <w:rsid w:val="006638C3"/>
    <w:rsid w:val="00663929"/>
    <w:rsid w:val="00663C33"/>
    <w:rsid w:val="00663E3A"/>
    <w:rsid w:val="0066483C"/>
    <w:rsid w:val="006648B7"/>
    <w:rsid w:val="00664B50"/>
    <w:rsid w:val="00664B99"/>
    <w:rsid w:val="00664F35"/>
    <w:rsid w:val="0066520A"/>
    <w:rsid w:val="00665D2F"/>
    <w:rsid w:val="00665F0E"/>
    <w:rsid w:val="00665FE7"/>
    <w:rsid w:val="00666480"/>
    <w:rsid w:val="00666924"/>
    <w:rsid w:val="00666B85"/>
    <w:rsid w:val="00667217"/>
    <w:rsid w:val="00667270"/>
    <w:rsid w:val="006673FE"/>
    <w:rsid w:val="006675B1"/>
    <w:rsid w:val="00667C0E"/>
    <w:rsid w:val="00667F96"/>
    <w:rsid w:val="00670472"/>
    <w:rsid w:val="006705A1"/>
    <w:rsid w:val="00670610"/>
    <w:rsid w:val="006707FD"/>
    <w:rsid w:val="00670E3D"/>
    <w:rsid w:val="00670E7C"/>
    <w:rsid w:val="00671072"/>
    <w:rsid w:val="00671264"/>
    <w:rsid w:val="00671AE0"/>
    <w:rsid w:val="006721DE"/>
    <w:rsid w:val="0067291E"/>
    <w:rsid w:val="0067296D"/>
    <w:rsid w:val="00672C39"/>
    <w:rsid w:val="00673535"/>
    <w:rsid w:val="0067424E"/>
    <w:rsid w:val="00674545"/>
    <w:rsid w:val="00674B3F"/>
    <w:rsid w:val="00674F0A"/>
    <w:rsid w:val="0067542E"/>
    <w:rsid w:val="00675C1D"/>
    <w:rsid w:val="0067634B"/>
    <w:rsid w:val="00676543"/>
    <w:rsid w:val="006767E6"/>
    <w:rsid w:val="00677863"/>
    <w:rsid w:val="00677B92"/>
    <w:rsid w:val="00680099"/>
    <w:rsid w:val="0068018D"/>
    <w:rsid w:val="00680696"/>
    <w:rsid w:val="00680880"/>
    <w:rsid w:val="00680C77"/>
    <w:rsid w:val="006818C0"/>
    <w:rsid w:val="00681D52"/>
    <w:rsid w:val="00682461"/>
    <w:rsid w:val="00682B10"/>
    <w:rsid w:val="00682C66"/>
    <w:rsid w:val="00682E0D"/>
    <w:rsid w:val="00683657"/>
    <w:rsid w:val="00683B36"/>
    <w:rsid w:val="00683DCD"/>
    <w:rsid w:val="00683F63"/>
    <w:rsid w:val="006842B9"/>
    <w:rsid w:val="006843A5"/>
    <w:rsid w:val="00684582"/>
    <w:rsid w:val="006847D1"/>
    <w:rsid w:val="00684BB7"/>
    <w:rsid w:val="006857B6"/>
    <w:rsid w:val="006857EF"/>
    <w:rsid w:val="0068581B"/>
    <w:rsid w:val="00685C56"/>
    <w:rsid w:val="00685E1C"/>
    <w:rsid w:val="0068607A"/>
    <w:rsid w:val="006864E2"/>
    <w:rsid w:val="00686646"/>
    <w:rsid w:val="0068665F"/>
    <w:rsid w:val="0068697C"/>
    <w:rsid w:val="00686EB9"/>
    <w:rsid w:val="00686F0A"/>
    <w:rsid w:val="00687012"/>
    <w:rsid w:val="006870AB"/>
    <w:rsid w:val="00687FF9"/>
    <w:rsid w:val="00690085"/>
    <w:rsid w:val="00690A06"/>
    <w:rsid w:val="00690A9C"/>
    <w:rsid w:val="00690DD2"/>
    <w:rsid w:val="00690E61"/>
    <w:rsid w:val="006910CC"/>
    <w:rsid w:val="006912F4"/>
    <w:rsid w:val="006913D2"/>
    <w:rsid w:val="006915F3"/>
    <w:rsid w:val="00691C45"/>
    <w:rsid w:val="00691E84"/>
    <w:rsid w:val="00691FB0"/>
    <w:rsid w:val="0069209D"/>
    <w:rsid w:val="0069215F"/>
    <w:rsid w:val="00692484"/>
    <w:rsid w:val="0069273E"/>
    <w:rsid w:val="00692D05"/>
    <w:rsid w:val="00693306"/>
    <w:rsid w:val="006933AA"/>
    <w:rsid w:val="00693735"/>
    <w:rsid w:val="006938A0"/>
    <w:rsid w:val="006938EE"/>
    <w:rsid w:val="00693B3C"/>
    <w:rsid w:val="00693BF3"/>
    <w:rsid w:val="006941B0"/>
    <w:rsid w:val="00694283"/>
    <w:rsid w:val="00694AFF"/>
    <w:rsid w:val="00694F09"/>
    <w:rsid w:val="006950A7"/>
    <w:rsid w:val="0069545C"/>
    <w:rsid w:val="006956C5"/>
    <w:rsid w:val="00695BB9"/>
    <w:rsid w:val="00696062"/>
    <w:rsid w:val="00696298"/>
    <w:rsid w:val="006965CB"/>
    <w:rsid w:val="006969FB"/>
    <w:rsid w:val="00696D8D"/>
    <w:rsid w:val="006971E6"/>
    <w:rsid w:val="00697B13"/>
    <w:rsid w:val="00697D3C"/>
    <w:rsid w:val="006A00B6"/>
    <w:rsid w:val="006A0541"/>
    <w:rsid w:val="006A0566"/>
    <w:rsid w:val="006A0663"/>
    <w:rsid w:val="006A06AD"/>
    <w:rsid w:val="006A0744"/>
    <w:rsid w:val="006A0BBD"/>
    <w:rsid w:val="006A0D24"/>
    <w:rsid w:val="006A0F66"/>
    <w:rsid w:val="006A12AF"/>
    <w:rsid w:val="006A12D2"/>
    <w:rsid w:val="006A1708"/>
    <w:rsid w:val="006A1792"/>
    <w:rsid w:val="006A19B3"/>
    <w:rsid w:val="006A1F70"/>
    <w:rsid w:val="006A2696"/>
    <w:rsid w:val="006A2806"/>
    <w:rsid w:val="006A28E5"/>
    <w:rsid w:val="006A2919"/>
    <w:rsid w:val="006A2FCD"/>
    <w:rsid w:val="006A3082"/>
    <w:rsid w:val="006A347A"/>
    <w:rsid w:val="006A3730"/>
    <w:rsid w:val="006A3964"/>
    <w:rsid w:val="006A401C"/>
    <w:rsid w:val="006A43CD"/>
    <w:rsid w:val="006A47C2"/>
    <w:rsid w:val="006A4E29"/>
    <w:rsid w:val="006A4EA1"/>
    <w:rsid w:val="006A503D"/>
    <w:rsid w:val="006A55F1"/>
    <w:rsid w:val="006A5811"/>
    <w:rsid w:val="006A5E95"/>
    <w:rsid w:val="006A618F"/>
    <w:rsid w:val="006A623D"/>
    <w:rsid w:val="006A62FB"/>
    <w:rsid w:val="006A662A"/>
    <w:rsid w:val="006A6757"/>
    <w:rsid w:val="006A6A5A"/>
    <w:rsid w:val="006A6D3A"/>
    <w:rsid w:val="006A6F7F"/>
    <w:rsid w:val="006A7121"/>
    <w:rsid w:val="006A748C"/>
    <w:rsid w:val="006A761B"/>
    <w:rsid w:val="006A7B48"/>
    <w:rsid w:val="006A7D77"/>
    <w:rsid w:val="006A7EB1"/>
    <w:rsid w:val="006B0083"/>
    <w:rsid w:val="006B011B"/>
    <w:rsid w:val="006B02AE"/>
    <w:rsid w:val="006B03E0"/>
    <w:rsid w:val="006B0AE7"/>
    <w:rsid w:val="006B127A"/>
    <w:rsid w:val="006B1A03"/>
    <w:rsid w:val="006B1B26"/>
    <w:rsid w:val="006B1C28"/>
    <w:rsid w:val="006B1DE4"/>
    <w:rsid w:val="006B225A"/>
    <w:rsid w:val="006B29FF"/>
    <w:rsid w:val="006B2ABE"/>
    <w:rsid w:val="006B2BE6"/>
    <w:rsid w:val="006B2FB3"/>
    <w:rsid w:val="006B3579"/>
    <w:rsid w:val="006B374C"/>
    <w:rsid w:val="006B3D89"/>
    <w:rsid w:val="006B4D66"/>
    <w:rsid w:val="006B4EAB"/>
    <w:rsid w:val="006B56D1"/>
    <w:rsid w:val="006B59F3"/>
    <w:rsid w:val="006B5B70"/>
    <w:rsid w:val="006B5E5E"/>
    <w:rsid w:val="006B601E"/>
    <w:rsid w:val="006B66C2"/>
    <w:rsid w:val="006B6CAC"/>
    <w:rsid w:val="006B6DA1"/>
    <w:rsid w:val="006B7314"/>
    <w:rsid w:val="006B763E"/>
    <w:rsid w:val="006C07B1"/>
    <w:rsid w:val="006C09A9"/>
    <w:rsid w:val="006C0B8F"/>
    <w:rsid w:val="006C0B92"/>
    <w:rsid w:val="006C0CA3"/>
    <w:rsid w:val="006C0EB2"/>
    <w:rsid w:val="006C116C"/>
    <w:rsid w:val="006C13C0"/>
    <w:rsid w:val="006C1A3E"/>
    <w:rsid w:val="006C23AD"/>
    <w:rsid w:val="006C247B"/>
    <w:rsid w:val="006C28C6"/>
    <w:rsid w:val="006C4630"/>
    <w:rsid w:val="006C484B"/>
    <w:rsid w:val="006C4FB0"/>
    <w:rsid w:val="006C5740"/>
    <w:rsid w:val="006C59CB"/>
    <w:rsid w:val="006C60DE"/>
    <w:rsid w:val="006C66AD"/>
    <w:rsid w:val="006C66B0"/>
    <w:rsid w:val="006C6721"/>
    <w:rsid w:val="006C6CD2"/>
    <w:rsid w:val="006C6EE5"/>
    <w:rsid w:val="006C6F29"/>
    <w:rsid w:val="006C75DC"/>
    <w:rsid w:val="006C7813"/>
    <w:rsid w:val="006C79BD"/>
    <w:rsid w:val="006C7C82"/>
    <w:rsid w:val="006C7D82"/>
    <w:rsid w:val="006D0802"/>
    <w:rsid w:val="006D0E2D"/>
    <w:rsid w:val="006D0F0A"/>
    <w:rsid w:val="006D0F76"/>
    <w:rsid w:val="006D1069"/>
    <w:rsid w:val="006D112D"/>
    <w:rsid w:val="006D118C"/>
    <w:rsid w:val="006D1D37"/>
    <w:rsid w:val="006D1E23"/>
    <w:rsid w:val="006D20B4"/>
    <w:rsid w:val="006D28EE"/>
    <w:rsid w:val="006D2B93"/>
    <w:rsid w:val="006D30F6"/>
    <w:rsid w:val="006D328F"/>
    <w:rsid w:val="006D380E"/>
    <w:rsid w:val="006D3C3B"/>
    <w:rsid w:val="006D3DD4"/>
    <w:rsid w:val="006D4226"/>
    <w:rsid w:val="006D4260"/>
    <w:rsid w:val="006D44D3"/>
    <w:rsid w:val="006D46DA"/>
    <w:rsid w:val="006D4D11"/>
    <w:rsid w:val="006D5B63"/>
    <w:rsid w:val="006D5D5A"/>
    <w:rsid w:val="006D6229"/>
    <w:rsid w:val="006D6374"/>
    <w:rsid w:val="006D747E"/>
    <w:rsid w:val="006D7BE4"/>
    <w:rsid w:val="006D7FB3"/>
    <w:rsid w:val="006E0335"/>
    <w:rsid w:val="006E06AF"/>
    <w:rsid w:val="006E085C"/>
    <w:rsid w:val="006E11A1"/>
    <w:rsid w:val="006E1611"/>
    <w:rsid w:val="006E1717"/>
    <w:rsid w:val="006E1898"/>
    <w:rsid w:val="006E18F8"/>
    <w:rsid w:val="006E1BE5"/>
    <w:rsid w:val="006E2079"/>
    <w:rsid w:val="006E2467"/>
    <w:rsid w:val="006E253B"/>
    <w:rsid w:val="006E26AC"/>
    <w:rsid w:val="006E297A"/>
    <w:rsid w:val="006E2A08"/>
    <w:rsid w:val="006E360B"/>
    <w:rsid w:val="006E4D5F"/>
    <w:rsid w:val="006E5529"/>
    <w:rsid w:val="006E55A9"/>
    <w:rsid w:val="006E588E"/>
    <w:rsid w:val="006E5A48"/>
    <w:rsid w:val="006E5B82"/>
    <w:rsid w:val="006E66CB"/>
    <w:rsid w:val="006E6762"/>
    <w:rsid w:val="006E6A1D"/>
    <w:rsid w:val="006E6A41"/>
    <w:rsid w:val="006E6C09"/>
    <w:rsid w:val="006E7BB3"/>
    <w:rsid w:val="006E7DC1"/>
    <w:rsid w:val="006E7DC9"/>
    <w:rsid w:val="006F04EB"/>
    <w:rsid w:val="006F1055"/>
    <w:rsid w:val="006F1692"/>
    <w:rsid w:val="006F1C5D"/>
    <w:rsid w:val="006F2EE7"/>
    <w:rsid w:val="006F33B5"/>
    <w:rsid w:val="006F3588"/>
    <w:rsid w:val="006F3838"/>
    <w:rsid w:val="006F399C"/>
    <w:rsid w:val="006F39F5"/>
    <w:rsid w:val="006F3FB9"/>
    <w:rsid w:val="006F4289"/>
    <w:rsid w:val="006F5065"/>
    <w:rsid w:val="006F5102"/>
    <w:rsid w:val="006F5F84"/>
    <w:rsid w:val="006F6063"/>
    <w:rsid w:val="006F6301"/>
    <w:rsid w:val="006F6994"/>
    <w:rsid w:val="006F7143"/>
    <w:rsid w:val="006F71B4"/>
    <w:rsid w:val="006F77F3"/>
    <w:rsid w:val="006F78DD"/>
    <w:rsid w:val="006F7A8F"/>
    <w:rsid w:val="006F7C3C"/>
    <w:rsid w:val="0070037B"/>
    <w:rsid w:val="0070077A"/>
    <w:rsid w:val="007007D4"/>
    <w:rsid w:val="00700AE8"/>
    <w:rsid w:val="00701083"/>
    <w:rsid w:val="007012FD"/>
    <w:rsid w:val="0070139F"/>
    <w:rsid w:val="007015D0"/>
    <w:rsid w:val="00701D58"/>
    <w:rsid w:val="00701E87"/>
    <w:rsid w:val="00701EC9"/>
    <w:rsid w:val="00703233"/>
    <w:rsid w:val="007036B7"/>
    <w:rsid w:val="0070382E"/>
    <w:rsid w:val="00703A01"/>
    <w:rsid w:val="00703C70"/>
    <w:rsid w:val="00703D77"/>
    <w:rsid w:val="007040F4"/>
    <w:rsid w:val="0070419C"/>
    <w:rsid w:val="007041D0"/>
    <w:rsid w:val="00704407"/>
    <w:rsid w:val="00704CE5"/>
    <w:rsid w:val="00704D51"/>
    <w:rsid w:val="007051A9"/>
    <w:rsid w:val="007051F8"/>
    <w:rsid w:val="0070558B"/>
    <w:rsid w:val="007059FF"/>
    <w:rsid w:val="00705D34"/>
    <w:rsid w:val="007062B1"/>
    <w:rsid w:val="00706682"/>
    <w:rsid w:val="00706B0A"/>
    <w:rsid w:val="00706BE4"/>
    <w:rsid w:val="007070FF"/>
    <w:rsid w:val="007074D3"/>
    <w:rsid w:val="007074D6"/>
    <w:rsid w:val="00707529"/>
    <w:rsid w:val="00707897"/>
    <w:rsid w:val="00707BFC"/>
    <w:rsid w:val="00710011"/>
    <w:rsid w:val="00710EB8"/>
    <w:rsid w:val="00710EFA"/>
    <w:rsid w:val="00710F35"/>
    <w:rsid w:val="00711012"/>
    <w:rsid w:val="0071101A"/>
    <w:rsid w:val="00711316"/>
    <w:rsid w:val="0071139F"/>
    <w:rsid w:val="0071149D"/>
    <w:rsid w:val="00711677"/>
    <w:rsid w:val="00711892"/>
    <w:rsid w:val="00711A73"/>
    <w:rsid w:val="007121AA"/>
    <w:rsid w:val="007121E0"/>
    <w:rsid w:val="00712314"/>
    <w:rsid w:val="007126FC"/>
    <w:rsid w:val="00712967"/>
    <w:rsid w:val="00712A8C"/>
    <w:rsid w:val="00712CAB"/>
    <w:rsid w:val="007131AA"/>
    <w:rsid w:val="00713728"/>
    <w:rsid w:val="00713C38"/>
    <w:rsid w:val="00714DD4"/>
    <w:rsid w:val="00714EDE"/>
    <w:rsid w:val="00714FE2"/>
    <w:rsid w:val="007151C0"/>
    <w:rsid w:val="00715518"/>
    <w:rsid w:val="0071584C"/>
    <w:rsid w:val="00715A43"/>
    <w:rsid w:val="0071662D"/>
    <w:rsid w:val="007166B2"/>
    <w:rsid w:val="007166BC"/>
    <w:rsid w:val="007166D3"/>
    <w:rsid w:val="0071688A"/>
    <w:rsid w:val="007168CD"/>
    <w:rsid w:val="00716C80"/>
    <w:rsid w:val="00716EC9"/>
    <w:rsid w:val="00716F72"/>
    <w:rsid w:val="007171A4"/>
    <w:rsid w:val="007177EC"/>
    <w:rsid w:val="00717A3D"/>
    <w:rsid w:val="00717C07"/>
    <w:rsid w:val="007206AC"/>
    <w:rsid w:val="00720F2D"/>
    <w:rsid w:val="0072192A"/>
    <w:rsid w:val="00721BDB"/>
    <w:rsid w:val="00721C42"/>
    <w:rsid w:val="00721EA3"/>
    <w:rsid w:val="0072248F"/>
    <w:rsid w:val="00722B03"/>
    <w:rsid w:val="00722EE0"/>
    <w:rsid w:val="007237CB"/>
    <w:rsid w:val="007239CB"/>
    <w:rsid w:val="00723A03"/>
    <w:rsid w:val="00723A71"/>
    <w:rsid w:val="00723EF2"/>
    <w:rsid w:val="00724404"/>
    <w:rsid w:val="00724536"/>
    <w:rsid w:val="00724616"/>
    <w:rsid w:val="00724927"/>
    <w:rsid w:val="00724DE0"/>
    <w:rsid w:val="00724F10"/>
    <w:rsid w:val="007256BA"/>
    <w:rsid w:val="00725954"/>
    <w:rsid w:val="00725DAB"/>
    <w:rsid w:val="00725F4D"/>
    <w:rsid w:val="007261ED"/>
    <w:rsid w:val="00726269"/>
    <w:rsid w:val="00726338"/>
    <w:rsid w:val="007267E6"/>
    <w:rsid w:val="00726CB9"/>
    <w:rsid w:val="00726D2C"/>
    <w:rsid w:val="00726D59"/>
    <w:rsid w:val="00726DAE"/>
    <w:rsid w:val="007270DA"/>
    <w:rsid w:val="00727789"/>
    <w:rsid w:val="007278C5"/>
    <w:rsid w:val="00727E33"/>
    <w:rsid w:val="00727E7F"/>
    <w:rsid w:val="00727E9D"/>
    <w:rsid w:val="00731064"/>
    <w:rsid w:val="0073123F"/>
    <w:rsid w:val="007313EF"/>
    <w:rsid w:val="00731912"/>
    <w:rsid w:val="00731B3D"/>
    <w:rsid w:val="00731D96"/>
    <w:rsid w:val="00732FA9"/>
    <w:rsid w:val="007330C9"/>
    <w:rsid w:val="007332C3"/>
    <w:rsid w:val="00733586"/>
    <w:rsid w:val="00733986"/>
    <w:rsid w:val="00733A9E"/>
    <w:rsid w:val="00733D63"/>
    <w:rsid w:val="00733DEB"/>
    <w:rsid w:val="00734400"/>
    <w:rsid w:val="0073492A"/>
    <w:rsid w:val="00734FF5"/>
    <w:rsid w:val="007353C6"/>
    <w:rsid w:val="007355A1"/>
    <w:rsid w:val="00735670"/>
    <w:rsid w:val="00735714"/>
    <w:rsid w:val="00735B08"/>
    <w:rsid w:val="00735C0F"/>
    <w:rsid w:val="00735F9D"/>
    <w:rsid w:val="00736024"/>
    <w:rsid w:val="00736621"/>
    <w:rsid w:val="00736740"/>
    <w:rsid w:val="007368CA"/>
    <w:rsid w:val="0073709D"/>
    <w:rsid w:val="007373B8"/>
    <w:rsid w:val="007374F1"/>
    <w:rsid w:val="00737716"/>
    <w:rsid w:val="007403B6"/>
    <w:rsid w:val="007403E7"/>
    <w:rsid w:val="00740446"/>
    <w:rsid w:val="007405FC"/>
    <w:rsid w:val="0074063E"/>
    <w:rsid w:val="007407C9"/>
    <w:rsid w:val="00740C74"/>
    <w:rsid w:val="00740D8A"/>
    <w:rsid w:val="00740F4A"/>
    <w:rsid w:val="00741537"/>
    <w:rsid w:val="007415C1"/>
    <w:rsid w:val="00741833"/>
    <w:rsid w:val="0074184B"/>
    <w:rsid w:val="00741980"/>
    <w:rsid w:val="00741F29"/>
    <w:rsid w:val="007427C7"/>
    <w:rsid w:val="007429FF"/>
    <w:rsid w:val="00742B91"/>
    <w:rsid w:val="007431A6"/>
    <w:rsid w:val="007431A9"/>
    <w:rsid w:val="007431D8"/>
    <w:rsid w:val="00743379"/>
    <w:rsid w:val="007437D9"/>
    <w:rsid w:val="00743B43"/>
    <w:rsid w:val="0074498A"/>
    <w:rsid w:val="00744BA3"/>
    <w:rsid w:val="00744C75"/>
    <w:rsid w:val="00744EC5"/>
    <w:rsid w:val="007450C0"/>
    <w:rsid w:val="00745463"/>
    <w:rsid w:val="007454E5"/>
    <w:rsid w:val="00745504"/>
    <w:rsid w:val="007458F2"/>
    <w:rsid w:val="00745D8F"/>
    <w:rsid w:val="007465B4"/>
    <w:rsid w:val="007466CD"/>
    <w:rsid w:val="00746840"/>
    <w:rsid w:val="007469B1"/>
    <w:rsid w:val="0074726C"/>
    <w:rsid w:val="00747286"/>
    <w:rsid w:val="00747446"/>
    <w:rsid w:val="007477F8"/>
    <w:rsid w:val="007479B3"/>
    <w:rsid w:val="00747ABD"/>
    <w:rsid w:val="00747BDC"/>
    <w:rsid w:val="00747C4D"/>
    <w:rsid w:val="00747D2D"/>
    <w:rsid w:val="00747EDA"/>
    <w:rsid w:val="00747FB2"/>
    <w:rsid w:val="007500BE"/>
    <w:rsid w:val="007502BD"/>
    <w:rsid w:val="0075086F"/>
    <w:rsid w:val="00750C3C"/>
    <w:rsid w:val="00750DE2"/>
    <w:rsid w:val="007510E6"/>
    <w:rsid w:val="00751419"/>
    <w:rsid w:val="00751686"/>
    <w:rsid w:val="00751DB7"/>
    <w:rsid w:val="0075205F"/>
    <w:rsid w:val="007521BB"/>
    <w:rsid w:val="0075232C"/>
    <w:rsid w:val="00752F94"/>
    <w:rsid w:val="007531E0"/>
    <w:rsid w:val="0075335F"/>
    <w:rsid w:val="007534B5"/>
    <w:rsid w:val="00753CB3"/>
    <w:rsid w:val="007540B5"/>
    <w:rsid w:val="00754D80"/>
    <w:rsid w:val="007554D4"/>
    <w:rsid w:val="007557CE"/>
    <w:rsid w:val="00755E20"/>
    <w:rsid w:val="00756498"/>
    <w:rsid w:val="007564AD"/>
    <w:rsid w:val="007569B3"/>
    <w:rsid w:val="00756D5E"/>
    <w:rsid w:val="00757106"/>
    <w:rsid w:val="007572A6"/>
    <w:rsid w:val="00757872"/>
    <w:rsid w:val="007579EF"/>
    <w:rsid w:val="00757B2C"/>
    <w:rsid w:val="00757BDE"/>
    <w:rsid w:val="00760A31"/>
    <w:rsid w:val="0076140F"/>
    <w:rsid w:val="007615C5"/>
    <w:rsid w:val="0076190B"/>
    <w:rsid w:val="00761E25"/>
    <w:rsid w:val="00762089"/>
    <w:rsid w:val="0076260B"/>
    <w:rsid w:val="00762682"/>
    <w:rsid w:val="00762D98"/>
    <w:rsid w:val="00762E7B"/>
    <w:rsid w:val="00762EEE"/>
    <w:rsid w:val="007630AD"/>
    <w:rsid w:val="00763239"/>
    <w:rsid w:val="007632D1"/>
    <w:rsid w:val="00763354"/>
    <w:rsid w:val="00763728"/>
    <w:rsid w:val="00763AD0"/>
    <w:rsid w:val="00763E76"/>
    <w:rsid w:val="00764137"/>
    <w:rsid w:val="00764279"/>
    <w:rsid w:val="007642A1"/>
    <w:rsid w:val="00764566"/>
    <w:rsid w:val="00764A8B"/>
    <w:rsid w:val="00764B73"/>
    <w:rsid w:val="00764C18"/>
    <w:rsid w:val="00764DD5"/>
    <w:rsid w:val="00764EEB"/>
    <w:rsid w:val="00764FC6"/>
    <w:rsid w:val="007655F2"/>
    <w:rsid w:val="00765D18"/>
    <w:rsid w:val="00765F88"/>
    <w:rsid w:val="007661AD"/>
    <w:rsid w:val="00766364"/>
    <w:rsid w:val="00766995"/>
    <w:rsid w:val="00766DC3"/>
    <w:rsid w:val="007675E3"/>
    <w:rsid w:val="00767FB3"/>
    <w:rsid w:val="007700B5"/>
    <w:rsid w:val="007702FB"/>
    <w:rsid w:val="00770504"/>
    <w:rsid w:val="00770825"/>
    <w:rsid w:val="0077090E"/>
    <w:rsid w:val="00770946"/>
    <w:rsid w:val="0077099B"/>
    <w:rsid w:val="007709D0"/>
    <w:rsid w:val="00770ABE"/>
    <w:rsid w:val="00770D8E"/>
    <w:rsid w:val="007712D6"/>
    <w:rsid w:val="0077168C"/>
    <w:rsid w:val="007719DD"/>
    <w:rsid w:val="00771A0C"/>
    <w:rsid w:val="00771AA7"/>
    <w:rsid w:val="00772021"/>
    <w:rsid w:val="00772935"/>
    <w:rsid w:val="00772BEA"/>
    <w:rsid w:val="00772EA8"/>
    <w:rsid w:val="00772F14"/>
    <w:rsid w:val="0077307D"/>
    <w:rsid w:val="007731D6"/>
    <w:rsid w:val="00773413"/>
    <w:rsid w:val="007737B2"/>
    <w:rsid w:val="0077382E"/>
    <w:rsid w:val="00773BBE"/>
    <w:rsid w:val="00773E05"/>
    <w:rsid w:val="00773ED2"/>
    <w:rsid w:val="007740B2"/>
    <w:rsid w:val="00774755"/>
    <w:rsid w:val="0077515A"/>
    <w:rsid w:val="00775A82"/>
    <w:rsid w:val="00775BC5"/>
    <w:rsid w:val="00776239"/>
    <w:rsid w:val="007764BF"/>
    <w:rsid w:val="007768CC"/>
    <w:rsid w:val="007768FC"/>
    <w:rsid w:val="00776A5D"/>
    <w:rsid w:val="00776A72"/>
    <w:rsid w:val="00776F36"/>
    <w:rsid w:val="0077727B"/>
    <w:rsid w:val="007773ED"/>
    <w:rsid w:val="00777601"/>
    <w:rsid w:val="00777C6A"/>
    <w:rsid w:val="00777C77"/>
    <w:rsid w:val="00777EC5"/>
    <w:rsid w:val="0078000E"/>
    <w:rsid w:val="00780010"/>
    <w:rsid w:val="00780CA4"/>
    <w:rsid w:val="00780EB9"/>
    <w:rsid w:val="0078108D"/>
    <w:rsid w:val="007814A3"/>
    <w:rsid w:val="007819FA"/>
    <w:rsid w:val="00781C0E"/>
    <w:rsid w:val="00781C92"/>
    <w:rsid w:val="00781DBD"/>
    <w:rsid w:val="00781E1A"/>
    <w:rsid w:val="0078226C"/>
    <w:rsid w:val="00782DE4"/>
    <w:rsid w:val="00783081"/>
    <w:rsid w:val="00783374"/>
    <w:rsid w:val="007835D5"/>
    <w:rsid w:val="00783FC3"/>
    <w:rsid w:val="00784051"/>
    <w:rsid w:val="00784054"/>
    <w:rsid w:val="00784203"/>
    <w:rsid w:val="00784287"/>
    <w:rsid w:val="007843B5"/>
    <w:rsid w:val="0078455F"/>
    <w:rsid w:val="00784CA0"/>
    <w:rsid w:val="00784F99"/>
    <w:rsid w:val="0078512C"/>
    <w:rsid w:val="007851C3"/>
    <w:rsid w:val="007852B7"/>
    <w:rsid w:val="007853A4"/>
    <w:rsid w:val="00785766"/>
    <w:rsid w:val="007867EB"/>
    <w:rsid w:val="00786FB3"/>
    <w:rsid w:val="007870FF"/>
    <w:rsid w:val="007879F3"/>
    <w:rsid w:val="00787BAD"/>
    <w:rsid w:val="00787C88"/>
    <w:rsid w:val="00787C94"/>
    <w:rsid w:val="00787E8A"/>
    <w:rsid w:val="00790069"/>
    <w:rsid w:val="007908D4"/>
    <w:rsid w:val="00790923"/>
    <w:rsid w:val="00790A77"/>
    <w:rsid w:val="00790E4E"/>
    <w:rsid w:val="00790F0A"/>
    <w:rsid w:val="007912E3"/>
    <w:rsid w:val="00791477"/>
    <w:rsid w:val="007916C1"/>
    <w:rsid w:val="0079239A"/>
    <w:rsid w:val="0079239F"/>
    <w:rsid w:val="007924D6"/>
    <w:rsid w:val="007926D5"/>
    <w:rsid w:val="00792746"/>
    <w:rsid w:val="00792B7D"/>
    <w:rsid w:val="00792BA7"/>
    <w:rsid w:val="007937AD"/>
    <w:rsid w:val="007944AB"/>
    <w:rsid w:val="007948E8"/>
    <w:rsid w:val="00794E69"/>
    <w:rsid w:val="00795019"/>
    <w:rsid w:val="00795C10"/>
    <w:rsid w:val="00795C7A"/>
    <w:rsid w:val="007960C8"/>
    <w:rsid w:val="007962E4"/>
    <w:rsid w:val="007964CD"/>
    <w:rsid w:val="0079692C"/>
    <w:rsid w:val="00796FA8"/>
    <w:rsid w:val="007971BB"/>
    <w:rsid w:val="0079726B"/>
    <w:rsid w:val="00797287"/>
    <w:rsid w:val="007974A9"/>
    <w:rsid w:val="0079751C"/>
    <w:rsid w:val="00797999"/>
    <w:rsid w:val="00797D90"/>
    <w:rsid w:val="007A08EF"/>
    <w:rsid w:val="007A0B02"/>
    <w:rsid w:val="007A0D83"/>
    <w:rsid w:val="007A1273"/>
    <w:rsid w:val="007A1808"/>
    <w:rsid w:val="007A1C87"/>
    <w:rsid w:val="007A202E"/>
    <w:rsid w:val="007A23EF"/>
    <w:rsid w:val="007A2484"/>
    <w:rsid w:val="007A2BA7"/>
    <w:rsid w:val="007A2C0F"/>
    <w:rsid w:val="007A3308"/>
    <w:rsid w:val="007A4073"/>
    <w:rsid w:val="007A438E"/>
    <w:rsid w:val="007A461D"/>
    <w:rsid w:val="007A4D91"/>
    <w:rsid w:val="007A4DB6"/>
    <w:rsid w:val="007A508A"/>
    <w:rsid w:val="007A513F"/>
    <w:rsid w:val="007A5298"/>
    <w:rsid w:val="007A53A6"/>
    <w:rsid w:val="007A5542"/>
    <w:rsid w:val="007A561E"/>
    <w:rsid w:val="007A5CB0"/>
    <w:rsid w:val="007A6121"/>
    <w:rsid w:val="007A62EC"/>
    <w:rsid w:val="007A67C7"/>
    <w:rsid w:val="007A6906"/>
    <w:rsid w:val="007A6FCB"/>
    <w:rsid w:val="007A7541"/>
    <w:rsid w:val="007A78DA"/>
    <w:rsid w:val="007A7A05"/>
    <w:rsid w:val="007A7AD8"/>
    <w:rsid w:val="007A7E73"/>
    <w:rsid w:val="007A7EF7"/>
    <w:rsid w:val="007A7FE9"/>
    <w:rsid w:val="007B001F"/>
    <w:rsid w:val="007B01A0"/>
    <w:rsid w:val="007B028C"/>
    <w:rsid w:val="007B0713"/>
    <w:rsid w:val="007B089E"/>
    <w:rsid w:val="007B1242"/>
    <w:rsid w:val="007B1780"/>
    <w:rsid w:val="007B17C4"/>
    <w:rsid w:val="007B1A21"/>
    <w:rsid w:val="007B1B43"/>
    <w:rsid w:val="007B2242"/>
    <w:rsid w:val="007B2639"/>
    <w:rsid w:val="007B265E"/>
    <w:rsid w:val="007B29D0"/>
    <w:rsid w:val="007B2ACA"/>
    <w:rsid w:val="007B36D9"/>
    <w:rsid w:val="007B3AC1"/>
    <w:rsid w:val="007B3AD4"/>
    <w:rsid w:val="007B3F18"/>
    <w:rsid w:val="007B430B"/>
    <w:rsid w:val="007B4D3F"/>
    <w:rsid w:val="007B4FE8"/>
    <w:rsid w:val="007B59A3"/>
    <w:rsid w:val="007B5CA9"/>
    <w:rsid w:val="007B5EA4"/>
    <w:rsid w:val="007B6309"/>
    <w:rsid w:val="007B63F4"/>
    <w:rsid w:val="007B640A"/>
    <w:rsid w:val="007B6AA5"/>
    <w:rsid w:val="007B76EE"/>
    <w:rsid w:val="007B7859"/>
    <w:rsid w:val="007B7880"/>
    <w:rsid w:val="007B7885"/>
    <w:rsid w:val="007B796A"/>
    <w:rsid w:val="007B7AF0"/>
    <w:rsid w:val="007B7EEB"/>
    <w:rsid w:val="007C00AB"/>
    <w:rsid w:val="007C010E"/>
    <w:rsid w:val="007C073E"/>
    <w:rsid w:val="007C0754"/>
    <w:rsid w:val="007C0776"/>
    <w:rsid w:val="007C087D"/>
    <w:rsid w:val="007C0CF3"/>
    <w:rsid w:val="007C0DBE"/>
    <w:rsid w:val="007C0E78"/>
    <w:rsid w:val="007C1306"/>
    <w:rsid w:val="007C1DDC"/>
    <w:rsid w:val="007C2005"/>
    <w:rsid w:val="007C23E2"/>
    <w:rsid w:val="007C261B"/>
    <w:rsid w:val="007C2749"/>
    <w:rsid w:val="007C2D2C"/>
    <w:rsid w:val="007C2DF3"/>
    <w:rsid w:val="007C2FC7"/>
    <w:rsid w:val="007C3290"/>
    <w:rsid w:val="007C3363"/>
    <w:rsid w:val="007C34C9"/>
    <w:rsid w:val="007C36C1"/>
    <w:rsid w:val="007C37AA"/>
    <w:rsid w:val="007C38D1"/>
    <w:rsid w:val="007C3D03"/>
    <w:rsid w:val="007C3EE6"/>
    <w:rsid w:val="007C401E"/>
    <w:rsid w:val="007C430F"/>
    <w:rsid w:val="007C4313"/>
    <w:rsid w:val="007C46B3"/>
    <w:rsid w:val="007C4AF7"/>
    <w:rsid w:val="007C5033"/>
    <w:rsid w:val="007C570E"/>
    <w:rsid w:val="007C60DD"/>
    <w:rsid w:val="007C6533"/>
    <w:rsid w:val="007C71AE"/>
    <w:rsid w:val="007C72C4"/>
    <w:rsid w:val="007C7466"/>
    <w:rsid w:val="007C7662"/>
    <w:rsid w:val="007C7AED"/>
    <w:rsid w:val="007C7BBC"/>
    <w:rsid w:val="007C7C06"/>
    <w:rsid w:val="007C7CA0"/>
    <w:rsid w:val="007C7F46"/>
    <w:rsid w:val="007D0579"/>
    <w:rsid w:val="007D065D"/>
    <w:rsid w:val="007D0BCC"/>
    <w:rsid w:val="007D1342"/>
    <w:rsid w:val="007D1840"/>
    <w:rsid w:val="007D1C12"/>
    <w:rsid w:val="007D1D31"/>
    <w:rsid w:val="007D1FC9"/>
    <w:rsid w:val="007D1FD5"/>
    <w:rsid w:val="007D2079"/>
    <w:rsid w:val="007D2260"/>
    <w:rsid w:val="007D2447"/>
    <w:rsid w:val="007D25AF"/>
    <w:rsid w:val="007D29C3"/>
    <w:rsid w:val="007D2DE6"/>
    <w:rsid w:val="007D2F8D"/>
    <w:rsid w:val="007D3521"/>
    <w:rsid w:val="007D376C"/>
    <w:rsid w:val="007D3D71"/>
    <w:rsid w:val="007D3FA5"/>
    <w:rsid w:val="007D47D9"/>
    <w:rsid w:val="007D49CA"/>
    <w:rsid w:val="007D515D"/>
    <w:rsid w:val="007D52E5"/>
    <w:rsid w:val="007D5614"/>
    <w:rsid w:val="007D6B0A"/>
    <w:rsid w:val="007D6F87"/>
    <w:rsid w:val="007D7531"/>
    <w:rsid w:val="007D75A7"/>
    <w:rsid w:val="007D75A8"/>
    <w:rsid w:val="007D75FB"/>
    <w:rsid w:val="007D7B0E"/>
    <w:rsid w:val="007E0447"/>
    <w:rsid w:val="007E0499"/>
    <w:rsid w:val="007E0591"/>
    <w:rsid w:val="007E0A10"/>
    <w:rsid w:val="007E0AD4"/>
    <w:rsid w:val="007E0C4D"/>
    <w:rsid w:val="007E0F4A"/>
    <w:rsid w:val="007E11BB"/>
    <w:rsid w:val="007E11EE"/>
    <w:rsid w:val="007E11F9"/>
    <w:rsid w:val="007E1291"/>
    <w:rsid w:val="007E13A9"/>
    <w:rsid w:val="007E19AE"/>
    <w:rsid w:val="007E1A49"/>
    <w:rsid w:val="007E1B9B"/>
    <w:rsid w:val="007E255E"/>
    <w:rsid w:val="007E2F49"/>
    <w:rsid w:val="007E304B"/>
    <w:rsid w:val="007E33DD"/>
    <w:rsid w:val="007E355F"/>
    <w:rsid w:val="007E3691"/>
    <w:rsid w:val="007E3DEE"/>
    <w:rsid w:val="007E3F7D"/>
    <w:rsid w:val="007E45C1"/>
    <w:rsid w:val="007E4864"/>
    <w:rsid w:val="007E49E5"/>
    <w:rsid w:val="007E49E9"/>
    <w:rsid w:val="007E4C5E"/>
    <w:rsid w:val="007E4D02"/>
    <w:rsid w:val="007E4D19"/>
    <w:rsid w:val="007E5069"/>
    <w:rsid w:val="007E5CE8"/>
    <w:rsid w:val="007E6297"/>
    <w:rsid w:val="007E632F"/>
    <w:rsid w:val="007E63E3"/>
    <w:rsid w:val="007E65E8"/>
    <w:rsid w:val="007E6775"/>
    <w:rsid w:val="007E6916"/>
    <w:rsid w:val="007E6B72"/>
    <w:rsid w:val="007E70DA"/>
    <w:rsid w:val="007E723C"/>
    <w:rsid w:val="007E74EC"/>
    <w:rsid w:val="007F035E"/>
    <w:rsid w:val="007F0F61"/>
    <w:rsid w:val="007F1138"/>
    <w:rsid w:val="007F1299"/>
    <w:rsid w:val="007F16DE"/>
    <w:rsid w:val="007F1835"/>
    <w:rsid w:val="007F18B7"/>
    <w:rsid w:val="007F18FC"/>
    <w:rsid w:val="007F1AEC"/>
    <w:rsid w:val="007F1F12"/>
    <w:rsid w:val="007F2091"/>
    <w:rsid w:val="007F25A3"/>
    <w:rsid w:val="007F25DB"/>
    <w:rsid w:val="007F3136"/>
    <w:rsid w:val="007F3672"/>
    <w:rsid w:val="007F40EE"/>
    <w:rsid w:val="007F4B92"/>
    <w:rsid w:val="007F4C33"/>
    <w:rsid w:val="007F4F5F"/>
    <w:rsid w:val="007F500D"/>
    <w:rsid w:val="007F517A"/>
    <w:rsid w:val="007F51CE"/>
    <w:rsid w:val="007F52C8"/>
    <w:rsid w:val="007F5309"/>
    <w:rsid w:val="007F5367"/>
    <w:rsid w:val="007F563E"/>
    <w:rsid w:val="007F56B3"/>
    <w:rsid w:val="007F5837"/>
    <w:rsid w:val="007F59C6"/>
    <w:rsid w:val="007F641B"/>
    <w:rsid w:val="007F64F5"/>
    <w:rsid w:val="007F6AC0"/>
    <w:rsid w:val="007F6B66"/>
    <w:rsid w:val="007F6C2E"/>
    <w:rsid w:val="007F7112"/>
    <w:rsid w:val="007F7419"/>
    <w:rsid w:val="007F7508"/>
    <w:rsid w:val="007F757E"/>
    <w:rsid w:val="007F79EF"/>
    <w:rsid w:val="007F7C0E"/>
    <w:rsid w:val="00800913"/>
    <w:rsid w:val="00800941"/>
    <w:rsid w:val="00800E43"/>
    <w:rsid w:val="00801399"/>
    <w:rsid w:val="00801A20"/>
    <w:rsid w:val="008021CB"/>
    <w:rsid w:val="008022C1"/>
    <w:rsid w:val="008022EB"/>
    <w:rsid w:val="00802A78"/>
    <w:rsid w:val="00802AAB"/>
    <w:rsid w:val="0080302E"/>
    <w:rsid w:val="00803090"/>
    <w:rsid w:val="00803646"/>
    <w:rsid w:val="00803716"/>
    <w:rsid w:val="00803744"/>
    <w:rsid w:val="00803C30"/>
    <w:rsid w:val="00803CED"/>
    <w:rsid w:val="00803E17"/>
    <w:rsid w:val="00804005"/>
    <w:rsid w:val="00804583"/>
    <w:rsid w:val="00804B53"/>
    <w:rsid w:val="008050DC"/>
    <w:rsid w:val="00805679"/>
    <w:rsid w:val="00806447"/>
    <w:rsid w:val="0080649B"/>
    <w:rsid w:val="008064C5"/>
    <w:rsid w:val="00806516"/>
    <w:rsid w:val="0080661A"/>
    <w:rsid w:val="0080672A"/>
    <w:rsid w:val="00806F91"/>
    <w:rsid w:val="00807259"/>
    <w:rsid w:val="008074D8"/>
    <w:rsid w:val="00807B6B"/>
    <w:rsid w:val="0081008C"/>
    <w:rsid w:val="00810489"/>
    <w:rsid w:val="00810792"/>
    <w:rsid w:val="00810B16"/>
    <w:rsid w:val="00810E48"/>
    <w:rsid w:val="00810E49"/>
    <w:rsid w:val="00811C08"/>
    <w:rsid w:val="00811D17"/>
    <w:rsid w:val="00812818"/>
    <w:rsid w:val="00812C19"/>
    <w:rsid w:val="00812D6F"/>
    <w:rsid w:val="00813085"/>
    <w:rsid w:val="008136DA"/>
    <w:rsid w:val="00813B48"/>
    <w:rsid w:val="00813E91"/>
    <w:rsid w:val="00814194"/>
    <w:rsid w:val="00814BD3"/>
    <w:rsid w:val="00814C6C"/>
    <w:rsid w:val="00814FD8"/>
    <w:rsid w:val="008152C1"/>
    <w:rsid w:val="008152D3"/>
    <w:rsid w:val="0081535E"/>
    <w:rsid w:val="0081559F"/>
    <w:rsid w:val="008156EB"/>
    <w:rsid w:val="0081598D"/>
    <w:rsid w:val="00815A5A"/>
    <w:rsid w:val="00815BA9"/>
    <w:rsid w:val="00815CF6"/>
    <w:rsid w:val="0081633A"/>
    <w:rsid w:val="00816383"/>
    <w:rsid w:val="00816E8A"/>
    <w:rsid w:val="00816F08"/>
    <w:rsid w:val="00816F25"/>
    <w:rsid w:val="008170E7"/>
    <w:rsid w:val="008171CC"/>
    <w:rsid w:val="00817554"/>
    <w:rsid w:val="00817586"/>
    <w:rsid w:val="008175FA"/>
    <w:rsid w:val="00817792"/>
    <w:rsid w:val="008177BF"/>
    <w:rsid w:val="00817BD5"/>
    <w:rsid w:val="00817BFB"/>
    <w:rsid w:val="00817CA5"/>
    <w:rsid w:val="00820356"/>
    <w:rsid w:val="00820441"/>
    <w:rsid w:val="008207C8"/>
    <w:rsid w:val="008213F8"/>
    <w:rsid w:val="00821580"/>
    <w:rsid w:val="00821687"/>
    <w:rsid w:val="0082177A"/>
    <w:rsid w:val="00822170"/>
    <w:rsid w:val="008221FE"/>
    <w:rsid w:val="00822570"/>
    <w:rsid w:val="008233BF"/>
    <w:rsid w:val="00823486"/>
    <w:rsid w:val="00823672"/>
    <w:rsid w:val="00823BAD"/>
    <w:rsid w:val="00823BEF"/>
    <w:rsid w:val="00825A74"/>
    <w:rsid w:val="008263B1"/>
    <w:rsid w:val="008264A5"/>
    <w:rsid w:val="008268F8"/>
    <w:rsid w:val="00826AB4"/>
    <w:rsid w:val="00826EB6"/>
    <w:rsid w:val="00826FA2"/>
    <w:rsid w:val="0082718C"/>
    <w:rsid w:val="0082733E"/>
    <w:rsid w:val="00827852"/>
    <w:rsid w:val="0082790A"/>
    <w:rsid w:val="00830296"/>
    <w:rsid w:val="0083032F"/>
    <w:rsid w:val="0083060B"/>
    <w:rsid w:val="00830A75"/>
    <w:rsid w:val="00830B1E"/>
    <w:rsid w:val="00830C07"/>
    <w:rsid w:val="00830D0C"/>
    <w:rsid w:val="008310DB"/>
    <w:rsid w:val="0083114D"/>
    <w:rsid w:val="008313CB"/>
    <w:rsid w:val="008324B1"/>
    <w:rsid w:val="008324C7"/>
    <w:rsid w:val="008324E2"/>
    <w:rsid w:val="0083253B"/>
    <w:rsid w:val="008329A3"/>
    <w:rsid w:val="00832E2D"/>
    <w:rsid w:val="008330E2"/>
    <w:rsid w:val="00833294"/>
    <w:rsid w:val="008334CD"/>
    <w:rsid w:val="0083378C"/>
    <w:rsid w:val="00833857"/>
    <w:rsid w:val="00833BCA"/>
    <w:rsid w:val="008344CA"/>
    <w:rsid w:val="008345B1"/>
    <w:rsid w:val="00834940"/>
    <w:rsid w:val="00834BBC"/>
    <w:rsid w:val="00835349"/>
    <w:rsid w:val="0083584E"/>
    <w:rsid w:val="00835850"/>
    <w:rsid w:val="008359E2"/>
    <w:rsid w:val="00835D4D"/>
    <w:rsid w:val="00836567"/>
    <w:rsid w:val="00837091"/>
    <w:rsid w:val="00837332"/>
    <w:rsid w:val="008375DE"/>
    <w:rsid w:val="00837722"/>
    <w:rsid w:val="00837741"/>
    <w:rsid w:val="00840037"/>
    <w:rsid w:val="0084003A"/>
    <w:rsid w:val="00840044"/>
    <w:rsid w:val="0084015B"/>
    <w:rsid w:val="008401E8"/>
    <w:rsid w:val="00840260"/>
    <w:rsid w:val="00840371"/>
    <w:rsid w:val="00840789"/>
    <w:rsid w:val="008407DB"/>
    <w:rsid w:val="00840880"/>
    <w:rsid w:val="008408AB"/>
    <w:rsid w:val="00840BAC"/>
    <w:rsid w:val="008410D4"/>
    <w:rsid w:val="0084157F"/>
    <w:rsid w:val="00841AB2"/>
    <w:rsid w:val="00841EAD"/>
    <w:rsid w:val="00841F3B"/>
    <w:rsid w:val="0084216C"/>
    <w:rsid w:val="00842525"/>
    <w:rsid w:val="008425A1"/>
    <w:rsid w:val="00842756"/>
    <w:rsid w:val="008427EA"/>
    <w:rsid w:val="00842A2B"/>
    <w:rsid w:val="00842ED7"/>
    <w:rsid w:val="00842F2B"/>
    <w:rsid w:val="00843089"/>
    <w:rsid w:val="008432F9"/>
    <w:rsid w:val="00843495"/>
    <w:rsid w:val="0084369D"/>
    <w:rsid w:val="008436FB"/>
    <w:rsid w:val="008437FA"/>
    <w:rsid w:val="00843C71"/>
    <w:rsid w:val="00843CD6"/>
    <w:rsid w:val="00843D15"/>
    <w:rsid w:val="0084418D"/>
    <w:rsid w:val="00844679"/>
    <w:rsid w:val="008447FF"/>
    <w:rsid w:val="00844EEF"/>
    <w:rsid w:val="0084522B"/>
    <w:rsid w:val="008458DA"/>
    <w:rsid w:val="008459A5"/>
    <w:rsid w:val="00845AF9"/>
    <w:rsid w:val="00846829"/>
    <w:rsid w:val="00847138"/>
    <w:rsid w:val="008471A2"/>
    <w:rsid w:val="00847238"/>
    <w:rsid w:val="008472DD"/>
    <w:rsid w:val="008473EE"/>
    <w:rsid w:val="0084744F"/>
    <w:rsid w:val="008477D6"/>
    <w:rsid w:val="00847840"/>
    <w:rsid w:val="00850188"/>
    <w:rsid w:val="008503EE"/>
    <w:rsid w:val="00850810"/>
    <w:rsid w:val="0085099F"/>
    <w:rsid w:val="00850AFD"/>
    <w:rsid w:val="008511F6"/>
    <w:rsid w:val="0085131D"/>
    <w:rsid w:val="00851548"/>
    <w:rsid w:val="008517CC"/>
    <w:rsid w:val="00851D30"/>
    <w:rsid w:val="0085246E"/>
    <w:rsid w:val="008524A6"/>
    <w:rsid w:val="0085266A"/>
    <w:rsid w:val="0085273A"/>
    <w:rsid w:val="00852772"/>
    <w:rsid w:val="0085286B"/>
    <w:rsid w:val="00852A0E"/>
    <w:rsid w:val="00852A47"/>
    <w:rsid w:val="00852B62"/>
    <w:rsid w:val="00853246"/>
    <w:rsid w:val="0085375D"/>
    <w:rsid w:val="00853780"/>
    <w:rsid w:val="008537B6"/>
    <w:rsid w:val="00853876"/>
    <w:rsid w:val="0085425C"/>
    <w:rsid w:val="008542CD"/>
    <w:rsid w:val="00854394"/>
    <w:rsid w:val="008543D7"/>
    <w:rsid w:val="00854637"/>
    <w:rsid w:val="0085494D"/>
    <w:rsid w:val="00855832"/>
    <w:rsid w:val="0085587B"/>
    <w:rsid w:val="00855E1E"/>
    <w:rsid w:val="008562B1"/>
    <w:rsid w:val="008568D3"/>
    <w:rsid w:val="00856B83"/>
    <w:rsid w:val="008573EA"/>
    <w:rsid w:val="00857501"/>
    <w:rsid w:val="00857AAE"/>
    <w:rsid w:val="00857BA2"/>
    <w:rsid w:val="00857C76"/>
    <w:rsid w:val="00857CCB"/>
    <w:rsid w:val="00857DAE"/>
    <w:rsid w:val="00857ED2"/>
    <w:rsid w:val="00860095"/>
    <w:rsid w:val="008600E2"/>
    <w:rsid w:val="0086031F"/>
    <w:rsid w:val="008604DA"/>
    <w:rsid w:val="0086085A"/>
    <w:rsid w:val="00860A39"/>
    <w:rsid w:val="00860DA3"/>
    <w:rsid w:val="00860FDC"/>
    <w:rsid w:val="00861030"/>
    <w:rsid w:val="00861079"/>
    <w:rsid w:val="008612F2"/>
    <w:rsid w:val="008614B3"/>
    <w:rsid w:val="008615C3"/>
    <w:rsid w:val="0086164D"/>
    <w:rsid w:val="0086174B"/>
    <w:rsid w:val="00861C03"/>
    <w:rsid w:val="00861D01"/>
    <w:rsid w:val="00861D05"/>
    <w:rsid w:val="00861E28"/>
    <w:rsid w:val="00861E77"/>
    <w:rsid w:val="00862638"/>
    <w:rsid w:val="00862BDC"/>
    <w:rsid w:val="00862D22"/>
    <w:rsid w:val="008631CA"/>
    <w:rsid w:val="00863284"/>
    <w:rsid w:val="00863870"/>
    <w:rsid w:val="00864493"/>
    <w:rsid w:val="0086462E"/>
    <w:rsid w:val="008647E1"/>
    <w:rsid w:val="008649FB"/>
    <w:rsid w:val="00864AC9"/>
    <w:rsid w:val="00864BA5"/>
    <w:rsid w:val="00864E3E"/>
    <w:rsid w:val="00865006"/>
    <w:rsid w:val="0086549F"/>
    <w:rsid w:val="00865B12"/>
    <w:rsid w:val="00865B6E"/>
    <w:rsid w:val="00865BBA"/>
    <w:rsid w:val="00865BCE"/>
    <w:rsid w:val="00865D16"/>
    <w:rsid w:val="0086600B"/>
    <w:rsid w:val="00866356"/>
    <w:rsid w:val="008664E6"/>
    <w:rsid w:val="00866758"/>
    <w:rsid w:val="00866C08"/>
    <w:rsid w:val="00866D82"/>
    <w:rsid w:val="00866D96"/>
    <w:rsid w:val="00866F68"/>
    <w:rsid w:val="00867446"/>
    <w:rsid w:val="008677DC"/>
    <w:rsid w:val="0086794B"/>
    <w:rsid w:val="008704C1"/>
    <w:rsid w:val="00870975"/>
    <w:rsid w:val="008709DA"/>
    <w:rsid w:val="008709DF"/>
    <w:rsid w:val="00870CBE"/>
    <w:rsid w:val="00870D5F"/>
    <w:rsid w:val="00871485"/>
    <w:rsid w:val="00871B58"/>
    <w:rsid w:val="00871CBB"/>
    <w:rsid w:val="00871E36"/>
    <w:rsid w:val="00871F76"/>
    <w:rsid w:val="00872117"/>
    <w:rsid w:val="008721F4"/>
    <w:rsid w:val="00872A20"/>
    <w:rsid w:val="00872EBF"/>
    <w:rsid w:val="00873147"/>
    <w:rsid w:val="008733CA"/>
    <w:rsid w:val="00873813"/>
    <w:rsid w:val="00873BF5"/>
    <w:rsid w:val="00873D77"/>
    <w:rsid w:val="008740EB"/>
    <w:rsid w:val="0087416D"/>
    <w:rsid w:val="0087441B"/>
    <w:rsid w:val="0087444C"/>
    <w:rsid w:val="00874762"/>
    <w:rsid w:val="00874953"/>
    <w:rsid w:val="00874E21"/>
    <w:rsid w:val="00874F2D"/>
    <w:rsid w:val="00875037"/>
    <w:rsid w:val="008750BE"/>
    <w:rsid w:val="008757CC"/>
    <w:rsid w:val="00875BDE"/>
    <w:rsid w:val="0087630B"/>
    <w:rsid w:val="008763D0"/>
    <w:rsid w:val="00876646"/>
    <w:rsid w:val="00876A2F"/>
    <w:rsid w:val="00876D30"/>
    <w:rsid w:val="0087700C"/>
    <w:rsid w:val="008771C9"/>
    <w:rsid w:val="008777ED"/>
    <w:rsid w:val="00877C07"/>
    <w:rsid w:val="008800CF"/>
    <w:rsid w:val="0088033C"/>
    <w:rsid w:val="0088055A"/>
    <w:rsid w:val="00880AC9"/>
    <w:rsid w:val="00880C50"/>
    <w:rsid w:val="00880D12"/>
    <w:rsid w:val="0088185D"/>
    <w:rsid w:val="00881B8A"/>
    <w:rsid w:val="00882080"/>
    <w:rsid w:val="0088219A"/>
    <w:rsid w:val="008822E8"/>
    <w:rsid w:val="00882D70"/>
    <w:rsid w:val="00882D9E"/>
    <w:rsid w:val="00882E90"/>
    <w:rsid w:val="00882FE0"/>
    <w:rsid w:val="00882FF5"/>
    <w:rsid w:val="0088349E"/>
    <w:rsid w:val="00883756"/>
    <w:rsid w:val="00883ABA"/>
    <w:rsid w:val="008840F9"/>
    <w:rsid w:val="008841B3"/>
    <w:rsid w:val="008842BA"/>
    <w:rsid w:val="008843A9"/>
    <w:rsid w:val="0088440D"/>
    <w:rsid w:val="0088459E"/>
    <w:rsid w:val="00884CA1"/>
    <w:rsid w:val="008851D6"/>
    <w:rsid w:val="0088534F"/>
    <w:rsid w:val="00885B1C"/>
    <w:rsid w:val="00885E6D"/>
    <w:rsid w:val="0088689B"/>
    <w:rsid w:val="00886AB0"/>
    <w:rsid w:val="00886B0B"/>
    <w:rsid w:val="00886B45"/>
    <w:rsid w:val="00886FAF"/>
    <w:rsid w:val="008872AB"/>
    <w:rsid w:val="008879F7"/>
    <w:rsid w:val="00887FDA"/>
    <w:rsid w:val="00890252"/>
    <w:rsid w:val="00890C8B"/>
    <w:rsid w:val="00890DAC"/>
    <w:rsid w:val="00890E3B"/>
    <w:rsid w:val="00890EAD"/>
    <w:rsid w:val="008910BC"/>
    <w:rsid w:val="00891225"/>
    <w:rsid w:val="00891A53"/>
    <w:rsid w:val="00891CC6"/>
    <w:rsid w:val="0089214C"/>
    <w:rsid w:val="00892170"/>
    <w:rsid w:val="0089226D"/>
    <w:rsid w:val="00892797"/>
    <w:rsid w:val="00892847"/>
    <w:rsid w:val="00892848"/>
    <w:rsid w:val="00893069"/>
    <w:rsid w:val="008932C1"/>
    <w:rsid w:val="00893315"/>
    <w:rsid w:val="008936B9"/>
    <w:rsid w:val="00893733"/>
    <w:rsid w:val="00893E09"/>
    <w:rsid w:val="00893E5B"/>
    <w:rsid w:val="0089453D"/>
    <w:rsid w:val="0089454E"/>
    <w:rsid w:val="00894639"/>
    <w:rsid w:val="00894654"/>
    <w:rsid w:val="008949FB"/>
    <w:rsid w:val="00895033"/>
    <w:rsid w:val="008958EF"/>
    <w:rsid w:val="00895B7F"/>
    <w:rsid w:val="00895DCB"/>
    <w:rsid w:val="00895EDF"/>
    <w:rsid w:val="00895F82"/>
    <w:rsid w:val="00895FD1"/>
    <w:rsid w:val="00896056"/>
    <w:rsid w:val="0089634C"/>
    <w:rsid w:val="00896658"/>
    <w:rsid w:val="00896660"/>
    <w:rsid w:val="008968BA"/>
    <w:rsid w:val="00896E4C"/>
    <w:rsid w:val="00896F6B"/>
    <w:rsid w:val="008970B5"/>
    <w:rsid w:val="00897BA7"/>
    <w:rsid w:val="00897E2B"/>
    <w:rsid w:val="008A0179"/>
    <w:rsid w:val="008A047C"/>
    <w:rsid w:val="008A0639"/>
    <w:rsid w:val="008A0B60"/>
    <w:rsid w:val="008A10B6"/>
    <w:rsid w:val="008A172E"/>
    <w:rsid w:val="008A1A77"/>
    <w:rsid w:val="008A275D"/>
    <w:rsid w:val="008A279A"/>
    <w:rsid w:val="008A29E6"/>
    <w:rsid w:val="008A2C00"/>
    <w:rsid w:val="008A2D3F"/>
    <w:rsid w:val="008A2FA8"/>
    <w:rsid w:val="008A3017"/>
    <w:rsid w:val="008A345E"/>
    <w:rsid w:val="008A393D"/>
    <w:rsid w:val="008A396B"/>
    <w:rsid w:val="008A3C86"/>
    <w:rsid w:val="008A4446"/>
    <w:rsid w:val="008A4E34"/>
    <w:rsid w:val="008A4F04"/>
    <w:rsid w:val="008A54B7"/>
    <w:rsid w:val="008A5840"/>
    <w:rsid w:val="008A5928"/>
    <w:rsid w:val="008A6408"/>
    <w:rsid w:val="008A6B97"/>
    <w:rsid w:val="008A6FE7"/>
    <w:rsid w:val="008A71A2"/>
    <w:rsid w:val="008B0E88"/>
    <w:rsid w:val="008B0EFA"/>
    <w:rsid w:val="008B12AA"/>
    <w:rsid w:val="008B16AF"/>
    <w:rsid w:val="008B16ED"/>
    <w:rsid w:val="008B17BA"/>
    <w:rsid w:val="008B182C"/>
    <w:rsid w:val="008B1869"/>
    <w:rsid w:val="008B1E89"/>
    <w:rsid w:val="008B2302"/>
    <w:rsid w:val="008B2370"/>
    <w:rsid w:val="008B27C3"/>
    <w:rsid w:val="008B37AD"/>
    <w:rsid w:val="008B3A11"/>
    <w:rsid w:val="008B3B59"/>
    <w:rsid w:val="008B3DED"/>
    <w:rsid w:val="008B4073"/>
    <w:rsid w:val="008B448E"/>
    <w:rsid w:val="008B4BEF"/>
    <w:rsid w:val="008B4C71"/>
    <w:rsid w:val="008B4C9D"/>
    <w:rsid w:val="008B4E82"/>
    <w:rsid w:val="008B55AB"/>
    <w:rsid w:val="008B5B06"/>
    <w:rsid w:val="008B610B"/>
    <w:rsid w:val="008B6371"/>
    <w:rsid w:val="008B6558"/>
    <w:rsid w:val="008B6769"/>
    <w:rsid w:val="008B6CBA"/>
    <w:rsid w:val="008B6F7B"/>
    <w:rsid w:val="008B7414"/>
    <w:rsid w:val="008B7A7E"/>
    <w:rsid w:val="008C0525"/>
    <w:rsid w:val="008C0D01"/>
    <w:rsid w:val="008C0F79"/>
    <w:rsid w:val="008C17CF"/>
    <w:rsid w:val="008C1CAA"/>
    <w:rsid w:val="008C1E47"/>
    <w:rsid w:val="008C213B"/>
    <w:rsid w:val="008C2392"/>
    <w:rsid w:val="008C2786"/>
    <w:rsid w:val="008C28C9"/>
    <w:rsid w:val="008C2E8E"/>
    <w:rsid w:val="008C31B8"/>
    <w:rsid w:val="008C3AB5"/>
    <w:rsid w:val="008C4009"/>
    <w:rsid w:val="008C4452"/>
    <w:rsid w:val="008C4AA7"/>
    <w:rsid w:val="008C5417"/>
    <w:rsid w:val="008C55F4"/>
    <w:rsid w:val="008C5661"/>
    <w:rsid w:val="008C58F8"/>
    <w:rsid w:val="008C5A22"/>
    <w:rsid w:val="008C5F2D"/>
    <w:rsid w:val="008C5FC4"/>
    <w:rsid w:val="008C66CA"/>
    <w:rsid w:val="008C6FFD"/>
    <w:rsid w:val="008C72CD"/>
    <w:rsid w:val="008C751E"/>
    <w:rsid w:val="008C7840"/>
    <w:rsid w:val="008D057B"/>
    <w:rsid w:val="008D072C"/>
    <w:rsid w:val="008D0D1A"/>
    <w:rsid w:val="008D0E32"/>
    <w:rsid w:val="008D1185"/>
    <w:rsid w:val="008D126F"/>
    <w:rsid w:val="008D1289"/>
    <w:rsid w:val="008D1634"/>
    <w:rsid w:val="008D174F"/>
    <w:rsid w:val="008D1CB7"/>
    <w:rsid w:val="008D1D8E"/>
    <w:rsid w:val="008D23BC"/>
    <w:rsid w:val="008D25CF"/>
    <w:rsid w:val="008D2736"/>
    <w:rsid w:val="008D2974"/>
    <w:rsid w:val="008D2BD2"/>
    <w:rsid w:val="008D3253"/>
    <w:rsid w:val="008D3386"/>
    <w:rsid w:val="008D3768"/>
    <w:rsid w:val="008D39D4"/>
    <w:rsid w:val="008D3AD0"/>
    <w:rsid w:val="008D3C8B"/>
    <w:rsid w:val="008D47E2"/>
    <w:rsid w:val="008D4825"/>
    <w:rsid w:val="008D485B"/>
    <w:rsid w:val="008D52BA"/>
    <w:rsid w:val="008D5476"/>
    <w:rsid w:val="008D558E"/>
    <w:rsid w:val="008D5714"/>
    <w:rsid w:val="008D579C"/>
    <w:rsid w:val="008D5F5C"/>
    <w:rsid w:val="008D624A"/>
    <w:rsid w:val="008D658F"/>
    <w:rsid w:val="008D66D8"/>
    <w:rsid w:val="008D670E"/>
    <w:rsid w:val="008D6B65"/>
    <w:rsid w:val="008D77EB"/>
    <w:rsid w:val="008D7FAE"/>
    <w:rsid w:val="008E0115"/>
    <w:rsid w:val="008E027F"/>
    <w:rsid w:val="008E0A03"/>
    <w:rsid w:val="008E0ADA"/>
    <w:rsid w:val="008E0EA3"/>
    <w:rsid w:val="008E10B5"/>
    <w:rsid w:val="008E1254"/>
    <w:rsid w:val="008E12DF"/>
    <w:rsid w:val="008E1328"/>
    <w:rsid w:val="008E15AD"/>
    <w:rsid w:val="008E197B"/>
    <w:rsid w:val="008E19B3"/>
    <w:rsid w:val="008E1B90"/>
    <w:rsid w:val="008E1D1D"/>
    <w:rsid w:val="008E1F35"/>
    <w:rsid w:val="008E210B"/>
    <w:rsid w:val="008E2154"/>
    <w:rsid w:val="008E258A"/>
    <w:rsid w:val="008E25AE"/>
    <w:rsid w:val="008E2725"/>
    <w:rsid w:val="008E2AEB"/>
    <w:rsid w:val="008E2C63"/>
    <w:rsid w:val="008E2C9C"/>
    <w:rsid w:val="008E2F20"/>
    <w:rsid w:val="008E2F56"/>
    <w:rsid w:val="008E32F7"/>
    <w:rsid w:val="008E35B4"/>
    <w:rsid w:val="008E389F"/>
    <w:rsid w:val="008E3A3F"/>
    <w:rsid w:val="008E40EA"/>
    <w:rsid w:val="008E4444"/>
    <w:rsid w:val="008E44EF"/>
    <w:rsid w:val="008E47A2"/>
    <w:rsid w:val="008E490B"/>
    <w:rsid w:val="008E494A"/>
    <w:rsid w:val="008E4BF6"/>
    <w:rsid w:val="008E56D4"/>
    <w:rsid w:val="008E5A6C"/>
    <w:rsid w:val="008E5BE1"/>
    <w:rsid w:val="008E6265"/>
    <w:rsid w:val="008E6B13"/>
    <w:rsid w:val="008E6B1F"/>
    <w:rsid w:val="008E6B6C"/>
    <w:rsid w:val="008E71E0"/>
    <w:rsid w:val="008E7586"/>
    <w:rsid w:val="008E77BE"/>
    <w:rsid w:val="008E79C9"/>
    <w:rsid w:val="008E7E7C"/>
    <w:rsid w:val="008F06DD"/>
    <w:rsid w:val="008F088E"/>
    <w:rsid w:val="008F090A"/>
    <w:rsid w:val="008F0913"/>
    <w:rsid w:val="008F0E2F"/>
    <w:rsid w:val="008F0F59"/>
    <w:rsid w:val="008F117C"/>
    <w:rsid w:val="008F11BC"/>
    <w:rsid w:val="008F1232"/>
    <w:rsid w:val="008F13BC"/>
    <w:rsid w:val="008F150C"/>
    <w:rsid w:val="008F22EA"/>
    <w:rsid w:val="008F262F"/>
    <w:rsid w:val="008F2722"/>
    <w:rsid w:val="008F2741"/>
    <w:rsid w:val="008F2A00"/>
    <w:rsid w:val="008F2F18"/>
    <w:rsid w:val="008F2FC6"/>
    <w:rsid w:val="008F3265"/>
    <w:rsid w:val="008F36A2"/>
    <w:rsid w:val="008F3B56"/>
    <w:rsid w:val="008F3C01"/>
    <w:rsid w:val="008F3CCB"/>
    <w:rsid w:val="008F4399"/>
    <w:rsid w:val="008F4CE9"/>
    <w:rsid w:val="008F4E6F"/>
    <w:rsid w:val="008F50B5"/>
    <w:rsid w:val="008F522C"/>
    <w:rsid w:val="008F5B1D"/>
    <w:rsid w:val="008F5E44"/>
    <w:rsid w:val="008F652B"/>
    <w:rsid w:val="008F693E"/>
    <w:rsid w:val="008F695B"/>
    <w:rsid w:val="008F768C"/>
    <w:rsid w:val="008F79A6"/>
    <w:rsid w:val="008F7C54"/>
    <w:rsid w:val="008F7FBA"/>
    <w:rsid w:val="00900068"/>
    <w:rsid w:val="00900A56"/>
    <w:rsid w:val="00900AB8"/>
    <w:rsid w:val="00900B99"/>
    <w:rsid w:val="00900F78"/>
    <w:rsid w:val="00900FB0"/>
    <w:rsid w:val="009010B8"/>
    <w:rsid w:val="00901315"/>
    <w:rsid w:val="00901345"/>
    <w:rsid w:val="009014CF"/>
    <w:rsid w:val="00901722"/>
    <w:rsid w:val="00901FE5"/>
    <w:rsid w:val="00902011"/>
    <w:rsid w:val="0090210A"/>
    <w:rsid w:val="0090245D"/>
    <w:rsid w:val="00902638"/>
    <w:rsid w:val="00903046"/>
    <w:rsid w:val="009031A2"/>
    <w:rsid w:val="0090329A"/>
    <w:rsid w:val="009033BD"/>
    <w:rsid w:val="00903745"/>
    <w:rsid w:val="009037A3"/>
    <w:rsid w:val="00903BF1"/>
    <w:rsid w:val="00903C9C"/>
    <w:rsid w:val="0090410A"/>
    <w:rsid w:val="009044A6"/>
    <w:rsid w:val="00904D9B"/>
    <w:rsid w:val="00905077"/>
    <w:rsid w:val="00905245"/>
    <w:rsid w:val="0090527A"/>
    <w:rsid w:val="009059BD"/>
    <w:rsid w:val="00906467"/>
    <w:rsid w:val="0090653C"/>
    <w:rsid w:val="009066E4"/>
    <w:rsid w:val="009066F2"/>
    <w:rsid w:val="009068EA"/>
    <w:rsid w:val="009072D3"/>
    <w:rsid w:val="009075FB"/>
    <w:rsid w:val="0090766E"/>
    <w:rsid w:val="0090786A"/>
    <w:rsid w:val="009079A4"/>
    <w:rsid w:val="00907B0B"/>
    <w:rsid w:val="00907B74"/>
    <w:rsid w:val="00907F75"/>
    <w:rsid w:val="00910080"/>
    <w:rsid w:val="009102AA"/>
    <w:rsid w:val="00910416"/>
    <w:rsid w:val="00910528"/>
    <w:rsid w:val="009109D2"/>
    <w:rsid w:val="00910A25"/>
    <w:rsid w:val="00910B27"/>
    <w:rsid w:val="00910C5D"/>
    <w:rsid w:val="00910D3C"/>
    <w:rsid w:val="0091100B"/>
    <w:rsid w:val="00911297"/>
    <w:rsid w:val="009112F2"/>
    <w:rsid w:val="0091163C"/>
    <w:rsid w:val="00911758"/>
    <w:rsid w:val="0091189C"/>
    <w:rsid w:val="00911CD8"/>
    <w:rsid w:val="00911DC4"/>
    <w:rsid w:val="00911DD7"/>
    <w:rsid w:val="0091213B"/>
    <w:rsid w:val="00912390"/>
    <w:rsid w:val="00912A49"/>
    <w:rsid w:val="00912D0D"/>
    <w:rsid w:val="00912FAC"/>
    <w:rsid w:val="009134DE"/>
    <w:rsid w:val="009136AE"/>
    <w:rsid w:val="00913965"/>
    <w:rsid w:val="00913A71"/>
    <w:rsid w:val="00913AD5"/>
    <w:rsid w:val="00913EBB"/>
    <w:rsid w:val="009142EA"/>
    <w:rsid w:val="00914634"/>
    <w:rsid w:val="00914824"/>
    <w:rsid w:val="00914A10"/>
    <w:rsid w:val="0091514C"/>
    <w:rsid w:val="00915743"/>
    <w:rsid w:val="00915AF1"/>
    <w:rsid w:val="00915C87"/>
    <w:rsid w:val="00915FC2"/>
    <w:rsid w:val="009163C5"/>
    <w:rsid w:val="00916457"/>
    <w:rsid w:val="00916AA2"/>
    <w:rsid w:val="00916EA4"/>
    <w:rsid w:val="00916F94"/>
    <w:rsid w:val="009170E3"/>
    <w:rsid w:val="0091712E"/>
    <w:rsid w:val="00917292"/>
    <w:rsid w:val="009177CD"/>
    <w:rsid w:val="00917AE3"/>
    <w:rsid w:val="00917BEA"/>
    <w:rsid w:val="00917EC7"/>
    <w:rsid w:val="0092041B"/>
    <w:rsid w:val="009205C0"/>
    <w:rsid w:val="0092077B"/>
    <w:rsid w:val="0092097F"/>
    <w:rsid w:val="00920C2A"/>
    <w:rsid w:val="00920FD5"/>
    <w:rsid w:val="00920FF7"/>
    <w:rsid w:val="0092112F"/>
    <w:rsid w:val="009212E4"/>
    <w:rsid w:val="00921403"/>
    <w:rsid w:val="00921610"/>
    <w:rsid w:val="00921769"/>
    <w:rsid w:val="00921880"/>
    <w:rsid w:val="00922120"/>
    <w:rsid w:val="00922A82"/>
    <w:rsid w:val="00922D75"/>
    <w:rsid w:val="00923147"/>
    <w:rsid w:val="00923C33"/>
    <w:rsid w:val="00923F14"/>
    <w:rsid w:val="00924114"/>
    <w:rsid w:val="009244F3"/>
    <w:rsid w:val="009246DA"/>
    <w:rsid w:val="009246DE"/>
    <w:rsid w:val="009247BE"/>
    <w:rsid w:val="00924936"/>
    <w:rsid w:val="00924AE6"/>
    <w:rsid w:val="00924DE7"/>
    <w:rsid w:val="009250CF"/>
    <w:rsid w:val="009253A3"/>
    <w:rsid w:val="009256B4"/>
    <w:rsid w:val="00925A2B"/>
    <w:rsid w:val="00925D16"/>
    <w:rsid w:val="00925FB1"/>
    <w:rsid w:val="0092632F"/>
    <w:rsid w:val="009265CC"/>
    <w:rsid w:val="0092672E"/>
    <w:rsid w:val="00926D5D"/>
    <w:rsid w:val="009274F6"/>
    <w:rsid w:val="00930769"/>
    <w:rsid w:val="00930988"/>
    <w:rsid w:val="00930A0E"/>
    <w:rsid w:val="00930D25"/>
    <w:rsid w:val="00931316"/>
    <w:rsid w:val="009318FD"/>
    <w:rsid w:val="00931D07"/>
    <w:rsid w:val="00932170"/>
    <w:rsid w:val="0093225D"/>
    <w:rsid w:val="009323D2"/>
    <w:rsid w:val="00932771"/>
    <w:rsid w:val="00932842"/>
    <w:rsid w:val="00932B1A"/>
    <w:rsid w:val="00932B64"/>
    <w:rsid w:val="00932E56"/>
    <w:rsid w:val="00932FC7"/>
    <w:rsid w:val="009334DB"/>
    <w:rsid w:val="00933B6C"/>
    <w:rsid w:val="00933B78"/>
    <w:rsid w:val="00933D1F"/>
    <w:rsid w:val="00933E69"/>
    <w:rsid w:val="009342AA"/>
    <w:rsid w:val="00934380"/>
    <w:rsid w:val="009344BA"/>
    <w:rsid w:val="0093456B"/>
    <w:rsid w:val="009345EA"/>
    <w:rsid w:val="00934794"/>
    <w:rsid w:val="00934B46"/>
    <w:rsid w:val="00934D49"/>
    <w:rsid w:val="00934D87"/>
    <w:rsid w:val="00934EC0"/>
    <w:rsid w:val="00935285"/>
    <w:rsid w:val="00935296"/>
    <w:rsid w:val="0093529A"/>
    <w:rsid w:val="00935422"/>
    <w:rsid w:val="00935788"/>
    <w:rsid w:val="0093579A"/>
    <w:rsid w:val="00935AD9"/>
    <w:rsid w:val="00935B34"/>
    <w:rsid w:val="00935BA8"/>
    <w:rsid w:val="0093637E"/>
    <w:rsid w:val="009363C1"/>
    <w:rsid w:val="00936555"/>
    <w:rsid w:val="00936559"/>
    <w:rsid w:val="0093665F"/>
    <w:rsid w:val="00936CD8"/>
    <w:rsid w:val="00936F1A"/>
    <w:rsid w:val="00937189"/>
    <w:rsid w:val="009379A2"/>
    <w:rsid w:val="00937F8F"/>
    <w:rsid w:val="00937FA9"/>
    <w:rsid w:val="0093C470"/>
    <w:rsid w:val="00940029"/>
    <w:rsid w:val="00940093"/>
    <w:rsid w:val="00940D0F"/>
    <w:rsid w:val="00941C1A"/>
    <w:rsid w:val="00941CAF"/>
    <w:rsid w:val="00941F27"/>
    <w:rsid w:val="00941F9C"/>
    <w:rsid w:val="009421EE"/>
    <w:rsid w:val="00942498"/>
    <w:rsid w:val="00942823"/>
    <w:rsid w:val="00942B05"/>
    <w:rsid w:val="00942F9C"/>
    <w:rsid w:val="00942FE5"/>
    <w:rsid w:val="009438AE"/>
    <w:rsid w:val="00943A29"/>
    <w:rsid w:val="00943C5E"/>
    <w:rsid w:val="00944103"/>
    <w:rsid w:val="009445D3"/>
    <w:rsid w:val="009449C3"/>
    <w:rsid w:val="00944AC1"/>
    <w:rsid w:val="00944DF5"/>
    <w:rsid w:val="00944DFD"/>
    <w:rsid w:val="0094501F"/>
    <w:rsid w:val="00945162"/>
    <w:rsid w:val="0094581C"/>
    <w:rsid w:val="009458A6"/>
    <w:rsid w:val="00945A1C"/>
    <w:rsid w:val="0094621C"/>
    <w:rsid w:val="009468A7"/>
    <w:rsid w:val="00946B98"/>
    <w:rsid w:val="00946BD9"/>
    <w:rsid w:val="00946EA6"/>
    <w:rsid w:val="00947224"/>
    <w:rsid w:val="009472F9"/>
    <w:rsid w:val="0094752F"/>
    <w:rsid w:val="009479D8"/>
    <w:rsid w:val="00947C83"/>
    <w:rsid w:val="00947D71"/>
    <w:rsid w:val="00947DD5"/>
    <w:rsid w:val="00950617"/>
    <w:rsid w:val="00950A1B"/>
    <w:rsid w:val="00950D2B"/>
    <w:rsid w:val="00951074"/>
    <w:rsid w:val="009514B6"/>
    <w:rsid w:val="009515B5"/>
    <w:rsid w:val="00951B03"/>
    <w:rsid w:val="00951D35"/>
    <w:rsid w:val="00951E45"/>
    <w:rsid w:val="009525BD"/>
    <w:rsid w:val="00952605"/>
    <w:rsid w:val="00952633"/>
    <w:rsid w:val="00952F60"/>
    <w:rsid w:val="0095325A"/>
    <w:rsid w:val="00953E0B"/>
    <w:rsid w:val="009542BF"/>
    <w:rsid w:val="00954319"/>
    <w:rsid w:val="009543B0"/>
    <w:rsid w:val="00954487"/>
    <w:rsid w:val="009544FD"/>
    <w:rsid w:val="00954D31"/>
    <w:rsid w:val="009550E9"/>
    <w:rsid w:val="009550EA"/>
    <w:rsid w:val="0095518E"/>
    <w:rsid w:val="00955929"/>
    <w:rsid w:val="00955A31"/>
    <w:rsid w:val="00955C05"/>
    <w:rsid w:val="00955F85"/>
    <w:rsid w:val="00955FF2"/>
    <w:rsid w:val="0095620E"/>
    <w:rsid w:val="00956219"/>
    <w:rsid w:val="0095686E"/>
    <w:rsid w:val="00956B00"/>
    <w:rsid w:val="009570FC"/>
    <w:rsid w:val="009571B0"/>
    <w:rsid w:val="009571DE"/>
    <w:rsid w:val="009573CB"/>
    <w:rsid w:val="00957E6B"/>
    <w:rsid w:val="00960479"/>
    <w:rsid w:val="00960744"/>
    <w:rsid w:val="00960846"/>
    <w:rsid w:val="00960BDD"/>
    <w:rsid w:val="009612F2"/>
    <w:rsid w:val="00961486"/>
    <w:rsid w:val="00961674"/>
    <w:rsid w:val="00961AAF"/>
    <w:rsid w:val="0096203B"/>
    <w:rsid w:val="009621FF"/>
    <w:rsid w:val="00962BAB"/>
    <w:rsid w:val="0096302D"/>
    <w:rsid w:val="00963DFE"/>
    <w:rsid w:val="00963FA7"/>
    <w:rsid w:val="009644DF"/>
    <w:rsid w:val="0096476E"/>
    <w:rsid w:val="009651F7"/>
    <w:rsid w:val="009656F8"/>
    <w:rsid w:val="0096578C"/>
    <w:rsid w:val="00965D59"/>
    <w:rsid w:val="0096627C"/>
    <w:rsid w:val="00966411"/>
    <w:rsid w:val="00966D18"/>
    <w:rsid w:val="00966EA3"/>
    <w:rsid w:val="00967184"/>
    <w:rsid w:val="0096779E"/>
    <w:rsid w:val="00967E40"/>
    <w:rsid w:val="00967F7A"/>
    <w:rsid w:val="00970300"/>
    <w:rsid w:val="0097049C"/>
    <w:rsid w:val="0097057E"/>
    <w:rsid w:val="00970703"/>
    <w:rsid w:val="009709B0"/>
    <w:rsid w:val="009709FE"/>
    <w:rsid w:val="00970D93"/>
    <w:rsid w:val="00970E21"/>
    <w:rsid w:val="00971405"/>
    <w:rsid w:val="00971821"/>
    <w:rsid w:val="00972122"/>
    <w:rsid w:val="00972332"/>
    <w:rsid w:val="00972736"/>
    <w:rsid w:val="00972750"/>
    <w:rsid w:val="009727AD"/>
    <w:rsid w:val="00972AFF"/>
    <w:rsid w:val="00972B70"/>
    <w:rsid w:val="00972C66"/>
    <w:rsid w:val="00973103"/>
    <w:rsid w:val="00973694"/>
    <w:rsid w:val="0097380A"/>
    <w:rsid w:val="00973B9E"/>
    <w:rsid w:val="00973BF6"/>
    <w:rsid w:val="009741B9"/>
    <w:rsid w:val="009743A7"/>
    <w:rsid w:val="00974542"/>
    <w:rsid w:val="0097478F"/>
    <w:rsid w:val="00974F6E"/>
    <w:rsid w:val="0097549B"/>
    <w:rsid w:val="00975735"/>
    <w:rsid w:val="00975CDA"/>
    <w:rsid w:val="009760FC"/>
    <w:rsid w:val="00976942"/>
    <w:rsid w:val="009769CC"/>
    <w:rsid w:val="00976E28"/>
    <w:rsid w:val="00977051"/>
    <w:rsid w:val="00977196"/>
    <w:rsid w:val="00977230"/>
    <w:rsid w:val="009772F3"/>
    <w:rsid w:val="00980238"/>
    <w:rsid w:val="009806CE"/>
    <w:rsid w:val="009807CB"/>
    <w:rsid w:val="00980E48"/>
    <w:rsid w:val="00980F80"/>
    <w:rsid w:val="00981607"/>
    <w:rsid w:val="00981824"/>
    <w:rsid w:val="0098182A"/>
    <w:rsid w:val="00981ACB"/>
    <w:rsid w:val="00982BDB"/>
    <w:rsid w:val="00982CF1"/>
    <w:rsid w:val="00982EAE"/>
    <w:rsid w:val="00983018"/>
    <w:rsid w:val="00983997"/>
    <w:rsid w:val="00983AC3"/>
    <w:rsid w:val="00983BCD"/>
    <w:rsid w:val="00983F18"/>
    <w:rsid w:val="0098467C"/>
    <w:rsid w:val="00984680"/>
    <w:rsid w:val="00984928"/>
    <w:rsid w:val="00984A66"/>
    <w:rsid w:val="00984CBD"/>
    <w:rsid w:val="00984F96"/>
    <w:rsid w:val="009858F8"/>
    <w:rsid w:val="00985B10"/>
    <w:rsid w:val="0098603B"/>
    <w:rsid w:val="00986227"/>
    <w:rsid w:val="00986349"/>
    <w:rsid w:val="009866A7"/>
    <w:rsid w:val="00986BA2"/>
    <w:rsid w:val="009875EB"/>
    <w:rsid w:val="0098774B"/>
    <w:rsid w:val="00987C27"/>
    <w:rsid w:val="00987C6F"/>
    <w:rsid w:val="00990100"/>
    <w:rsid w:val="0099029E"/>
    <w:rsid w:val="0099030D"/>
    <w:rsid w:val="009904CC"/>
    <w:rsid w:val="009907BC"/>
    <w:rsid w:val="00990A66"/>
    <w:rsid w:val="00990AD7"/>
    <w:rsid w:val="00990F50"/>
    <w:rsid w:val="00991099"/>
    <w:rsid w:val="0099115D"/>
    <w:rsid w:val="00991D81"/>
    <w:rsid w:val="00991E6E"/>
    <w:rsid w:val="00991EBF"/>
    <w:rsid w:val="0099282A"/>
    <w:rsid w:val="00992D2C"/>
    <w:rsid w:val="00992E68"/>
    <w:rsid w:val="0099310E"/>
    <w:rsid w:val="00993706"/>
    <w:rsid w:val="00993747"/>
    <w:rsid w:val="00993766"/>
    <w:rsid w:val="00993BF7"/>
    <w:rsid w:val="0099417E"/>
    <w:rsid w:val="00994EE4"/>
    <w:rsid w:val="00994F75"/>
    <w:rsid w:val="00995407"/>
    <w:rsid w:val="009954F8"/>
    <w:rsid w:val="009958D3"/>
    <w:rsid w:val="00995A58"/>
    <w:rsid w:val="00995CF9"/>
    <w:rsid w:val="00995D62"/>
    <w:rsid w:val="00996391"/>
    <w:rsid w:val="009964CF"/>
    <w:rsid w:val="00996BC7"/>
    <w:rsid w:val="00996C75"/>
    <w:rsid w:val="00996EB8"/>
    <w:rsid w:val="00997D42"/>
    <w:rsid w:val="00997DCE"/>
    <w:rsid w:val="009A054C"/>
    <w:rsid w:val="009A093F"/>
    <w:rsid w:val="009A0969"/>
    <w:rsid w:val="009A10B0"/>
    <w:rsid w:val="009A10DF"/>
    <w:rsid w:val="009A1149"/>
    <w:rsid w:val="009A138E"/>
    <w:rsid w:val="009A13B0"/>
    <w:rsid w:val="009A1691"/>
    <w:rsid w:val="009A1BCB"/>
    <w:rsid w:val="009A1FCF"/>
    <w:rsid w:val="009A20A6"/>
    <w:rsid w:val="009A217F"/>
    <w:rsid w:val="009A2DDC"/>
    <w:rsid w:val="009A3F35"/>
    <w:rsid w:val="009A4165"/>
    <w:rsid w:val="009A4319"/>
    <w:rsid w:val="009A4354"/>
    <w:rsid w:val="009A43E9"/>
    <w:rsid w:val="009A44D0"/>
    <w:rsid w:val="009A4527"/>
    <w:rsid w:val="009A46A8"/>
    <w:rsid w:val="009A4909"/>
    <w:rsid w:val="009A4EF9"/>
    <w:rsid w:val="009A5398"/>
    <w:rsid w:val="009A5976"/>
    <w:rsid w:val="009A5983"/>
    <w:rsid w:val="009A5F2F"/>
    <w:rsid w:val="009A667F"/>
    <w:rsid w:val="009A6A39"/>
    <w:rsid w:val="009A6ACE"/>
    <w:rsid w:val="009A6B12"/>
    <w:rsid w:val="009A6CF1"/>
    <w:rsid w:val="009A73F5"/>
    <w:rsid w:val="009A780E"/>
    <w:rsid w:val="009A788B"/>
    <w:rsid w:val="009A7B4D"/>
    <w:rsid w:val="009A7C1A"/>
    <w:rsid w:val="009A7FDB"/>
    <w:rsid w:val="009B032B"/>
    <w:rsid w:val="009B0335"/>
    <w:rsid w:val="009B06A9"/>
    <w:rsid w:val="009B103B"/>
    <w:rsid w:val="009B1602"/>
    <w:rsid w:val="009B19D8"/>
    <w:rsid w:val="009B19F3"/>
    <w:rsid w:val="009B23E1"/>
    <w:rsid w:val="009B2C8C"/>
    <w:rsid w:val="009B2C9F"/>
    <w:rsid w:val="009B2DCF"/>
    <w:rsid w:val="009B323B"/>
    <w:rsid w:val="009B34B3"/>
    <w:rsid w:val="009B3632"/>
    <w:rsid w:val="009B39F7"/>
    <w:rsid w:val="009B3A6E"/>
    <w:rsid w:val="009B3E09"/>
    <w:rsid w:val="009B4468"/>
    <w:rsid w:val="009B4732"/>
    <w:rsid w:val="009B49A8"/>
    <w:rsid w:val="009B4B34"/>
    <w:rsid w:val="009B4F73"/>
    <w:rsid w:val="009B57C2"/>
    <w:rsid w:val="009B5B03"/>
    <w:rsid w:val="009B5FF4"/>
    <w:rsid w:val="009B630C"/>
    <w:rsid w:val="009B64A6"/>
    <w:rsid w:val="009B6979"/>
    <w:rsid w:val="009B6D28"/>
    <w:rsid w:val="009B6F7A"/>
    <w:rsid w:val="009B6F9E"/>
    <w:rsid w:val="009B7258"/>
    <w:rsid w:val="009B77E4"/>
    <w:rsid w:val="009B79C1"/>
    <w:rsid w:val="009B7DBE"/>
    <w:rsid w:val="009B7E46"/>
    <w:rsid w:val="009C0011"/>
    <w:rsid w:val="009C01F6"/>
    <w:rsid w:val="009C037F"/>
    <w:rsid w:val="009C0386"/>
    <w:rsid w:val="009C03C3"/>
    <w:rsid w:val="009C046D"/>
    <w:rsid w:val="009C05B0"/>
    <w:rsid w:val="009C088B"/>
    <w:rsid w:val="009C0E05"/>
    <w:rsid w:val="009C108A"/>
    <w:rsid w:val="009C1477"/>
    <w:rsid w:val="009C14EE"/>
    <w:rsid w:val="009C199A"/>
    <w:rsid w:val="009C1FDB"/>
    <w:rsid w:val="009C20BB"/>
    <w:rsid w:val="009C22A1"/>
    <w:rsid w:val="009C2484"/>
    <w:rsid w:val="009C2B67"/>
    <w:rsid w:val="009C307A"/>
    <w:rsid w:val="009C34F4"/>
    <w:rsid w:val="009C3AB7"/>
    <w:rsid w:val="009C3B3C"/>
    <w:rsid w:val="009C406C"/>
    <w:rsid w:val="009C4CCB"/>
    <w:rsid w:val="009C4F2A"/>
    <w:rsid w:val="009C5887"/>
    <w:rsid w:val="009C59C4"/>
    <w:rsid w:val="009C6080"/>
    <w:rsid w:val="009C6915"/>
    <w:rsid w:val="009C6AFF"/>
    <w:rsid w:val="009C6BEC"/>
    <w:rsid w:val="009C70D4"/>
    <w:rsid w:val="009C71B7"/>
    <w:rsid w:val="009C75A8"/>
    <w:rsid w:val="009C7BE6"/>
    <w:rsid w:val="009C7D4F"/>
    <w:rsid w:val="009D0189"/>
    <w:rsid w:val="009D0A9A"/>
    <w:rsid w:val="009D0BE5"/>
    <w:rsid w:val="009D0E14"/>
    <w:rsid w:val="009D114D"/>
    <w:rsid w:val="009D1152"/>
    <w:rsid w:val="009D125A"/>
    <w:rsid w:val="009D13A7"/>
    <w:rsid w:val="009D176A"/>
    <w:rsid w:val="009D1CEE"/>
    <w:rsid w:val="009D1DA6"/>
    <w:rsid w:val="009D215B"/>
    <w:rsid w:val="009D224E"/>
    <w:rsid w:val="009D2620"/>
    <w:rsid w:val="009D2658"/>
    <w:rsid w:val="009D283F"/>
    <w:rsid w:val="009D2EF4"/>
    <w:rsid w:val="009D392C"/>
    <w:rsid w:val="009D4202"/>
    <w:rsid w:val="009D4309"/>
    <w:rsid w:val="009D4792"/>
    <w:rsid w:val="009D4B82"/>
    <w:rsid w:val="009D4F10"/>
    <w:rsid w:val="009D504E"/>
    <w:rsid w:val="009D5558"/>
    <w:rsid w:val="009D569A"/>
    <w:rsid w:val="009D5A25"/>
    <w:rsid w:val="009D5ACE"/>
    <w:rsid w:val="009D5F44"/>
    <w:rsid w:val="009D6611"/>
    <w:rsid w:val="009D6951"/>
    <w:rsid w:val="009D6ABE"/>
    <w:rsid w:val="009D6B3B"/>
    <w:rsid w:val="009D6DDA"/>
    <w:rsid w:val="009D763B"/>
    <w:rsid w:val="009D7BED"/>
    <w:rsid w:val="009E0811"/>
    <w:rsid w:val="009E0A69"/>
    <w:rsid w:val="009E0BDD"/>
    <w:rsid w:val="009E0CAF"/>
    <w:rsid w:val="009E1016"/>
    <w:rsid w:val="009E16D8"/>
    <w:rsid w:val="009E1866"/>
    <w:rsid w:val="009E1B03"/>
    <w:rsid w:val="009E1FA2"/>
    <w:rsid w:val="009E2497"/>
    <w:rsid w:val="009E24BA"/>
    <w:rsid w:val="009E259F"/>
    <w:rsid w:val="009E2700"/>
    <w:rsid w:val="009E27EE"/>
    <w:rsid w:val="009E32EE"/>
    <w:rsid w:val="009E4052"/>
    <w:rsid w:val="009E4253"/>
    <w:rsid w:val="009E45F4"/>
    <w:rsid w:val="009E47AF"/>
    <w:rsid w:val="009E4D4B"/>
    <w:rsid w:val="009E50DF"/>
    <w:rsid w:val="009E52A6"/>
    <w:rsid w:val="009E53D1"/>
    <w:rsid w:val="009E558F"/>
    <w:rsid w:val="009E5900"/>
    <w:rsid w:val="009E5DBF"/>
    <w:rsid w:val="009E60AF"/>
    <w:rsid w:val="009E60F8"/>
    <w:rsid w:val="009E616D"/>
    <w:rsid w:val="009E65EB"/>
    <w:rsid w:val="009E66B5"/>
    <w:rsid w:val="009E6BE8"/>
    <w:rsid w:val="009E6C81"/>
    <w:rsid w:val="009E6F55"/>
    <w:rsid w:val="009E7025"/>
    <w:rsid w:val="009E7032"/>
    <w:rsid w:val="009E7161"/>
    <w:rsid w:val="009E7361"/>
    <w:rsid w:val="009E78E5"/>
    <w:rsid w:val="009E79C5"/>
    <w:rsid w:val="009E7A5E"/>
    <w:rsid w:val="009E7EA5"/>
    <w:rsid w:val="009F05F6"/>
    <w:rsid w:val="009F094F"/>
    <w:rsid w:val="009F0976"/>
    <w:rsid w:val="009F0C31"/>
    <w:rsid w:val="009F0FAA"/>
    <w:rsid w:val="009F1200"/>
    <w:rsid w:val="009F2082"/>
    <w:rsid w:val="009F221F"/>
    <w:rsid w:val="009F2501"/>
    <w:rsid w:val="009F258D"/>
    <w:rsid w:val="009F265C"/>
    <w:rsid w:val="009F36E7"/>
    <w:rsid w:val="009F3C6C"/>
    <w:rsid w:val="009F3D14"/>
    <w:rsid w:val="009F3D3F"/>
    <w:rsid w:val="009F412B"/>
    <w:rsid w:val="009F439C"/>
    <w:rsid w:val="009F43EB"/>
    <w:rsid w:val="009F45FD"/>
    <w:rsid w:val="009F490A"/>
    <w:rsid w:val="009F4B65"/>
    <w:rsid w:val="009F4C9A"/>
    <w:rsid w:val="009F4F45"/>
    <w:rsid w:val="009F4F8E"/>
    <w:rsid w:val="009F5984"/>
    <w:rsid w:val="009F5D0C"/>
    <w:rsid w:val="009F5E69"/>
    <w:rsid w:val="009F6111"/>
    <w:rsid w:val="009F668F"/>
    <w:rsid w:val="009F6A74"/>
    <w:rsid w:val="009F752A"/>
    <w:rsid w:val="009F7BC6"/>
    <w:rsid w:val="009F7C11"/>
    <w:rsid w:val="00A0030E"/>
    <w:rsid w:val="00A003A9"/>
    <w:rsid w:val="00A0049D"/>
    <w:rsid w:val="00A0072B"/>
    <w:rsid w:val="00A008A9"/>
    <w:rsid w:val="00A008B9"/>
    <w:rsid w:val="00A00BE6"/>
    <w:rsid w:val="00A00C0F"/>
    <w:rsid w:val="00A0109E"/>
    <w:rsid w:val="00A017CB"/>
    <w:rsid w:val="00A018BB"/>
    <w:rsid w:val="00A018FE"/>
    <w:rsid w:val="00A01C57"/>
    <w:rsid w:val="00A021F6"/>
    <w:rsid w:val="00A02A28"/>
    <w:rsid w:val="00A030D1"/>
    <w:rsid w:val="00A036A9"/>
    <w:rsid w:val="00A038FC"/>
    <w:rsid w:val="00A039CA"/>
    <w:rsid w:val="00A03AA4"/>
    <w:rsid w:val="00A04345"/>
    <w:rsid w:val="00A04481"/>
    <w:rsid w:val="00A04882"/>
    <w:rsid w:val="00A048DF"/>
    <w:rsid w:val="00A04BC5"/>
    <w:rsid w:val="00A04C93"/>
    <w:rsid w:val="00A050CD"/>
    <w:rsid w:val="00A05109"/>
    <w:rsid w:val="00A0523A"/>
    <w:rsid w:val="00A055F0"/>
    <w:rsid w:val="00A05D42"/>
    <w:rsid w:val="00A05F4B"/>
    <w:rsid w:val="00A0638E"/>
    <w:rsid w:val="00A06516"/>
    <w:rsid w:val="00A066CD"/>
    <w:rsid w:val="00A06BD6"/>
    <w:rsid w:val="00A06E8E"/>
    <w:rsid w:val="00A06FEC"/>
    <w:rsid w:val="00A07241"/>
    <w:rsid w:val="00A0738B"/>
    <w:rsid w:val="00A07461"/>
    <w:rsid w:val="00A07A4E"/>
    <w:rsid w:val="00A07C0F"/>
    <w:rsid w:val="00A07DF7"/>
    <w:rsid w:val="00A10132"/>
    <w:rsid w:val="00A10452"/>
    <w:rsid w:val="00A1060F"/>
    <w:rsid w:val="00A107D8"/>
    <w:rsid w:val="00A10D91"/>
    <w:rsid w:val="00A11658"/>
    <w:rsid w:val="00A118F7"/>
    <w:rsid w:val="00A11B14"/>
    <w:rsid w:val="00A12191"/>
    <w:rsid w:val="00A12320"/>
    <w:rsid w:val="00A1259E"/>
    <w:rsid w:val="00A1278F"/>
    <w:rsid w:val="00A12B17"/>
    <w:rsid w:val="00A12D39"/>
    <w:rsid w:val="00A1312C"/>
    <w:rsid w:val="00A131B0"/>
    <w:rsid w:val="00A1337C"/>
    <w:rsid w:val="00A135D8"/>
    <w:rsid w:val="00A137C3"/>
    <w:rsid w:val="00A138E8"/>
    <w:rsid w:val="00A13D86"/>
    <w:rsid w:val="00A13DDC"/>
    <w:rsid w:val="00A147C0"/>
    <w:rsid w:val="00A147DC"/>
    <w:rsid w:val="00A14BA6"/>
    <w:rsid w:val="00A14D29"/>
    <w:rsid w:val="00A14F2D"/>
    <w:rsid w:val="00A15018"/>
    <w:rsid w:val="00A151BD"/>
    <w:rsid w:val="00A1535E"/>
    <w:rsid w:val="00A153DE"/>
    <w:rsid w:val="00A159F9"/>
    <w:rsid w:val="00A15CC5"/>
    <w:rsid w:val="00A16A21"/>
    <w:rsid w:val="00A16A94"/>
    <w:rsid w:val="00A16AFE"/>
    <w:rsid w:val="00A16BC8"/>
    <w:rsid w:val="00A16BDB"/>
    <w:rsid w:val="00A16F2E"/>
    <w:rsid w:val="00A170DA"/>
    <w:rsid w:val="00A1734D"/>
    <w:rsid w:val="00A17E11"/>
    <w:rsid w:val="00A204AA"/>
    <w:rsid w:val="00A20609"/>
    <w:rsid w:val="00A20615"/>
    <w:rsid w:val="00A2102F"/>
    <w:rsid w:val="00A212B6"/>
    <w:rsid w:val="00A215C3"/>
    <w:rsid w:val="00A2160E"/>
    <w:rsid w:val="00A218AE"/>
    <w:rsid w:val="00A22120"/>
    <w:rsid w:val="00A224C2"/>
    <w:rsid w:val="00A224DC"/>
    <w:rsid w:val="00A23181"/>
    <w:rsid w:val="00A2368C"/>
    <w:rsid w:val="00A23DBD"/>
    <w:rsid w:val="00A24065"/>
    <w:rsid w:val="00A2438A"/>
    <w:rsid w:val="00A245D8"/>
    <w:rsid w:val="00A24D2B"/>
    <w:rsid w:val="00A251C1"/>
    <w:rsid w:val="00A25275"/>
    <w:rsid w:val="00A254C3"/>
    <w:rsid w:val="00A25781"/>
    <w:rsid w:val="00A258E0"/>
    <w:rsid w:val="00A25BCB"/>
    <w:rsid w:val="00A25EC2"/>
    <w:rsid w:val="00A25FB9"/>
    <w:rsid w:val="00A2649B"/>
    <w:rsid w:val="00A26502"/>
    <w:rsid w:val="00A2663A"/>
    <w:rsid w:val="00A2673A"/>
    <w:rsid w:val="00A268C1"/>
    <w:rsid w:val="00A26C03"/>
    <w:rsid w:val="00A2700E"/>
    <w:rsid w:val="00A2741D"/>
    <w:rsid w:val="00A278B1"/>
    <w:rsid w:val="00A279D3"/>
    <w:rsid w:val="00A27A81"/>
    <w:rsid w:val="00A27C70"/>
    <w:rsid w:val="00A27DB0"/>
    <w:rsid w:val="00A27DBD"/>
    <w:rsid w:val="00A30246"/>
    <w:rsid w:val="00A303E9"/>
    <w:rsid w:val="00A304D1"/>
    <w:rsid w:val="00A30709"/>
    <w:rsid w:val="00A30A65"/>
    <w:rsid w:val="00A31021"/>
    <w:rsid w:val="00A310B9"/>
    <w:rsid w:val="00A321E4"/>
    <w:rsid w:val="00A324F9"/>
    <w:rsid w:val="00A3271B"/>
    <w:rsid w:val="00A32A60"/>
    <w:rsid w:val="00A32D10"/>
    <w:rsid w:val="00A32E13"/>
    <w:rsid w:val="00A32EE0"/>
    <w:rsid w:val="00A3302F"/>
    <w:rsid w:val="00A33122"/>
    <w:rsid w:val="00A336E6"/>
    <w:rsid w:val="00A338C1"/>
    <w:rsid w:val="00A338FA"/>
    <w:rsid w:val="00A33CF8"/>
    <w:rsid w:val="00A33E43"/>
    <w:rsid w:val="00A34855"/>
    <w:rsid w:val="00A34B7C"/>
    <w:rsid w:val="00A34D3D"/>
    <w:rsid w:val="00A34DF1"/>
    <w:rsid w:val="00A34E2E"/>
    <w:rsid w:val="00A35249"/>
    <w:rsid w:val="00A352A7"/>
    <w:rsid w:val="00A3563E"/>
    <w:rsid w:val="00A35687"/>
    <w:rsid w:val="00A3572D"/>
    <w:rsid w:val="00A358AE"/>
    <w:rsid w:val="00A35C04"/>
    <w:rsid w:val="00A36318"/>
    <w:rsid w:val="00A36BF4"/>
    <w:rsid w:val="00A36EC9"/>
    <w:rsid w:val="00A36FF9"/>
    <w:rsid w:val="00A371CF"/>
    <w:rsid w:val="00A37278"/>
    <w:rsid w:val="00A372A5"/>
    <w:rsid w:val="00A37417"/>
    <w:rsid w:val="00A37BA4"/>
    <w:rsid w:val="00A37DAD"/>
    <w:rsid w:val="00A37DD7"/>
    <w:rsid w:val="00A400E5"/>
    <w:rsid w:val="00A40182"/>
    <w:rsid w:val="00A40435"/>
    <w:rsid w:val="00A4097D"/>
    <w:rsid w:val="00A40987"/>
    <w:rsid w:val="00A40AF7"/>
    <w:rsid w:val="00A40B5F"/>
    <w:rsid w:val="00A40DA3"/>
    <w:rsid w:val="00A41113"/>
    <w:rsid w:val="00A41378"/>
    <w:rsid w:val="00A41379"/>
    <w:rsid w:val="00A41919"/>
    <w:rsid w:val="00A419FC"/>
    <w:rsid w:val="00A41FCE"/>
    <w:rsid w:val="00A42324"/>
    <w:rsid w:val="00A42A4F"/>
    <w:rsid w:val="00A42B15"/>
    <w:rsid w:val="00A42C05"/>
    <w:rsid w:val="00A432FC"/>
    <w:rsid w:val="00A43488"/>
    <w:rsid w:val="00A43D93"/>
    <w:rsid w:val="00A44243"/>
    <w:rsid w:val="00A444BB"/>
    <w:rsid w:val="00A4450F"/>
    <w:rsid w:val="00A45051"/>
    <w:rsid w:val="00A4539A"/>
    <w:rsid w:val="00A453BF"/>
    <w:rsid w:val="00A456A6"/>
    <w:rsid w:val="00A4571B"/>
    <w:rsid w:val="00A458C4"/>
    <w:rsid w:val="00A460B9"/>
    <w:rsid w:val="00A4622C"/>
    <w:rsid w:val="00A46EFD"/>
    <w:rsid w:val="00A47551"/>
    <w:rsid w:val="00A4785A"/>
    <w:rsid w:val="00A47B5A"/>
    <w:rsid w:val="00A47FF6"/>
    <w:rsid w:val="00A50745"/>
    <w:rsid w:val="00A508AA"/>
    <w:rsid w:val="00A50F9B"/>
    <w:rsid w:val="00A51734"/>
    <w:rsid w:val="00A518D7"/>
    <w:rsid w:val="00A51BCD"/>
    <w:rsid w:val="00A51D48"/>
    <w:rsid w:val="00A51EF3"/>
    <w:rsid w:val="00A52132"/>
    <w:rsid w:val="00A52192"/>
    <w:rsid w:val="00A524E6"/>
    <w:rsid w:val="00A526B4"/>
    <w:rsid w:val="00A528DF"/>
    <w:rsid w:val="00A52C67"/>
    <w:rsid w:val="00A53474"/>
    <w:rsid w:val="00A5371E"/>
    <w:rsid w:val="00A53BE3"/>
    <w:rsid w:val="00A53F4A"/>
    <w:rsid w:val="00A53F9A"/>
    <w:rsid w:val="00A54049"/>
    <w:rsid w:val="00A5425F"/>
    <w:rsid w:val="00A5497F"/>
    <w:rsid w:val="00A54AD5"/>
    <w:rsid w:val="00A54CE6"/>
    <w:rsid w:val="00A550D8"/>
    <w:rsid w:val="00A55137"/>
    <w:rsid w:val="00A552AC"/>
    <w:rsid w:val="00A557A2"/>
    <w:rsid w:val="00A55B64"/>
    <w:rsid w:val="00A55D76"/>
    <w:rsid w:val="00A55E1D"/>
    <w:rsid w:val="00A56523"/>
    <w:rsid w:val="00A5665D"/>
    <w:rsid w:val="00A56D74"/>
    <w:rsid w:val="00A5701D"/>
    <w:rsid w:val="00A57064"/>
    <w:rsid w:val="00A57E63"/>
    <w:rsid w:val="00A57FAE"/>
    <w:rsid w:val="00A57FE9"/>
    <w:rsid w:val="00A6022F"/>
    <w:rsid w:val="00A605F4"/>
    <w:rsid w:val="00A60898"/>
    <w:rsid w:val="00A608A1"/>
    <w:rsid w:val="00A609A5"/>
    <w:rsid w:val="00A60D96"/>
    <w:rsid w:val="00A60F1C"/>
    <w:rsid w:val="00A614DF"/>
    <w:rsid w:val="00A61681"/>
    <w:rsid w:val="00A61796"/>
    <w:rsid w:val="00A6185D"/>
    <w:rsid w:val="00A625F6"/>
    <w:rsid w:val="00A62A5F"/>
    <w:rsid w:val="00A62CEE"/>
    <w:rsid w:val="00A62D7C"/>
    <w:rsid w:val="00A633AA"/>
    <w:rsid w:val="00A634E0"/>
    <w:rsid w:val="00A63539"/>
    <w:rsid w:val="00A6355E"/>
    <w:rsid w:val="00A63737"/>
    <w:rsid w:val="00A637E0"/>
    <w:rsid w:val="00A63959"/>
    <w:rsid w:val="00A63A9B"/>
    <w:rsid w:val="00A63B1B"/>
    <w:rsid w:val="00A63DF4"/>
    <w:rsid w:val="00A640E3"/>
    <w:rsid w:val="00A64159"/>
    <w:rsid w:val="00A641C6"/>
    <w:rsid w:val="00A643B9"/>
    <w:rsid w:val="00A64579"/>
    <w:rsid w:val="00A6463D"/>
    <w:rsid w:val="00A64A28"/>
    <w:rsid w:val="00A64CFA"/>
    <w:rsid w:val="00A64E36"/>
    <w:rsid w:val="00A64ED5"/>
    <w:rsid w:val="00A6510A"/>
    <w:rsid w:val="00A65692"/>
    <w:rsid w:val="00A65696"/>
    <w:rsid w:val="00A657B1"/>
    <w:rsid w:val="00A65C6D"/>
    <w:rsid w:val="00A65DDD"/>
    <w:rsid w:val="00A6608F"/>
    <w:rsid w:val="00A66817"/>
    <w:rsid w:val="00A66923"/>
    <w:rsid w:val="00A67385"/>
    <w:rsid w:val="00A6758D"/>
    <w:rsid w:val="00A67CBA"/>
    <w:rsid w:val="00A700FF"/>
    <w:rsid w:val="00A70966"/>
    <w:rsid w:val="00A70ABB"/>
    <w:rsid w:val="00A70BB5"/>
    <w:rsid w:val="00A71178"/>
    <w:rsid w:val="00A71D34"/>
    <w:rsid w:val="00A71DD9"/>
    <w:rsid w:val="00A721AA"/>
    <w:rsid w:val="00A722DA"/>
    <w:rsid w:val="00A7246B"/>
    <w:rsid w:val="00A72F2C"/>
    <w:rsid w:val="00A73218"/>
    <w:rsid w:val="00A73D77"/>
    <w:rsid w:val="00A73FDD"/>
    <w:rsid w:val="00A7406A"/>
    <w:rsid w:val="00A74477"/>
    <w:rsid w:val="00A7468B"/>
    <w:rsid w:val="00A74825"/>
    <w:rsid w:val="00A74AA9"/>
    <w:rsid w:val="00A75098"/>
    <w:rsid w:val="00A75330"/>
    <w:rsid w:val="00A761D6"/>
    <w:rsid w:val="00A764BE"/>
    <w:rsid w:val="00A767A1"/>
    <w:rsid w:val="00A77123"/>
    <w:rsid w:val="00A772CF"/>
    <w:rsid w:val="00A77AA8"/>
    <w:rsid w:val="00A77E75"/>
    <w:rsid w:val="00A80464"/>
    <w:rsid w:val="00A80981"/>
    <w:rsid w:val="00A80A5D"/>
    <w:rsid w:val="00A80AFA"/>
    <w:rsid w:val="00A80E87"/>
    <w:rsid w:val="00A81301"/>
    <w:rsid w:val="00A81AE7"/>
    <w:rsid w:val="00A81D54"/>
    <w:rsid w:val="00A8224B"/>
    <w:rsid w:val="00A824F7"/>
    <w:rsid w:val="00A82574"/>
    <w:rsid w:val="00A82D10"/>
    <w:rsid w:val="00A83234"/>
    <w:rsid w:val="00A833F5"/>
    <w:rsid w:val="00A83ACB"/>
    <w:rsid w:val="00A83C53"/>
    <w:rsid w:val="00A84080"/>
    <w:rsid w:val="00A8564A"/>
    <w:rsid w:val="00A8585D"/>
    <w:rsid w:val="00A859BD"/>
    <w:rsid w:val="00A85A8D"/>
    <w:rsid w:val="00A85BBF"/>
    <w:rsid w:val="00A85DFF"/>
    <w:rsid w:val="00A8602D"/>
    <w:rsid w:val="00A863C3"/>
    <w:rsid w:val="00A865F5"/>
    <w:rsid w:val="00A869A1"/>
    <w:rsid w:val="00A874AD"/>
    <w:rsid w:val="00A8764A"/>
    <w:rsid w:val="00A879F9"/>
    <w:rsid w:val="00A9074D"/>
    <w:rsid w:val="00A90D76"/>
    <w:rsid w:val="00A90DB2"/>
    <w:rsid w:val="00A9117F"/>
    <w:rsid w:val="00A9163D"/>
    <w:rsid w:val="00A916CA"/>
    <w:rsid w:val="00A916D4"/>
    <w:rsid w:val="00A9198F"/>
    <w:rsid w:val="00A91B4A"/>
    <w:rsid w:val="00A91C1F"/>
    <w:rsid w:val="00A91CDB"/>
    <w:rsid w:val="00A92299"/>
    <w:rsid w:val="00A929E0"/>
    <w:rsid w:val="00A92AFA"/>
    <w:rsid w:val="00A92B28"/>
    <w:rsid w:val="00A92D73"/>
    <w:rsid w:val="00A92F2D"/>
    <w:rsid w:val="00A92FDA"/>
    <w:rsid w:val="00A935CC"/>
    <w:rsid w:val="00A937BB"/>
    <w:rsid w:val="00A9386A"/>
    <w:rsid w:val="00A939E3"/>
    <w:rsid w:val="00A93B41"/>
    <w:rsid w:val="00A94009"/>
    <w:rsid w:val="00A9424B"/>
    <w:rsid w:val="00A9428F"/>
    <w:rsid w:val="00A944F7"/>
    <w:rsid w:val="00A948A7"/>
    <w:rsid w:val="00A94C88"/>
    <w:rsid w:val="00A94DA3"/>
    <w:rsid w:val="00A95012"/>
    <w:rsid w:val="00A95538"/>
    <w:rsid w:val="00A959F8"/>
    <w:rsid w:val="00A9628B"/>
    <w:rsid w:val="00A96848"/>
    <w:rsid w:val="00A96A66"/>
    <w:rsid w:val="00A97605"/>
    <w:rsid w:val="00A97770"/>
    <w:rsid w:val="00A97C37"/>
    <w:rsid w:val="00AA0D3D"/>
    <w:rsid w:val="00AA1221"/>
    <w:rsid w:val="00AA180D"/>
    <w:rsid w:val="00AA1962"/>
    <w:rsid w:val="00AA1A4A"/>
    <w:rsid w:val="00AA1DBD"/>
    <w:rsid w:val="00AA1EE9"/>
    <w:rsid w:val="00AA1F41"/>
    <w:rsid w:val="00AA2146"/>
    <w:rsid w:val="00AA2193"/>
    <w:rsid w:val="00AA2454"/>
    <w:rsid w:val="00AA280C"/>
    <w:rsid w:val="00AA2825"/>
    <w:rsid w:val="00AA2AD6"/>
    <w:rsid w:val="00AA3368"/>
    <w:rsid w:val="00AA34F1"/>
    <w:rsid w:val="00AA3579"/>
    <w:rsid w:val="00AA367D"/>
    <w:rsid w:val="00AA3947"/>
    <w:rsid w:val="00AA3A26"/>
    <w:rsid w:val="00AA3B84"/>
    <w:rsid w:val="00AA3E32"/>
    <w:rsid w:val="00AA3E77"/>
    <w:rsid w:val="00AA415D"/>
    <w:rsid w:val="00AA44F1"/>
    <w:rsid w:val="00AA45E9"/>
    <w:rsid w:val="00AA47AE"/>
    <w:rsid w:val="00AA5052"/>
    <w:rsid w:val="00AA54DA"/>
    <w:rsid w:val="00AA59B3"/>
    <w:rsid w:val="00AA5CC2"/>
    <w:rsid w:val="00AA5ED4"/>
    <w:rsid w:val="00AA5F6A"/>
    <w:rsid w:val="00AA5FCC"/>
    <w:rsid w:val="00AA68EC"/>
    <w:rsid w:val="00AA6DF8"/>
    <w:rsid w:val="00AA7284"/>
    <w:rsid w:val="00AA73BF"/>
    <w:rsid w:val="00AA74DE"/>
    <w:rsid w:val="00AA7E2E"/>
    <w:rsid w:val="00AB0D17"/>
    <w:rsid w:val="00AB0D50"/>
    <w:rsid w:val="00AB13FE"/>
    <w:rsid w:val="00AB1BD2"/>
    <w:rsid w:val="00AB2686"/>
    <w:rsid w:val="00AB2A4F"/>
    <w:rsid w:val="00AB2A5A"/>
    <w:rsid w:val="00AB2EAC"/>
    <w:rsid w:val="00AB2ECD"/>
    <w:rsid w:val="00AB30AA"/>
    <w:rsid w:val="00AB4158"/>
    <w:rsid w:val="00AB456E"/>
    <w:rsid w:val="00AB4659"/>
    <w:rsid w:val="00AB465C"/>
    <w:rsid w:val="00AB466A"/>
    <w:rsid w:val="00AB4711"/>
    <w:rsid w:val="00AB4AE5"/>
    <w:rsid w:val="00AB4CB1"/>
    <w:rsid w:val="00AB50C1"/>
    <w:rsid w:val="00AB50D2"/>
    <w:rsid w:val="00AB549C"/>
    <w:rsid w:val="00AB5D48"/>
    <w:rsid w:val="00AB5DF8"/>
    <w:rsid w:val="00AB6429"/>
    <w:rsid w:val="00AB6675"/>
    <w:rsid w:val="00AB6B71"/>
    <w:rsid w:val="00AB6C98"/>
    <w:rsid w:val="00AB6DC1"/>
    <w:rsid w:val="00AB6F4E"/>
    <w:rsid w:val="00AB6FA7"/>
    <w:rsid w:val="00AB7267"/>
    <w:rsid w:val="00AB74B7"/>
    <w:rsid w:val="00AB7589"/>
    <w:rsid w:val="00AB791B"/>
    <w:rsid w:val="00AB7AFF"/>
    <w:rsid w:val="00AB7BA1"/>
    <w:rsid w:val="00AB7F18"/>
    <w:rsid w:val="00AC0162"/>
    <w:rsid w:val="00AC067E"/>
    <w:rsid w:val="00AC1F45"/>
    <w:rsid w:val="00AC24DE"/>
    <w:rsid w:val="00AC265F"/>
    <w:rsid w:val="00AC270B"/>
    <w:rsid w:val="00AC2771"/>
    <w:rsid w:val="00AC288E"/>
    <w:rsid w:val="00AC2B59"/>
    <w:rsid w:val="00AC2BB3"/>
    <w:rsid w:val="00AC2C55"/>
    <w:rsid w:val="00AC2CBB"/>
    <w:rsid w:val="00AC3691"/>
    <w:rsid w:val="00AC432B"/>
    <w:rsid w:val="00AC4360"/>
    <w:rsid w:val="00AC448A"/>
    <w:rsid w:val="00AC4885"/>
    <w:rsid w:val="00AC4A0E"/>
    <w:rsid w:val="00AC4D99"/>
    <w:rsid w:val="00AC52D6"/>
    <w:rsid w:val="00AC5D90"/>
    <w:rsid w:val="00AC5E04"/>
    <w:rsid w:val="00AC5E72"/>
    <w:rsid w:val="00AC69AA"/>
    <w:rsid w:val="00AC70B1"/>
    <w:rsid w:val="00AC772D"/>
    <w:rsid w:val="00AC7B19"/>
    <w:rsid w:val="00AC7F50"/>
    <w:rsid w:val="00AC7F68"/>
    <w:rsid w:val="00AD00FC"/>
    <w:rsid w:val="00AD0555"/>
    <w:rsid w:val="00AD0CBD"/>
    <w:rsid w:val="00AD121B"/>
    <w:rsid w:val="00AD1664"/>
    <w:rsid w:val="00AD1741"/>
    <w:rsid w:val="00AD1749"/>
    <w:rsid w:val="00AD18BE"/>
    <w:rsid w:val="00AD192C"/>
    <w:rsid w:val="00AD1C82"/>
    <w:rsid w:val="00AD224E"/>
    <w:rsid w:val="00AD254B"/>
    <w:rsid w:val="00AD2C4C"/>
    <w:rsid w:val="00AD344F"/>
    <w:rsid w:val="00AD3B14"/>
    <w:rsid w:val="00AD3F6F"/>
    <w:rsid w:val="00AD4286"/>
    <w:rsid w:val="00AD4A8A"/>
    <w:rsid w:val="00AD4B2E"/>
    <w:rsid w:val="00AD4B4F"/>
    <w:rsid w:val="00AD4C28"/>
    <w:rsid w:val="00AD4E3D"/>
    <w:rsid w:val="00AD5085"/>
    <w:rsid w:val="00AD521F"/>
    <w:rsid w:val="00AD556E"/>
    <w:rsid w:val="00AD59EC"/>
    <w:rsid w:val="00AD5A1B"/>
    <w:rsid w:val="00AD5ACE"/>
    <w:rsid w:val="00AD5C83"/>
    <w:rsid w:val="00AD5D87"/>
    <w:rsid w:val="00AD60D4"/>
    <w:rsid w:val="00AD621C"/>
    <w:rsid w:val="00AD625D"/>
    <w:rsid w:val="00AD649C"/>
    <w:rsid w:val="00AD67D3"/>
    <w:rsid w:val="00AD69D1"/>
    <w:rsid w:val="00AD6C5C"/>
    <w:rsid w:val="00AD7345"/>
    <w:rsid w:val="00AD7B17"/>
    <w:rsid w:val="00AD7DA6"/>
    <w:rsid w:val="00AE0527"/>
    <w:rsid w:val="00AE0949"/>
    <w:rsid w:val="00AE0AB3"/>
    <w:rsid w:val="00AE0ECE"/>
    <w:rsid w:val="00AE113C"/>
    <w:rsid w:val="00AE1663"/>
    <w:rsid w:val="00AE189D"/>
    <w:rsid w:val="00AE1DE3"/>
    <w:rsid w:val="00AE1EA8"/>
    <w:rsid w:val="00AE1FC0"/>
    <w:rsid w:val="00AE204F"/>
    <w:rsid w:val="00AE21AC"/>
    <w:rsid w:val="00AE23BD"/>
    <w:rsid w:val="00AE2892"/>
    <w:rsid w:val="00AE2970"/>
    <w:rsid w:val="00AE2ACB"/>
    <w:rsid w:val="00AE3095"/>
    <w:rsid w:val="00AE30D7"/>
    <w:rsid w:val="00AE3162"/>
    <w:rsid w:val="00AE330A"/>
    <w:rsid w:val="00AE3330"/>
    <w:rsid w:val="00AE3523"/>
    <w:rsid w:val="00AE3690"/>
    <w:rsid w:val="00AE3AB0"/>
    <w:rsid w:val="00AE3DD5"/>
    <w:rsid w:val="00AE3F95"/>
    <w:rsid w:val="00AE4031"/>
    <w:rsid w:val="00AE41CF"/>
    <w:rsid w:val="00AE457A"/>
    <w:rsid w:val="00AE471C"/>
    <w:rsid w:val="00AE4875"/>
    <w:rsid w:val="00AE4DE2"/>
    <w:rsid w:val="00AE5343"/>
    <w:rsid w:val="00AE5825"/>
    <w:rsid w:val="00AE5C39"/>
    <w:rsid w:val="00AE5CF2"/>
    <w:rsid w:val="00AE5DBF"/>
    <w:rsid w:val="00AE62B3"/>
    <w:rsid w:val="00AE6461"/>
    <w:rsid w:val="00AE6819"/>
    <w:rsid w:val="00AE6AB2"/>
    <w:rsid w:val="00AE73A0"/>
    <w:rsid w:val="00AE74C2"/>
    <w:rsid w:val="00AE76A9"/>
    <w:rsid w:val="00AE7A96"/>
    <w:rsid w:val="00AE7BAA"/>
    <w:rsid w:val="00AE7CAE"/>
    <w:rsid w:val="00AF00A3"/>
    <w:rsid w:val="00AF01AC"/>
    <w:rsid w:val="00AF0322"/>
    <w:rsid w:val="00AF033F"/>
    <w:rsid w:val="00AF147C"/>
    <w:rsid w:val="00AF14C9"/>
    <w:rsid w:val="00AF1549"/>
    <w:rsid w:val="00AF15B8"/>
    <w:rsid w:val="00AF1A57"/>
    <w:rsid w:val="00AF1AD6"/>
    <w:rsid w:val="00AF1F37"/>
    <w:rsid w:val="00AF1F6E"/>
    <w:rsid w:val="00AF2042"/>
    <w:rsid w:val="00AF20B2"/>
    <w:rsid w:val="00AF2395"/>
    <w:rsid w:val="00AF29FD"/>
    <w:rsid w:val="00AF2D49"/>
    <w:rsid w:val="00AF3201"/>
    <w:rsid w:val="00AF3322"/>
    <w:rsid w:val="00AF3363"/>
    <w:rsid w:val="00AF3521"/>
    <w:rsid w:val="00AF3898"/>
    <w:rsid w:val="00AF3B06"/>
    <w:rsid w:val="00AF3B2D"/>
    <w:rsid w:val="00AF3BEB"/>
    <w:rsid w:val="00AF3C1E"/>
    <w:rsid w:val="00AF3DB6"/>
    <w:rsid w:val="00AF4030"/>
    <w:rsid w:val="00AF4088"/>
    <w:rsid w:val="00AF4686"/>
    <w:rsid w:val="00AF48A4"/>
    <w:rsid w:val="00AF4C27"/>
    <w:rsid w:val="00AF4D6F"/>
    <w:rsid w:val="00AF500E"/>
    <w:rsid w:val="00AF5766"/>
    <w:rsid w:val="00AF5846"/>
    <w:rsid w:val="00AF5911"/>
    <w:rsid w:val="00AF593B"/>
    <w:rsid w:val="00AF59F5"/>
    <w:rsid w:val="00AF5CA7"/>
    <w:rsid w:val="00AF5CDA"/>
    <w:rsid w:val="00AF5D9F"/>
    <w:rsid w:val="00AF5F06"/>
    <w:rsid w:val="00AF5F98"/>
    <w:rsid w:val="00AF6790"/>
    <w:rsid w:val="00AF6CE3"/>
    <w:rsid w:val="00AF7240"/>
    <w:rsid w:val="00AF7697"/>
    <w:rsid w:val="00AF7869"/>
    <w:rsid w:val="00B002D3"/>
    <w:rsid w:val="00B00508"/>
    <w:rsid w:val="00B006E0"/>
    <w:rsid w:val="00B00CB0"/>
    <w:rsid w:val="00B00F69"/>
    <w:rsid w:val="00B0134B"/>
    <w:rsid w:val="00B01816"/>
    <w:rsid w:val="00B01B0E"/>
    <w:rsid w:val="00B01C33"/>
    <w:rsid w:val="00B01CA1"/>
    <w:rsid w:val="00B01DCE"/>
    <w:rsid w:val="00B0222B"/>
    <w:rsid w:val="00B024B3"/>
    <w:rsid w:val="00B029AE"/>
    <w:rsid w:val="00B02B37"/>
    <w:rsid w:val="00B02E3A"/>
    <w:rsid w:val="00B0336C"/>
    <w:rsid w:val="00B03473"/>
    <w:rsid w:val="00B035DB"/>
    <w:rsid w:val="00B039DF"/>
    <w:rsid w:val="00B0461C"/>
    <w:rsid w:val="00B04A42"/>
    <w:rsid w:val="00B04F91"/>
    <w:rsid w:val="00B04F97"/>
    <w:rsid w:val="00B05035"/>
    <w:rsid w:val="00B05A7F"/>
    <w:rsid w:val="00B05EBB"/>
    <w:rsid w:val="00B05FAF"/>
    <w:rsid w:val="00B06133"/>
    <w:rsid w:val="00B068A3"/>
    <w:rsid w:val="00B06938"/>
    <w:rsid w:val="00B06A69"/>
    <w:rsid w:val="00B06BD8"/>
    <w:rsid w:val="00B06CC3"/>
    <w:rsid w:val="00B07209"/>
    <w:rsid w:val="00B07640"/>
    <w:rsid w:val="00B07671"/>
    <w:rsid w:val="00B07703"/>
    <w:rsid w:val="00B07C34"/>
    <w:rsid w:val="00B10267"/>
    <w:rsid w:val="00B106AC"/>
    <w:rsid w:val="00B107B0"/>
    <w:rsid w:val="00B11115"/>
    <w:rsid w:val="00B11502"/>
    <w:rsid w:val="00B11808"/>
    <w:rsid w:val="00B11CE1"/>
    <w:rsid w:val="00B12014"/>
    <w:rsid w:val="00B1202C"/>
    <w:rsid w:val="00B123AF"/>
    <w:rsid w:val="00B1263B"/>
    <w:rsid w:val="00B1275E"/>
    <w:rsid w:val="00B12990"/>
    <w:rsid w:val="00B12A4B"/>
    <w:rsid w:val="00B1314E"/>
    <w:rsid w:val="00B13410"/>
    <w:rsid w:val="00B136F1"/>
    <w:rsid w:val="00B139CF"/>
    <w:rsid w:val="00B14081"/>
    <w:rsid w:val="00B1420C"/>
    <w:rsid w:val="00B144D0"/>
    <w:rsid w:val="00B14C84"/>
    <w:rsid w:val="00B14DD0"/>
    <w:rsid w:val="00B14F54"/>
    <w:rsid w:val="00B1508E"/>
    <w:rsid w:val="00B15317"/>
    <w:rsid w:val="00B15520"/>
    <w:rsid w:val="00B155E1"/>
    <w:rsid w:val="00B15740"/>
    <w:rsid w:val="00B1574A"/>
    <w:rsid w:val="00B15A89"/>
    <w:rsid w:val="00B15D17"/>
    <w:rsid w:val="00B15F4D"/>
    <w:rsid w:val="00B16441"/>
    <w:rsid w:val="00B16509"/>
    <w:rsid w:val="00B16560"/>
    <w:rsid w:val="00B1668A"/>
    <w:rsid w:val="00B166FB"/>
    <w:rsid w:val="00B167D6"/>
    <w:rsid w:val="00B16E4B"/>
    <w:rsid w:val="00B16F2F"/>
    <w:rsid w:val="00B17531"/>
    <w:rsid w:val="00B1773C"/>
    <w:rsid w:val="00B1779A"/>
    <w:rsid w:val="00B17ABA"/>
    <w:rsid w:val="00B17B11"/>
    <w:rsid w:val="00B200EA"/>
    <w:rsid w:val="00B20134"/>
    <w:rsid w:val="00B201C0"/>
    <w:rsid w:val="00B2031C"/>
    <w:rsid w:val="00B20555"/>
    <w:rsid w:val="00B2085E"/>
    <w:rsid w:val="00B21290"/>
    <w:rsid w:val="00B213BF"/>
    <w:rsid w:val="00B21548"/>
    <w:rsid w:val="00B21FE0"/>
    <w:rsid w:val="00B21FF7"/>
    <w:rsid w:val="00B22101"/>
    <w:rsid w:val="00B223B4"/>
    <w:rsid w:val="00B22893"/>
    <w:rsid w:val="00B23194"/>
    <w:rsid w:val="00B236A4"/>
    <w:rsid w:val="00B236FC"/>
    <w:rsid w:val="00B23851"/>
    <w:rsid w:val="00B23E53"/>
    <w:rsid w:val="00B24321"/>
    <w:rsid w:val="00B24499"/>
    <w:rsid w:val="00B2488E"/>
    <w:rsid w:val="00B24DE9"/>
    <w:rsid w:val="00B252BC"/>
    <w:rsid w:val="00B2530B"/>
    <w:rsid w:val="00B2533D"/>
    <w:rsid w:val="00B2579D"/>
    <w:rsid w:val="00B25B48"/>
    <w:rsid w:val="00B25B57"/>
    <w:rsid w:val="00B26280"/>
    <w:rsid w:val="00B269FA"/>
    <w:rsid w:val="00B27299"/>
    <w:rsid w:val="00B278F6"/>
    <w:rsid w:val="00B27C71"/>
    <w:rsid w:val="00B3023C"/>
    <w:rsid w:val="00B30815"/>
    <w:rsid w:val="00B30DF9"/>
    <w:rsid w:val="00B30F0C"/>
    <w:rsid w:val="00B31111"/>
    <w:rsid w:val="00B31209"/>
    <w:rsid w:val="00B312B1"/>
    <w:rsid w:val="00B3135D"/>
    <w:rsid w:val="00B313A8"/>
    <w:rsid w:val="00B319C5"/>
    <w:rsid w:val="00B320C5"/>
    <w:rsid w:val="00B32275"/>
    <w:rsid w:val="00B32883"/>
    <w:rsid w:val="00B32929"/>
    <w:rsid w:val="00B32BC0"/>
    <w:rsid w:val="00B32D35"/>
    <w:rsid w:val="00B330B3"/>
    <w:rsid w:val="00B330F5"/>
    <w:rsid w:val="00B331CE"/>
    <w:rsid w:val="00B33340"/>
    <w:rsid w:val="00B33844"/>
    <w:rsid w:val="00B338EA"/>
    <w:rsid w:val="00B33B6E"/>
    <w:rsid w:val="00B342D0"/>
    <w:rsid w:val="00B3448E"/>
    <w:rsid w:val="00B351E8"/>
    <w:rsid w:val="00B3563E"/>
    <w:rsid w:val="00B35776"/>
    <w:rsid w:val="00B35A6D"/>
    <w:rsid w:val="00B35C7B"/>
    <w:rsid w:val="00B362AB"/>
    <w:rsid w:val="00B364DD"/>
    <w:rsid w:val="00B3663C"/>
    <w:rsid w:val="00B366F1"/>
    <w:rsid w:val="00B36939"/>
    <w:rsid w:val="00B36C46"/>
    <w:rsid w:val="00B36D5C"/>
    <w:rsid w:val="00B371A5"/>
    <w:rsid w:val="00B37533"/>
    <w:rsid w:val="00B375E6"/>
    <w:rsid w:val="00B37985"/>
    <w:rsid w:val="00B3799D"/>
    <w:rsid w:val="00B37B84"/>
    <w:rsid w:val="00B37F74"/>
    <w:rsid w:val="00B40306"/>
    <w:rsid w:val="00B4051E"/>
    <w:rsid w:val="00B40A80"/>
    <w:rsid w:val="00B40B99"/>
    <w:rsid w:val="00B40D69"/>
    <w:rsid w:val="00B41330"/>
    <w:rsid w:val="00B41529"/>
    <w:rsid w:val="00B416DC"/>
    <w:rsid w:val="00B4180A"/>
    <w:rsid w:val="00B42232"/>
    <w:rsid w:val="00B42513"/>
    <w:rsid w:val="00B42AF6"/>
    <w:rsid w:val="00B42CD3"/>
    <w:rsid w:val="00B42FC3"/>
    <w:rsid w:val="00B433BF"/>
    <w:rsid w:val="00B43790"/>
    <w:rsid w:val="00B43905"/>
    <w:rsid w:val="00B43A7A"/>
    <w:rsid w:val="00B4489E"/>
    <w:rsid w:val="00B44C2B"/>
    <w:rsid w:val="00B44C62"/>
    <w:rsid w:val="00B45694"/>
    <w:rsid w:val="00B45745"/>
    <w:rsid w:val="00B461CB"/>
    <w:rsid w:val="00B464DB"/>
    <w:rsid w:val="00B46A18"/>
    <w:rsid w:val="00B46B74"/>
    <w:rsid w:val="00B47030"/>
    <w:rsid w:val="00B47339"/>
    <w:rsid w:val="00B47710"/>
    <w:rsid w:val="00B47B0E"/>
    <w:rsid w:val="00B47C85"/>
    <w:rsid w:val="00B5065D"/>
    <w:rsid w:val="00B50CE1"/>
    <w:rsid w:val="00B50DF4"/>
    <w:rsid w:val="00B50ED3"/>
    <w:rsid w:val="00B51329"/>
    <w:rsid w:val="00B516B5"/>
    <w:rsid w:val="00B51E18"/>
    <w:rsid w:val="00B51E29"/>
    <w:rsid w:val="00B51F06"/>
    <w:rsid w:val="00B52419"/>
    <w:rsid w:val="00B52B13"/>
    <w:rsid w:val="00B52B62"/>
    <w:rsid w:val="00B52C75"/>
    <w:rsid w:val="00B52D3C"/>
    <w:rsid w:val="00B533BA"/>
    <w:rsid w:val="00B533C7"/>
    <w:rsid w:val="00B5342B"/>
    <w:rsid w:val="00B53459"/>
    <w:rsid w:val="00B53687"/>
    <w:rsid w:val="00B536EA"/>
    <w:rsid w:val="00B53970"/>
    <w:rsid w:val="00B53B2A"/>
    <w:rsid w:val="00B53E7B"/>
    <w:rsid w:val="00B54742"/>
    <w:rsid w:val="00B547F7"/>
    <w:rsid w:val="00B54A15"/>
    <w:rsid w:val="00B552DE"/>
    <w:rsid w:val="00B555BF"/>
    <w:rsid w:val="00B5578C"/>
    <w:rsid w:val="00B55802"/>
    <w:rsid w:val="00B55EE9"/>
    <w:rsid w:val="00B565F9"/>
    <w:rsid w:val="00B567D3"/>
    <w:rsid w:val="00B56C28"/>
    <w:rsid w:val="00B56D2C"/>
    <w:rsid w:val="00B56DD0"/>
    <w:rsid w:val="00B56F2F"/>
    <w:rsid w:val="00B5700E"/>
    <w:rsid w:val="00B5739D"/>
    <w:rsid w:val="00B57996"/>
    <w:rsid w:val="00B579EA"/>
    <w:rsid w:val="00B57C11"/>
    <w:rsid w:val="00B57C2E"/>
    <w:rsid w:val="00B57D9D"/>
    <w:rsid w:val="00B57DBC"/>
    <w:rsid w:val="00B57DCD"/>
    <w:rsid w:val="00B57E4A"/>
    <w:rsid w:val="00B6006B"/>
    <w:rsid w:val="00B60288"/>
    <w:rsid w:val="00B60F34"/>
    <w:rsid w:val="00B61401"/>
    <w:rsid w:val="00B61B27"/>
    <w:rsid w:val="00B61DD1"/>
    <w:rsid w:val="00B62124"/>
    <w:rsid w:val="00B62474"/>
    <w:rsid w:val="00B62E26"/>
    <w:rsid w:val="00B63233"/>
    <w:rsid w:val="00B63AEB"/>
    <w:rsid w:val="00B63F21"/>
    <w:rsid w:val="00B645B7"/>
    <w:rsid w:val="00B64B94"/>
    <w:rsid w:val="00B64D84"/>
    <w:rsid w:val="00B65114"/>
    <w:rsid w:val="00B653A2"/>
    <w:rsid w:val="00B655A6"/>
    <w:rsid w:val="00B656FE"/>
    <w:rsid w:val="00B65A4F"/>
    <w:rsid w:val="00B65C2C"/>
    <w:rsid w:val="00B65FAD"/>
    <w:rsid w:val="00B662E2"/>
    <w:rsid w:val="00B663C2"/>
    <w:rsid w:val="00B664FE"/>
    <w:rsid w:val="00B66CBF"/>
    <w:rsid w:val="00B6744F"/>
    <w:rsid w:val="00B67D14"/>
    <w:rsid w:val="00B67F10"/>
    <w:rsid w:val="00B702D4"/>
    <w:rsid w:val="00B708C3"/>
    <w:rsid w:val="00B7091F"/>
    <w:rsid w:val="00B70981"/>
    <w:rsid w:val="00B70B62"/>
    <w:rsid w:val="00B70E84"/>
    <w:rsid w:val="00B7102C"/>
    <w:rsid w:val="00B715A0"/>
    <w:rsid w:val="00B71BEE"/>
    <w:rsid w:val="00B7248E"/>
    <w:rsid w:val="00B7261A"/>
    <w:rsid w:val="00B72A27"/>
    <w:rsid w:val="00B72A6A"/>
    <w:rsid w:val="00B72C14"/>
    <w:rsid w:val="00B7336B"/>
    <w:rsid w:val="00B73502"/>
    <w:rsid w:val="00B736C4"/>
    <w:rsid w:val="00B73944"/>
    <w:rsid w:val="00B73D24"/>
    <w:rsid w:val="00B74047"/>
    <w:rsid w:val="00B742C6"/>
    <w:rsid w:val="00B743A1"/>
    <w:rsid w:val="00B7463C"/>
    <w:rsid w:val="00B746EA"/>
    <w:rsid w:val="00B74919"/>
    <w:rsid w:val="00B74E9F"/>
    <w:rsid w:val="00B75074"/>
    <w:rsid w:val="00B751EF"/>
    <w:rsid w:val="00B7529C"/>
    <w:rsid w:val="00B7561F"/>
    <w:rsid w:val="00B7588F"/>
    <w:rsid w:val="00B758EA"/>
    <w:rsid w:val="00B75924"/>
    <w:rsid w:val="00B76D50"/>
    <w:rsid w:val="00B76EBB"/>
    <w:rsid w:val="00B76F9F"/>
    <w:rsid w:val="00B77067"/>
    <w:rsid w:val="00B771C2"/>
    <w:rsid w:val="00B77424"/>
    <w:rsid w:val="00B7745C"/>
    <w:rsid w:val="00B77BA9"/>
    <w:rsid w:val="00B77DE4"/>
    <w:rsid w:val="00B77DFD"/>
    <w:rsid w:val="00B803EF"/>
    <w:rsid w:val="00B804E7"/>
    <w:rsid w:val="00B8053B"/>
    <w:rsid w:val="00B809DD"/>
    <w:rsid w:val="00B80AD4"/>
    <w:rsid w:val="00B80DBB"/>
    <w:rsid w:val="00B81025"/>
    <w:rsid w:val="00B81283"/>
    <w:rsid w:val="00B818A4"/>
    <w:rsid w:val="00B81CCD"/>
    <w:rsid w:val="00B81DD6"/>
    <w:rsid w:val="00B8265B"/>
    <w:rsid w:val="00B82F75"/>
    <w:rsid w:val="00B83145"/>
    <w:rsid w:val="00B83175"/>
    <w:rsid w:val="00B837AC"/>
    <w:rsid w:val="00B838CB"/>
    <w:rsid w:val="00B83964"/>
    <w:rsid w:val="00B83AE3"/>
    <w:rsid w:val="00B83E36"/>
    <w:rsid w:val="00B840E9"/>
    <w:rsid w:val="00B8423C"/>
    <w:rsid w:val="00B842AB"/>
    <w:rsid w:val="00B8440A"/>
    <w:rsid w:val="00B84415"/>
    <w:rsid w:val="00B844E3"/>
    <w:rsid w:val="00B85170"/>
    <w:rsid w:val="00B85250"/>
    <w:rsid w:val="00B8555B"/>
    <w:rsid w:val="00B858FF"/>
    <w:rsid w:val="00B85B75"/>
    <w:rsid w:val="00B85E75"/>
    <w:rsid w:val="00B85F45"/>
    <w:rsid w:val="00B8604C"/>
    <w:rsid w:val="00B86666"/>
    <w:rsid w:val="00B86BCC"/>
    <w:rsid w:val="00B86C98"/>
    <w:rsid w:val="00B86E2A"/>
    <w:rsid w:val="00B86F6E"/>
    <w:rsid w:val="00B86FDF"/>
    <w:rsid w:val="00B87098"/>
    <w:rsid w:val="00B87275"/>
    <w:rsid w:val="00B874E0"/>
    <w:rsid w:val="00B876F1"/>
    <w:rsid w:val="00B87AAC"/>
    <w:rsid w:val="00B87E23"/>
    <w:rsid w:val="00B87FE2"/>
    <w:rsid w:val="00B90D57"/>
    <w:rsid w:val="00B9140A"/>
    <w:rsid w:val="00B9149D"/>
    <w:rsid w:val="00B914D4"/>
    <w:rsid w:val="00B917FA"/>
    <w:rsid w:val="00B91BA4"/>
    <w:rsid w:val="00B920BA"/>
    <w:rsid w:val="00B922B4"/>
    <w:rsid w:val="00B9246A"/>
    <w:rsid w:val="00B924F8"/>
    <w:rsid w:val="00B92627"/>
    <w:rsid w:val="00B92895"/>
    <w:rsid w:val="00B92D4C"/>
    <w:rsid w:val="00B93352"/>
    <w:rsid w:val="00B934A0"/>
    <w:rsid w:val="00B93ADE"/>
    <w:rsid w:val="00B93CCA"/>
    <w:rsid w:val="00B93D33"/>
    <w:rsid w:val="00B93DA7"/>
    <w:rsid w:val="00B93EC4"/>
    <w:rsid w:val="00B93F45"/>
    <w:rsid w:val="00B944ED"/>
    <w:rsid w:val="00B946FB"/>
    <w:rsid w:val="00B947D6"/>
    <w:rsid w:val="00B94A1C"/>
    <w:rsid w:val="00B94A59"/>
    <w:rsid w:val="00B94B13"/>
    <w:rsid w:val="00B94BBF"/>
    <w:rsid w:val="00B95055"/>
    <w:rsid w:val="00B95207"/>
    <w:rsid w:val="00B9560C"/>
    <w:rsid w:val="00B958C4"/>
    <w:rsid w:val="00B95A0C"/>
    <w:rsid w:val="00B95A3A"/>
    <w:rsid w:val="00B9684E"/>
    <w:rsid w:val="00B96917"/>
    <w:rsid w:val="00B96AD6"/>
    <w:rsid w:val="00B96E03"/>
    <w:rsid w:val="00B96EB3"/>
    <w:rsid w:val="00B976B0"/>
    <w:rsid w:val="00B9773A"/>
    <w:rsid w:val="00B9795B"/>
    <w:rsid w:val="00B97BF3"/>
    <w:rsid w:val="00B97D8F"/>
    <w:rsid w:val="00BA0098"/>
    <w:rsid w:val="00BA00D5"/>
    <w:rsid w:val="00BA0587"/>
    <w:rsid w:val="00BA1262"/>
    <w:rsid w:val="00BA158B"/>
    <w:rsid w:val="00BA1878"/>
    <w:rsid w:val="00BA19E9"/>
    <w:rsid w:val="00BA29A7"/>
    <w:rsid w:val="00BA2B9E"/>
    <w:rsid w:val="00BA2C5A"/>
    <w:rsid w:val="00BA2F2D"/>
    <w:rsid w:val="00BA2F74"/>
    <w:rsid w:val="00BA31AB"/>
    <w:rsid w:val="00BA31F1"/>
    <w:rsid w:val="00BA333A"/>
    <w:rsid w:val="00BA3434"/>
    <w:rsid w:val="00BA3681"/>
    <w:rsid w:val="00BA39DB"/>
    <w:rsid w:val="00BA3A3C"/>
    <w:rsid w:val="00BA3B69"/>
    <w:rsid w:val="00BA3C31"/>
    <w:rsid w:val="00BA4081"/>
    <w:rsid w:val="00BA4447"/>
    <w:rsid w:val="00BA48A1"/>
    <w:rsid w:val="00BA4A16"/>
    <w:rsid w:val="00BA4CB1"/>
    <w:rsid w:val="00BA534F"/>
    <w:rsid w:val="00BA548F"/>
    <w:rsid w:val="00BA5885"/>
    <w:rsid w:val="00BA673A"/>
    <w:rsid w:val="00BA6B28"/>
    <w:rsid w:val="00BA6CFB"/>
    <w:rsid w:val="00BA6FA0"/>
    <w:rsid w:val="00BA7269"/>
    <w:rsid w:val="00BA790D"/>
    <w:rsid w:val="00BA7BD8"/>
    <w:rsid w:val="00BA7D60"/>
    <w:rsid w:val="00BA7D71"/>
    <w:rsid w:val="00BB0057"/>
    <w:rsid w:val="00BB0143"/>
    <w:rsid w:val="00BB06C0"/>
    <w:rsid w:val="00BB0831"/>
    <w:rsid w:val="00BB1D59"/>
    <w:rsid w:val="00BB1F18"/>
    <w:rsid w:val="00BB2231"/>
    <w:rsid w:val="00BB2394"/>
    <w:rsid w:val="00BB262B"/>
    <w:rsid w:val="00BB2A46"/>
    <w:rsid w:val="00BB2FD2"/>
    <w:rsid w:val="00BB336D"/>
    <w:rsid w:val="00BB3936"/>
    <w:rsid w:val="00BB3C24"/>
    <w:rsid w:val="00BB3D77"/>
    <w:rsid w:val="00BB3FF5"/>
    <w:rsid w:val="00BB4226"/>
    <w:rsid w:val="00BB47B6"/>
    <w:rsid w:val="00BB47D2"/>
    <w:rsid w:val="00BB490D"/>
    <w:rsid w:val="00BB49BF"/>
    <w:rsid w:val="00BB4D7D"/>
    <w:rsid w:val="00BB5228"/>
    <w:rsid w:val="00BB565F"/>
    <w:rsid w:val="00BB59C9"/>
    <w:rsid w:val="00BB5A26"/>
    <w:rsid w:val="00BB5A34"/>
    <w:rsid w:val="00BB5F3D"/>
    <w:rsid w:val="00BB5F83"/>
    <w:rsid w:val="00BB64EB"/>
    <w:rsid w:val="00BB6830"/>
    <w:rsid w:val="00BB6C9F"/>
    <w:rsid w:val="00BB6D1A"/>
    <w:rsid w:val="00BB7181"/>
    <w:rsid w:val="00BB764B"/>
    <w:rsid w:val="00BB7775"/>
    <w:rsid w:val="00BB77D6"/>
    <w:rsid w:val="00BB7F4A"/>
    <w:rsid w:val="00BB7FF8"/>
    <w:rsid w:val="00BC00D9"/>
    <w:rsid w:val="00BC059F"/>
    <w:rsid w:val="00BC09A8"/>
    <w:rsid w:val="00BC0E22"/>
    <w:rsid w:val="00BC10BC"/>
    <w:rsid w:val="00BC1577"/>
    <w:rsid w:val="00BC1ABD"/>
    <w:rsid w:val="00BC1ACF"/>
    <w:rsid w:val="00BC1B2A"/>
    <w:rsid w:val="00BC22BF"/>
    <w:rsid w:val="00BC2805"/>
    <w:rsid w:val="00BC2B48"/>
    <w:rsid w:val="00BC2C93"/>
    <w:rsid w:val="00BC2E97"/>
    <w:rsid w:val="00BC3041"/>
    <w:rsid w:val="00BC349D"/>
    <w:rsid w:val="00BC36E8"/>
    <w:rsid w:val="00BC375B"/>
    <w:rsid w:val="00BC3A5E"/>
    <w:rsid w:val="00BC3B5F"/>
    <w:rsid w:val="00BC3DD1"/>
    <w:rsid w:val="00BC3F9E"/>
    <w:rsid w:val="00BC42A8"/>
    <w:rsid w:val="00BC43B0"/>
    <w:rsid w:val="00BC44CC"/>
    <w:rsid w:val="00BC4CFC"/>
    <w:rsid w:val="00BC50F3"/>
    <w:rsid w:val="00BC5283"/>
    <w:rsid w:val="00BC5818"/>
    <w:rsid w:val="00BC5B30"/>
    <w:rsid w:val="00BC5BA3"/>
    <w:rsid w:val="00BC5D09"/>
    <w:rsid w:val="00BC5F92"/>
    <w:rsid w:val="00BC6362"/>
    <w:rsid w:val="00BC6527"/>
    <w:rsid w:val="00BC6786"/>
    <w:rsid w:val="00BC6CAF"/>
    <w:rsid w:val="00BC78F7"/>
    <w:rsid w:val="00BC7D14"/>
    <w:rsid w:val="00BD06B5"/>
    <w:rsid w:val="00BD06E9"/>
    <w:rsid w:val="00BD0A51"/>
    <w:rsid w:val="00BD0C39"/>
    <w:rsid w:val="00BD1771"/>
    <w:rsid w:val="00BD1966"/>
    <w:rsid w:val="00BD1C56"/>
    <w:rsid w:val="00BD1C6B"/>
    <w:rsid w:val="00BD1E2A"/>
    <w:rsid w:val="00BD23DD"/>
    <w:rsid w:val="00BD242B"/>
    <w:rsid w:val="00BD3034"/>
    <w:rsid w:val="00BD3228"/>
    <w:rsid w:val="00BD40AD"/>
    <w:rsid w:val="00BD4B68"/>
    <w:rsid w:val="00BD4BB2"/>
    <w:rsid w:val="00BD4E64"/>
    <w:rsid w:val="00BD4E97"/>
    <w:rsid w:val="00BD4F95"/>
    <w:rsid w:val="00BD5317"/>
    <w:rsid w:val="00BD538B"/>
    <w:rsid w:val="00BD574D"/>
    <w:rsid w:val="00BD58EF"/>
    <w:rsid w:val="00BD5B16"/>
    <w:rsid w:val="00BD5B3B"/>
    <w:rsid w:val="00BD5EFE"/>
    <w:rsid w:val="00BD6229"/>
    <w:rsid w:val="00BD64EC"/>
    <w:rsid w:val="00BD6741"/>
    <w:rsid w:val="00BD69DB"/>
    <w:rsid w:val="00BD6CBE"/>
    <w:rsid w:val="00BD6D63"/>
    <w:rsid w:val="00BD6D87"/>
    <w:rsid w:val="00BD6E3D"/>
    <w:rsid w:val="00BD72D9"/>
    <w:rsid w:val="00BD74E2"/>
    <w:rsid w:val="00BD774C"/>
    <w:rsid w:val="00BD7AF5"/>
    <w:rsid w:val="00BD7D11"/>
    <w:rsid w:val="00BD7F62"/>
    <w:rsid w:val="00BE05CE"/>
    <w:rsid w:val="00BE06A3"/>
    <w:rsid w:val="00BE0805"/>
    <w:rsid w:val="00BE0941"/>
    <w:rsid w:val="00BE0CE7"/>
    <w:rsid w:val="00BE0D90"/>
    <w:rsid w:val="00BE0F7E"/>
    <w:rsid w:val="00BE17D1"/>
    <w:rsid w:val="00BE1B67"/>
    <w:rsid w:val="00BE1D79"/>
    <w:rsid w:val="00BE215B"/>
    <w:rsid w:val="00BE22EF"/>
    <w:rsid w:val="00BE23BE"/>
    <w:rsid w:val="00BE24E3"/>
    <w:rsid w:val="00BE2849"/>
    <w:rsid w:val="00BE2967"/>
    <w:rsid w:val="00BE2AA4"/>
    <w:rsid w:val="00BE2D50"/>
    <w:rsid w:val="00BE2DDC"/>
    <w:rsid w:val="00BE349B"/>
    <w:rsid w:val="00BE3629"/>
    <w:rsid w:val="00BE3F0C"/>
    <w:rsid w:val="00BE45F9"/>
    <w:rsid w:val="00BE461F"/>
    <w:rsid w:val="00BE4A55"/>
    <w:rsid w:val="00BE4AE2"/>
    <w:rsid w:val="00BE4C80"/>
    <w:rsid w:val="00BE53AA"/>
    <w:rsid w:val="00BE58E1"/>
    <w:rsid w:val="00BE5990"/>
    <w:rsid w:val="00BE5DFF"/>
    <w:rsid w:val="00BE5FFC"/>
    <w:rsid w:val="00BE618B"/>
    <w:rsid w:val="00BE6631"/>
    <w:rsid w:val="00BE67F3"/>
    <w:rsid w:val="00BE74F9"/>
    <w:rsid w:val="00BE7656"/>
    <w:rsid w:val="00BE7952"/>
    <w:rsid w:val="00BE7B53"/>
    <w:rsid w:val="00BE7C13"/>
    <w:rsid w:val="00BE7C6A"/>
    <w:rsid w:val="00BF0180"/>
    <w:rsid w:val="00BF03BE"/>
    <w:rsid w:val="00BF06AD"/>
    <w:rsid w:val="00BF08BE"/>
    <w:rsid w:val="00BF0E9C"/>
    <w:rsid w:val="00BF1081"/>
    <w:rsid w:val="00BF1215"/>
    <w:rsid w:val="00BF195C"/>
    <w:rsid w:val="00BF1F05"/>
    <w:rsid w:val="00BF20AD"/>
    <w:rsid w:val="00BF24F2"/>
    <w:rsid w:val="00BF2BCB"/>
    <w:rsid w:val="00BF3170"/>
    <w:rsid w:val="00BF347D"/>
    <w:rsid w:val="00BF3C4E"/>
    <w:rsid w:val="00BF3F6A"/>
    <w:rsid w:val="00BF3F7B"/>
    <w:rsid w:val="00BF4322"/>
    <w:rsid w:val="00BF530E"/>
    <w:rsid w:val="00BF562E"/>
    <w:rsid w:val="00BF577E"/>
    <w:rsid w:val="00BF5A97"/>
    <w:rsid w:val="00BF6165"/>
    <w:rsid w:val="00BF64A6"/>
    <w:rsid w:val="00BF6728"/>
    <w:rsid w:val="00BF6C4F"/>
    <w:rsid w:val="00BF6FB4"/>
    <w:rsid w:val="00BF70BC"/>
    <w:rsid w:val="00BF73B6"/>
    <w:rsid w:val="00BF73F2"/>
    <w:rsid w:val="00BF74CD"/>
    <w:rsid w:val="00BF792D"/>
    <w:rsid w:val="00BF7C47"/>
    <w:rsid w:val="00BF7D86"/>
    <w:rsid w:val="00BF7F65"/>
    <w:rsid w:val="00C00351"/>
    <w:rsid w:val="00C003E7"/>
    <w:rsid w:val="00C0047E"/>
    <w:rsid w:val="00C0055F"/>
    <w:rsid w:val="00C007CB"/>
    <w:rsid w:val="00C01416"/>
    <w:rsid w:val="00C0147A"/>
    <w:rsid w:val="00C01B89"/>
    <w:rsid w:val="00C01CB4"/>
    <w:rsid w:val="00C02735"/>
    <w:rsid w:val="00C02ABA"/>
    <w:rsid w:val="00C02F2D"/>
    <w:rsid w:val="00C0343E"/>
    <w:rsid w:val="00C03958"/>
    <w:rsid w:val="00C03B73"/>
    <w:rsid w:val="00C03EA3"/>
    <w:rsid w:val="00C03F1C"/>
    <w:rsid w:val="00C042BE"/>
    <w:rsid w:val="00C0448E"/>
    <w:rsid w:val="00C046EA"/>
    <w:rsid w:val="00C04869"/>
    <w:rsid w:val="00C05428"/>
    <w:rsid w:val="00C056AC"/>
    <w:rsid w:val="00C0581F"/>
    <w:rsid w:val="00C05ACA"/>
    <w:rsid w:val="00C05B55"/>
    <w:rsid w:val="00C0609F"/>
    <w:rsid w:val="00C061A9"/>
    <w:rsid w:val="00C0634A"/>
    <w:rsid w:val="00C063D2"/>
    <w:rsid w:val="00C0669D"/>
    <w:rsid w:val="00C066D1"/>
    <w:rsid w:val="00C068EE"/>
    <w:rsid w:val="00C06F38"/>
    <w:rsid w:val="00C07148"/>
    <w:rsid w:val="00C07152"/>
    <w:rsid w:val="00C0721C"/>
    <w:rsid w:val="00C0726D"/>
    <w:rsid w:val="00C072CB"/>
    <w:rsid w:val="00C0794A"/>
    <w:rsid w:val="00C07C8D"/>
    <w:rsid w:val="00C07CAE"/>
    <w:rsid w:val="00C07CB3"/>
    <w:rsid w:val="00C10030"/>
    <w:rsid w:val="00C1005E"/>
    <w:rsid w:val="00C102A1"/>
    <w:rsid w:val="00C108D4"/>
    <w:rsid w:val="00C10D39"/>
    <w:rsid w:val="00C10D4A"/>
    <w:rsid w:val="00C10FA7"/>
    <w:rsid w:val="00C114D9"/>
    <w:rsid w:val="00C11826"/>
    <w:rsid w:val="00C11BCB"/>
    <w:rsid w:val="00C11C2E"/>
    <w:rsid w:val="00C11EDB"/>
    <w:rsid w:val="00C12095"/>
    <w:rsid w:val="00C128C1"/>
    <w:rsid w:val="00C12AB0"/>
    <w:rsid w:val="00C12F42"/>
    <w:rsid w:val="00C13171"/>
    <w:rsid w:val="00C131A4"/>
    <w:rsid w:val="00C1322F"/>
    <w:rsid w:val="00C13323"/>
    <w:rsid w:val="00C1348D"/>
    <w:rsid w:val="00C13813"/>
    <w:rsid w:val="00C138BA"/>
    <w:rsid w:val="00C139E3"/>
    <w:rsid w:val="00C13BE3"/>
    <w:rsid w:val="00C14190"/>
    <w:rsid w:val="00C1444C"/>
    <w:rsid w:val="00C1452A"/>
    <w:rsid w:val="00C1490F"/>
    <w:rsid w:val="00C14D09"/>
    <w:rsid w:val="00C15689"/>
    <w:rsid w:val="00C15E39"/>
    <w:rsid w:val="00C1654A"/>
    <w:rsid w:val="00C16B1C"/>
    <w:rsid w:val="00C17537"/>
    <w:rsid w:val="00C175C6"/>
    <w:rsid w:val="00C17F2F"/>
    <w:rsid w:val="00C2004A"/>
    <w:rsid w:val="00C2019D"/>
    <w:rsid w:val="00C205DA"/>
    <w:rsid w:val="00C2072E"/>
    <w:rsid w:val="00C207B9"/>
    <w:rsid w:val="00C20F12"/>
    <w:rsid w:val="00C20F33"/>
    <w:rsid w:val="00C21236"/>
    <w:rsid w:val="00C218C5"/>
    <w:rsid w:val="00C21A07"/>
    <w:rsid w:val="00C21CD2"/>
    <w:rsid w:val="00C221CC"/>
    <w:rsid w:val="00C2223E"/>
    <w:rsid w:val="00C22505"/>
    <w:rsid w:val="00C225D0"/>
    <w:rsid w:val="00C22761"/>
    <w:rsid w:val="00C22977"/>
    <w:rsid w:val="00C22AAC"/>
    <w:rsid w:val="00C22EFC"/>
    <w:rsid w:val="00C23512"/>
    <w:rsid w:val="00C23907"/>
    <w:rsid w:val="00C23E34"/>
    <w:rsid w:val="00C240D7"/>
    <w:rsid w:val="00C2414A"/>
    <w:rsid w:val="00C24A35"/>
    <w:rsid w:val="00C24C08"/>
    <w:rsid w:val="00C250EE"/>
    <w:rsid w:val="00C255E8"/>
    <w:rsid w:val="00C25D32"/>
    <w:rsid w:val="00C25F85"/>
    <w:rsid w:val="00C2658B"/>
    <w:rsid w:val="00C267FF"/>
    <w:rsid w:val="00C26CB4"/>
    <w:rsid w:val="00C27082"/>
    <w:rsid w:val="00C2730A"/>
    <w:rsid w:val="00C277E1"/>
    <w:rsid w:val="00C27802"/>
    <w:rsid w:val="00C27876"/>
    <w:rsid w:val="00C27C2D"/>
    <w:rsid w:val="00C27F54"/>
    <w:rsid w:val="00C300E2"/>
    <w:rsid w:val="00C30918"/>
    <w:rsid w:val="00C30968"/>
    <w:rsid w:val="00C3096A"/>
    <w:rsid w:val="00C30B39"/>
    <w:rsid w:val="00C3101C"/>
    <w:rsid w:val="00C31417"/>
    <w:rsid w:val="00C314DE"/>
    <w:rsid w:val="00C31841"/>
    <w:rsid w:val="00C31B66"/>
    <w:rsid w:val="00C31E6A"/>
    <w:rsid w:val="00C32470"/>
    <w:rsid w:val="00C32764"/>
    <w:rsid w:val="00C32B73"/>
    <w:rsid w:val="00C32CC1"/>
    <w:rsid w:val="00C32CC6"/>
    <w:rsid w:val="00C32EEC"/>
    <w:rsid w:val="00C3317F"/>
    <w:rsid w:val="00C333FE"/>
    <w:rsid w:val="00C3346B"/>
    <w:rsid w:val="00C33C2E"/>
    <w:rsid w:val="00C33E9B"/>
    <w:rsid w:val="00C34030"/>
    <w:rsid w:val="00C34282"/>
    <w:rsid w:val="00C3440B"/>
    <w:rsid w:val="00C34755"/>
    <w:rsid w:val="00C3494B"/>
    <w:rsid w:val="00C349F9"/>
    <w:rsid w:val="00C34AD9"/>
    <w:rsid w:val="00C350B3"/>
    <w:rsid w:val="00C352D9"/>
    <w:rsid w:val="00C35C93"/>
    <w:rsid w:val="00C35E5C"/>
    <w:rsid w:val="00C360C1"/>
    <w:rsid w:val="00C3688B"/>
    <w:rsid w:val="00C36BD3"/>
    <w:rsid w:val="00C36C58"/>
    <w:rsid w:val="00C36CD2"/>
    <w:rsid w:val="00C37299"/>
    <w:rsid w:val="00C37719"/>
    <w:rsid w:val="00C37896"/>
    <w:rsid w:val="00C37AF1"/>
    <w:rsid w:val="00C37FB0"/>
    <w:rsid w:val="00C4012F"/>
    <w:rsid w:val="00C405A3"/>
    <w:rsid w:val="00C4090D"/>
    <w:rsid w:val="00C40A67"/>
    <w:rsid w:val="00C40D46"/>
    <w:rsid w:val="00C40FA5"/>
    <w:rsid w:val="00C4141D"/>
    <w:rsid w:val="00C416E9"/>
    <w:rsid w:val="00C4184C"/>
    <w:rsid w:val="00C4191B"/>
    <w:rsid w:val="00C41D2C"/>
    <w:rsid w:val="00C41E45"/>
    <w:rsid w:val="00C41E79"/>
    <w:rsid w:val="00C41FE6"/>
    <w:rsid w:val="00C42109"/>
    <w:rsid w:val="00C421FF"/>
    <w:rsid w:val="00C42532"/>
    <w:rsid w:val="00C43288"/>
    <w:rsid w:val="00C435F9"/>
    <w:rsid w:val="00C438C3"/>
    <w:rsid w:val="00C43A15"/>
    <w:rsid w:val="00C43A4D"/>
    <w:rsid w:val="00C43ABF"/>
    <w:rsid w:val="00C43AE5"/>
    <w:rsid w:val="00C43CDC"/>
    <w:rsid w:val="00C448DA"/>
    <w:rsid w:val="00C448F3"/>
    <w:rsid w:val="00C44C69"/>
    <w:rsid w:val="00C44DA2"/>
    <w:rsid w:val="00C44FA6"/>
    <w:rsid w:val="00C450B8"/>
    <w:rsid w:val="00C450C2"/>
    <w:rsid w:val="00C45253"/>
    <w:rsid w:val="00C4561F"/>
    <w:rsid w:val="00C463D2"/>
    <w:rsid w:val="00C4644D"/>
    <w:rsid w:val="00C4689C"/>
    <w:rsid w:val="00C46A5D"/>
    <w:rsid w:val="00C470B2"/>
    <w:rsid w:val="00C477A1"/>
    <w:rsid w:val="00C47840"/>
    <w:rsid w:val="00C501C4"/>
    <w:rsid w:val="00C51ADE"/>
    <w:rsid w:val="00C51BB3"/>
    <w:rsid w:val="00C51CE5"/>
    <w:rsid w:val="00C51F8F"/>
    <w:rsid w:val="00C527A2"/>
    <w:rsid w:val="00C52804"/>
    <w:rsid w:val="00C52B7B"/>
    <w:rsid w:val="00C534B3"/>
    <w:rsid w:val="00C53646"/>
    <w:rsid w:val="00C53879"/>
    <w:rsid w:val="00C53AC7"/>
    <w:rsid w:val="00C53CBB"/>
    <w:rsid w:val="00C5404B"/>
    <w:rsid w:val="00C5421E"/>
    <w:rsid w:val="00C545F5"/>
    <w:rsid w:val="00C54935"/>
    <w:rsid w:val="00C54B86"/>
    <w:rsid w:val="00C54F84"/>
    <w:rsid w:val="00C55616"/>
    <w:rsid w:val="00C55687"/>
    <w:rsid w:val="00C560AE"/>
    <w:rsid w:val="00C5625C"/>
    <w:rsid w:val="00C57438"/>
    <w:rsid w:val="00C578AB"/>
    <w:rsid w:val="00C57A8B"/>
    <w:rsid w:val="00C57B23"/>
    <w:rsid w:val="00C57F2F"/>
    <w:rsid w:val="00C600E4"/>
    <w:rsid w:val="00C60C15"/>
    <w:rsid w:val="00C610DD"/>
    <w:rsid w:val="00C61421"/>
    <w:rsid w:val="00C62542"/>
    <w:rsid w:val="00C629A6"/>
    <w:rsid w:val="00C62ACC"/>
    <w:rsid w:val="00C62DE8"/>
    <w:rsid w:val="00C63266"/>
    <w:rsid w:val="00C63511"/>
    <w:rsid w:val="00C63694"/>
    <w:rsid w:val="00C64E5C"/>
    <w:rsid w:val="00C65C73"/>
    <w:rsid w:val="00C66228"/>
    <w:rsid w:val="00C6629F"/>
    <w:rsid w:val="00C66342"/>
    <w:rsid w:val="00C667F7"/>
    <w:rsid w:val="00C66952"/>
    <w:rsid w:val="00C66AB5"/>
    <w:rsid w:val="00C670E7"/>
    <w:rsid w:val="00C673C4"/>
    <w:rsid w:val="00C6745A"/>
    <w:rsid w:val="00C67F99"/>
    <w:rsid w:val="00C70505"/>
    <w:rsid w:val="00C7061D"/>
    <w:rsid w:val="00C70B51"/>
    <w:rsid w:val="00C70F71"/>
    <w:rsid w:val="00C711AC"/>
    <w:rsid w:val="00C712D3"/>
    <w:rsid w:val="00C714E0"/>
    <w:rsid w:val="00C7183C"/>
    <w:rsid w:val="00C719B5"/>
    <w:rsid w:val="00C71A02"/>
    <w:rsid w:val="00C71D7C"/>
    <w:rsid w:val="00C72374"/>
    <w:rsid w:val="00C7242B"/>
    <w:rsid w:val="00C72662"/>
    <w:rsid w:val="00C72730"/>
    <w:rsid w:val="00C72A12"/>
    <w:rsid w:val="00C72A16"/>
    <w:rsid w:val="00C72DD5"/>
    <w:rsid w:val="00C734A5"/>
    <w:rsid w:val="00C737B1"/>
    <w:rsid w:val="00C739DD"/>
    <w:rsid w:val="00C742A9"/>
    <w:rsid w:val="00C7464C"/>
    <w:rsid w:val="00C74990"/>
    <w:rsid w:val="00C752D8"/>
    <w:rsid w:val="00C7539A"/>
    <w:rsid w:val="00C753D2"/>
    <w:rsid w:val="00C7551F"/>
    <w:rsid w:val="00C75D5C"/>
    <w:rsid w:val="00C75EB9"/>
    <w:rsid w:val="00C7633A"/>
    <w:rsid w:val="00C76890"/>
    <w:rsid w:val="00C771DC"/>
    <w:rsid w:val="00C7779F"/>
    <w:rsid w:val="00C77BB1"/>
    <w:rsid w:val="00C8028C"/>
    <w:rsid w:val="00C80626"/>
    <w:rsid w:val="00C80DE3"/>
    <w:rsid w:val="00C80EDA"/>
    <w:rsid w:val="00C8144A"/>
    <w:rsid w:val="00C8188D"/>
    <w:rsid w:val="00C818D5"/>
    <w:rsid w:val="00C81B65"/>
    <w:rsid w:val="00C81C37"/>
    <w:rsid w:val="00C82449"/>
    <w:rsid w:val="00C8251F"/>
    <w:rsid w:val="00C82831"/>
    <w:rsid w:val="00C8284B"/>
    <w:rsid w:val="00C829A8"/>
    <w:rsid w:val="00C82ACC"/>
    <w:rsid w:val="00C82D53"/>
    <w:rsid w:val="00C83423"/>
    <w:rsid w:val="00C834A4"/>
    <w:rsid w:val="00C834D4"/>
    <w:rsid w:val="00C8390D"/>
    <w:rsid w:val="00C83BD5"/>
    <w:rsid w:val="00C83F3E"/>
    <w:rsid w:val="00C8422B"/>
    <w:rsid w:val="00C845BD"/>
    <w:rsid w:val="00C845F5"/>
    <w:rsid w:val="00C84FB6"/>
    <w:rsid w:val="00C85062"/>
    <w:rsid w:val="00C85197"/>
    <w:rsid w:val="00C85790"/>
    <w:rsid w:val="00C8580A"/>
    <w:rsid w:val="00C85F9E"/>
    <w:rsid w:val="00C86279"/>
    <w:rsid w:val="00C8668A"/>
    <w:rsid w:val="00C86F1E"/>
    <w:rsid w:val="00C86FD8"/>
    <w:rsid w:val="00C8783E"/>
    <w:rsid w:val="00C879B3"/>
    <w:rsid w:val="00C87DAF"/>
    <w:rsid w:val="00C87FCF"/>
    <w:rsid w:val="00C900D7"/>
    <w:rsid w:val="00C900FD"/>
    <w:rsid w:val="00C90C5C"/>
    <w:rsid w:val="00C90FF7"/>
    <w:rsid w:val="00C90FFE"/>
    <w:rsid w:val="00C910DA"/>
    <w:rsid w:val="00C914A4"/>
    <w:rsid w:val="00C9162A"/>
    <w:rsid w:val="00C91A53"/>
    <w:rsid w:val="00C91B31"/>
    <w:rsid w:val="00C91D1E"/>
    <w:rsid w:val="00C92002"/>
    <w:rsid w:val="00C92C8C"/>
    <w:rsid w:val="00C92F14"/>
    <w:rsid w:val="00C930F4"/>
    <w:rsid w:val="00C934D8"/>
    <w:rsid w:val="00C9384A"/>
    <w:rsid w:val="00C9386D"/>
    <w:rsid w:val="00C93EC9"/>
    <w:rsid w:val="00C94E43"/>
    <w:rsid w:val="00C94F82"/>
    <w:rsid w:val="00C9501D"/>
    <w:rsid w:val="00C957D3"/>
    <w:rsid w:val="00C95D94"/>
    <w:rsid w:val="00C95DA6"/>
    <w:rsid w:val="00C9648A"/>
    <w:rsid w:val="00C96A2B"/>
    <w:rsid w:val="00C96CFC"/>
    <w:rsid w:val="00C96DF1"/>
    <w:rsid w:val="00C96EAA"/>
    <w:rsid w:val="00C9711A"/>
    <w:rsid w:val="00C9718B"/>
    <w:rsid w:val="00C9722C"/>
    <w:rsid w:val="00C9737F"/>
    <w:rsid w:val="00C973DE"/>
    <w:rsid w:val="00CA0645"/>
    <w:rsid w:val="00CA0D7B"/>
    <w:rsid w:val="00CA1935"/>
    <w:rsid w:val="00CA1A18"/>
    <w:rsid w:val="00CA226F"/>
    <w:rsid w:val="00CA28F1"/>
    <w:rsid w:val="00CA28F6"/>
    <w:rsid w:val="00CA29F0"/>
    <w:rsid w:val="00CA2F7E"/>
    <w:rsid w:val="00CA3248"/>
    <w:rsid w:val="00CA33C5"/>
    <w:rsid w:val="00CA35A3"/>
    <w:rsid w:val="00CA3A6E"/>
    <w:rsid w:val="00CA3C8D"/>
    <w:rsid w:val="00CA3D02"/>
    <w:rsid w:val="00CA3DC1"/>
    <w:rsid w:val="00CA41A5"/>
    <w:rsid w:val="00CA41D7"/>
    <w:rsid w:val="00CA42D1"/>
    <w:rsid w:val="00CA48F3"/>
    <w:rsid w:val="00CA4C34"/>
    <w:rsid w:val="00CA4FED"/>
    <w:rsid w:val="00CA500C"/>
    <w:rsid w:val="00CA54F6"/>
    <w:rsid w:val="00CA59E6"/>
    <w:rsid w:val="00CA619D"/>
    <w:rsid w:val="00CA64CA"/>
    <w:rsid w:val="00CA6B9D"/>
    <w:rsid w:val="00CA6BB9"/>
    <w:rsid w:val="00CA6DC5"/>
    <w:rsid w:val="00CA7968"/>
    <w:rsid w:val="00CA7AC0"/>
    <w:rsid w:val="00CB0084"/>
    <w:rsid w:val="00CB01CB"/>
    <w:rsid w:val="00CB0362"/>
    <w:rsid w:val="00CB0453"/>
    <w:rsid w:val="00CB04D4"/>
    <w:rsid w:val="00CB0548"/>
    <w:rsid w:val="00CB0649"/>
    <w:rsid w:val="00CB074A"/>
    <w:rsid w:val="00CB0E9F"/>
    <w:rsid w:val="00CB0EF8"/>
    <w:rsid w:val="00CB1344"/>
    <w:rsid w:val="00CB1588"/>
    <w:rsid w:val="00CB1DD9"/>
    <w:rsid w:val="00CB2027"/>
    <w:rsid w:val="00CB20F6"/>
    <w:rsid w:val="00CB22A9"/>
    <w:rsid w:val="00CB2377"/>
    <w:rsid w:val="00CB24C5"/>
    <w:rsid w:val="00CB270B"/>
    <w:rsid w:val="00CB28B2"/>
    <w:rsid w:val="00CB379D"/>
    <w:rsid w:val="00CB3942"/>
    <w:rsid w:val="00CB3A86"/>
    <w:rsid w:val="00CB412D"/>
    <w:rsid w:val="00CB418D"/>
    <w:rsid w:val="00CB4453"/>
    <w:rsid w:val="00CB4898"/>
    <w:rsid w:val="00CB4A36"/>
    <w:rsid w:val="00CB4A8F"/>
    <w:rsid w:val="00CB4DC9"/>
    <w:rsid w:val="00CB5EC0"/>
    <w:rsid w:val="00CB5ED8"/>
    <w:rsid w:val="00CB5F41"/>
    <w:rsid w:val="00CB5FB9"/>
    <w:rsid w:val="00CB66F0"/>
    <w:rsid w:val="00CB6C6D"/>
    <w:rsid w:val="00CB6D1C"/>
    <w:rsid w:val="00CB71A4"/>
    <w:rsid w:val="00CB7725"/>
    <w:rsid w:val="00CB7812"/>
    <w:rsid w:val="00CB7949"/>
    <w:rsid w:val="00CB7C5F"/>
    <w:rsid w:val="00CC004B"/>
    <w:rsid w:val="00CC01C6"/>
    <w:rsid w:val="00CC0384"/>
    <w:rsid w:val="00CC0AA3"/>
    <w:rsid w:val="00CC0DB7"/>
    <w:rsid w:val="00CC0DFA"/>
    <w:rsid w:val="00CC0E1F"/>
    <w:rsid w:val="00CC1180"/>
    <w:rsid w:val="00CC11D4"/>
    <w:rsid w:val="00CC13FF"/>
    <w:rsid w:val="00CC16A9"/>
    <w:rsid w:val="00CC171B"/>
    <w:rsid w:val="00CC174F"/>
    <w:rsid w:val="00CC22F4"/>
    <w:rsid w:val="00CC262D"/>
    <w:rsid w:val="00CC2645"/>
    <w:rsid w:val="00CC2991"/>
    <w:rsid w:val="00CC2C89"/>
    <w:rsid w:val="00CC31DC"/>
    <w:rsid w:val="00CC3360"/>
    <w:rsid w:val="00CC33F2"/>
    <w:rsid w:val="00CC3642"/>
    <w:rsid w:val="00CC3898"/>
    <w:rsid w:val="00CC39B0"/>
    <w:rsid w:val="00CC3A46"/>
    <w:rsid w:val="00CC3CFA"/>
    <w:rsid w:val="00CC3D53"/>
    <w:rsid w:val="00CC4ADF"/>
    <w:rsid w:val="00CC4B0F"/>
    <w:rsid w:val="00CC4D5E"/>
    <w:rsid w:val="00CC55A2"/>
    <w:rsid w:val="00CC5873"/>
    <w:rsid w:val="00CC60FD"/>
    <w:rsid w:val="00CC6986"/>
    <w:rsid w:val="00CC7136"/>
    <w:rsid w:val="00CC7204"/>
    <w:rsid w:val="00CC7331"/>
    <w:rsid w:val="00CC73EC"/>
    <w:rsid w:val="00CC75EF"/>
    <w:rsid w:val="00CC7A6D"/>
    <w:rsid w:val="00CD01C1"/>
    <w:rsid w:val="00CD034D"/>
    <w:rsid w:val="00CD0CB8"/>
    <w:rsid w:val="00CD12EC"/>
    <w:rsid w:val="00CD1541"/>
    <w:rsid w:val="00CD17B0"/>
    <w:rsid w:val="00CD18D1"/>
    <w:rsid w:val="00CD1CF5"/>
    <w:rsid w:val="00CD20D5"/>
    <w:rsid w:val="00CD2685"/>
    <w:rsid w:val="00CD297B"/>
    <w:rsid w:val="00CD29B3"/>
    <w:rsid w:val="00CD2AC9"/>
    <w:rsid w:val="00CD2B8F"/>
    <w:rsid w:val="00CD3EB9"/>
    <w:rsid w:val="00CD4184"/>
    <w:rsid w:val="00CD443A"/>
    <w:rsid w:val="00CD48EA"/>
    <w:rsid w:val="00CD4910"/>
    <w:rsid w:val="00CD49D3"/>
    <w:rsid w:val="00CD52BA"/>
    <w:rsid w:val="00CD5306"/>
    <w:rsid w:val="00CD5603"/>
    <w:rsid w:val="00CD5892"/>
    <w:rsid w:val="00CD5BA9"/>
    <w:rsid w:val="00CD5CDE"/>
    <w:rsid w:val="00CD5FB8"/>
    <w:rsid w:val="00CD6412"/>
    <w:rsid w:val="00CD681F"/>
    <w:rsid w:val="00CD684B"/>
    <w:rsid w:val="00CD6AE1"/>
    <w:rsid w:val="00CD6F38"/>
    <w:rsid w:val="00CD7776"/>
    <w:rsid w:val="00CD7853"/>
    <w:rsid w:val="00CD78EE"/>
    <w:rsid w:val="00CD7CF2"/>
    <w:rsid w:val="00CD7FA0"/>
    <w:rsid w:val="00CE02B5"/>
    <w:rsid w:val="00CE02D5"/>
    <w:rsid w:val="00CE07FC"/>
    <w:rsid w:val="00CE0809"/>
    <w:rsid w:val="00CE08A0"/>
    <w:rsid w:val="00CE0CA8"/>
    <w:rsid w:val="00CE15A7"/>
    <w:rsid w:val="00CE2025"/>
    <w:rsid w:val="00CE204B"/>
    <w:rsid w:val="00CE2BE7"/>
    <w:rsid w:val="00CE2D1A"/>
    <w:rsid w:val="00CE329C"/>
    <w:rsid w:val="00CE358E"/>
    <w:rsid w:val="00CE37E4"/>
    <w:rsid w:val="00CE4267"/>
    <w:rsid w:val="00CE43E6"/>
    <w:rsid w:val="00CE453E"/>
    <w:rsid w:val="00CE45FB"/>
    <w:rsid w:val="00CE4669"/>
    <w:rsid w:val="00CE492B"/>
    <w:rsid w:val="00CE4A9D"/>
    <w:rsid w:val="00CE5CB5"/>
    <w:rsid w:val="00CE61B3"/>
    <w:rsid w:val="00CE6258"/>
    <w:rsid w:val="00CE63F3"/>
    <w:rsid w:val="00CE67C8"/>
    <w:rsid w:val="00CE6925"/>
    <w:rsid w:val="00CE6D8D"/>
    <w:rsid w:val="00CE6DD7"/>
    <w:rsid w:val="00CE6DDC"/>
    <w:rsid w:val="00CE6E15"/>
    <w:rsid w:val="00CE7025"/>
    <w:rsid w:val="00CE7183"/>
    <w:rsid w:val="00CE75B5"/>
    <w:rsid w:val="00CE76C8"/>
    <w:rsid w:val="00CE7837"/>
    <w:rsid w:val="00CE7C0D"/>
    <w:rsid w:val="00CE7C62"/>
    <w:rsid w:val="00CE7DB4"/>
    <w:rsid w:val="00CE7DF3"/>
    <w:rsid w:val="00CE7E8F"/>
    <w:rsid w:val="00CE7F0D"/>
    <w:rsid w:val="00CF00E7"/>
    <w:rsid w:val="00CF045F"/>
    <w:rsid w:val="00CF07DF"/>
    <w:rsid w:val="00CF0B6C"/>
    <w:rsid w:val="00CF106B"/>
    <w:rsid w:val="00CF1336"/>
    <w:rsid w:val="00CF1891"/>
    <w:rsid w:val="00CF19BA"/>
    <w:rsid w:val="00CF1B63"/>
    <w:rsid w:val="00CF1C18"/>
    <w:rsid w:val="00CF215B"/>
    <w:rsid w:val="00CF2181"/>
    <w:rsid w:val="00CF2889"/>
    <w:rsid w:val="00CF288F"/>
    <w:rsid w:val="00CF3144"/>
    <w:rsid w:val="00CF33D1"/>
    <w:rsid w:val="00CF34E9"/>
    <w:rsid w:val="00CF370C"/>
    <w:rsid w:val="00CF394B"/>
    <w:rsid w:val="00CF3EC3"/>
    <w:rsid w:val="00CF4231"/>
    <w:rsid w:val="00CF4FE9"/>
    <w:rsid w:val="00CF5062"/>
    <w:rsid w:val="00CF52F2"/>
    <w:rsid w:val="00CF54BA"/>
    <w:rsid w:val="00CF5680"/>
    <w:rsid w:val="00CF570B"/>
    <w:rsid w:val="00CF57B1"/>
    <w:rsid w:val="00CF58F1"/>
    <w:rsid w:val="00CF5B09"/>
    <w:rsid w:val="00CF5D29"/>
    <w:rsid w:val="00CF5EB9"/>
    <w:rsid w:val="00CF6741"/>
    <w:rsid w:val="00CF6A0C"/>
    <w:rsid w:val="00CF6F7C"/>
    <w:rsid w:val="00CF7B86"/>
    <w:rsid w:val="00CF7D28"/>
    <w:rsid w:val="00CF7E3B"/>
    <w:rsid w:val="00CF7F24"/>
    <w:rsid w:val="00D00145"/>
    <w:rsid w:val="00D00239"/>
    <w:rsid w:val="00D00288"/>
    <w:rsid w:val="00D0068D"/>
    <w:rsid w:val="00D007AC"/>
    <w:rsid w:val="00D00852"/>
    <w:rsid w:val="00D00B6F"/>
    <w:rsid w:val="00D00D6B"/>
    <w:rsid w:val="00D00D8F"/>
    <w:rsid w:val="00D011A8"/>
    <w:rsid w:val="00D01219"/>
    <w:rsid w:val="00D015E4"/>
    <w:rsid w:val="00D018D1"/>
    <w:rsid w:val="00D01B4D"/>
    <w:rsid w:val="00D024D2"/>
    <w:rsid w:val="00D02515"/>
    <w:rsid w:val="00D02B0C"/>
    <w:rsid w:val="00D02C32"/>
    <w:rsid w:val="00D037AB"/>
    <w:rsid w:val="00D038C7"/>
    <w:rsid w:val="00D03C72"/>
    <w:rsid w:val="00D03E68"/>
    <w:rsid w:val="00D048EA"/>
    <w:rsid w:val="00D04AD0"/>
    <w:rsid w:val="00D04B4E"/>
    <w:rsid w:val="00D04C11"/>
    <w:rsid w:val="00D04C88"/>
    <w:rsid w:val="00D04D15"/>
    <w:rsid w:val="00D04E20"/>
    <w:rsid w:val="00D04F73"/>
    <w:rsid w:val="00D05223"/>
    <w:rsid w:val="00D056B1"/>
    <w:rsid w:val="00D05845"/>
    <w:rsid w:val="00D05A2B"/>
    <w:rsid w:val="00D05CD7"/>
    <w:rsid w:val="00D06794"/>
    <w:rsid w:val="00D06E6C"/>
    <w:rsid w:val="00D07191"/>
    <w:rsid w:val="00D071E1"/>
    <w:rsid w:val="00D073B4"/>
    <w:rsid w:val="00D077A6"/>
    <w:rsid w:val="00D07917"/>
    <w:rsid w:val="00D07B56"/>
    <w:rsid w:val="00D07E5A"/>
    <w:rsid w:val="00D102CB"/>
    <w:rsid w:val="00D1051F"/>
    <w:rsid w:val="00D106A2"/>
    <w:rsid w:val="00D10836"/>
    <w:rsid w:val="00D10CF1"/>
    <w:rsid w:val="00D10E48"/>
    <w:rsid w:val="00D11137"/>
    <w:rsid w:val="00D11499"/>
    <w:rsid w:val="00D114FB"/>
    <w:rsid w:val="00D116AC"/>
    <w:rsid w:val="00D11ECC"/>
    <w:rsid w:val="00D11F0D"/>
    <w:rsid w:val="00D11F6C"/>
    <w:rsid w:val="00D1225B"/>
    <w:rsid w:val="00D12373"/>
    <w:rsid w:val="00D1264B"/>
    <w:rsid w:val="00D127C0"/>
    <w:rsid w:val="00D129E7"/>
    <w:rsid w:val="00D12B95"/>
    <w:rsid w:val="00D12D18"/>
    <w:rsid w:val="00D12F70"/>
    <w:rsid w:val="00D130A8"/>
    <w:rsid w:val="00D139C3"/>
    <w:rsid w:val="00D14128"/>
    <w:rsid w:val="00D14625"/>
    <w:rsid w:val="00D14910"/>
    <w:rsid w:val="00D1494D"/>
    <w:rsid w:val="00D14A64"/>
    <w:rsid w:val="00D14B73"/>
    <w:rsid w:val="00D14BDE"/>
    <w:rsid w:val="00D155EC"/>
    <w:rsid w:val="00D15BF1"/>
    <w:rsid w:val="00D15CC4"/>
    <w:rsid w:val="00D16131"/>
    <w:rsid w:val="00D16309"/>
    <w:rsid w:val="00D164CC"/>
    <w:rsid w:val="00D164E5"/>
    <w:rsid w:val="00D16522"/>
    <w:rsid w:val="00D16BD7"/>
    <w:rsid w:val="00D16D91"/>
    <w:rsid w:val="00D16DD5"/>
    <w:rsid w:val="00D17A16"/>
    <w:rsid w:val="00D17BC9"/>
    <w:rsid w:val="00D17C89"/>
    <w:rsid w:val="00D20239"/>
    <w:rsid w:val="00D20362"/>
    <w:rsid w:val="00D2042F"/>
    <w:rsid w:val="00D20541"/>
    <w:rsid w:val="00D205EF"/>
    <w:rsid w:val="00D206F9"/>
    <w:rsid w:val="00D20CB8"/>
    <w:rsid w:val="00D2131F"/>
    <w:rsid w:val="00D2136D"/>
    <w:rsid w:val="00D21454"/>
    <w:rsid w:val="00D21643"/>
    <w:rsid w:val="00D225AF"/>
    <w:rsid w:val="00D227DA"/>
    <w:rsid w:val="00D22808"/>
    <w:rsid w:val="00D2284B"/>
    <w:rsid w:val="00D231BA"/>
    <w:rsid w:val="00D2449F"/>
    <w:rsid w:val="00D24C58"/>
    <w:rsid w:val="00D251E0"/>
    <w:rsid w:val="00D256D4"/>
    <w:rsid w:val="00D25863"/>
    <w:rsid w:val="00D2595F"/>
    <w:rsid w:val="00D25CF7"/>
    <w:rsid w:val="00D2637F"/>
    <w:rsid w:val="00D2660B"/>
    <w:rsid w:val="00D26DED"/>
    <w:rsid w:val="00D26E18"/>
    <w:rsid w:val="00D27019"/>
    <w:rsid w:val="00D274F7"/>
    <w:rsid w:val="00D2751A"/>
    <w:rsid w:val="00D275C4"/>
    <w:rsid w:val="00D277AD"/>
    <w:rsid w:val="00D27B39"/>
    <w:rsid w:val="00D27E6A"/>
    <w:rsid w:val="00D300F7"/>
    <w:rsid w:val="00D30922"/>
    <w:rsid w:val="00D30B51"/>
    <w:rsid w:val="00D30DC8"/>
    <w:rsid w:val="00D3116A"/>
    <w:rsid w:val="00D311E4"/>
    <w:rsid w:val="00D313C3"/>
    <w:rsid w:val="00D3163F"/>
    <w:rsid w:val="00D316EB"/>
    <w:rsid w:val="00D31A8F"/>
    <w:rsid w:val="00D31D94"/>
    <w:rsid w:val="00D32166"/>
    <w:rsid w:val="00D325C0"/>
    <w:rsid w:val="00D32C33"/>
    <w:rsid w:val="00D32C69"/>
    <w:rsid w:val="00D33BB1"/>
    <w:rsid w:val="00D3401B"/>
    <w:rsid w:val="00D347AF"/>
    <w:rsid w:val="00D349B7"/>
    <w:rsid w:val="00D35739"/>
    <w:rsid w:val="00D35749"/>
    <w:rsid w:val="00D35D7F"/>
    <w:rsid w:val="00D36058"/>
    <w:rsid w:val="00D36070"/>
    <w:rsid w:val="00D36178"/>
    <w:rsid w:val="00D36A73"/>
    <w:rsid w:val="00D3738E"/>
    <w:rsid w:val="00D37625"/>
    <w:rsid w:val="00D377D9"/>
    <w:rsid w:val="00D37C87"/>
    <w:rsid w:val="00D4057A"/>
    <w:rsid w:val="00D4061E"/>
    <w:rsid w:val="00D40DCD"/>
    <w:rsid w:val="00D41309"/>
    <w:rsid w:val="00D41365"/>
    <w:rsid w:val="00D4185D"/>
    <w:rsid w:val="00D41936"/>
    <w:rsid w:val="00D41970"/>
    <w:rsid w:val="00D41C20"/>
    <w:rsid w:val="00D41DCC"/>
    <w:rsid w:val="00D42579"/>
    <w:rsid w:val="00D426B6"/>
    <w:rsid w:val="00D4276B"/>
    <w:rsid w:val="00D42952"/>
    <w:rsid w:val="00D42FAB"/>
    <w:rsid w:val="00D43030"/>
    <w:rsid w:val="00D43087"/>
    <w:rsid w:val="00D431EA"/>
    <w:rsid w:val="00D4347E"/>
    <w:rsid w:val="00D4375C"/>
    <w:rsid w:val="00D43F35"/>
    <w:rsid w:val="00D43F46"/>
    <w:rsid w:val="00D4432F"/>
    <w:rsid w:val="00D44345"/>
    <w:rsid w:val="00D44722"/>
    <w:rsid w:val="00D44892"/>
    <w:rsid w:val="00D4496E"/>
    <w:rsid w:val="00D449AB"/>
    <w:rsid w:val="00D44B85"/>
    <w:rsid w:val="00D456CF"/>
    <w:rsid w:val="00D45AB5"/>
    <w:rsid w:val="00D45C0F"/>
    <w:rsid w:val="00D45CED"/>
    <w:rsid w:val="00D45E6A"/>
    <w:rsid w:val="00D4639E"/>
    <w:rsid w:val="00D46408"/>
    <w:rsid w:val="00D46967"/>
    <w:rsid w:val="00D46AB7"/>
    <w:rsid w:val="00D46B86"/>
    <w:rsid w:val="00D46E27"/>
    <w:rsid w:val="00D471FE"/>
    <w:rsid w:val="00D4770D"/>
    <w:rsid w:val="00D478AE"/>
    <w:rsid w:val="00D47F5A"/>
    <w:rsid w:val="00D5010D"/>
    <w:rsid w:val="00D50319"/>
    <w:rsid w:val="00D504B4"/>
    <w:rsid w:val="00D5077F"/>
    <w:rsid w:val="00D50876"/>
    <w:rsid w:val="00D51089"/>
    <w:rsid w:val="00D51765"/>
    <w:rsid w:val="00D51A8B"/>
    <w:rsid w:val="00D51AAC"/>
    <w:rsid w:val="00D51BC7"/>
    <w:rsid w:val="00D51D87"/>
    <w:rsid w:val="00D5218A"/>
    <w:rsid w:val="00D526C6"/>
    <w:rsid w:val="00D527D4"/>
    <w:rsid w:val="00D52978"/>
    <w:rsid w:val="00D52AAB"/>
    <w:rsid w:val="00D5326A"/>
    <w:rsid w:val="00D534BE"/>
    <w:rsid w:val="00D536E5"/>
    <w:rsid w:val="00D537D7"/>
    <w:rsid w:val="00D539A8"/>
    <w:rsid w:val="00D53A56"/>
    <w:rsid w:val="00D53DA0"/>
    <w:rsid w:val="00D53E35"/>
    <w:rsid w:val="00D54272"/>
    <w:rsid w:val="00D546A7"/>
    <w:rsid w:val="00D553D3"/>
    <w:rsid w:val="00D55459"/>
    <w:rsid w:val="00D554EB"/>
    <w:rsid w:val="00D563CF"/>
    <w:rsid w:val="00D56518"/>
    <w:rsid w:val="00D565D7"/>
    <w:rsid w:val="00D56A17"/>
    <w:rsid w:val="00D56A43"/>
    <w:rsid w:val="00D5716E"/>
    <w:rsid w:val="00D571A3"/>
    <w:rsid w:val="00D57447"/>
    <w:rsid w:val="00D57910"/>
    <w:rsid w:val="00D600F5"/>
    <w:rsid w:val="00D603C1"/>
    <w:rsid w:val="00D609CB"/>
    <w:rsid w:val="00D60DA5"/>
    <w:rsid w:val="00D616CE"/>
    <w:rsid w:val="00D61700"/>
    <w:rsid w:val="00D61A76"/>
    <w:rsid w:val="00D61E04"/>
    <w:rsid w:val="00D620E4"/>
    <w:rsid w:val="00D621A0"/>
    <w:rsid w:val="00D623E5"/>
    <w:rsid w:val="00D62A8C"/>
    <w:rsid w:val="00D62D0A"/>
    <w:rsid w:val="00D62D5E"/>
    <w:rsid w:val="00D62DFC"/>
    <w:rsid w:val="00D62F51"/>
    <w:rsid w:val="00D63194"/>
    <w:rsid w:val="00D63200"/>
    <w:rsid w:val="00D6358F"/>
    <w:rsid w:val="00D639C5"/>
    <w:rsid w:val="00D639F6"/>
    <w:rsid w:val="00D63C59"/>
    <w:rsid w:val="00D63D18"/>
    <w:rsid w:val="00D63E9A"/>
    <w:rsid w:val="00D64309"/>
    <w:rsid w:val="00D64587"/>
    <w:rsid w:val="00D64704"/>
    <w:rsid w:val="00D648D5"/>
    <w:rsid w:val="00D65230"/>
    <w:rsid w:val="00D659C5"/>
    <w:rsid w:val="00D65B99"/>
    <w:rsid w:val="00D660CD"/>
    <w:rsid w:val="00D66163"/>
    <w:rsid w:val="00D661B6"/>
    <w:rsid w:val="00D661F3"/>
    <w:rsid w:val="00D66487"/>
    <w:rsid w:val="00D666FC"/>
    <w:rsid w:val="00D66BAF"/>
    <w:rsid w:val="00D66C73"/>
    <w:rsid w:val="00D6787E"/>
    <w:rsid w:val="00D67C20"/>
    <w:rsid w:val="00D67C8B"/>
    <w:rsid w:val="00D67FBB"/>
    <w:rsid w:val="00D70041"/>
    <w:rsid w:val="00D70347"/>
    <w:rsid w:val="00D705DF"/>
    <w:rsid w:val="00D709F0"/>
    <w:rsid w:val="00D70C02"/>
    <w:rsid w:val="00D70C38"/>
    <w:rsid w:val="00D70F0D"/>
    <w:rsid w:val="00D71489"/>
    <w:rsid w:val="00D71E55"/>
    <w:rsid w:val="00D72412"/>
    <w:rsid w:val="00D73350"/>
    <w:rsid w:val="00D735DD"/>
    <w:rsid w:val="00D7393C"/>
    <w:rsid w:val="00D73B0C"/>
    <w:rsid w:val="00D73BEA"/>
    <w:rsid w:val="00D741C4"/>
    <w:rsid w:val="00D7457C"/>
    <w:rsid w:val="00D74992"/>
    <w:rsid w:val="00D75537"/>
    <w:rsid w:val="00D7563D"/>
    <w:rsid w:val="00D75D62"/>
    <w:rsid w:val="00D75F1E"/>
    <w:rsid w:val="00D76239"/>
    <w:rsid w:val="00D76A5C"/>
    <w:rsid w:val="00D76B0D"/>
    <w:rsid w:val="00D76E73"/>
    <w:rsid w:val="00D77308"/>
    <w:rsid w:val="00D774F1"/>
    <w:rsid w:val="00D7787B"/>
    <w:rsid w:val="00D77D9A"/>
    <w:rsid w:val="00D807CF"/>
    <w:rsid w:val="00D80803"/>
    <w:rsid w:val="00D80B0A"/>
    <w:rsid w:val="00D80E03"/>
    <w:rsid w:val="00D80F23"/>
    <w:rsid w:val="00D80FA9"/>
    <w:rsid w:val="00D81906"/>
    <w:rsid w:val="00D81940"/>
    <w:rsid w:val="00D81B5F"/>
    <w:rsid w:val="00D81F13"/>
    <w:rsid w:val="00D82017"/>
    <w:rsid w:val="00D82101"/>
    <w:rsid w:val="00D82A92"/>
    <w:rsid w:val="00D82C34"/>
    <w:rsid w:val="00D83732"/>
    <w:rsid w:val="00D83832"/>
    <w:rsid w:val="00D83E45"/>
    <w:rsid w:val="00D8444D"/>
    <w:rsid w:val="00D84695"/>
    <w:rsid w:val="00D849E4"/>
    <w:rsid w:val="00D84C88"/>
    <w:rsid w:val="00D84CF5"/>
    <w:rsid w:val="00D84DFA"/>
    <w:rsid w:val="00D84EAB"/>
    <w:rsid w:val="00D85264"/>
    <w:rsid w:val="00D852DF"/>
    <w:rsid w:val="00D85405"/>
    <w:rsid w:val="00D8573D"/>
    <w:rsid w:val="00D85C66"/>
    <w:rsid w:val="00D85D19"/>
    <w:rsid w:val="00D85EA2"/>
    <w:rsid w:val="00D86248"/>
    <w:rsid w:val="00D866C0"/>
    <w:rsid w:val="00D867C6"/>
    <w:rsid w:val="00D8692F"/>
    <w:rsid w:val="00D86A3B"/>
    <w:rsid w:val="00D870A4"/>
    <w:rsid w:val="00D8766C"/>
    <w:rsid w:val="00D877B1"/>
    <w:rsid w:val="00D87B5B"/>
    <w:rsid w:val="00D87C22"/>
    <w:rsid w:val="00D87E89"/>
    <w:rsid w:val="00D8AB2D"/>
    <w:rsid w:val="00D9022E"/>
    <w:rsid w:val="00D90414"/>
    <w:rsid w:val="00D9055F"/>
    <w:rsid w:val="00D906EB"/>
    <w:rsid w:val="00D90E71"/>
    <w:rsid w:val="00D91481"/>
    <w:rsid w:val="00D91579"/>
    <w:rsid w:val="00D915BF"/>
    <w:rsid w:val="00D915EF"/>
    <w:rsid w:val="00D91C2D"/>
    <w:rsid w:val="00D92FB8"/>
    <w:rsid w:val="00D930B7"/>
    <w:rsid w:val="00D9329A"/>
    <w:rsid w:val="00D94052"/>
    <w:rsid w:val="00D94325"/>
    <w:rsid w:val="00D9432C"/>
    <w:rsid w:val="00D94551"/>
    <w:rsid w:val="00D945CD"/>
    <w:rsid w:val="00D94754"/>
    <w:rsid w:val="00D9495A"/>
    <w:rsid w:val="00D949E0"/>
    <w:rsid w:val="00D94D34"/>
    <w:rsid w:val="00D95081"/>
    <w:rsid w:val="00D9545B"/>
    <w:rsid w:val="00D956D0"/>
    <w:rsid w:val="00D95B92"/>
    <w:rsid w:val="00D95C07"/>
    <w:rsid w:val="00D9626E"/>
    <w:rsid w:val="00D96C3E"/>
    <w:rsid w:val="00D96F70"/>
    <w:rsid w:val="00D9711B"/>
    <w:rsid w:val="00D97213"/>
    <w:rsid w:val="00D97761"/>
    <w:rsid w:val="00D9791E"/>
    <w:rsid w:val="00DA01B3"/>
    <w:rsid w:val="00DA0848"/>
    <w:rsid w:val="00DA0EED"/>
    <w:rsid w:val="00DA1330"/>
    <w:rsid w:val="00DA15FD"/>
    <w:rsid w:val="00DA1810"/>
    <w:rsid w:val="00DA181A"/>
    <w:rsid w:val="00DA2493"/>
    <w:rsid w:val="00DA24BE"/>
    <w:rsid w:val="00DA286E"/>
    <w:rsid w:val="00DA2951"/>
    <w:rsid w:val="00DA2954"/>
    <w:rsid w:val="00DA3215"/>
    <w:rsid w:val="00DA33EE"/>
    <w:rsid w:val="00DA398D"/>
    <w:rsid w:val="00DA3C5E"/>
    <w:rsid w:val="00DA3E76"/>
    <w:rsid w:val="00DA3F3F"/>
    <w:rsid w:val="00DA415A"/>
    <w:rsid w:val="00DA464D"/>
    <w:rsid w:val="00DA48D7"/>
    <w:rsid w:val="00DA4A3B"/>
    <w:rsid w:val="00DA50EC"/>
    <w:rsid w:val="00DA51B1"/>
    <w:rsid w:val="00DA524D"/>
    <w:rsid w:val="00DA5E32"/>
    <w:rsid w:val="00DA5F4A"/>
    <w:rsid w:val="00DA6445"/>
    <w:rsid w:val="00DA645A"/>
    <w:rsid w:val="00DA674A"/>
    <w:rsid w:val="00DA6A80"/>
    <w:rsid w:val="00DA6CD0"/>
    <w:rsid w:val="00DA6F7E"/>
    <w:rsid w:val="00DA72A6"/>
    <w:rsid w:val="00DA7584"/>
    <w:rsid w:val="00DA767D"/>
    <w:rsid w:val="00DA76E7"/>
    <w:rsid w:val="00DA7720"/>
    <w:rsid w:val="00DA7724"/>
    <w:rsid w:val="00DA781D"/>
    <w:rsid w:val="00DA78FD"/>
    <w:rsid w:val="00DA7D3D"/>
    <w:rsid w:val="00DA7D60"/>
    <w:rsid w:val="00DA7DEE"/>
    <w:rsid w:val="00DB01BF"/>
    <w:rsid w:val="00DB11BE"/>
    <w:rsid w:val="00DB13C4"/>
    <w:rsid w:val="00DB15E2"/>
    <w:rsid w:val="00DB1703"/>
    <w:rsid w:val="00DB1A76"/>
    <w:rsid w:val="00DB1DD4"/>
    <w:rsid w:val="00DB229E"/>
    <w:rsid w:val="00DB25E3"/>
    <w:rsid w:val="00DB25F5"/>
    <w:rsid w:val="00DB2B0E"/>
    <w:rsid w:val="00DB2DEB"/>
    <w:rsid w:val="00DB328E"/>
    <w:rsid w:val="00DB32D5"/>
    <w:rsid w:val="00DB363F"/>
    <w:rsid w:val="00DB3779"/>
    <w:rsid w:val="00DB385F"/>
    <w:rsid w:val="00DB3A10"/>
    <w:rsid w:val="00DB3C51"/>
    <w:rsid w:val="00DB440F"/>
    <w:rsid w:val="00DB444F"/>
    <w:rsid w:val="00DB46F4"/>
    <w:rsid w:val="00DB4CC5"/>
    <w:rsid w:val="00DB4DCF"/>
    <w:rsid w:val="00DB4F7A"/>
    <w:rsid w:val="00DB5EAC"/>
    <w:rsid w:val="00DB5FF8"/>
    <w:rsid w:val="00DB6569"/>
    <w:rsid w:val="00DB6EB1"/>
    <w:rsid w:val="00DB7486"/>
    <w:rsid w:val="00DB7998"/>
    <w:rsid w:val="00DB7E2D"/>
    <w:rsid w:val="00DB7EB9"/>
    <w:rsid w:val="00DC0091"/>
    <w:rsid w:val="00DC05B9"/>
    <w:rsid w:val="00DC0F82"/>
    <w:rsid w:val="00DC1916"/>
    <w:rsid w:val="00DC1A20"/>
    <w:rsid w:val="00DC1C51"/>
    <w:rsid w:val="00DC1D98"/>
    <w:rsid w:val="00DC1EA3"/>
    <w:rsid w:val="00DC1F80"/>
    <w:rsid w:val="00DC2318"/>
    <w:rsid w:val="00DC2353"/>
    <w:rsid w:val="00DC350F"/>
    <w:rsid w:val="00DC3708"/>
    <w:rsid w:val="00DC3B36"/>
    <w:rsid w:val="00DC3D63"/>
    <w:rsid w:val="00DC3F68"/>
    <w:rsid w:val="00DC430C"/>
    <w:rsid w:val="00DC4903"/>
    <w:rsid w:val="00DC4ABD"/>
    <w:rsid w:val="00DC515C"/>
    <w:rsid w:val="00DC51A2"/>
    <w:rsid w:val="00DC56FB"/>
    <w:rsid w:val="00DC6111"/>
    <w:rsid w:val="00DC626A"/>
    <w:rsid w:val="00DC66BC"/>
    <w:rsid w:val="00DC6E57"/>
    <w:rsid w:val="00DC70D5"/>
    <w:rsid w:val="00DC711C"/>
    <w:rsid w:val="00DC7252"/>
    <w:rsid w:val="00DC7370"/>
    <w:rsid w:val="00DC73DB"/>
    <w:rsid w:val="00DC7458"/>
    <w:rsid w:val="00DC74A3"/>
    <w:rsid w:val="00DC7871"/>
    <w:rsid w:val="00DC7D20"/>
    <w:rsid w:val="00DC7E25"/>
    <w:rsid w:val="00DD03B1"/>
    <w:rsid w:val="00DD0532"/>
    <w:rsid w:val="00DD0BAA"/>
    <w:rsid w:val="00DD1198"/>
    <w:rsid w:val="00DD1430"/>
    <w:rsid w:val="00DD1B96"/>
    <w:rsid w:val="00DD1BD5"/>
    <w:rsid w:val="00DD1EC5"/>
    <w:rsid w:val="00DD1FC6"/>
    <w:rsid w:val="00DD224B"/>
    <w:rsid w:val="00DD226A"/>
    <w:rsid w:val="00DD2695"/>
    <w:rsid w:val="00DD27B4"/>
    <w:rsid w:val="00DD2A49"/>
    <w:rsid w:val="00DD2BE1"/>
    <w:rsid w:val="00DD302A"/>
    <w:rsid w:val="00DD3441"/>
    <w:rsid w:val="00DD344E"/>
    <w:rsid w:val="00DD38F3"/>
    <w:rsid w:val="00DD3F01"/>
    <w:rsid w:val="00DD4D4B"/>
    <w:rsid w:val="00DD540F"/>
    <w:rsid w:val="00DD5428"/>
    <w:rsid w:val="00DD5A07"/>
    <w:rsid w:val="00DD6389"/>
    <w:rsid w:val="00DD63C1"/>
    <w:rsid w:val="00DD687D"/>
    <w:rsid w:val="00DD6A1B"/>
    <w:rsid w:val="00DD73EB"/>
    <w:rsid w:val="00DD76A0"/>
    <w:rsid w:val="00DD79CF"/>
    <w:rsid w:val="00DD7E1A"/>
    <w:rsid w:val="00DE0688"/>
    <w:rsid w:val="00DE0E6A"/>
    <w:rsid w:val="00DE114D"/>
    <w:rsid w:val="00DE220C"/>
    <w:rsid w:val="00DE2743"/>
    <w:rsid w:val="00DE2755"/>
    <w:rsid w:val="00DE2D9D"/>
    <w:rsid w:val="00DE3352"/>
    <w:rsid w:val="00DE35D1"/>
    <w:rsid w:val="00DE39C8"/>
    <w:rsid w:val="00DE407E"/>
    <w:rsid w:val="00DE4835"/>
    <w:rsid w:val="00DE4973"/>
    <w:rsid w:val="00DE49B3"/>
    <w:rsid w:val="00DE4A5F"/>
    <w:rsid w:val="00DE4AFC"/>
    <w:rsid w:val="00DE5164"/>
    <w:rsid w:val="00DE5288"/>
    <w:rsid w:val="00DE5377"/>
    <w:rsid w:val="00DE5794"/>
    <w:rsid w:val="00DE612C"/>
    <w:rsid w:val="00DE61BA"/>
    <w:rsid w:val="00DE6270"/>
    <w:rsid w:val="00DE64D9"/>
    <w:rsid w:val="00DE6997"/>
    <w:rsid w:val="00DE69B6"/>
    <w:rsid w:val="00DE6AF7"/>
    <w:rsid w:val="00DE6FB4"/>
    <w:rsid w:val="00DE721F"/>
    <w:rsid w:val="00DE7314"/>
    <w:rsid w:val="00DE7356"/>
    <w:rsid w:val="00DE7BA8"/>
    <w:rsid w:val="00DF06CA"/>
    <w:rsid w:val="00DF106E"/>
    <w:rsid w:val="00DF10FF"/>
    <w:rsid w:val="00DF12DE"/>
    <w:rsid w:val="00DF14C7"/>
    <w:rsid w:val="00DF1B9A"/>
    <w:rsid w:val="00DF1F11"/>
    <w:rsid w:val="00DF1F4C"/>
    <w:rsid w:val="00DF204C"/>
    <w:rsid w:val="00DF21A8"/>
    <w:rsid w:val="00DF2912"/>
    <w:rsid w:val="00DF2EA4"/>
    <w:rsid w:val="00DF2F3F"/>
    <w:rsid w:val="00DF3260"/>
    <w:rsid w:val="00DF366E"/>
    <w:rsid w:val="00DF3856"/>
    <w:rsid w:val="00DF3871"/>
    <w:rsid w:val="00DF3F14"/>
    <w:rsid w:val="00DF3F18"/>
    <w:rsid w:val="00DF3FD7"/>
    <w:rsid w:val="00DF407F"/>
    <w:rsid w:val="00DF41A2"/>
    <w:rsid w:val="00DF523D"/>
    <w:rsid w:val="00DF5CB1"/>
    <w:rsid w:val="00DF653C"/>
    <w:rsid w:val="00DF656D"/>
    <w:rsid w:val="00DF67D4"/>
    <w:rsid w:val="00DF6939"/>
    <w:rsid w:val="00DF6F5B"/>
    <w:rsid w:val="00DF71E6"/>
    <w:rsid w:val="00DF72BF"/>
    <w:rsid w:val="00DF77FC"/>
    <w:rsid w:val="00DF79E2"/>
    <w:rsid w:val="00DF7EB1"/>
    <w:rsid w:val="00E002C9"/>
    <w:rsid w:val="00E00E45"/>
    <w:rsid w:val="00E011B1"/>
    <w:rsid w:val="00E011FB"/>
    <w:rsid w:val="00E014EE"/>
    <w:rsid w:val="00E0195B"/>
    <w:rsid w:val="00E019B0"/>
    <w:rsid w:val="00E01B9D"/>
    <w:rsid w:val="00E02F0B"/>
    <w:rsid w:val="00E03212"/>
    <w:rsid w:val="00E03276"/>
    <w:rsid w:val="00E036EA"/>
    <w:rsid w:val="00E037CE"/>
    <w:rsid w:val="00E03896"/>
    <w:rsid w:val="00E039C2"/>
    <w:rsid w:val="00E03A2A"/>
    <w:rsid w:val="00E03CFB"/>
    <w:rsid w:val="00E03DA3"/>
    <w:rsid w:val="00E03FF5"/>
    <w:rsid w:val="00E0417B"/>
    <w:rsid w:val="00E041E6"/>
    <w:rsid w:val="00E044D1"/>
    <w:rsid w:val="00E04868"/>
    <w:rsid w:val="00E049B5"/>
    <w:rsid w:val="00E04DD3"/>
    <w:rsid w:val="00E04F01"/>
    <w:rsid w:val="00E05BE4"/>
    <w:rsid w:val="00E05E93"/>
    <w:rsid w:val="00E060ED"/>
    <w:rsid w:val="00E0649C"/>
    <w:rsid w:val="00E0688F"/>
    <w:rsid w:val="00E06940"/>
    <w:rsid w:val="00E06A99"/>
    <w:rsid w:val="00E06B2D"/>
    <w:rsid w:val="00E0751F"/>
    <w:rsid w:val="00E10034"/>
    <w:rsid w:val="00E10265"/>
    <w:rsid w:val="00E10413"/>
    <w:rsid w:val="00E109FE"/>
    <w:rsid w:val="00E10AA3"/>
    <w:rsid w:val="00E111EA"/>
    <w:rsid w:val="00E1189A"/>
    <w:rsid w:val="00E11AE1"/>
    <w:rsid w:val="00E11F28"/>
    <w:rsid w:val="00E12121"/>
    <w:rsid w:val="00E1213E"/>
    <w:rsid w:val="00E12153"/>
    <w:rsid w:val="00E1218E"/>
    <w:rsid w:val="00E121D6"/>
    <w:rsid w:val="00E1274A"/>
    <w:rsid w:val="00E12871"/>
    <w:rsid w:val="00E128D5"/>
    <w:rsid w:val="00E12E04"/>
    <w:rsid w:val="00E12F5E"/>
    <w:rsid w:val="00E12F8A"/>
    <w:rsid w:val="00E132A0"/>
    <w:rsid w:val="00E135BC"/>
    <w:rsid w:val="00E139EE"/>
    <w:rsid w:val="00E13B0C"/>
    <w:rsid w:val="00E13DBC"/>
    <w:rsid w:val="00E14009"/>
    <w:rsid w:val="00E14734"/>
    <w:rsid w:val="00E14A16"/>
    <w:rsid w:val="00E14DF2"/>
    <w:rsid w:val="00E14E52"/>
    <w:rsid w:val="00E150CC"/>
    <w:rsid w:val="00E15396"/>
    <w:rsid w:val="00E15457"/>
    <w:rsid w:val="00E158F0"/>
    <w:rsid w:val="00E15CFF"/>
    <w:rsid w:val="00E15F72"/>
    <w:rsid w:val="00E16222"/>
    <w:rsid w:val="00E16B8D"/>
    <w:rsid w:val="00E1746E"/>
    <w:rsid w:val="00E17985"/>
    <w:rsid w:val="00E17AA6"/>
    <w:rsid w:val="00E17AF7"/>
    <w:rsid w:val="00E17E51"/>
    <w:rsid w:val="00E17F82"/>
    <w:rsid w:val="00E20172"/>
    <w:rsid w:val="00E20373"/>
    <w:rsid w:val="00E20571"/>
    <w:rsid w:val="00E20811"/>
    <w:rsid w:val="00E209DE"/>
    <w:rsid w:val="00E20B6D"/>
    <w:rsid w:val="00E20BDC"/>
    <w:rsid w:val="00E20BEE"/>
    <w:rsid w:val="00E2122E"/>
    <w:rsid w:val="00E216F6"/>
    <w:rsid w:val="00E21856"/>
    <w:rsid w:val="00E22238"/>
    <w:rsid w:val="00E22760"/>
    <w:rsid w:val="00E2280D"/>
    <w:rsid w:val="00E22DD5"/>
    <w:rsid w:val="00E22FEF"/>
    <w:rsid w:val="00E2318F"/>
    <w:rsid w:val="00E238FD"/>
    <w:rsid w:val="00E23C08"/>
    <w:rsid w:val="00E23F27"/>
    <w:rsid w:val="00E240D8"/>
    <w:rsid w:val="00E241BD"/>
    <w:rsid w:val="00E2428D"/>
    <w:rsid w:val="00E24FDB"/>
    <w:rsid w:val="00E250E8"/>
    <w:rsid w:val="00E259FB"/>
    <w:rsid w:val="00E25E68"/>
    <w:rsid w:val="00E25EEB"/>
    <w:rsid w:val="00E26A3C"/>
    <w:rsid w:val="00E27461"/>
    <w:rsid w:val="00E2758E"/>
    <w:rsid w:val="00E277EC"/>
    <w:rsid w:val="00E27AB3"/>
    <w:rsid w:val="00E27BA5"/>
    <w:rsid w:val="00E30114"/>
    <w:rsid w:val="00E3013B"/>
    <w:rsid w:val="00E30193"/>
    <w:rsid w:val="00E30221"/>
    <w:rsid w:val="00E30304"/>
    <w:rsid w:val="00E3036A"/>
    <w:rsid w:val="00E306C9"/>
    <w:rsid w:val="00E309C0"/>
    <w:rsid w:val="00E30BD7"/>
    <w:rsid w:val="00E3149B"/>
    <w:rsid w:val="00E3171B"/>
    <w:rsid w:val="00E319CD"/>
    <w:rsid w:val="00E31A45"/>
    <w:rsid w:val="00E31C51"/>
    <w:rsid w:val="00E31C94"/>
    <w:rsid w:val="00E321AE"/>
    <w:rsid w:val="00E325C7"/>
    <w:rsid w:val="00E3274C"/>
    <w:rsid w:val="00E32947"/>
    <w:rsid w:val="00E32BC7"/>
    <w:rsid w:val="00E32EED"/>
    <w:rsid w:val="00E338AD"/>
    <w:rsid w:val="00E342D7"/>
    <w:rsid w:val="00E3497F"/>
    <w:rsid w:val="00E34FE0"/>
    <w:rsid w:val="00E35BBF"/>
    <w:rsid w:val="00E35EEF"/>
    <w:rsid w:val="00E36948"/>
    <w:rsid w:val="00E36C2E"/>
    <w:rsid w:val="00E36CDB"/>
    <w:rsid w:val="00E37140"/>
    <w:rsid w:val="00E37461"/>
    <w:rsid w:val="00E37502"/>
    <w:rsid w:val="00E375C5"/>
    <w:rsid w:val="00E37BC0"/>
    <w:rsid w:val="00E37E86"/>
    <w:rsid w:val="00E37F6C"/>
    <w:rsid w:val="00E40227"/>
    <w:rsid w:val="00E40337"/>
    <w:rsid w:val="00E408EB"/>
    <w:rsid w:val="00E4095B"/>
    <w:rsid w:val="00E40C31"/>
    <w:rsid w:val="00E4102A"/>
    <w:rsid w:val="00E4108D"/>
    <w:rsid w:val="00E411A4"/>
    <w:rsid w:val="00E4138C"/>
    <w:rsid w:val="00E413ED"/>
    <w:rsid w:val="00E4186D"/>
    <w:rsid w:val="00E421EA"/>
    <w:rsid w:val="00E423FC"/>
    <w:rsid w:val="00E4283E"/>
    <w:rsid w:val="00E42A77"/>
    <w:rsid w:val="00E42CF9"/>
    <w:rsid w:val="00E4300D"/>
    <w:rsid w:val="00E433B1"/>
    <w:rsid w:val="00E43706"/>
    <w:rsid w:val="00E437FE"/>
    <w:rsid w:val="00E43F4B"/>
    <w:rsid w:val="00E441B5"/>
    <w:rsid w:val="00E444D3"/>
    <w:rsid w:val="00E4484D"/>
    <w:rsid w:val="00E44BF7"/>
    <w:rsid w:val="00E44C18"/>
    <w:rsid w:val="00E45172"/>
    <w:rsid w:val="00E453CD"/>
    <w:rsid w:val="00E453FF"/>
    <w:rsid w:val="00E456E0"/>
    <w:rsid w:val="00E45AB2"/>
    <w:rsid w:val="00E45E1D"/>
    <w:rsid w:val="00E45ED6"/>
    <w:rsid w:val="00E46635"/>
    <w:rsid w:val="00E46C21"/>
    <w:rsid w:val="00E4709E"/>
    <w:rsid w:val="00E47801"/>
    <w:rsid w:val="00E47A40"/>
    <w:rsid w:val="00E47BE6"/>
    <w:rsid w:val="00E47BEC"/>
    <w:rsid w:val="00E500D8"/>
    <w:rsid w:val="00E50977"/>
    <w:rsid w:val="00E50B73"/>
    <w:rsid w:val="00E50CB4"/>
    <w:rsid w:val="00E514B3"/>
    <w:rsid w:val="00E518AB"/>
    <w:rsid w:val="00E51995"/>
    <w:rsid w:val="00E519AA"/>
    <w:rsid w:val="00E51ACE"/>
    <w:rsid w:val="00E51C82"/>
    <w:rsid w:val="00E51CC8"/>
    <w:rsid w:val="00E51FF7"/>
    <w:rsid w:val="00E521AD"/>
    <w:rsid w:val="00E52201"/>
    <w:rsid w:val="00E527FE"/>
    <w:rsid w:val="00E5284E"/>
    <w:rsid w:val="00E5298B"/>
    <w:rsid w:val="00E52A59"/>
    <w:rsid w:val="00E52B08"/>
    <w:rsid w:val="00E52B7F"/>
    <w:rsid w:val="00E53128"/>
    <w:rsid w:val="00E53186"/>
    <w:rsid w:val="00E53242"/>
    <w:rsid w:val="00E53705"/>
    <w:rsid w:val="00E538F5"/>
    <w:rsid w:val="00E53B15"/>
    <w:rsid w:val="00E53CB0"/>
    <w:rsid w:val="00E53DCD"/>
    <w:rsid w:val="00E53ED6"/>
    <w:rsid w:val="00E54B03"/>
    <w:rsid w:val="00E55762"/>
    <w:rsid w:val="00E5593D"/>
    <w:rsid w:val="00E5595C"/>
    <w:rsid w:val="00E55990"/>
    <w:rsid w:val="00E55A40"/>
    <w:rsid w:val="00E55AAD"/>
    <w:rsid w:val="00E55B9D"/>
    <w:rsid w:val="00E56052"/>
    <w:rsid w:val="00E5657F"/>
    <w:rsid w:val="00E56660"/>
    <w:rsid w:val="00E56866"/>
    <w:rsid w:val="00E56921"/>
    <w:rsid w:val="00E569B7"/>
    <w:rsid w:val="00E56A02"/>
    <w:rsid w:val="00E56DF2"/>
    <w:rsid w:val="00E571A6"/>
    <w:rsid w:val="00E57482"/>
    <w:rsid w:val="00E576AB"/>
    <w:rsid w:val="00E577C4"/>
    <w:rsid w:val="00E57983"/>
    <w:rsid w:val="00E601E4"/>
    <w:rsid w:val="00E60469"/>
    <w:rsid w:val="00E60694"/>
    <w:rsid w:val="00E60807"/>
    <w:rsid w:val="00E60EF6"/>
    <w:rsid w:val="00E60F28"/>
    <w:rsid w:val="00E61094"/>
    <w:rsid w:val="00E61D5F"/>
    <w:rsid w:val="00E61E87"/>
    <w:rsid w:val="00E62043"/>
    <w:rsid w:val="00E62154"/>
    <w:rsid w:val="00E624F7"/>
    <w:rsid w:val="00E62A35"/>
    <w:rsid w:val="00E63299"/>
    <w:rsid w:val="00E6332D"/>
    <w:rsid w:val="00E6334D"/>
    <w:rsid w:val="00E63435"/>
    <w:rsid w:val="00E6352A"/>
    <w:rsid w:val="00E6373A"/>
    <w:rsid w:val="00E63D8F"/>
    <w:rsid w:val="00E6410A"/>
    <w:rsid w:val="00E64411"/>
    <w:rsid w:val="00E64454"/>
    <w:rsid w:val="00E645FA"/>
    <w:rsid w:val="00E6469E"/>
    <w:rsid w:val="00E64ABF"/>
    <w:rsid w:val="00E64DC0"/>
    <w:rsid w:val="00E64F26"/>
    <w:rsid w:val="00E650A7"/>
    <w:rsid w:val="00E65126"/>
    <w:rsid w:val="00E65306"/>
    <w:rsid w:val="00E655A2"/>
    <w:rsid w:val="00E65BB6"/>
    <w:rsid w:val="00E65FDF"/>
    <w:rsid w:val="00E6612B"/>
    <w:rsid w:val="00E6635B"/>
    <w:rsid w:val="00E664C4"/>
    <w:rsid w:val="00E6651B"/>
    <w:rsid w:val="00E66673"/>
    <w:rsid w:val="00E666C7"/>
    <w:rsid w:val="00E66716"/>
    <w:rsid w:val="00E668D6"/>
    <w:rsid w:val="00E66D20"/>
    <w:rsid w:val="00E66E24"/>
    <w:rsid w:val="00E66EB4"/>
    <w:rsid w:val="00E670AB"/>
    <w:rsid w:val="00E673E7"/>
    <w:rsid w:val="00E675A9"/>
    <w:rsid w:val="00E67C8E"/>
    <w:rsid w:val="00E70518"/>
    <w:rsid w:val="00E705D4"/>
    <w:rsid w:val="00E707D3"/>
    <w:rsid w:val="00E70918"/>
    <w:rsid w:val="00E70B91"/>
    <w:rsid w:val="00E70DAA"/>
    <w:rsid w:val="00E70E99"/>
    <w:rsid w:val="00E7107A"/>
    <w:rsid w:val="00E71243"/>
    <w:rsid w:val="00E71492"/>
    <w:rsid w:val="00E7151E"/>
    <w:rsid w:val="00E7180D"/>
    <w:rsid w:val="00E71828"/>
    <w:rsid w:val="00E71B93"/>
    <w:rsid w:val="00E72771"/>
    <w:rsid w:val="00E7278D"/>
    <w:rsid w:val="00E72C37"/>
    <w:rsid w:val="00E72D1A"/>
    <w:rsid w:val="00E72EC1"/>
    <w:rsid w:val="00E72F1B"/>
    <w:rsid w:val="00E7307E"/>
    <w:rsid w:val="00E73513"/>
    <w:rsid w:val="00E73A8C"/>
    <w:rsid w:val="00E73E0B"/>
    <w:rsid w:val="00E73F34"/>
    <w:rsid w:val="00E7415F"/>
    <w:rsid w:val="00E741C9"/>
    <w:rsid w:val="00E74624"/>
    <w:rsid w:val="00E75B88"/>
    <w:rsid w:val="00E76318"/>
    <w:rsid w:val="00E7637C"/>
    <w:rsid w:val="00E76C3F"/>
    <w:rsid w:val="00E77602"/>
    <w:rsid w:val="00E777C9"/>
    <w:rsid w:val="00E77E0F"/>
    <w:rsid w:val="00E77E98"/>
    <w:rsid w:val="00E80108"/>
    <w:rsid w:val="00E8027A"/>
    <w:rsid w:val="00E80414"/>
    <w:rsid w:val="00E806A4"/>
    <w:rsid w:val="00E806E4"/>
    <w:rsid w:val="00E807D3"/>
    <w:rsid w:val="00E80A2B"/>
    <w:rsid w:val="00E80AD1"/>
    <w:rsid w:val="00E80CAB"/>
    <w:rsid w:val="00E80E96"/>
    <w:rsid w:val="00E80ECD"/>
    <w:rsid w:val="00E812B7"/>
    <w:rsid w:val="00E814E1"/>
    <w:rsid w:val="00E815A8"/>
    <w:rsid w:val="00E81907"/>
    <w:rsid w:val="00E82089"/>
    <w:rsid w:val="00E825B5"/>
    <w:rsid w:val="00E828ED"/>
    <w:rsid w:val="00E83237"/>
    <w:rsid w:val="00E832B6"/>
    <w:rsid w:val="00E8333E"/>
    <w:rsid w:val="00E83D59"/>
    <w:rsid w:val="00E83FC9"/>
    <w:rsid w:val="00E840D0"/>
    <w:rsid w:val="00E841D6"/>
    <w:rsid w:val="00E8454F"/>
    <w:rsid w:val="00E84730"/>
    <w:rsid w:val="00E847EA"/>
    <w:rsid w:val="00E84F22"/>
    <w:rsid w:val="00E85222"/>
    <w:rsid w:val="00E85EE2"/>
    <w:rsid w:val="00E85FB0"/>
    <w:rsid w:val="00E864A4"/>
    <w:rsid w:val="00E8670E"/>
    <w:rsid w:val="00E86A0F"/>
    <w:rsid w:val="00E86DF6"/>
    <w:rsid w:val="00E876E4"/>
    <w:rsid w:val="00E87864"/>
    <w:rsid w:val="00E87DE5"/>
    <w:rsid w:val="00E906B6"/>
    <w:rsid w:val="00E90CFB"/>
    <w:rsid w:val="00E90DB1"/>
    <w:rsid w:val="00E90DC2"/>
    <w:rsid w:val="00E90E4F"/>
    <w:rsid w:val="00E9111B"/>
    <w:rsid w:val="00E913A2"/>
    <w:rsid w:val="00E91A25"/>
    <w:rsid w:val="00E91A9B"/>
    <w:rsid w:val="00E91E49"/>
    <w:rsid w:val="00E91FBE"/>
    <w:rsid w:val="00E92592"/>
    <w:rsid w:val="00E925C1"/>
    <w:rsid w:val="00E925FF"/>
    <w:rsid w:val="00E92AAA"/>
    <w:rsid w:val="00E92B37"/>
    <w:rsid w:val="00E92BF0"/>
    <w:rsid w:val="00E92BFD"/>
    <w:rsid w:val="00E92C46"/>
    <w:rsid w:val="00E932AE"/>
    <w:rsid w:val="00E932DC"/>
    <w:rsid w:val="00E93352"/>
    <w:rsid w:val="00E93D3F"/>
    <w:rsid w:val="00E93EA9"/>
    <w:rsid w:val="00E94869"/>
    <w:rsid w:val="00E94A62"/>
    <w:rsid w:val="00E94EA0"/>
    <w:rsid w:val="00E94EDF"/>
    <w:rsid w:val="00E9516C"/>
    <w:rsid w:val="00E96475"/>
    <w:rsid w:val="00E96603"/>
    <w:rsid w:val="00E9680F"/>
    <w:rsid w:val="00E96A89"/>
    <w:rsid w:val="00E96D6B"/>
    <w:rsid w:val="00E9705D"/>
    <w:rsid w:val="00E97163"/>
    <w:rsid w:val="00E976A1"/>
    <w:rsid w:val="00E97780"/>
    <w:rsid w:val="00E97928"/>
    <w:rsid w:val="00E9798C"/>
    <w:rsid w:val="00E97A0B"/>
    <w:rsid w:val="00E97C1C"/>
    <w:rsid w:val="00EA0271"/>
    <w:rsid w:val="00EA04BA"/>
    <w:rsid w:val="00EA0681"/>
    <w:rsid w:val="00EA0694"/>
    <w:rsid w:val="00EA06F3"/>
    <w:rsid w:val="00EA08DC"/>
    <w:rsid w:val="00EA0AED"/>
    <w:rsid w:val="00EA0CF7"/>
    <w:rsid w:val="00EA0D41"/>
    <w:rsid w:val="00EA12C4"/>
    <w:rsid w:val="00EA12D3"/>
    <w:rsid w:val="00EA1616"/>
    <w:rsid w:val="00EA1BBB"/>
    <w:rsid w:val="00EA1D3D"/>
    <w:rsid w:val="00EA20D7"/>
    <w:rsid w:val="00EA2340"/>
    <w:rsid w:val="00EA274B"/>
    <w:rsid w:val="00EA2C8D"/>
    <w:rsid w:val="00EA2E2A"/>
    <w:rsid w:val="00EA31FD"/>
    <w:rsid w:val="00EA339E"/>
    <w:rsid w:val="00EA33FD"/>
    <w:rsid w:val="00EA3827"/>
    <w:rsid w:val="00EA3CBC"/>
    <w:rsid w:val="00EA3EB1"/>
    <w:rsid w:val="00EA3F62"/>
    <w:rsid w:val="00EA52D6"/>
    <w:rsid w:val="00EA59EF"/>
    <w:rsid w:val="00EA5BBF"/>
    <w:rsid w:val="00EA5C50"/>
    <w:rsid w:val="00EA5CB2"/>
    <w:rsid w:val="00EA5EC2"/>
    <w:rsid w:val="00EA5F18"/>
    <w:rsid w:val="00EA68EC"/>
    <w:rsid w:val="00EA6B5E"/>
    <w:rsid w:val="00EA74B7"/>
    <w:rsid w:val="00EA7777"/>
    <w:rsid w:val="00EA7F2E"/>
    <w:rsid w:val="00EB06CC"/>
    <w:rsid w:val="00EB092F"/>
    <w:rsid w:val="00EB0BE9"/>
    <w:rsid w:val="00EB0E80"/>
    <w:rsid w:val="00EB15A0"/>
    <w:rsid w:val="00EB183A"/>
    <w:rsid w:val="00EB18EC"/>
    <w:rsid w:val="00EB197B"/>
    <w:rsid w:val="00EB19DB"/>
    <w:rsid w:val="00EB2141"/>
    <w:rsid w:val="00EB2244"/>
    <w:rsid w:val="00EB229C"/>
    <w:rsid w:val="00EB24D2"/>
    <w:rsid w:val="00EB26F2"/>
    <w:rsid w:val="00EB337F"/>
    <w:rsid w:val="00EB36C1"/>
    <w:rsid w:val="00EB3D26"/>
    <w:rsid w:val="00EB40DF"/>
    <w:rsid w:val="00EB415B"/>
    <w:rsid w:val="00EB4AD1"/>
    <w:rsid w:val="00EB4CE0"/>
    <w:rsid w:val="00EB4E8A"/>
    <w:rsid w:val="00EB5114"/>
    <w:rsid w:val="00EB55FD"/>
    <w:rsid w:val="00EB574A"/>
    <w:rsid w:val="00EB585B"/>
    <w:rsid w:val="00EB63F8"/>
    <w:rsid w:val="00EB656D"/>
    <w:rsid w:val="00EB765F"/>
    <w:rsid w:val="00EB7727"/>
    <w:rsid w:val="00EB7CC0"/>
    <w:rsid w:val="00EB7D28"/>
    <w:rsid w:val="00EC0599"/>
    <w:rsid w:val="00EC05BE"/>
    <w:rsid w:val="00EC0705"/>
    <w:rsid w:val="00EC0898"/>
    <w:rsid w:val="00EC0DC7"/>
    <w:rsid w:val="00EC0EFC"/>
    <w:rsid w:val="00EC10DC"/>
    <w:rsid w:val="00EC10E0"/>
    <w:rsid w:val="00EC12FE"/>
    <w:rsid w:val="00EC2271"/>
    <w:rsid w:val="00EC2790"/>
    <w:rsid w:val="00EC29D1"/>
    <w:rsid w:val="00EC2AD6"/>
    <w:rsid w:val="00EC2B81"/>
    <w:rsid w:val="00EC33AB"/>
    <w:rsid w:val="00EC33B9"/>
    <w:rsid w:val="00EC36F9"/>
    <w:rsid w:val="00EC374C"/>
    <w:rsid w:val="00EC3B75"/>
    <w:rsid w:val="00EC3CF2"/>
    <w:rsid w:val="00EC3E99"/>
    <w:rsid w:val="00EC3EA1"/>
    <w:rsid w:val="00EC3F7B"/>
    <w:rsid w:val="00EC405D"/>
    <w:rsid w:val="00EC4070"/>
    <w:rsid w:val="00EC41F6"/>
    <w:rsid w:val="00EC45B8"/>
    <w:rsid w:val="00EC47D0"/>
    <w:rsid w:val="00EC49B0"/>
    <w:rsid w:val="00EC4B1B"/>
    <w:rsid w:val="00EC4D65"/>
    <w:rsid w:val="00EC4D99"/>
    <w:rsid w:val="00EC4EED"/>
    <w:rsid w:val="00EC55E2"/>
    <w:rsid w:val="00EC5AC2"/>
    <w:rsid w:val="00EC5BC3"/>
    <w:rsid w:val="00EC5E61"/>
    <w:rsid w:val="00EC6E43"/>
    <w:rsid w:val="00EC741F"/>
    <w:rsid w:val="00EC7422"/>
    <w:rsid w:val="00EC7720"/>
    <w:rsid w:val="00EC773A"/>
    <w:rsid w:val="00EC778A"/>
    <w:rsid w:val="00EC7FC9"/>
    <w:rsid w:val="00EC7FF1"/>
    <w:rsid w:val="00ED002F"/>
    <w:rsid w:val="00ED05AA"/>
    <w:rsid w:val="00ED0B88"/>
    <w:rsid w:val="00ED0C20"/>
    <w:rsid w:val="00ED101C"/>
    <w:rsid w:val="00ED112A"/>
    <w:rsid w:val="00ED174A"/>
    <w:rsid w:val="00ED17A1"/>
    <w:rsid w:val="00ED188B"/>
    <w:rsid w:val="00ED18CE"/>
    <w:rsid w:val="00ED1A26"/>
    <w:rsid w:val="00ED2020"/>
    <w:rsid w:val="00ED2898"/>
    <w:rsid w:val="00ED2D52"/>
    <w:rsid w:val="00ED32B2"/>
    <w:rsid w:val="00ED4772"/>
    <w:rsid w:val="00ED496E"/>
    <w:rsid w:val="00ED497E"/>
    <w:rsid w:val="00ED4AC1"/>
    <w:rsid w:val="00ED512D"/>
    <w:rsid w:val="00ED5231"/>
    <w:rsid w:val="00ED5395"/>
    <w:rsid w:val="00ED5BCC"/>
    <w:rsid w:val="00ED5BEF"/>
    <w:rsid w:val="00ED5EDC"/>
    <w:rsid w:val="00ED639B"/>
    <w:rsid w:val="00ED6449"/>
    <w:rsid w:val="00ED6569"/>
    <w:rsid w:val="00ED65C2"/>
    <w:rsid w:val="00ED65D5"/>
    <w:rsid w:val="00ED67B1"/>
    <w:rsid w:val="00ED682C"/>
    <w:rsid w:val="00ED6A8B"/>
    <w:rsid w:val="00ED7298"/>
    <w:rsid w:val="00ED738F"/>
    <w:rsid w:val="00ED745B"/>
    <w:rsid w:val="00ED76A7"/>
    <w:rsid w:val="00ED77CC"/>
    <w:rsid w:val="00ED7972"/>
    <w:rsid w:val="00ED79B3"/>
    <w:rsid w:val="00ED7C01"/>
    <w:rsid w:val="00ED7FD3"/>
    <w:rsid w:val="00EE0156"/>
    <w:rsid w:val="00EE0360"/>
    <w:rsid w:val="00EE0B32"/>
    <w:rsid w:val="00EE0D33"/>
    <w:rsid w:val="00EE0F37"/>
    <w:rsid w:val="00EE17DB"/>
    <w:rsid w:val="00EE1863"/>
    <w:rsid w:val="00EE1C74"/>
    <w:rsid w:val="00EE1C7D"/>
    <w:rsid w:val="00EE2902"/>
    <w:rsid w:val="00EE29FA"/>
    <w:rsid w:val="00EE2E3E"/>
    <w:rsid w:val="00EE367A"/>
    <w:rsid w:val="00EE3F8C"/>
    <w:rsid w:val="00EE4425"/>
    <w:rsid w:val="00EE4687"/>
    <w:rsid w:val="00EE481E"/>
    <w:rsid w:val="00EE486A"/>
    <w:rsid w:val="00EE49E2"/>
    <w:rsid w:val="00EE4C37"/>
    <w:rsid w:val="00EE4CE4"/>
    <w:rsid w:val="00EE4D31"/>
    <w:rsid w:val="00EE50BD"/>
    <w:rsid w:val="00EE5490"/>
    <w:rsid w:val="00EE5D40"/>
    <w:rsid w:val="00EE6774"/>
    <w:rsid w:val="00EE6BF4"/>
    <w:rsid w:val="00EE6C4E"/>
    <w:rsid w:val="00EE6DB4"/>
    <w:rsid w:val="00EE6EC4"/>
    <w:rsid w:val="00EE6F72"/>
    <w:rsid w:val="00EE7966"/>
    <w:rsid w:val="00EE7FB6"/>
    <w:rsid w:val="00EF09A8"/>
    <w:rsid w:val="00EF0B3F"/>
    <w:rsid w:val="00EF0D12"/>
    <w:rsid w:val="00EF0E17"/>
    <w:rsid w:val="00EF0FBE"/>
    <w:rsid w:val="00EF1645"/>
    <w:rsid w:val="00EF16FE"/>
    <w:rsid w:val="00EF1C37"/>
    <w:rsid w:val="00EF1FE4"/>
    <w:rsid w:val="00EF2392"/>
    <w:rsid w:val="00EF2542"/>
    <w:rsid w:val="00EF2A62"/>
    <w:rsid w:val="00EF2D50"/>
    <w:rsid w:val="00EF2E14"/>
    <w:rsid w:val="00EF31FE"/>
    <w:rsid w:val="00EF320E"/>
    <w:rsid w:val="00EF34D6"/>
    <w:rsid w:val="00EF35D9"/>
    <w:rsid w:val="00EF37C3"/>
    <w:rsid w:val="00EF38F6"/>
    <w:rsid w:val="00EF3AFA"/>
    <w:rsid w:val="00EF45EF"/>
    <w:rsid w:val="00EF4DF3"/>
    <w:rsid w:val="00EF5094"/>
    <w:rsid w:val="00EF519B"/>
    <w:rsid w:val="00EF54B8"/>
    <w:rsid w:val="00EF55A6"/>
    <w:rsid w:val="00EF5738"/>
    <w:rsid w:val="00EF5ACB"/>
    <w:rsid w:val="00EF5B03"/>
    <w:rsid w:val="00EF5BA5"/>
    <w:rsid w:val="00EF631A"/>
    <w:rsid w:val="00EF636C"/>
    <w:rsid w:val="00EF63D2"/>
    <w:rsid w:val="00EF663B"/>
    <w:rsid w:val="00EF6757"/>
    <w:rsid w:val="00EF697B"/>
    <w:rsid w:val="00EF6BD1"/>
    <w:rsid w:val="00EF6F74"/>
    <w:rsid w:val="00EF70F0"/>
    <w:rsid w:val="00EF724D"/>
    <w:rsid w:val="00EF76F1"/>
    <w:rsid w:val="00EF7826"/>
    <w:rsid w:val="00EF7A63"/>
    <w:rsid w:val="00EF7C08"/>
    <w:rsid w:val="00F001D5"/>
    <w:rsid w:val="00F00206"/>
    <w:rsid w:val="00F0029C"/>
    <w:rsid w:val="00F003C7"/>
    <w:rsid w:val="00F00605"/>
    <w:rsid w:val="00F00642"/>
    <w:rsid w:val="00F0080F"/>
    <w:rsid w:val="00F00B1B"/>
    <w:rsid w:val="00F00DF3"/>
    <w:rsid w:val="00F010EE"/>
    <w:rsid w:val="00F01860"/>
    <w:rsid w:val="00F01873"/>
    <w:rsid w:val="00F01C39"/>
    <w:rsid w:val="00F01E61"/>
    <w:rsid w:val="00F01FED"/>
    <w:rsid w:val="00F0219D"/>
    <w:rsid w:val="00F02389"/>
    <w:rsid w:val="00F0259C"/>
    <w:rsid w:val="00F02824"/>
    <w:rsid w:val="00F0299C"/>
    <w:rsid w:val="00F02DB3"/>
    <w:rsid w:val="00F034BF"/>
    <w:rsid w:val="00F035D4"/>
    <w:rsid w:val="00F035F3"/>
    <w:rsid w:val="00F0378C"/>
    <w:rsid w:val="00F03B2C"/>
    <w:rsid w:val="00F03D53"/>
    <w:rsid w:val="00F03D82"/>
    <w:rsid w:val="00F041C4"/>
    <w:rsid w:val="00F042B7"/>
    <w:rsid w:val="00F04409"/>
    <w:rsid w:val="00F048D1"/>
    <w:rsid w:val="00F04B7D"/>
    <w:rsid w:val="00F052AB"/>
    <w:rsid w:val="00F05B25"/>
    <w:rsid w:val="00F05E80"/>
    <w:rsid w:val="00F05F4F"/>
    <w:rsid w:val="00F05F8F"/>
    <w:rsid w:val="00F0602B"/>
    <w:rsid w:val="00F06084"/>
    <w:rsid w:val="00F064BD"/>
    <w:rsid w:val="00F065F6"/>
    <w:rsid w:val="00F07030"/>
    <w:rsid w:val="00F070D0"/>
    <w:rsid w:val="00F0746C"/>
    <w:rsid w:val="00F075D7"/>
    <w:rsid w:val="00F0779F"/>
    <w:rsid w:val="00F07852"/>
    <w:rsid w:val="00F07A35"/>
    <w:rsid w:val="00F07F84"/>
    <w:rsid w:val="00F100D1"/>
    <w:rsid w:val="00F10264"/>
    <w:rsid w:val="00F108FF"/>
    <w:rsid w:val="00F10A21"/>
    <w:rsid w:val="00F10A62"/>
    <w:rsid w:val="00F10A6C"/>
    <w:rsid w:val="00F10D29"/>
    <w:rsid w:val="00F10E1D"/>
    <w:rsid w:val="00F10F02"/>
    <w:rsid w:val="00F10FE2"/>
    <w:rsid w:val="00F117E1"/>
    <w:rsid w:val="00F11899"/>
    <w:rsid w:val="00F118C1"/>
    <w:rsid w:val="00F11CE2"/>
    <w:rsid w:val="00F11F0C"/>
    <w:rsid w:val="00F12140"/>
    <w:rsid w:val="00F12A09"/>
    <w:rsid w:val="00F12FBC"/>
    <w:rsid w:val="00F1300F"/>
    <w:rsid w:val="00F130FD"/>
    <w:rsid w:val="00F13221"/>
    <w:rsid w:val="00F1331C"/>
    <w:rsid w:val="00F13378"/>
    <w:rsid w:val="00F1342D"/>
    <w:rsid w:val="00F13F7E"/>
    <w:rsid w:val="00F14081"/>
    <w:rsid w:val="00F1435D"/>
    <w:rsid w:val="00F144B7"/>
    <w:rsid w:val="00F14570"/>
    <w:rsid w:val="00F148FD"/>
    <w:rsid w:val="00F14B52"/>
    <w:rsid w:val="00F14C5C"/>
    <w:rsid w:val="00F14D15"/>
    <w:rsid w:val="00F15498"/>
    <w:rsid w:val="00F1552B"/>
    <w:rsid w:val="00F156F5"/>
    <w:rsid w:val="00F15A15"/>
    <w:rsid w:val="00F15C7E"/>
    <w:rsid w:val="00F15D10"/>
    <w:rsid w:val="00F15DE5"/>
    <w:rsid w:val="00F16423"/>
    <w:rsid w:val="00F1682F"/>
    <w:rsid w:val="00F16853"/>
    <w:rsid w:val="00F16C3E"/>
    <w:rsid w:val="00F1764A"/>
    <w:rsid w:val="00F177E9"/>
    <w:rsid w:val="00F178A1"/>
    <w:rsid w:val="00F17B78"/>
    <w:rsid w:val="00F17BFD"/>
    <w:rsid w:val="00F20031"/>
    <w:rsid w:val="00F2037D"/>
    <w:rsid w:val="00F20535"/>
    <w:rsid w:val="00F20A1D"/>
    <w:rsid w:val="00F20A83"/>
    <w:rsid w:val="00F20AA4"/>
    <w:rsid w:val="00F20D10"/>
    <w:rsid w:val="00F20EDD"/>
    <w:rsid w:val="00F213E2"/>
    <w:rsid w:val="00F21B23"/>
    <w:rsid w:val="00F21E1C"/>
    <w:rsid w:val="00F21F69"/>
    <w:rsid w:val="00F22067"/>
    <w:rsid w:val="00F2221F"/>
    <w:rsid w:val="00F226CC"/>
    <w:rsid w:val="00F22979"/>
    <w:rsid w:val="00F22E3D"/>
    <w:rsid w:val="00F22FFA"/>
    <w:rsid w:val="00F23103"/>
    <w:rsid w:val="00F23B5E"/>
    <w:rsid w:val="00F24346"/>
    <w:rsid w:val="00F2442B"/>
    <w:rsid w:val="00F24503"/>
    <w:rsid w:val="00F2479D"/>
    <w:rsid w:val="00F248C9"/>
    <w:rsid w:val="00F24A7C"/>
    <w:rsid w:val="00F24C6A"/>
    <w:rsid w:val="00F2526E"/>
    <w:rsid w:val="00F25641"/>
    <w:rsid w:val="00F25945"/>
    <w:rsid w:val="00F25C96"/>
    <w:rsid w:val="00F25EBF"/>
    <w:rsid w:val="00F25EFC"/>
    <w:rsid w:val="00F25F8D"/>
    <w:rsid w:val="00F26176"/>
    <w:rsid w:val="00F2634E"/>
    <w:rsid w:val="00F264BE"/>
    <w:rsid w:val="00F26D06"/>
    <w:rsid w:val="00F26E80"/>
    <w:rsid w:val="00F2707B"/>
    <w:rsid w:val="00F27A70"/>
    <w:rsid w:val="00F27D34"/>
    <w:rsid w:val="00F27FA2"/>
    <w:rsid w:val="00F305DC"/>
    <w:rsid w:val="00F30BDB"/>
    <w:rsid w:val="00F30E20"/>
    <w:rsid w:val="00F313C7"/>
    <w:rsid w:val="00F315AB"/>
    <w:rsid w:val="00F31778"/>
    <w:rsid w:val="00F31AB4"/>
    <w:rsid w:val="00F31C4D"/>
    <w:rsid w:val="00F31EBE"/>
    <w:rsid w:val="00F3257F"/>
    <w:rsid w:val="00F326CA"/>
    <w:rsid w:val="00F32A67"/>
    <w:rsid w:val="00F33A77"/>
    <w:rsid w:val="00F33C7F"/>
    <w:rsid w:val="00F34250"/>
    <w:rsid w:val="00F34365"/>
    <w:rsid w:val="00F347E4"/>
    <w:rsid w:val="00F34AFC"/>
    <w:rsid w:val="00F34CCD"/>
    <w:rsid w:val="00F3548F"/>
    <w:rsid w:val="00F356E9"/>
    <w:rsid w:val="00F3597D"/>
    <w:rsid w:val="00F35CD3"/>
    <w:rsid w:val="00F35FC5"/>
    <w:rsid w:val="00F36442"/>
    <w:rsid w:val="00F367EE"/>
    <w:rsid w:val="00F37651"/>
    <w:rsid w:val="00F3772C"/>
    <w:rsid w:val="00F37D66"/>
    <w:rsid w:val="00F37FDD"/>
    <w:rsid w:val="00F40101"/>
    <w:rsid w:val="00F4083A"/>
    <w:rsid w:val="00F41565"/>
    <w:rsid w:val="00F41D89"/>
    <w:rsid w:val="00F42130"/>
    <w:rsid w:val="00F42277"/>
    <w:rsid w:val="00F429EC"/>
    <w:rsid w:val="00F42AEE"/>
    <w:rsid w:val="00F42DF7"/>
    <w:rsid w:val="00F42E56"/>
    <w:rsid w:val="00F42F67"/>
    <w:rsid w:val="00F430EF"/>
    <w:rsid w:val="00F43698"/>
    <w:rsid w:val="00F43B46"/>
    <w:rsid w:val="00F43B7D"/>
    <w:rsid w:val="00F43C1F"/>
    <w:rsid w:val="00F43CD9"/>
    <w:rsid w:val="00F43D44"/>
    <w:rsid w:val="00F43DCA"/>
    <w:rsid w:val="00F4400C"/>
    <w:rsid w:val="00F441C9"/>
    <w:rsid w:val="00F44666"/>
    <w:rsid w:val="00F4489B"/>
    <w:rsid w:val="00F450BC"/>
    <w:rsid w:val="00F4518F"/>
    <w:rsid w:val="00F454E8"/>
    <w:rsid w:val="00F45AD2"/>
    <w:rsid w:val="00F45DBE"/>
    <w:rsid w:val="00F4622C"/>
    <w:rsid w:val="00F4652B"/>
    <w:rsid w:val="00F4653D"/>
    <w:rsid w:val="00F46D53"/>
    <w:rsid w:val="00F46FDC"/>
    <w:rsid w:val="00F46FF0"/>
    <w:rsid w:val="00F47077"/>
    <w:rsid w:val="00F47ACE"/>
    <w:rsid w:val="00F47FBD"/>
    <w:rsid w:val="00F47FF2"/>
    <w:rsid w:val="00F5027B"/>
    <w:rsid w:val="00F5044A"/>
    <w:rsid w:val="00F50693"/>
    <w:rsid w:val="00F50E8A"/>
    <w:rsid w:val="00F50F18"/>
    <w:rsid w:val="00F510A8"/>
    <w:rsid w:val="00F512CE"/>
    <w:rsid w:val="00F513A4"/>
    <w:rsid w:val="00F51D90"/>
    <w:rsid w:val="00F524CA"/>
    <w:rsid w:val="00F5268C"/>
    <w:rsid w:val="00F52898"/>
    <w:rsid w:val="00F52F1F"/>
    <w:rsid w:val="00F534B5"/>
    <w:rsid w:val="00F5378C"/>
    <w:rsid w:val="00F53A46"/>
    <w:rsid w:val="00F53B7D"/>
    <w:rsid w:val="00F53C1F"/>
    <w:rsid w:val="00F53DEB"/>
    <w:rsid w:val="00F53E2B"/>
    <w:rsid w:val="00F53F30"/>
    <w:rsid w:val="00F549F8"/>
    <w:rsid w:val="00F54B4B"/>
    <w:rsid w:val="00F54E67"/>
    <w:rsid w:val="00F5540A"/>
    <w:rsid w:val="00F559DE"/>
    <w:rsid w:val="00F55B71"/>
    <w:rsid w:val="00F55CF9"/>
    <w:rsid w:val="00F55D19"/>
    <w:rsid w:val="00F55FAE"/>
    <w:rsid w:val="00F567FF"/>
    <w:rsid w:val="00F56A70"/>
    <w:rsid w:val="00F56B76"/>
    <w:rsid w:val="00F56C0D"/>
    <w:rsid w:val="00F56CA3"/>
    <w:rsid w:val="00F57026"/>
    <w:rsid w:val="00F57330"/>
    <w:rsid w:val="00F573E0"/>
    <w:rsid w:val="00F57546"/>
    <w:rsid w:val="00F5794A"/>
    <w:rsid w:val="00F579AD"/>
    <w:rsid w:val="00F57ADF"/>
    <w:rsid w:val="00F60223"/>
    <w:rsid w:val="00F60BA8"/>
    <w:rsid w:val="00F61175"/>
    <w:rsid w:val="00F611AA"/>
    <w:rsid w:val="00F616D6"/>
    <w:rsid w:val="00F61AA6"/>
    <w:rsid w:val="00F61C2B"/>
    <w:rsid w:val="00F61CF9"/>
    <w:rsid w:val="00F6214B"/>
    <w:rsid w:val="00F626F0"/>
    <w:rsid w:val="00F628D1"/>
    <w:rsid w:val="00F62AC2"/>
    <w:rsid w:val="00F62D6C"/>
    <w:rsid w:val="00F63005"/>
    <w:rsid w:val="00F63282"/>
    <w:rsid w:val="00F6332C"/>
    <w:rsid w:val="00F63990"/>
    <w:rsid w:val="00F63B5D"/>
    <w:rsid w:val="00F6402C"/>
    <w:rsid w:val="00F640CE"/>
    <w:rsid w:val="00F6442C"/>
    <w:rsid w:val="00F64A31"/>
    <w:rsid w:val="00F64C0F"/>
    <w:rsid w:val="00F65118"/>
    <w:rsid w:val="00F65290"/>
    <w:rsid w:val="00F65849"/>
    <w:rsid w:val="00F659D7"/>
    <w:rsid w:val="00F65F4A"/>
    <w:rsid w:val="00F66090"/>
    <w:rsid w:val="00F6683C"/>
    <w:rsid w:val="00F66C7D"/>
    <w:rsid w:val="00F67081"/>
    <w:rsid w:val="00F675BB"/>
    <w:rsid w:val="00F677DA"/>
    <w:rsid w:val="00F6796C"/>
    <w:rsid w:val="00F679CC"/>
    <w:rsid w:val="00F67E7E"/>
    <w:rsid w:val="00F70089"/>
    <w:rsid w:val="00F700BC"/>
    <w:rsid w:val="00F7058C"/>
    <w:rsid w:val="00F706B5"/>
    <w:rsid w:val="00F71200"/>
    <w:rsid w:val="00F713CF"/>
    <w:rsid w:val="00F7146A"/>
    <w:rsid w:val="00F71DE3"/>
    <w:rsid w:val="00F71EFF"/>
    <w:rsid w:val="00F72509"/>
    <w:rsid w:val="00F72A22"/>
    <w:rsid w:val="00F73521"/>
    <w:rsid w:val="00F73542"/>
    <w:rsid w:val="00F739BF"/>
    <w:rsid w:val="00F74183"/>
    <w:rsid w:val="00F74AB8"/>
    <w:rsid w:val="00F74E69"/>
    <w:rsid w:val="00F75142"/>
    <w:rsid w:val="00F7517C"/>
    <w:rsid w:val="00F752AC"/>
    <w:rsid w:val="00F7607C"/>
    <w:rsid w:val="00F760B7"/>
    <w:rsid w:val="00F760C3"/>
    <w:rsid w:val="00F76BF4"/>
    <w:rsid w:val="00F76D01"/>
    <w:rsid w:val="00F76F9D"/>
    <w:rsid w:val="00F77389"/>
    <w:rsid w:val="00F7743B"/>
    <w:rsid w:val="00F77477"/>
    <w:rsid w:val="00F77611"/>
    <w:rsid w:val="00F776F2"/>
    <w:rsid w:val="00F778E9"/>
    <w:rsid w:val="00F80195"/>
    <w:rsid w:val="00F80652"/>
    <w:rsid w:val="00F806AD"/>
    <w:rsid w:val="00F8124C"/>
    <w:rsid w:val="00F8149A"/>
    <w:rsid w:val="00F814CF"/>
    <w:rsid w:val="00F815DB"/>
    <w:rsid w:val="00F81FFE"/>
    <w:rsid w:val="00F820EB"/>
    <w:rsid w:val="00F8286F"/>
    <w:rsid w:val="00F82C54"/>
    <w:rsid w:val="00F82F2F"/>
    <w:rsid w:val="00F83379"/>
    <w:rsid w:val="00F83605"/>
    <w:rsid w:val="00F837A2"/>
    <w:rsid w:val="00F83B52"/>
    <w:rsid w:val="00F8449A"/>
    <w:rsid w:val="00F84503"/>
    <w:rsid w:val="00F847A3"/>
    <w:rsid w:val="00F85035"/>
    <w:rsid w:val="00F8548A"/>
    <w:rsid w:val="00F8563C"/>
    <w:rsid w:val="00F85866"/>
    <w:rsid w:val="00F85A14"/>
    <w:rsid w:val="00F85C0C"/>
    <w:rsid w:val="00F85FA1"/>
    <w:rsid w:val="00F86051"/>
    <w:rsid w:val="00F8624E"/>
    <w:rsid w:val="00F86B94"/>
    <w:rsid w:val="00F86C06"/>
    <w:rsid w:val="00F878EF"/>
    <w:rsid w:val="00F87D26"/>
    <w:rsid w:val="00F87D5F"/>
    <w:rsid w:val="00F9003C"/>
    <w:rsid w:val="00F90268"/>
    <w:rsid w:val="00F90614"/>
    <w:rsid w:val="00F90C0B"/>
    <w:rsid w:val="00F90FBE"/>
    <w:rsid w:val="00F910FC"/>
    <w:rsid w:val="00F91560"/>
    <w:rsid w:val="00F922DC"/>
    <w:rsid w:val="00F92835"/>
    <w:rsid w:val="00F92FC9"/>
    <w:rsid w:val="00F939D5"/>
    <w:rsid w:val="00F9431D"/>
    <w:rsid w:val="00F94441"/>
    <w:rsid w:val="00F9498B"/>
    <w:rsid w:val="00F94CA6"/>
    <w:rsid w:val="00F9508C"/>
    <w:rsid w:val="00F9524F"/>
    <w:rsid w:val="00F95592"/>
    <w:rsid w:val="00F9567B"/>
    <w:rsid w:val="00F95688"/>
    <w:rsid w:val="00F95955"/>
    <w:rsid w:val="00F96141"/>
    <w:rsid w:val="00F963E0"/>
    <w:rsid w:val="00F96A8A"/>
    <w:rsid w:val="00F96B14"/>
    <w:rsid w:val="00F96F28"/>
    <w:rsid w:val="00F97037"/>
    <w:rsid w:val="00F972EE"/>
    <w:rsid w:val="00FA012A"/>
    <w:rsid w:val="00FA012C"/>
    <w:rsid w:val="00FA06CD"/>
    <w:rsid w:val="00FA0843"/>
    <w:rsid w:val="00FA0984"/>
    <w:rsid w:val="00FA0E98"/>
    <w:rsid w:val="00FA0EEC"/>
    <w:rsid w:val="00FA1069"/>
    <w:rsid w:val="00FA10BB"/>
    <w:rsid w:val="00FA13E7"/>
    <w:rsid w:val="00FA17F9"/>
    <w:rsid w:val="00FA1958"/>
    <w:rsid w:val="00FA1D33"/>
    <w:rsid w:val="00FA2285"/>
    <w:rsid w:val="00FA262D"/>
    <w:rsid w:val="00FA283C"/>
    <w:rsid w:val="00FA2AC2"/>
    <w:rsid w:val="00FA2E07"/>
    <w:rsid w:val="00FA3134"/>
    <w:rsid w:val="00FA3751"/>
    <w:rsid w:val="00FA3A0E"/>
    <w:rsid w:val="00FA3A19"/>
    <w:rsid w:val="00FA4EBB"/>
    <w:rsid w:val="00FA50FA"/>
    <w:rsid w:val="00FA5A66"/>
    <w:rsid w:val="00FA6709"/>
    <w:rsid w:val="00FA7070"/>
    <w:rsid w:val="00FA718D"/>
    <w:rsid w:val="00FA71AF"/>
    <w:rsid w:val="00FA7968"/>
    <w:rsid w:val="00FB0E69"/>
    <w:rsid w:val="00FB1266"/>
    <w:rsid w:val="00FB1480"/>
    <w:rsid w:val="00FB1607"/>
    <w:rsid w:val="00FB16D0"/>
    <w:rsid w:val="00FB1A24"/>
    <w:rsid w:val="00FB1AE1"/>
    <w:rsid w:val="00FB20D6"/>
    <w:rsid w:val="00FB23F4"/>
    <w:rsid w:val="00FB2472"/>
    <w:rsid w:val="00FB247B"/>
    <w:rsid w:val="00FB2647"/>
    <w:rsid w:val="00FB2FB9"/>
    <w:rsid w:val="00FB30CC"/>
    <w:rsid w:val="00FB324F"/>
    <w:rsid w:val="00FB34C6"/>
    <w:rsid w:val="00FB351B"/>
    <w:rsid w:val="00FB3C64"/>
    <w:rsid w:val="00FB3C8E"/>
    <w:rsid w:val="00FB3F69"/>
    <w:rsid w:val="00FB4361"/>
    <w:rsid w:val="00FB436B"/>
    <w:rsid w:val="00FB43BA"/>
    <w:rsid w:val="00FB468E"/>
    <w:rsid w:val="00FB48D3"/>
    <w:rsid w:val="00FB51CA"/>
    <w:rsid w:val="00FB5423"/>
    <w:rsid w:val="00FB56B6"/>
    <w:rsid w:val="00FB590E"/>
    <w:rsid w:val="00FB5DB5"/>
    <w:rsid w:val="00FB604F"/>
    <w:rsid w:val="00FB64E4"/>
    <w:rsid w:val="00FB6924"/>
    <w:rsid w:val="00FB7316"/>
    <w:rsid w:val="00FB75F3"/>
    <w:rsid w:val="00FB7696"/>
    <w:rsid w:val="00FB76F4"/>
    <w:rsid w:val="00FB782C"/>
    <w:rsid w:val="00FB79A3"/>
    <w:rsid w:val="00FB7C1F"/>
    <w:rsid w:val="00FC01FE"/>
    <w:rsid w:val="00FC02CE"/>
    <w:rsid w:val="00FC0850"/>
    <w:rsid w:val="00FC0E07"/>
    <w:rsid w:val="00FC13E2"/>
    <w:rsid w:val="00FC1C3C"/>
    <w:rsid w:val="00FC1D4F"/>
    <w:rsid w:val="00FC1D6B"/>
    <w:rsid w:val="00FC1DF6"/>
    <w:rsid w:val="00FC2803"/>
    <w:rsid w:val="00FC2B52"/>
    <w:rsid w:val="00FC357D"/>
    <w:rsid w:val="00FC36A4"/>
    <w:rsid w:val="00FC36B8"/>
    <w:rsid w:val="00FC370A"/>
    <w:rsid w:val="00FC3BE1"/>
    <w:rsid w:val="00FC3BF6"/>
    <w:rsid w:val="00FC42AE"/>
    <w:rsid w:val="00FC4592"/>
    <w:rsid w:val="00FC4663"/>
    <w:rsid w:val="00FC4AA8"/>
    <w:rsid w:val="00FC4B36"/>
    <w:rsid w:val="00FC4C02"/>
    <w:rsid w:val="00FC4E81"/>
    <w:rsid w:val="00FC5052"/>
    <w:rsid w:val="00FC5127"/>
    <w:rsid w:val="00FC5334"/>
    <w:rsid w:val="00FC53DC"/>
    <w:rsid w:val="00FC546B"/>
    <w:rsid w:val="00FC54E8"/>
    <w:rsid w:val="00FC56E9"/>
    <w:rsid w:val="00FC5BCD"/>
    <w:rsid w:val="00FC5C2C"/>
    <w:rsid w:val="00FC5EC2"/>
    <w:rsid w:val="00FC60AF"/>
    <w:rsid w:val="00FC6205"/>
    <w:rsid w:val="00FC657A"/>
    <w:rsid w:val="00FC6606"/>
    <w:rsid w:val="00FC6BC7"/>
    <w:rsid w:val="00FC6C34"/>
    <w:rsid w:val="00FC6C6D"/>
    <w:rsid w:val="00FC6DE3"/>
    <w:rsid w:val="00FC70B7"/>
    <w:rsid w:val="00FC72BE"/>
    <w:rsid w:val="00FC73D7"/>
    <w:rsid w:val="00FC7C7A"/>
    <w:rsid w:val="00FD032B"/>
    <w:rsid w:val="00FD03C5"/>
    <w:rsid w:val="00FD0569"/>
    <w:rsid w:val="00FD06A1"/>
    <w:rsid w:val="00FD06BE"/>
    <w:rsid w:val="00FD08A5"/>
    <w:rsid w:val="00FD099C"/>
    <w:rsid w:val="00FD0A98"/>
    <w:rsid w:val="00FD0D06"/>
    <w:rsid w:val="00FD11CD"/>
    <w:rsid w:val="00FD1230"/>
    <w:rsid w:val="00FD17BC"/>
    <w:rsid w:val="00FD18FE"/>
    <w:rsid w:val="00FD1F07"/>
    <w:rsid w:val="00FD1F10"/>
    <w:rsid w:val="00FD2137"/>
    <w:rsid w:val="00FD2C4E"/>
    <w:rsid w:val="00FD31E7"/>
    <w:rsid w:val="00FD329F"/>
    <w:rsid w:val="00FD3353"/>
    <w:rsid w:val="00FD354F"/>
    <w:rsid w:val="00FD3AF2"/>
    <w:rsid w:val="00FD41C9"/>
    <w:rsid w:val="00FD428B"/>
    <w:rsid w:val="00FD4A0A"/>
    <w:rsid w:val="00FD4EE7"/>
    <w:rsid w:val="00FD5320"/>
    <w:rsid w:val="00FD5613"/>
    <w:rsid w:val="00FD5758"/>
    <w:rsid w:val="00FD6058"/>
    <w:rsid w:val="00FD688B"/>
    <w:rsid w:val="00FD6999"/>
    <w:rsid w:val="00FD6AC0"/>
    <w:rsid w:val="00FD6E65"/>
    <w:rsid w:val="00FD7078"/>
    <w:rsid w:val="00FD7342"/>
    <w:rsid w:val="00FD74DF"/>
    <w:rsid w:val="00FE043B"/>
    <w:rsid w:val="00FE0603"/>
    <w:rsid w:val="00FE0734"/>
    <w:rsid w:val="00FE0AAF"/>
    <w:rsid w:val="00FE10FA"/>
    <w:rsid w:val="00FE1555"/>
    <w:rsid w:val="00FE16CE"/>
    <w:rsid w:val="00FE19DB"/>
    <w:rsid w:val="00FE2431"/>
    <w:rsid w:val="00FE2BBA"/>
    <w:rsid w:val="00FE2BC9"/>
    <w:rsid w:val="00FE2D5C"/>
    <w:rsid w:val="00FE34B9"/>
    <w:rsid w:val="00FE386E"/>
    <w:rsid w:val="00FE3A32"/>
    <w:rsid w:val="00FE3C1B"/>
    <w:rsid w:val="00FE3F31"/>
    <w:rsid w:val="00FE45FF"/>
    <w:rsid w:val="00FE4624"/>
    <w:rsid w:val="00FE4A2D"/>
    <w:rsid w:val="00FE52B7"/>
    <w:rsid w:val="00FE567B"/>
    <w:rsid w:val="00FE5C63"/>
    <w:rsid w:val="00FE5E02"/>
    <w:rsid w:val="00FE60BE"/>
    <w:rsid w:val="00FE6AE8"/>
    <w:rsid w:val="00FE6B19"/>
    <w:rsid w:val="00FE6EB2"/>
    <w:rsid w:val="00FE6FCF"/>
    <w:rsid w:val="00FE7CF5"/>
    <w:rsid w:val="00FF053E"/>
    <w:rsid w:val="00FF0640"/>
    <w:rsid w:val="00FF104B"/>
    <w:rsid w:val="00FF1BDD"/>
    <w:rsid w:val="00FF1F81"/>
    <w:rsid w:val="00FF2BF7"/>
    <w:rsid w:val="00FF2CE1"/>
    <w:rsid w:val="00FF3348"/>
    <w:rsid w:val="00FF3373"/>
    <w:rsid w:val="00FF34C2"/>
    <w:rsid w:val="00FF35D5"/>
    <w:rsid w:val="00FF36B8"/>
    <w:rsid w:val="00FF378D"/>
    <w:rsid w:val="00FF390F"/>
    <w:rsid w:val="00FF3BEA"/>
    <w:rsid w:val="00FF4618"/>
    <w:rsid w:val="00FF47E8"/>
    <w:rsid w:val="00FF496B"/>
    <w:rsid w:val="00FF49A7"/>
    <w:rsid w:val="00FF4C9B"/>
    <w:rsid w:val="00FF4D7D"/>
    <w:rsid w:val="00FF4DAE"/>
    <w:rsid w:val="00FF528D"/>
    <w:rsid w:val="00FF5456"/>
    <w:rsid w:val="00FF56C2"/>
    <w:rsid w:val="00FF578B"/>
    <w:rsid w:val="00FF5A23"/>
    <w:rsid w:val="00FF5A85"/>
    <w:rsid w:val="00FF5D24"/>
    <w:rsid w:val="00FF5DD8"/>
    <w:rsid w:val="00FF5ED5"/>
    <w:rsid w:val="00FF6359"/>
    <w:rsid w:val="00FF63C0"/>
    <w:rsid w:val="00FF69D0"/>
    <w:rsid w:val="00FF6A84"/>
    <w:rsid w:val="00FF6BAE"/>
    <w:rsid w:val="00FF743D"/>
    <w:rsid w:val="00FFE9D4"/>
    <w:rsid w:val="010BA3B8"/>
    <w:rsid w:val="01461B0E"/>
    <w:rsid w:val="01556A42"/>
    <w:rsid w:val="0163A92A"/>
    <w:rsid w:val="017CE354"/>
    <w:rsid w:val="018740A9"/>
    <w:rsid w:val="01D36FA3"/>
    <w:rsid w:val="01D7413B"/>
    <w:rsid w:val="0224206F"/>
    <w:rsid w:val="0260F427"/>
    <w:rsid w:val="02A4D4CC"/>
    <w:rsid w:val="02A4F7E7"/>
    <w:rsid w:val="02B021E2"/>
    <w:rsid w:val="02BE908B"/>
    <w:rsid w:val="02EE33BE"/>
    <w:rsid w:val="03321651"/>
    <w:rsid w:val="0353A57F"/>
    <w:rsid w:val="036184A3"/>
    <w:rsid w:val="036F852C"/>
    <w:rsid w:val="0399EA66"/>
    <w:rsid w:val="044BC7C8"/>
    <w:rsid w:val="0452463E"/>
    <w:rsid w:val="046A1278"/>
    <w:rsid w:val="0476CEEE"/>
    <w:rsid w:val="04889480"/>
    <w:rsid w:val="04F36AE6"/>
    <w:rsid w:val="05264440"/>
    <w:rsid w:val="06110FD8"/>
    <w:rsid w:val="0629DDA0"/>
    <w:rsid w:val="065A9F98"/>
    <w:rsid w:val="06890C88"/>
    <w:rsid w:val="06922208"/>
    <w:rsid w:val="06FB72F8"/>
    <w:rsid w:val="07006513"/>
    <w:rsid w:val="0748BF66"/>
    <w:rsid w:val="075CD35E"/>
    <w:rsid w:val="077496DE"/>
    <w:rsid w:val="07752248"/>
    <w:rsid w:val="08101FDA"/>
    <w:rsid w:val="08450E01"/>
    <w:rsid w:val="08824343"/>
    <w:rsid w:val="08DF4A97"/>
    <w:rsid w:val="091A7B32"/>
    <w:rsid w:val="09567EE9"/>
    <w:rsid w:val="09C5AD10"/>
    <w:rsid w:val="09DAEB95"/>
    <w:rsid w:val="09E4E1E5"/>
    <w:rsid w:val="0A2185A8"/>
    <w:rsid w:val="0A2B2319"/>
    <w:rsid w:val="0A4DEC7A"/>
    <w:rsid w:val="0AE8487D"/>
    <w:rsid w:val="0B35E403"/>
    <w:rsid w:val="0BC3AB75"/>
    <w:rsid w:val="0C4AB593"/>
    <w:rsid w:val="0C6E0010"/>
    <w:rsid w:val="0C6E3631"/>
    <w:rsid w:val="0CBD36F1"/>
    <w:rsid w:val="0CC76D0F"/>
    <w:rsid w:val="0CD4ECD1"/>
    <w:rsid w:val="0D2CD031"/>
    <w:rsid w:val="0E7DD525"/>
    <w:rsid w:val="0EF6C717"/>
    <w:rsid w:val="0F09131A"/>
    <w:rsid w:val="0F6151AD"/>
    <w:rsid w:val="0F7FA365"/>
    <w:rsid w:val="0F8210C8"/>
    <w:rsid w:val="0F8AAE23"/>
    <w:rsid w:val="0FEA8B46"/>
    <w:rsid w:val="103A5766"/>
    <w:rsid w:val="10CA6DFE"/>
    <w:rsid w:val="119D9E85"/>
    <w:rsid w:val="11A0522D"/>
    <w:rsid w:val="11C38844"/>
    <w:rsid w:val="11C8BC5A"/>
    <w:rsid w:val="11C8F23F"/>
    <w:rsid w:val="11FCAF68"/>
    <w:rsid w:val="12070CD2"/>
    <w:rsid w:val="121487AD"/>
    <w:rsid w:val="121F1348"/>
    <w:rsid w:val="123A2927"/>
    <w:rsid w:val="1243B0F8"/>
    <w:rsid w:val="12966F3F"/>
    <w:rsid w:val="12D6B550"/>
    <w:rsid w:val="12F0AC1E"/>
    <w:rsid w:val="13024813"/>
    <w:rsid w:val="1308AC61"/>
    <w:rsid w:val="1337294D"/>
    <w:rsid w:val="133ABFA3"/>
    <w:rsid w:val="136DB5FA"/>
    <w:rsid w:val="137618E3"/>
    <w:rsid w:val="139901F0"/>
    <w:rsid w:val="13B37E84"/>
    <w:rsid w:val="14C1C374"/>
    <w:rsid w:val="14C50714"/>
    <w:rsid w:val="14E5B5B9"/>
    <w:rsid w:val="1528ECE9"/>
    <w:rsid w:val="15716019"/>
    <w:rsid w:val="15A4792C"/>
    <w:rsid w:val="15E879E2"/>
    <w:rsid w:val="160BF5DE"/>
    <w:rsid w:val="160F1279"/>
    <w:rsid w:val="164E95F9"/>
    <w:rsid w:val="166A9F2B"/>
    <w:rsid w:val="16A689C4"/>
    <w:rsid w:val="16A99E92"/>
    <w:rsid w:val="16C13C79"/>
    <w:rsid w:val="171E4A49"/>
    <w:rsid w:val="176F2108"/>
    <w:rsid w:val="17A134A8"/>
    <w:rsid w:val="17D1657E"/>
    <w:rsid w:val="17F6CD51"/>
    <w:rsid w:val="18369369"/>
    <w:rsid w:val="1839B294"/>
    <w:rsid w:val="18861460"/>
    <w:rsid w:val="18C040F2"/>
    <w:rsid w:val="18D6FEE9"/>
    <w:rsid w:val="1982B86D"/>
    <w:rsid w:val="1988D8DC"/>
    <w:rsid w:val="1A43E636"/>
    <w:rsid w:val="1AB968C9"/>
    <w:rsid w:val="1AF90A4D"/>
    <w:rsid w:val="1B1BDCCC"/>
    <w:rsid w:val="1B393FEB"/>
    <w:rsid w:val="1B4AE14B"/>
    <w:rsid w:val="1B5C3F30"/>
    <w:rsid w:val="1BD3F4FD"/>
    <w:rsid w:val="1C6ADA1E"/>
    <w:rsid w:val="1CA2CE5F"/>
    <w:rsid w:val="1D3345F1"/>
    <w:rsid w:val="1D3C18D6"/>
    <w:rsid w:val="1D5FFCEB"/>
    <w:rsid w:val="1D823569"/>
    <w:rsid w:val="1D8A86E4"/>
    <w:rsid w:val="1DB2E29A"/>
    <w:rsid w:val="1DF75439"/>
    <w:rsid w:val="1E0D4DD5"/>
    <w:rsid w:val="1E28EEA0"/>
    <w:rsid w:val="1E4283DE"/>
    <w:rsid w:val="1E92E535"/>
    <w:rsid w:val="1EA68D89"/>
    <w:rsid w:val="1EA8D7E0"/>
    <w:rsid w:val="1F0571A1"/>
    <w:rsid w:val="1F3283E3"/>
    <w:rsid w:val="1F625542"/>
    <w:rsid w:val="1F763912"/>
    <w:rsid w:val="1FC31B1E"/>
    <w:rsid w:val="1FE621C2"/>
    <w:rsid w:val="1FF44C31"/>
    <w:rsid w:val="20233D79"/>
    <w:rsid w:val="205037D4"/>
    <w:rsid w:val="21264637"/>
    <w:rsid w:val="212A7204"/>
    <w:rsid w:val="2134FBC4"/>
    <w:rsid w:val="21E05A79"/>
    <w:rsid w:val="2245F782"/>
    <w:rsid w:val="22A4E3A4"/>
    <w:rsid w:val="22F58E24"/>
    <w:rsid w:val="23247D2A"/>
    <w:rsid w:val="2329844E"/>
    <w:rsid w:val="233FF9EC"/>
    <w:rsid w:val="23A26D37"/>
    <w:rsid w:val="23DD6513"/>
    <w:rsid w:val="2409C51D"/>
    <w:rsid w:val="24439F90"/>
    <w:rsid w:val="2461379B"/>
    <w:rsid w:val="24813DF6"/>
    <w:rsid w:val="24AA461C"/>
    <w:rsid w:val="24FF1AD6"/>
    <w:rsid w:val="25475153"/>
    <w:rsid w:val="25650108"/>
    <w:rsid w:val="258AA4FC"/>
    <w:rsid w:val="25B6774F"/>
    <w:rsid w:val="25E98806"/>
    <w:rsid w:val="263F7C54"/>
    <w:rsid w:val="26635A65"/>
    <w:rsid w:val="267778BB"/>
    <w:rsid w:val="26B8F6EA"/>
    <w:rsid w:val="26D4D63D"/>
    <w:rsid w:val="26F62D70"/>
    <w:rsid w:val="273759E7"/>
    <w:rsid w:val="273F4B3A"/>
    <w:rsid w:val="2751DFA0"/>
    <w:rsid w:val="278EED37"/>
    <w:rsid w:val="27AF6296"/>
    <w:rsid w:val="27C81525"/>
    <w:rsid w:val="27CEBB1F"/>
    <w:rsid w:val="28441ADE"/>
    <w:rsid w:val="28447381"/>
    <w:rsid w:val="289E2204"/>
    <w:rsid w:val="28BED150"/>
    <w:rsid w:val="28C6073F"/>
    <w:rsid w:val="295294AF"/>
    <w:rsid w:val="2953781C"/>
    <w:rsid w:val="295E084E"/>
    <w:rsid w:val="29934F97"/>
    <w:rsid w:val="2A2498C3"/>
    <w:rsid w:val="2A3B2357"/>
    <w:rsid w:val="2A475681"/>
    <w:rsid w:val="2A5469E9"/>
    <w:rsid w:val="2A9B888A"/>
    <w:rsid w:val="2ABD4CC9"/>
    <w:rsid w:val="2AFE40C8"/>
    <w:rsid w:val="2B1513DF"/>
    <w:rsid w:val="2B3E6CF3"/>
    <w:rsid w:val="2B46D3FC"/>
    <w:rsid w:val="2BE0712B"/>
    <w:rsid w:val="2BEE4DD4"/>
    <w:rsid w:val="2BF4960D"/>
    <w:rsid w:val="2C24133F"/>
    <w:rsid w:val="2C3779F1"/>
    <w:rsid w:val="2C53689F"/>
    <w:rsid w:val="2C68C873"/>
    <w:rsid w:val="2C79B6C1"/>
    <w:rsid w:val="2CDD05D5"/>
    <w:rsid w:val="2CF14EC0"/>
    <w:rsid w:val="2D2AD454"/>
    <w:rsid w:val="2DCB363F"/>
    <w:rsid w:val="2DD424A7"/>
    <w:rsid w:val="2DFDDB18"/>
    <w:rsid w:val="2E3C8E22"/>
    <w:rsid w:val="2E402B68"/>
    <w:rsid w:val="2EAF9D94"/>
    <w:rsid w:val="2ED657E4"/>
    <w:rsid w:val="2EE0179A"/>
    <w:rsid w:val="2F0C0DB8"/>
    <w:rsid w:val="2F90E123"/>
    <w:rsid w:val="2FC6323B"/>
    <w:rsid w:val="2FF90B25"/>
    <w:rsid w:val="307F2A15"/>
    <w:rsid w:val="30BC8688"/>
    <w:rsid w:val="30EDC1DE"/>
    <w:rsid w:val="310F0ABF"/>
    <w:rsid w:val="31F623B7"/>
    <w:rsid w:val="3278F626"/>
    <w:rsid w:val="32DBFA8B"/>
    <w:rsid w:val="32DE53E7"/>
    <w:rsid w:val="32FDC3C2"/>
    <w:rsid w:val="33315CE6"/>
    <w:rsid w:val="333B1232"/>
    <w:rsid w:val="33400B27"/>
    <w:rsid w:val="337626FD"/>
    <w:rsid w:val="33D12F19"/>
    <w:rsid w:val="3440700C"/>
    <w:rsid w:val="3477CAE8"/>
    <w:rsid w:val="349CC7CC"/>
    <w:rsid w:val="34A66173"/>
    <w:rsid w:val="34BE9C73"/>
    <w:rsid w:val="350EC4D1"/>
    <w:rsid w:val="35129C87"/>
    <w:rsid w:val="3517EA64"/>
    <w:rsid w:val="3533774D"/>
    <w:rsid w:val="35575AC2"/>
    <w:rsid w:val="356265B6"/>
    <w:rsid w:val="35D1820C"/>
    <w:rsid w:val="35F26E1A"/>
    <w:rsid w:val="36184B7B"/>
    <w:rsid w:val="36E5A605"/>
    <w:rsid w:val="37152D6C"/>
    <w:rsid w:val="371BE329"/>
    <w:rsid w:val="375727F7"/>
    <w:rsid w:val="376FCF05"/>
    <w:rsid w:val="379C0FF6"/>
    <w:rsid w:val="3806EA94"/>
    <w:rsid w:val="38248BF8"/>
    <w:rsid w:val="3824C794"/>
    <w:rsid w:val="3827056F"/>
    <w:rsid w:val="386046C5"/>
    <w:rsid w:val="38BD5F37"/>
    <w:rsid w:val="39098948"/>
    <w:rsid w:val="391EEC81"/>
    <w:rsid w:val="3933C67E"/>
    <w:rsid w:val="397F7F4B"/>
    <w:rsid w:val="399F41AC"/>
    <w:rsid w:val="39D358A6"/>
    <w:rsid w:val="3A4CFBB0"/>
    <w:rsid w:val="3A771275"/>
    <w:rsid w:val="3B037DB0"/>
    <w:rsid w:val="3B513045"/>
    <w:rsid w:val="3B83938E"/>
    <w:rsid w:val="3C0B7BAF"/>
    <w:rsid w:val="3C6D5828"/>
    <w:rsid w:val="3C8C00E0"/>
    <w:rsid w:val="3CB8128D"/>
    <w:rsid w:val="3D4E8612"/>
    <w:rsid w:val="3D9334C6"/>
    <w:rsid w:val="3DB866A5"/>
    <w:rsid w:val="3DE8C98E"/>
    <w:rsid w:val="3E1ED27C"/>
    <w:rsid w:val="3E35EBA0"/>
    <w:rsid w:val="3E4584F0"/>
    <w:rsid w:val="3E8BA859"/>
    <w:rsid w:val="3EA98F84"/>
    <w:rsid w:val="3F4011C1"/>
    <w:rsid w:val="3F40BEDC"/>
    <w:rsid w:val="3FB84723"/>
    <w:rsid w:val="3FD7058B"/>
    <w:rsid w:val="406DD025"/>
    <w:rsid w:val="40ADC04C"/>
    <w:rsid w:val="40CE7989"/>
    <w:rsid w:val="40F1CBF0"/>
    <w:rsid w:val="4105AF3F"/>
    <w:rsid w:val="41081FC9"/>
    <w:rsid w:val="410E3385"/>
    <w:rsid w:val="411BC096"/>
    <w:rsid w:val="41710E9A"/>
    <w:rsid w:val="41DF16B6"/>
    <w:rsid w:val="41EA3413"/>
    <w:rsid w:val="422B4C85"/>
    <w:rsid w:val="42B1C67E"/>
    <w:rsid w:val="431C5FC9"/>
    <w:rsid w:val="432F7078"/>
    <w:rsid w:val="4351BD5E"/>
    <w:rsid w:val="43DCE532"/>
    <w:rsid w:val="43EDBF40"/>
    <w:rsid w:val="4402FFDF"/>
    <w:rsid w:val="441FDB92"/>
    <w:rsid w:val="44623E3C"/>
    <w:rsid w:val="44733F88"/>
    <w:rsid w:val="44B0DDD2"/>
    <w:rsid w:val="456D96F5"/>
    <w:rsid w:val="45F73E02"/>
    <w:rsid w:val="46198FFF"/>
    <w:rsid w:val="4657B933"/>
    <w:rsid w:val="46D6CD61"/>
    <w:rsid w:val="46E2750B"/>
    <w:rsid w:val="470A85DD"/>
    <w:rsid w:val="47470FA4"/>
    <w:rsid w:val="47AECEA4"/>
    <w:rsid w:val="47BF8342"/>
    <w:rsid w:val="47EED0EC"/>
    <w:rsid w:val="488AE398"/>
    <w:rsid w:val="48B961BD"/>
    <w:rsid w:val="48F62F60"/>
    <w:rsid w:val="490A4631"/>
    <w:rsid w:val="493A6E76"/>
    <w:rsid w:val="4964E677"/>
    <w:rsid w:val="49CD4DC4"/>
    <w:rsid w:val="49E6C0FB"/>
    <w:rsid w:val="49F9461D"/>
    <w:rsid w:val="4A0EBF75"/>
    <w:rsid w:val="4A23102F"/>
    <w:rsid w:val="4A64F96A"/>
    <w:rsid w:val="4A6AAE64"/>
    <w:rsid w:val="4AA19172"/>
    <w:rsid w:val="4AD201C5"/>
    <w:rsid w:val="4B04388C"/>
    <w:rsid w:val="4B1DFF1C"/>
    <w:rsid w:val="4B2198CE"/>
    <w:rsid w:val="4B49C6F7"/>
    <w:rsid w:val="4B8273D8"/>
    <w:rsid w:val="4BD260CA"/>
    <w:rsid w:val="4C1ACA43"/>
    <w:rsid w:val="4C33130B"/>
    <w:rsid w:val="4CC8ADE0"/>
    <w:rsid w:val="4CF8ACF0"/>
    <w:rsid w:val="4D047C4D"/>
    <w:rsid w:val="4D409A59"/>
    <w:rsid w:val="4D42CDC8"/>
    <w:rsid w:val="4D58DC75"/>
    <w:rsid w:val="4DBE21F8"/>
    <w:rsid w:val="4DF0CF05"/>
    <w:rsid w:val="4E274E0A"/>
    <w:rsid w:val="4EC45422"/>
    <w:rsid w:val="4ECAF4EB"/>
    <w:rsid w:val="4FA764EF"/>
    <w:rsid w:val="4FA89706"/>
    <w:rsid w:val="4FB783B1"/>
    <w:rsid w:val="4FC19A25"/>
    <w:rsid w:val="50201486"/>
    <w:rsid w:val="5034F00F"/>
    <w:rsid w:val="5037067A"/>
    <w:rsid w:val="506C5046"/>
    <w:rsid w:val="50A8E309"/>
    <w:rsid w:val="50B30071"/>
    <w:rsid w:val="50C2AF86"/>
    <w:rsid w:val="50CC34B0"/>
    <w:rsid w:val="50F04E6C"/>
    <w:rsid w:val="5103B974"/>
    <w:rsid w:val="5106C552"/>
    <w:rsid w:val="5208F9C4"/>
    <w:rsid w:val="523CE391"/>
    <w:rsid w:val="5296684C"/>
    <w:rsid w:val="52A42C6F"/>
    <w:rsid w:val="52A723DB"/>
    <w:rsid w:val="530E48E2"/>
    <w:rsid w:val="53654171"/>
    <w:rsid w:val="539115AF"/>
    <w:rsid w:val="53A2FE41"/>
    <w:rsid w:val="54020365"/>
    <w:rsid w:val="542EF646"/>
    <w:rsid w:val="5443B50E"/>
    <w:rsid w:val="544F54E7"/>
    <w:rsid w:val="547E0B86"/>
    <w:rsid w:val="54AF2491"/>
    <w:rsid w:val="552D42AB"/>
    <w:rsid w:val="55310A6A"/>
    <w:rsid w:val="5568ABA3"/>
    <w:rsid w:val="5590B239"/>
    <w:rsid w:val="55A5EBF2"/>
    <w:rsid w:val="55CF71EC"/>
    <w:rsid w:val="56835F95"/>
    <w:rsid w:val="56A319C3"/>
    <w:rsid w:val="56FE6657"/>
    <w:rsid w:val="57015DEC"/>
    <w:rsid w:val="5725967F"/>
    <w:rsid w:val="57416A7A"/>
    <w:rsid w:val="57701611"/>
    <w:rsid w:val="579CD6B4"/>
    <w:rsid w:val="57DAD722"/>
    <w:rsid w:val="57F84AA5"/>
    <w:rsid w:val="584AE61D"/>
    <w:rsid w:val="58B5A2A1"/>
    <w:rsid w:val="591100A0"/>
    <w:rsid w:val="59B3A9A8"/>
    <w:rsid w:val="59B5584D"/>
    <w:rsid w:val="59EA6962"/>
    <w:rsid w:val="59F6C416"/>
    <w:rsid w:val="5A6B524A"/>
    <w:rsid w:val="5A6C3887"/>
    <w:rsid w:val="5AAD8786"/>
    <w:rsid w:val="5AF3B51F"/>
    <w:rsid w:val="5B30DB6A"/>
    <w:rsid w:val="5B3560AE"/>
    <w:rsid w:val="5B39D5D8"/>
    <w:rsid w:val="5B3CAC4A"/>
    <w:rsid w:val="5B455667"/>
    <w:rsid w:val="5B93A8B8"/>
    <w:rsid w:val="5BF413DD"/>
    <w:rsid w:val="5C3A78D9"/>
    <w:rsid w:val="5C4057B5"/>
    <w:rsid w:val="5C425E1D"/>
    <w:rsid w:val="5C6204B7"/>
    <w:rsid w:val="5C8D7BD3"/>
    <w:rsid w:val="5C9A863F"/>
    <w:rsid w:val="5CFE94F4"/>
    <w:rsid w:val="5D0EA092"/>
    <w:rsid w:val="5D3391EB"/>
    <w:rsid w:val="5D4F6316"/>
    <w:rsid w:val="5D672F5C"/>
    <w:rsid w:val="5D674566"/>
    <w:rsid w:val="5DAECB1B"/>
    <w:rsid w:val="5DD54856"/>
    <w:rsid w:val="5E046758"/>
    <w:rsid w:val="5E07F585"/>
    <w:rsid w:val="5E2AA72E"/>
    <w:rsid w:val="5E3AF13B"/>
    <w:rsid w:val="5E4C372C"/>
    <w:rsid w:val="5E588BFF"/>
    <w:rsid w:val="5E762560"/>
    <w:rsid w:val="5E7903F5"/>
    <w:rsid w:val="5E7BD757"/>
    <w:rsid w:val="5E93EF0F"/>
    <w:rsid w:val="5ED64173"/>
    <w:rsid w:val="5EEC0CE0"/>
    <w:rsid w:val="5F46BBE4"/>
    <w:rsid w:val="5F6382AB"/>
    <w:rsid w:val="5FA2D4AD"/>
    <w:rsid w:val="5FAF928C"/>
    <w:rsid w:val="5FB6A77A"/>
    <w:rsid w:val="6005AC86"/>
    <w:rsid w:val="60BFF8FE"/>
    <w:rsid w:val="610F7F8B"/>
    <w:rsid w:val="61910D72"/>
    <w:rsid w:val="61BDA699"/>
    <w:rsid w:val="61F9685B"/>
    <w:rsid w:val="623403D3"/>
    <w:rsid w:val="6265D9F4"/>
    <w:rsid w:val="628DC1B7"/>
    <w:rsid w:val="62F31A30"/>
    <w:rsid w:val="62F79CB5"/>
    <w:rsid w:val="633F8910"/>
    <w:rsid w:val="636F7C02"/>
    <w:rsid w:val="639CB853"/>
    <w:rsid w:val="63C6F9DE"/>
    <w:rsid w:val="6463EA5C"/>
    <w:rsid w:val="647774B7"/>
    <w:rsid w:val="64BD331A"/>
    <w:rsid w:val="6527CE1B"/>
    <w:rsid w:val="65469BB8"/>
    <w:rsid w:val="654F68A7"/>
    <w:rsid w:val="65620541"/>
    <w:rsid w:val="6607F82D"/>
    <w:rsid w:val="66C04E57"/>
    <w:rsid w:val="66DBEC77"/>
    <w:rsid w:val="670870F2"/>
    <w:rsid w:val="67ADC121"/>
    <w:rsid w:val="6895F66B"/>
    <w:rsid w:val="68B881A9"/>
    <w:rsid w:val="68BBCBEF"/>
    <w:rsid w:val="68C96199"/>
    <w:rsid w:val="68D78345"/>
    <w:rsid w:val="6903FE96"/>
    <w:rsid w:val="691CE459"/>
    <w:rsid w:val="693DAC74"/>
    <w:rsid w:val="695B77CB"/>
    <w:rsid w:val="69ECA347"/>
    <w:rsid w:val="69FBCB4E"/>
    <w:rsid w:val="6A066198"/>
    <w:rsid w:val="6B316EFC"/>
    <w:rsid w:val="6B4FE671"/>
    <w:rsid w:val="6B605886"/>
    <w:rsid w:val="6B6F59FC"/>
    <w:rsid w:val="6B9BAD0F"/>
    <w:rsid w:val="6B9EBE36"/>
    <w:rsid w:val="6BA68F10"/>
    <w:rsid w:val="6BB48D4F"/>
    <w:rsid w:val="6BC91252"/>
    <w:rsid w:val="6BD081E4"/>
    <w:rsid w:val="6BF810C7"/>
    <w:rsid w:val="6C5E70B6"/>
    <w:rsid w:val="6C72423F"/>
    <w:rsid w:val="6D4C1452"/>
    <w:rsid w:val="6D8E7A71"/>
    <w:rsid w:val="6DAAC914"/>
    <w:rsid w:val="6DB02866"/>
    <w:rsid w:val="6DB5FB21"/>
    <w:rsid w:val="6DFD2610"/>
    <w:rsid w:val="6E0578FD"/>
    <w:rsid w:val="6E427411"/>
    <w:rsid w:val="6E9EC4D4"/>
    <w:rsid w:val="6EB3C91D"/>
    <w:rsid w:val="6F1AFA92"/>
    <w:rsid w:val="6FDB75F5"/>
    <w:rsid w:val="70152138"/>
    <w:rsid w:val="701A8848"/>
    <w:rsid w:val="70DB84FD"/>
    <w:rsid w:val="71670B71"/>
    <w:rsid w:val="717CF258"/>
    <w:rsid w:val="7180CE68"/>
    <w:rsid w:val="71CB6EFF"/>
    <w:rsid w:val="71F948DE"/>
    <w:rsid w:val="72969BFA"/>
    <w:rsid w:val="72A25AF9"/>
    <w:rsid w:val="72BBD7E0"/>
    <w:rsid w:val="732FBEE3"/>
    <w:rsid w:val="734415B4"/>
    <w:rsid w:val="7362B024"/>
    <w:rsid w:val="738CE648"/>
    <w:rsid w:val="73BF31CE"/>
    <w:rsid w:val="74553C83"/>
    <w:rsid w:val="74BD3C37"/>
    <w:rsid w:val="75005EF1"/>
    <w:rsid w:val="757C5845"/>
    <w:rsid w:val="7594A20F"/>
    <w:rsid w:val="759856F7"/>
    <w:rsid w:val="75C7A132"/>
    <w:rsid w:val="75D6B45A"/>
    <w:rsid w:val="7609040E"/>
    <w:rsid w:val="760D3852"/>
    <w:rsid w:val="7657CC9B"/>
    <w:rsid w:val="765E570B"/>
    <w:rsid w:val="767F7641"/>
    <w:rsid w:val="76B9124F"/>
    <w:rsid w:val="76D96213"/>
    <w:rsid w:val="772933C9"/>
    <w:rsid w:val="772B3258"/>
    <w:rsid w:val="783BEFF6"/>
    <w:rsid w:val="785E18A6"/>
    <w:rsid w:val="786ED9C6"/>
    <w:rsid w:val="78702715"/>
    <w:rsid w:val="788979ED"/>
    <w:rsid w:val="78FC11AB"/>
    <w:rsid w:val="790309D6"/>
    <w:rsid w:val="7949D1FA"/>
    <w:rsid w:val="7966F807"/>
    <w:rsid w:val="79846FE3"/>
    <w:rsid w:val="79AF3B17"/>
    <w:rsid w:val="79B844E6"/>
    <w:rsid w:val="7AACB297"/>
    <w:rsid w:val="7AE9F375"/>
    <w:rsid w:val="7B3A1A12"/>
    <w:rsid w:val="7B55E8CA"/>
    <w:rsid w:val="7B5D2823"/>
    <w:rsid w:val="7B680E13"/>
    <w:rsid w:val="7B6AE228"/>
    <w:rsid w:val="7BA94FA8"/>
    <w:rsid w:val="7BD745AD"/>
    <w:rsid w:val="7BD96763"/>
    <w:rsid w:val="7C3068B1"/>
    <w:rsid w:val="7C7B4629"/>
    <w:rsid w:val="7D347757"/>
    <w:rsid w:val="7D813AF5"/>
    <w:rsid w:val="7DAAF6F6"/>
    <w:rsid w:val="7DB06313"/>
    <w:rsid w:val="7DB5C530"/>
    <w:rsid w:val="7DE401BF"/>
    <w:rsid w:val="7E565176"/>
    <w:rsid w:val="7E639A29"/>
    <w:rsid w:val="7EC51692"/>
    <w:rsid w:val="7F021F88"/>
    <w:rsid w:val="7F1E6B57"/>
    <w:rsid w:val="7F32F46A"/>
    <w:rsid w:val="7F3F62B5"/>
    <w:rsid w:val="7F45280D"/>
    <w:rsid w:val="7F5A68E3"/>
    <w:rsid w:val="7F6E264D"/>
    <w:rsid w:val="7F7409BC"/>
    <w:rsid w:val="7F785EA4"/>
    <w:rsid w:val="7F80D310"/>
    <w:rsid w:val="7F9521F2"/>
    <w:rsid w:val="7FA4B8BA"/>
    <w:rsid w:val="7FC32DF6"/>
    <w:rsid w:val="7FD3688D"/>
    <w:rsid w:val="7FDC3F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5148A"/>
  <w15:chartTrackingRefBased/>
  <w15:docId w15:val="{219A4C54-BAFD-46DF-8EB5-E2C3C11E9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9B8"/>
    <w:pPr>
      <w:spacing w:afterLines="120" w:after="120" w:line="259" w:lineRule="auto"/>
      <w:jc w:val="both"/>
    </w:pPr>
    <w:rPr>
      <w:rFonts w:ascii="Arial" w:eastAsia="MS Mincho" w:hAnsi="Arial"/>
      <w:szCs w:val="22"/>
      <w:lang w:val="mn-MN"/>
    </w:rPr>
  </w:style>
  <w:style w:type="paragraph" w:styleId="Heading1">
    <w:name w:val="heading 1"/>
    <w:basedOn w:val="Normal"/>
    <w:next w:val="Normal"/>
    <w:link w:val="Heading1Char"/>
    <w:uiPriority w:val="9"/>
    <w:qFormat/>
    <w:rsid w:val="00103E80"/>
    <w:pPr>
      <w:keepNext/>
      <w:keepLines/>
      <w:numPr>
        <w:numId w:val="23"/>
      </w:numPr>
      <w:spacing w:before="240" w:afterLines="100" w:after="100"/>
      <w:ind w:left="714" w:hanging="357"/>
      <w:jc w:val="left"/>
      <w:outlineLvl w:val="0"/>
    </w:pPr>
    <w:rPr>
      <w:rFonts w:eastAsiaTheme="majorEastAsia" w:cstheme="majorBidi"/>
      <w:b/>
      <w:sz w:val="28"/>
      <w:szCs w:val="40"/>
    </w:rPr>
  </w:style>
  <w:style w:type="paragraph" w:styleId="Heading2">
    <w:name w:val="heading 2"/>
    <w:basedOn w:val="Normal"/>
    <w:next w:val="Normal"/>
    <w:link w:val="Heading2Char"/>
    <w:uiPriority w:val="9"/>
    <w:unhideWhenUsed/>
    <w:qFormat/>
    <w:rsid w:val="001B4596"/>
    <w:pPr>
      <w:keepNext/>
      <w:keepLines/>
      <w:numPr>
        <w:numId w:val="26"/>
      </w:numPr>
      <w:spacing w:before="160" w:after="288"/>
      <w:outlineLvl w:val="1"/>
    </w:pPr>
    <w:rPr>
      <w:rFonts w:eastAsiaTheme="majorEastAsia" w:cstheme="majorBidi"/>
      <w:b/>
      <w:szCs w:val="32"/>
    </w:rPr>
  </w:style>
  <w:style w:type="paragraph" w:styleId="Heading3">
    <w:name w:val="heading 3"/>
    <w:basedOn w:val="Normal"/>
    <w:next w:val="Normal"/>
    <w:link w:val="Heading3Char"/>
    <w:autoRedefine/>
    <w:uiPriority w:val="9"/>
    <w:unhideWhenUsed/>
    <w:qFormat/>
    <w:rsid w:val="00374FAF"/>
    <w:pPr>
      <w:keepNext/>
      <w:keepLines/>
      <w:numPr>
        <w:numId w:val="32"/>
      </w:numPr>
      <w:spacing w:before="240" w:afterLines="0" w:line="240" w:lineRule="auto"/>
      <w:ind w:left="0" w:firstLine="720"/>
      <w:outlineLvl w:val="2"/>
    </w:pPr>
    <w:rPr>
      <w:rFonts w:eastAsiaTheme="majorEastAsia" w:cs="Arial"/>
      <w:b/>
      <w:color w:val="000000" w:themeColor="text1"/>
      <w:szCs w:val="28"/>
      <w:lang w:eastAsia="ja-JP"/>
    </w:rPr>
  </w:style>
  <w:style w:type="paragraph" w:styleId="Heading4">
    <w:name w:val="heading 4"/>
    <w:basedOn w:val="Normal"/>
    <w:next w:val="Normal"/>
    <w:link w:val="Heading4Char"/>
    <w:uiPriority w:val="9"/>
    <w:semiHidden/>
    <w:unhideWhenUsed/>
    <w:qFormat/>
    <w:rsid w:val="008A444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8A444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A444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A444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A444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A444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357D"/>
    <w:rPr>
      <w:rFonts w:ascii="Arial" w:eastAsiaTheme="majorEastAsia" w:hAnsi="Arial" w:cstheme="majorBidi"/>
      <w:b/>
      <w:sz w:val="28"/>
      <w:szCs w:val="40"/>
      <w:lang w:val="mn-MN"/>
    </w:rPr>
  </w:style>
  <w:style w:type="character" w:customStyle="1" w:styleId="Heading2Char">
    <w:name w:val="Heading 2 Char"/>
    <w:basedOn w:val="DefaultParagraphFont"/>
    <w:link w:val="Heading2"/>
    <w:uiPriority w:val="9"/>
    <w:rsid w:val="00636AF1"/>
    <w:rPr>
      <w:rFonts w:ascii="Arial" w:eastAsiaTheme="majorEastAsia" w:hAnsi="Arial" w:cstheme="majorBidi"/>
      <w:b/>
      <w:szCs w:val="32"/>
      <w:lang w:val="mn-MN"/>
    </w:rPr>
  </w:style>
  <w:style w:type="character" w:customStyle="1" w:styleId="Heading3Char">
    <w:name w:val="Heading 3 Char"/>
    <w:basedOn w:val="DefaultParagraphFont"/>
    <w:link w:val="Heading3"/>
    <w:uiPriority w:val="9"/>
    <w:rsid w:val="00374FAF"/>
    <w:rPr>
      <w:rFonts w:ascii="Arial" w:eastAsiaTheme="majorEastAsia" w:hAnsi="Arial" w:cs="Arial"/>
      <w:b/>
      <w:color w:val="000000" w:themeColor="text1"/>
      <w:szCs w:val="28"/>
      <w:lang w:val="mn-MN" w:eastAsia="ja-JP"/>
    </w:rPr>
  </w:style>
  <w:style w:type="character" w:customStyle="1" w:styleId="Heading4Char">
    <w:name w:val="Heading 4 Char"/>
    <w:basedOn w:val="DefaultParagraphFont"/>
    <w:link w:val="Heading4"/>
    <w:uiPriority w:val="9"/>
    <w:semiHidden/>
    <w:rsid w:val="008A4446"/>
    <w:rPr>
      <w:rFonts w:eastAsiaTheme="majorEastAsia" w:cstheme="majorBidi"/>
      <w:i/>
      <w:iCs/>
      <w:color w:val="0F4761" w:themeColor="accent1" w:themeShade="BF"/>
      <w:kern w:val="0"/>
      <w:lang w:eastAsia="ja-JP"/>
      <w14:ligatures w14:val="none"/>
    </w:rPr>
  </w:style>
  <w:style w:type="character" w:customStyle="1" w:styleId="Heading5Char">
    <w:name w:val="Heading 5 Char"/>
    <w:basedOn w:val="DefaultParagraphFont"/>
    <w:link w:val="Heading5"/>
    <w:uiPriority w:val="9"/>
    <w:rsid w:val="008A4446"/>
    <w:rPr>
      <w:rFonts w:eastAsiaTheme="majorEastAsia" w:cstheme="majorBidi"/>
      <w:color w:val="0F4761" w:themeColor="accent1" w:themeShade="BF"/>
      <w:kern w:val="0"/>
      <w:lang w:eastAsia="ja-JP"/>
      <w14:ligatures w14:val="none"/>
    </w:rPr>
  </w:style>
  <w:style w:type="character" w:customStyle="1" w:styleId="Heading6Char">
    <w:name w:val="Heading 6 Char"/>
    <w:basedOn w:val="DefaultParagraphFont"/>
    <w:link w:val="Heading6"/>
    <w:uiPriority w:val="9"/>
    <w:semiHidden/>
    <w:rsid w:val="008A4446"/>
    <w:rPr>
      <w:rFonts w:eastAsiaTheme="majorEastAsia" w:cstheme="majorBidi"/>
      <w:i/>
      <w:iCs/>
      <w:color w:val="595959" w:themeColor="text1" w:themeTint="A6"/>
      <w:kern w:val="0"/>
      <w:lang w:eastAsia="ja-JP"/>
      <w14:ligatures w14:val="none"/>
    </w:rPr>
  </w:style>
  <w:style w:type="character" w:customStyle="1" w:styleId="Heading7Char">
    <w:name w:val="Heading 7 Char"/>
    <w:basedOn w:val="DefaultParagraphFont"/>
    <w:link w:val="Heading7"/>
    <w:uiPriority w:val="9"/>
    <w:semiHidden/>
    <w:rsid w:val="008A4446"/>
    <w:rPr>
      <w:rFonts w:eastAsiaTheme="majorEastAsia" w:cstheme="majorBidi"/>
      <w:color w:val="595959" w:themeColor="text1" w:themeTint="A6"/>
      <w:kern w:val="0"/>
      <w:lang w:eastAsia="ja-JP"/>
      <w14:ligatures w14:val="none"/>
    </w:rPr>
  </w:style>
  <w:style w:type="character" w:customStyle="1" w:styleId="Heading8Char">
    <w:name w:val="Heading 8 Char"/>
    <w:basedOn w:val="DefaultParagraphFont"/>
    <w:link w:val="Heading8"/>
    <w:uiPriority w:val="9"/>
    <w:semiHidden/>
    <w:rsid w:val="008A4446"/>
    <w:rPr>
      <w:rFonts w:eastAsiaTheme="majorEastAsia" w:cstheme="majorBidi"/>
      <w:i/>
      <w:iCs/>
      <w:color w:val="272727" w:themeColor="text1" w:themeTint="D8"/>
      <w:kern w:val="0"/>
      <w:lang w:eastAsia="ja-JP"/>
      <w14:ligatures w14:val="none"/>
    </w:rPr>
  </w:style>
  <w:style w:type="character" w:customStyle="1" w:styleId="Heading9Char">
    <w:name w:val="Heading 9 Char"/>
    <w:basedOn w:val="DefaultParagraphFont"/>
    <w:link w:val="Heading9"/>
    <w:uiPriority w:val="9"/>
    <w:semiHidden/>
    <w:rsid w:val="008A4446"/>
    <w:rPr>
      <w:rFonts w:eastAsiaTheme="majorEastAsia" w:cstheme="majorBidi"/>
      <w:color w:val="272727" w:themeColor="text1" w:themeTint="D8"/>
      <w:kern w:val="0"/>
      <w:lang w:eastAsia="ja-JP"/>
      <w14:ligatures w14:val="none"/>
    </w:rPr>
  </w:style>
  <w:style w:type="paragraph" w:styleId="Title">
    <w:name w:val="Title"/>
    <w:basedOn w:val="Normal"/>
    <w:next w:val="Normal"/>
    <w:link w:val="TitleChar"/>
    <w:uiPriority w:val="10"/>
    <w:qFormat/>
    <w:rsid w:val="008A44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4446"/>
    <w:rPr>
      <w:rFonts w:asciiTheme="majorHAnsi" w:eastAsiaTheme="majorEastAsia" w:hAnsiTheme="majorHAnsi" w:cstheme="majorBidi"/>
      <w:spacing w:val="-10"/>
      <w:kern w:val="28"/>
      <w:sz w:val="56"/>
      <w:szCs w:val="56"/>
      <w:lang w:eastAsia="ja-JP"/>
      <w14:ligatures w14:val="none"/>
    </w:rPr>
  </w:style>
  <w:style w:type="paragraph" w:styleId="Subtitle">
    <w:name w:val="Subtitle"/>
    <w:basedOn w:val="Normal"/>
    <w:next w:val="Normal"/>
    <w:link w:val="SubtitleChar"/>
    <w:uiPriority w:val="11"/>
    <w:qFormat/>
    <w:rsid w:val="008A444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4446"/>
    <w:rPr>
      <w:rFonts w:eastAsiaTheme="majorEastAsia" w:cstheme="majorBidi"/>
      <w:color w:val="595959" w:themeColor="text1" w:themeTint="A6"/>
      <w:spacing w:val="15"/>
      <w:kern w:val="0"/>
      <w:sz w:val="28"/>
      <w:szCs w:val="28"/>
      <w:lang w:eastAsia="ja-JP"/>
      <w14:ligatures w14:val="none"/>
    </w:rPr>
  </w:style>
  <w:style w:type="paragraph" w:styleId="Quote">
    <w:name w:val="Quote"/>
    <w:basedOn w:val="Normal"/>
    <w:next w:val="Normal"/>
    <w:link w:val="QuoteChar"/>
    <w:uiPriority w:val="29"/>
    <w:qFormat/>
    <w:rsid w:val="008A4446"/>
    <w:pPr>
      <w:spacing w:before="160"/>
      <w:jc w:val="center"/>
    </w:pPr>
    <w:rPr>
      <w:i/>
      <w:iCs/>
      <w:color w:val="404040" w:themeColor="text1" w:themeTint="BF"/>
    </w:rPr>
  </w:style>
  <w:style w:type="character" w:customStyle="1" w:styleId="QuoteChar">
    <w:name w:val="Quote Char"/>
    <w:basedOn w:val="DefaultParagraphFont"/>
    <w:link w:val="Quote"/>
    <w:uiPriority w:val="29"/>
    <w:rsid w:val="008A4446"/>
    <w:rPr>
      <w:rFonts w:ascii="Arial" w:eastAsiaTheme="minorEastAsia" w:hAnsi="Arial"/>
      <w:i/>
      <w:iCs/>
      <w:color w:val="404040" w:themeColor="text1" w:themeTint="BF"/>
      <w:kern w:val="0"/>
      <w:lang w:eastAsia="ja-JP"/>
      <w14:ligatures w14:val="none"/>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Box"/>
    <w:basedOn w:val="Normal"/>
    <w:link w:val="ListParagraphChar"/>
    <w:uiPriority w:val="34"/>
    <w:qFormat/>
    <w:rsid w:val="008A4446"/>
    <w:pPr>
      <w:ind w:left="720"/>
      <w:contextualSpacing/>
    </w:pPr>
  </w:style>
  <w:style w:type="character" w:styleId="IntenseEmphasis">
    <w:name w:val="Intense Emphasis"/>
    <w:basedOn w:val="DefaultParagraphFont"/>
    <w:uiPriority w:val="21"/>
    <w:qFormat/>
    <w:rsid w:val="008A4446"/>
    <w:rPr>
      <w:i/>
      <w:iCs/>
      <w:color w:val="0F4761" w:themeColor="accent1" w:themeShade="BF"/>
    </w:rPr>
  </w:style>
  <w:style w:type="paragraph" w:styleId="IntenseQuote">
    <w:name w:val="Intense Quote"/>
    <w:basedOn w:val="Normal"/>
    <w:next w:val="Normal"/>
    <w:link w:val="IntenseQuoteChar"/>
    <w:uiPriority w:val="30"/>
    <w:qFormat/>
    <w:rsid w:val="008A44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4446"/>
    <w:rPr>
      <w:rFonts w:ascii="Arial" w:eastAsiaTheme="minorEastAsia" w:hAnsi="Arial"/>
      <w:i/>
      <w:iCs/>
      <w:color w:val="0F4761" w:themeColor="accent1" w:themeShade="BF"/>
      <w:kern w:val="0"/>
      <w:lang w:eastAsia="ja-JP"/>
      <w14:ligatures w14:val="none"/>
    </w:rPr>
  </w:style>
  <w:style w:type="character" w:styleId="IntenseReference">
    <w:name w:val="Intense Reference"/>
    <w:basedOn w:val="DefaultParagraphFont"/>
    <w:uiPriority w:val="32"/>
    <w:qFormat/>
    <w:rsid w:val="008A4446"/>
    <w:rPr>
      <w:b/>
      <w:bCs/>
      <w:smallCaps/>
      <w:color w:val="0F4761" w:themeColor="accent1" w:themeShade="BF"/>
      <w:spacing w:val="5"/>
    </w:rPr>
  </w:style>
  <w:style w:type="character" w:styleId="Hyperlink">
    <w:name w:val="Hyperlink"/>
    <w:basedOn w:val="DefaultParagraphFont"/>
    <w:uiPriority w:val="99"/>
    <w:unhideWhenUsed/>
    <w:rsid w:val="004259B8"/>
    <w:rPr>
      <w:color w:val="467886" w:themeColor="hyperlink"/>
      <w:u w:val="single"/>
    </w:rPr>
  </w:style>
  <w:style w:type="paragraph" w:styleId="TOC1">
    <w:name w:val="toc 1"/>
    <w:basedOn w:val="Normal"/>
    <w:next w:val="NoSpacing"/>
    <w:autoRedefine/>
    <w:uiPriority w:val="39"/>
    <w:unhideWhenUsed/>
    <w:qFormat/>
    <w:rsid w:val="004259B8"/>
    <w:pPr>
      <w:spacing w:afterLines="50" w:after="50"/>
      <w:ind w:left="432" w:hanging="432"/>
    </w:pPr>
    <w:rPr>
      <w:b/>
      <w:bCs/>
      <w:caps/>
      <w:sz w:val="20"/>
      <w:szCs w:val="24"/>
    </w:rPr>
  </w:style>
  <w:style w:type="paragraph" w:styleId="TOC2">
    <w:name w:val="toc 2"/>
    <w:basedOn w:val="Normal"/>
    <w:next w:val="Normal"/>
    <w:autoRedefine/>
    <w:uiPriority w:val="39"/>
    <w:unhideWhenUsed/>
    <w:qFormat/>
    <w:rsid w:val="004259B8"/>
    <w:pPr>
      <w:tabs>
        <w:tab w:val="left" w:pos="1008"/>
        <w:tab w:val="right" w:leader="dot" w:pos="9736"/>
      </w:tabs>
      <w:spacing w:afterLines="50"/>
      <w:ind w:left="864" w:hanging="432"/>
    </w:pPr>
    <w:rPr>
      <w:rFonts w:cs="Arial"/>
      <w:b/>
      <w:bCs/>
      <w:noProof/>
      <w:sz w:val="20"/>
      <w:szCs w:val="20"/>
    </w:rPr>
  </w:style>
  <w:style w:type="paragraph" w:styleId="TOC3">
    <w:name w:val="toc 3"/>
    <w:basedOn w:val="Normal"/>
    <w:autoRedefine/>
    <w:uiPriority w:val="39"/>
    <w:unhideWhenUsed/>
    <w:qFormat/>
    <w:rsid w:val="004259B8"/>
    <w:pPr>
      <w:spacing w:afterLines="50" w:after="50"/>
      <w:ind w:left="1440" w:hanging="576"/>
    </w:pPr>
    <w:rPr>
      <w:sz w:val="20"/>
      <w:szCs w:val="20"/>
    </w:rPr>
  </w:style>
  <w:style w:type="paragraph" w:styleId="TOCHeading">
    <w:name w:val="TOC Heading"/>
    <w:basedOn w:val="Heading1"/>
    <w:next w:val="Normal"/>
    <w:uiPriority w:val="39"/>
    <w:unhideWhenUsed/>
    <w:qFormat/>
    <w:rsid w:val="004259B8"/>
    <w:pPr>
      <w:spacing w:before="0" w:after="288" w:line="240" w:lineRule="auto"/>
      <w:ind w:hanging="720"/>
      <w:outlineLvl w:val="9"/>
    </w:pPr>
    <w:rPr>
      <w:b w:val="0"/>
      <w:bCs/>
      <w:color w:val="000000" w:themeColor="text1"/>
      <w:szCs w:val="32"/>
    </w:rPr>
  </w:style>
  <w:style w:type="table" w:styleId="TableGrid">
    <w:name w:val="Table Grid"/>
    <w:basedOn w:val="TableNormal"/>
    <w:uiPriority w:val="59"/>
    <w:rsid w:val="004259B8"/>
    <w:pPr>
      <w:spacing w:afterLines="120" w:after="0" w:line="240" w:lineRule="auto"/>
    </w:pPr>
    <w:rPr>
      <w:rFonts w:eastAsia="MS Minch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2">
    <w:name w:val="List Table 3 Accent 2"/>
    <w:basedOn w:val="TableNormal"/>
    <w:uiPriority w:val="48"/>
    <w:rsid w:val="004259B8"/>
    <w:pPr>
      <w:spacing w:afterLines="120" w:after="0" w:line="240" w:lineRule="auto"/>
    </w:pPr>
    <w:rPr>
      <w:rFonts w:eastAsia="MS Mincho"/>
      <w:sz w:val="22"/>
      <w:szCs w:val="22"/>
    </w:r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GridTable4-Accent2">
    <w:name w:val="Grid Table 4 Accent 2"/>
    <w:basedOn w:val="TableNormal"/>
    <w:uiPriority w:val="49"/>
    <w:rsid w:val="004259B8"/>
    <w:pPr>
      <w:spacing w:afterLines="120" w:after="0" w:line="240" w:lineRule="auto"/>
    </w:pPr>
    <w:rPr>
      <w:rFonts w:eastAsia="MS Mincho"/>
      <w:sz w:val="22"/>
      <w:szCs w:val="22"/>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paragraph" w:styleId="Header">
    <w:name w:val="header"/>
    <w:basedOn w:val="Normal"/>
    <w:link w:val="HeaderChar"/>
    <w:uiPriority w:val="99"/>
    <w:unhideWhenUsed/>
    <w:rsid w:val="00425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9B8"/>
    <w:rPr>
      <w:rFonts w:ascii="Arial" w:eastAsia="MS Mincho" w:hAnsi="Arial"/>
      <w:szCs w:val="22"/>
      <w:lang w:val="mn-MN"/>
    </w:rPr>
  </w:style>
  <w:style w:type="paragraph" w:styleId="Footer">
    <w:name w:val="footer"/>
    <w:basedOn w:val="Normal"/>
    <w:link w:val="FooterChar"/>
    <w:uiPriority w:val="99"/>
    <w:unhideWhenUsed/>
    <w:rsid w:val="00425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9B8"/>
    <w:rPr>
      <w:rFonts w:ascii="Arial" w:eastAsia="MS Mincho" w:hAnsi="Arial"/>
      <w:szCs w:val="22"/>
      <w:lang w:val="mn-MN"/>
    </w:rPr>
  </w:style>
  <w:style w:type="paragraph" w:styleId="NoSpacing">
    <w:name w:val="No Spacing"/>
    <w:aliases w:val="График"/>
    <w:link w:val="NoSpacingChar"/>
    <w:uiPriority w:val="1"/>
    <w:qFormat/>
    <w:rsid w:val="004259B8"/>
    <w:pPr>
      <w:spacing w:afterLines="120" w:after="0" w:line="240" w:lineRule="auto"/>
    </w:pPr>
    <w:rPr>
      <w:rFonts w:eastAsia="MS Mincho"/>
      <w:sz w:val="22"/>
      <w:szCs w:val="22"/>
    </w:rPr>
  </w:style>
  <w:style w:type="paragraph" w:styleId="TOC4">
    <w:name w:val="toc 4"/>
    <w:basedOn w:val="Normal"/>
    <w:next w:val="Normal"/>
    <w:autoRedefine/>
    <w:uiPriority w:val="39"/>
    <w:unhideWhenUsed/>
    <w:rsid w:val="004259B8"/>
    <w:pPr>
      <w:spacing w:after="0"/>
      <w:ind w:left="480"/>
      <w:jc w:val="left"/>
    </w:pPr>
    <w:rPr>
      <w:rFonts w:asciiTheme="minorHAnsi" w:hAnsiTheme="minorHAnsi"/>
      <w:sz w:val="20"/>
      <w:szCs w:val="20"/>
    </w:rPr>
  </w:style>
  <w:style w:type="paragraph" w:styleId="TOC5">
    <w:name w:val="toc 5"/>
    <w:basedOn w:val="Normal"/>
    <w:next w:val="Normal"/>
    <w:autoRedefine/>
    <w:uiPriority w:val="39"/>
    <w:unhideWhenUsed/>
    <w:rsid w:val="004259B8"/>
    <w:pPr>
      <w:spacing w:after="0"/>
      <w:ind w:left="720"/>
      <w:jc w:val="left"/>
    </w:pPr>
    <w:rPr>
      <w:rFonts w:asciiTheme="minorHAnsi" w:hAnsiTheme="minorHAnsi"/>
      <w:sz w:val="20"/>
      <w:szCs w:val="20"/>
    </w:rPr>
  </w:style>
  <w:style w:type="paragraph" w:styleId="TOC6">
    <w:name w:val="toc 6"/>
    <w:basedOn w:val="Normal"/>
    <w:next w:val="Normal"/>
    <w:autoRedefine/>
    <w:uiPriority w:val="39"/>
    <w:unhideWhenUsed/>
    <w:rsid w:val="004259B8"/>
    <w:pPr>
      <w:spacing w:after="0"/>
      <w:ind w:left="960"/>
      <w:jc w:val="left"/>
    </w:pPr>
    <w:rPr>
      <w:rFonts w:asciiTheme="minorHAnsi" w:hAnsiTheme="minorHAnsi"/>
      <w:sz w:val="20"/>
      <w:szCs w:val="20"/>
    </w:rPr>
  </w:style>
  <w:style w:type="paragraph" w:styleId="TOC7">
    <w:name w:val="toc 7"/>
    <w:basedOn w:val="Normal"/>
    <w:next w:val="Normal"/>
    <w:autoRedefine/>
    <w:uiPriority w:val="39"/>
    <w:unhideWhenUsed/>
    <w:rsid w:val="004259B8"/>
    <w:pPr>
      <w:spacing w:after="0"/>
      <w:ind w:left="1200"/>
      <w:jc w:val="left"/>
    </w:pPr>
    <w:rPr>
      <w:rFonts w:asciiTheme="minorHAnsi" w:hAnsiTheme="minorHAnsi"/>
      <w:sz w:val="20"/>
      <w:szCs w:val="20"/>
    </w:rPr>
  </w:style>
  <w:style w:type="paragraph" w:styleId="TOC8">
    <w:name w:val="toc 8"/>
    <w:basedOn w:val="Normal"/>
    <w:next w:val="Normal"/>
    <w:autoRedefine/>
    <w:uiPriority w:val="39"/>
    <w:unhideWhenUsed/>
    <w:rsid w:val="004259B8"/>
    <w:pPr>
      <w:spacing w:after="0"/>
      <w:ind w:left="1440"/>
      <w:jc w:val="left"/>
    </w:pPr>
    <w:rPr>
      <w:rFonts w:asciiTheme="minorHAnsi" w:hAnsiTheme="minorHAnsi"/>
      <w:sz w:val="20"/>
      <w:szCs w:val="20"/>
    </w:rPr>
  </w:style>
  <w:style w:type="paragraph" w:styleId="TOC9">
    <w:name w:val="toc 9"/>
    <w:basedOn w:val="Normal"/>
    <w:next w:val="Normal"/>
    <w:autoRedefine/>
    <w:uiPriority w:val="39"/>
    <w:unhideWhenUsed/>
    <w:rsid w:val="004259B8"/>
    <w:pPr>
      <w:spacing w:after="0"/>
      <w:ind w:left="1680"/>
      <w:jc w:val="left"/>
    </w:pPr>
    <w:rPr>
      <w:rFonts w:asciiTheme="minorHAnsi" w:hAnsiTheme="minorHAnsi"/>
      <w:sz w:val="20"/>
      <w:szCs w:val="20"/>
    </w:rPr>
  </w:style>
  <w:style w:type="paragraph" w:styleId="Caption">
    <w:name w:val="caption"/>
    <w:aliases w:val="Хавсралт,Хавсралт №"/>
    <w:basedOn w:val="Normal"/>
    <w:next w:val="Normal"/>
    <w:link w:val="CaptionChar"/>
    <w:uiPriority w:val="35"/>
    <w:unhideWhenUsed/>
    <w:qFormat/>
    <w:rsid w:val="004259B8"/>
    <w:pPr>
      <w:spacing w:afterLines="0" w:after="0" w:line="240" w:lineRule="auto"/>
      <w:contextualSpacing/>
    </w:pPr>
    <w:rPr>
      <w:rFonts w:ascii="Segoe UI Light" w:eastAsiaTheme="minorEastAsia" w:hAnsi="Segoe UI Light"/>
      <w:i/>
      <w:iCs/>
      <w:color w:val="055957"/>
      <w:kern w:val="0"/>
      <w:sz w:val="20"/>
      <w:szCs w:val="18"/>
    </w:rPr>
  </w:style>
  <w:style w:type="character" w:customStyle="1" w:styleId="CaptionChar">
    <w:name w:val="Caption Char"/>
    <w:aliases w:val="Хавсралт Char,Хавсралт № Char"/>
    <w:basedOn w:val="DefaultParagraphFont"/>
    <w:link w:val="Caption"/>
    <w:uiPriority w:val="35"/>
    <w:rsid w:val="004259B8"/>
    <w:rPr>
      <w:rFonts w:ascii="Segoe UI Light" w:eastAsiaTheme="minorEastAsia" w:hAnsi="Segoe UI Light"/>
      <w:i/>
      <w:iCs/>
      <w:color w:val="055957"/>
      <w:kern w:val="0"/>
      <w:sz w:val="20"/>
      <w:szCs w:val="18"/>
      <w:lang w:val="mn-MN"/>
    </w:r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4259B8"/>
    <w:rPr>
      <w:rFonts w:ascii="Arial" w:eastAsiaTheme="minorEastAsia" w:hAnsi="Arial"/>
      <w:kern w:val="0"/>
      <w:lang w:eastAsia="ja-JP"/>
      <w14:ligatures w14:val="none"/>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
    <w:basedOn w:val="Normal"/>
    <w:link w:val="FootnoteTextChar"/>
    <w:uiPriority w:val="99"/>
    <w:unhideWhenUsed/>
    <w:qFormat/>
    <w:rsid w:val="004259B8"/>
    <w:pPr>
      <w:spacing w:afterLines="0" w:after="0" w:line="240" w:lineRule="auto"/>
    </w:pPr>
    <w:rPr>
      <w:rFonts w:ascii="Segoe UI Light" w:hAnsi="Segoe UI Light"/>
      <w:kern w:val="0"/>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4259B8"/>
    <w:rPr>
      <w:rFonts w:ascii="Segoe UI Light" w:eastAsia="MS Mincho" w:hAnsi="Segoe UI Light"/>
      <w:kern w:val="0"/>
      <w:sz w:val="20"/>
      <w:szCs w:val="20"/>
      <w:lang w:val="mn-MN"/>
    </w:rPr>
  </w:style>
  <w:style w:type="character" w:styleId="FootnoteReference">
    <w:name w:val="footnote reference"/>
    <w:basedOn w:val="DefaultParagraphFont"/>
    <w:uiPriority w:val="99"/>
    <w:unhideWhenUsed/>
    <w:rsid w:val="004259B8"/>
    <w:rPr>
      <w:vertAlign w:val="superscript"/>
    </w:rPr>
  </w:style>
  <w:style w:type="table" w:styleId="TableGridLight">
    <w:name w:val="Grid Table Light"/>
    <w:basedOn w:val="TableNormal"/>
    <w:uiPriority w:val="40"/>
    <w:rsid w:val="004259B8"/>
    <w:pPr>
      <w:spacing w:afterLines="120" w:after="0" w:line="240" w:lineRule="auto"/>
    </w:pPr>
    <w:rPr>
      <w:rFonts w:eastAsia="MS Mincho"/>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4259B8"/>
    <w:pPr>
      <w:spacing w:afterLines="120" w:after="0" w:line="240" w:lineRule="auto"/>
    </w:pPr>
    <w:rPr>
      <w:rFonts w:eastAsia="MS Mincho"/>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4259B8"/>
    <w:pPr>
      <w:spacing w:afterLines="120" w:after="0" w:line="240" w:lineRule="auto"/>
    </w:pPr>
    <w:rPr>
      <w:rFonts w:eastAsia="MS Mincho"/>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Accent1">
    <w:name w:val="Grid Table 1 Light Accent 1"/>
    <w:basedOn w:val="TableNormal"/>
    <w:uiPriority w:val="46"/>
    <w:rsid w:val="004259B8"/>
    <w:pPr>
      <w:spacing w:afterLines="120" w:after="0" w:line="240" w:lineRule="auto"/>
    </w:pPr>
    <w:rPr>
      <w:rFonts w:eastAsia="MS Mincho"/>
      <w:sz w:val="22"/>
      <w:szCs w:val="22"/>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259B8"/>
    <w:pPr>
      <w:spacing w:afterLines="120" w:after="0" w:line="240" w:lineRule="auto"/>
    </w:pPr>
    <w:rPr>
      <w:rFonts w:eastAsia="MS Mincho"/>
      <w:sz w:val="22"/>
      <w:szCs w:val="22"/>
    </w:r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PlainTable1">
    <w:name w:val="Plain Table 1"/>
    <w:basedOn w:val="TableNormal"/>
    <w:uiPriority w:val="41"/>
    <w:rsid w:val="004259B8"/>
    <w:pPr>
      <w:spacing w:afterLines="120" w:after="0" w:line="240" w:lineRule="auto"/>
    </w:pPr>
    <w:rPr>
      <w:rFonts w:eastAsia="MS Mincho"/>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4259B8"/>
    <w:pPr>
      <w:spacing w:after="0" w:line="240" w:lineRule="auto"/>
    </w:pPr>
    <w:rPr>
      <w:rFonts w:eastAsia="SimSun"/>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259B8"/>
    <w:pPr>
      <w:spacing w:after="0" w:line="240" w:lineRule="auto"/>
    </w:pPr>
    <w:rPr>
      <w:rFonts w:eastAsia="SimSun"/>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4259B8"/>
    <w:pPr>
      <w:spacing w:afterLines="120" w:after="0" w:line="240" w:lineRule="auto"/>
    </w:pPr>
    <w:rPr>
      <w:rFonts w:eastAsia="MS Mincho"/>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4259B8"/>
    <w:pPr>
      <w:spacing w:afterLines="120" w:after="0" w:line="240" w:lineRule="auto"/>
    </w:pPr>
    <w:rPr>
      <w:rFonts w:eastAsia="MS Mincho"/>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7Colorful-Accent3">
    <w:name w:val="Grid Table 7 Colorful Accent 3"/>
    <w:basedOn w:val="TableNormal"/>
    <w:uiPriority w:val="52"/>
    <w:rsid w:val="004259B8"/>
    <w:pPr>
      <w:spacing w:afterLines="120" w:after="0" w:line="240" w:lineRule="auto"/>
    </w:pPr>
    <w:rPr>
      <w:rFonts w:eastAsia="MS Mincho"/>
      <w:color w:val="124F1A" w:themeColor="accent3" w:themeShade="BF"/>
      <w:sz w:val="22"/>
      <w:szCs w:val="22"/>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ListTable1Light">
    <w:name w:val="List Table 1 Light"/>
    <w:basedOn w:val="TableNormal"/>
    <w:uiPriority w:val="46"/>
    <w:rsid w:val="004259B8"/>
    <w:pPr>
      <w:spacing w:afterLines="120" w:after="0" w:line="240" w:lineRule="auto"/>
    </w:pPr>
    <w:rPr>
      <w:rFonts w:eastAsia="MS Mincho"/>
      <w:sz w:val="22"/>
      <w:szCs w:val="2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259B8"/>
    <w:pPr>
      <w:spacing w:afterLines="120" w:after="0" w:line="240" w:lineRule="auto"/>
    </w:pPr>
    <w:rPr>
      <w:rFonts w:eastAsia="MS Mincho"/>
      <w:sz w:val="22"/>
      <w:szCs w:val="22"/>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5">
    <w:name w:val="List Table 2 Accent 5"/>
    <w:basedOn w:val="TableNormal"/>
    <w:uiPriority w:val="47"/>
    <w:rsid w:val="004259B8"/>
    <w:pPr>
      <w:spacing w:afterLines="120" w:after="0" w:line="240" w:lineRule="auto"/>
    </w:pPr>
    <w:rPr>
      <w:rFonts w:eastAsia="MS Mincho"/>
      <w:sz w:val="22"/>
      <w:szCs w:val="22"/>
    </w:r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character" w:styleId="CommentReference">
    <w:name w:val="annotation reference"/>
    <w:basedOn w:val="DefaultParagraphFont"/>
    <w:uiPriority w:val="99"/>
    <w:semiHidden/>
    <w:unhideWhenUsed/>
    <w:rsid w:val="004259B8"/>
    <w:rPr>
      <w:sz w:val="16"/>
      <w:szCs w:val="16"/>
    </w:rPr>
  </w:style>
  <w:style w:type="paragraph" w:styleId="CommentText">
    <w:name w:val="annotation text"/>
    <w:basedOn w:val="Normal"/>
    <w:link w:val="CommentTextChar"/>
    <w:uiPriority w:val="99"/>
    <w:unhideWhenUsed/>
    <w:rsid w:val="004259B8"/>
    <w:pPr>
      <w:spacing w:line="240" w:lineRule="auto"/>
    </w:pPr>
    <w:rPr>
      <w:sz w:val="20"/>
      <w:szCs w:val="20"/>
    </w:rPr>
  </w:style>
  <w:style w:type="character" w:customStyle="1" w:styleId="CommentTextChar">
    <w:name w:val="Comment Text Char"/>
    <w:basedOn w:val="DefaultParagraphFont"/>
    <w:link w:val="CommentText"/>
    <w:uiPriority w:val="99"/>
    <w:rsid w:val="004259B8"/>
    <w:rPr>
      <w:rFonts w:ascii="Arial" w:eastAsia="MS Mincho" w:hAnsi="Arial"/>
      <w:sz w:val="20"/>
      <w:szCs w:val="20"/>
      <w:lang w:val="mn-MN"/>
    </w:rPr>
  </w:style>
  <w:style w:type="paragraph" w:styleId="CommentSubject">
    <w:name w:val="annotation subject"/>
    <w:basedOn w:val="CommentText"/>
    <w:next w:val="CommentText"/>
    <w:link w:val="CommentSubjectChar"/>
    <w:uiPriority w:val="99"/>
    <w:semiHidden/>
    <w:unhideWhenUsed/>
    <w:rsid w:val="004259B8"/>
    <w:rPr>
      <w:b/>
      <w:bCs/>
    </w:rPr>
  </w:style>
  <w:style w:type="character" w:customStyle="1" w:styleId="CommentSubjectChar">
    <w:name w:val="Comment Subject Char"/>
    <w:basedOn w:val="CommentTextChar"/>
    <w:link w:val="CommentSubject"/>
    <w:uiPriority w:val="99"/>
    <w:semiHidden/>
    <w:rsid w:val="004259B8"/>
    <w:rPr>
      <w:rFonts w:ascii="Arial" w:eastAsia="MS Mincho" w:hAnsi="Arial"/>
      <w:b/>
      <w:bCs/>
      <w:sz w:val="20"/>
      <w:szCs w:val="20"/>
      <w:lang w:val="mn-MN"/>
    </w:rPr>
  </w:style>
  <w:style w:type="character" w:styleId="Mention">
    <w:name w:val="Mention"/>
    <w:basedOn w:val="DefaultParagraphFont"/>
    <w:uiPriority w:val="99"/>
    <w:unhideWhenUsed/>
    <w:rsid w:val="004259B8"/>
    <w:rPr>
      <w:color w:val="2B579A"/>
      <w:shd w:val="clear" w:color="auto" w:fill="E1DFDD"/>
    </w:rPr>
  </w:style>
  <w:style w:type="paragraph" w:customStyle="1" w:styleId="paragraph">
    <w:name w:val="paragraph"/>
    <w:basedOn w:val="Normal"/>
    <w:rsid w:val="004259B8"/>
    <w:pPr>
      <w:spacing w:before="100" w:beforeAutospacing="1" w:afterLines="0" w:after="100" w:afterAutospacing="1" w:line="240" w:lineRule="auto"/>
      <w:jc w:val="left"/>
    </w:pPr>
    <w:rPr>
      <w:rFonts w:ascii="Times New Roman" w:eastAsia="Times New Roman" w:hAnsi="Times New Roman" w:cs="Times New Roman"/>
      <w:kern w:val="0"/>
      <w:szCs w:val="24"/>
    </w:rPr>
  </w:style>
  <w:style w:type="character" w:customStyle="1" w:styleId="eop">
    <w:name w:val="eop"/>
    <w:basedOn w:val="DefaultParagraphFont"/>
    <w:rsid w:val="004259B8"/>
  </w:style>
  <w:style w:type="paragraph" w:styleId="NormalWeb">
    <w:name w:val="Normal (Web)"/>
    <w:basedOn w:val="Normal"/>
    <w:uiPriority w:val="99"/>
    <w:semiHidden/>
    <w:unhideWhenUsed/>
    <w:rsid w:val="004259B8"/>
    <w:pPr>
      <w:spacing w:before="100" w:beforeAutospacing="1" w:afterLines="0" w:after="100" w:afterAutospacing="1" w:line="240" w:lineRule="auto"/>
      <w:jc w:val="left"/>
    </w:pPr>
    <w:rPr>
      <w:rFonts w:ascii="Times New Roman" w:eastAsia="Times New Roman" w:hAnsi="Times New Roman" w:cs="Times New Roman"/>
      <w:kern w:val="0"/>
      <w:szCs w:val="24"/>
      <w:lang w:eastAsia="zh-CN"/>
    </w:rPr>
  </w:style>
  <w:style w:type="paragraph" w:customStyle="1" w:styleId="a">
    <w:name w:val="Зураг"/>
    <w:basedOn w:val="Normal"/>
    <w:link w:val="Char"/>
    <w:qFormat/>
    <w:rsid w:val="004259B8"/>
    <w:pPr>
      <w:spacing w:afterLines="0" w:after="0" w:line="240" w:lineRule="auto"/>
      <w:ind w:firstLine="720"/>
    </w:pPr>
    <w:rPr>
      <w:rFonts w:ascii="Times New Roman" w:eastAsia="Times New Roman" w:hAnsi="Times New Roman" w:cs="Times New Roman"/>
      <w:i/>
      <w:color w:val="721B00"/>
      <w:kern w:val="0"/>
      <w:sz w:val="18"/>
      <w:szCs w:val="24"/>
    </w:rPr>
  </w:style>
  <w:style w:type="character" w:customStyle="1" w:styleId="Char">
    <w:name w:val="Зураг Char"/>
    <w:basedOn w:val="DefaultParagraphFont"/>
    <w:link w:val="a"/>
    <w:rsid w:val="004259B8"/>
    <w:rPr>
      <w:rFonts w:ascii="Times New Roman" w:eastAsia="Times New Roman" w:hAnsi="Times New Roman" w:cs="Times New Roman"/>
      <w:i/>
      <w:color w:val="721B00"/>
      <w:kern w:val="0"/>
      <w:sz w:val="18"/>
      <w:lang w:val="mn-MN"/>
    </w:rPr>
  </w:style>
  <w:style w:type="character" w:customStyle="1" w:styleId="normaltextrun">
    <w:name w:val="normaltextrun"/>
    <w:basedOn w:val="DefaultParagraphFont"/>
    <w:rsid w:val="004259B8"/>
  </w:style>
  <w:style w:type="table" w:styleId="GridTable1Light">
    <w:name w:val="Grid Table 1 Light"/>
    <w:basedOn w:val="TableNormal"/>
    <w:uiPriority w:val="46"/>
    <w:rsid w:val="004259B8"/>
    <w:pPr>
      <w:spacing w:after="0" w:line="240" w:lineRule="auto"/>
    </w:pPr>
    <w:rPr>
      <w:kern w:val="0"/>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ableofFigures">
    <w:name w:val="table of figures"/>
    <w:basedOn w:val="Normal"/>
    <w:next w:val="Normal"/>
    <w:uiPriority w:val="99"/>
    <w:unhideWhenUsed/>
    <w:qFormat/>
    <w:rsid w:val="004259B8"/>
    <w:pPr>
      <w:spacing w:afterLines="50" w:after="50" w:line="240" w:lineRule="auto"/>
      <w:ind w:left="1296" w:hanging="1296"/>
      <w:jc w:val="left"/>
    </w:pPr>
    <w:rPr>
      <w:sz w:val="20"/>
      <w:szCs w:val="20"/>
    </w:rPr>
  </w:style>
  <w:style w:type="character" w:styleId="UnresolvedMention">
    <w:name w:val="Unresolved Mention"/>
    <w:basedOn w:val="DefaultParagraphFont"/>
    <w:uiPriority w:val="99"/>
    <w:semiHidden/>
    <w:unhideWhenUsed/>
    <w:rsid w:val="004259B8"/>
    <w:rPr>
      <w:color w:val="605E5C"/>
      <w:shd w:val="clear" w:color="auto" w:fill="E1DFDD"/>
    </w:rPr>
  </w:style>
  <w:style w:type="paragraph" w:customStyle="1" w:styleId="msonormal0">
    <w:name w:val="msonormal"/>
    <w:basedOn w:val="Normal"/>
    <w:rsid w:val="004259B8"/>
    <w:pPr>
      <w:spacing w:before="100" w:beforeAutospacing="1" w:afterLines="0" w:after="100" w:afterAutospacing="1" w:line="240" w:lineRule="auto"/>
      <w:jc w:val="left"/>
    </w:pPr>
    <w:rPr>
      <w:rFonts w:ascii="Times New Roman" w:eastAsia="Times New Roman" w:hAnsi="Times New Roman" w:cs="Times New Roman"/>
      <w:kern w:val="0"/>
      <w:szCs w:val="24"/>
      <w:lang w:val="en-US" w:eastAsia="ja-JP"/>
    </w:rPr>
  </w:style>
  <w:style w:type="paragraph" w:customStyle="1" w:styleId="xl1975">
    <w:name w:val="xl1975"/>
    <w:basedOn w:val="Normal"/>
    <w:rsid w:val="004259B8"/>
    <w:pPr>
      <w:shd w:val="clear" w:color="000000" w:fill="FFFFFF"/>
      <w:spacing w:before="100" w:beforeAutospacing="1" w:afterLines="0" w:after="100" w:afterAutospacing="1" w:line="240" w:lineRule="auto"/>
      <w:jc w:val="left"/>
    </w:pPr>
    <w:rPr>
      <w:rFonts w:ascii="Segoe UI Light" w:eastAsia="Times New Roman" w:hAnsi="Segoe UI Light" w:cs="Segoe UI Light"/>
      <w:kern w:val="0"/>
      <w:szCs w:val="24"/>
      <w:lang w:val="en-US" w:eastAsia="ja-JP"/>
    </w:rPr>
  </w:style>
  <w:style w:type="paragraph" w:customStyle="1" w:styleId="xl1976">
    <w:name w:val="xl1976"/>
    <w:basedOn w:val="Normal"/>
    <w:rsid w:val="004259B8"/>
    <w:pPr>
      <w:shd w:val="clear" w:color="000000" w:fill="FFFFFF"/>
      <w:spacing w:before="100" w:beforeAutospacing="1" w:afterLines="0" w:after="100" w:afterAutospacing="1" w:line="240" w:lineRule="auto"/>
      <w:jc w:val="left"/>
    </w:pPr>
    <w:rPr>
      <w:rFonts w:ascii="Segoe UI Light" w:eastAsia="Times New Roman" w:hAnsi="Segoe UI Light" w:cs="Segoe UI Light"/>
      <w:kern w:val="0"/>
      <w:szCs w:val="24"/>
      <w:lang w:val="en-US" w:eastAsia="ja-JP"/>
    </w:rPr>
  </w:style>
  <w:style w:type="paragraph" w:customStyle="1" w:styleId="xl1977">
    <w:name w:val="xl1977"/>
    <w:basedOn w:val="Normal"/>
    <w:rsid w:val="004259B8"/>
    <w:pPr>
      <w:shd w:val="clear" w:color="000000" w:fill="FFFFFF"/>
      <w:spacing w:before="100" w:beforeAutospacing="1" w:afterLines="0" w:after="100" w:afterAutospacing="1" w:line="240" w:lineRule="auto"/>
      <w:jc w:val="left"/>
    </w:pPr>
    <w:rPr>
      <w:rFonts w:ascii="Segoe UI Light" w:eastAsia="Times New Roman" w:hAnsi="Segoe UI Light" w:cs="Segoe UI Light"/>
      <w:b/>
      <w:bCs/>
      <w:kern w:val="0"/>
      <w:szCs w:val="24"/>
      <w:lang w:val="en-US" w:eastAsia="ja-JP"/>
    </w:rPr>
  </w:style>
  <w:style w:type="paragraph" w:customStyle="1" w:styleId="xl1978">
    <w:name w:val="xl1978"/>
    <w:basedOn w:val="Normal"/>
    <w:rsid w:val="004259B8"/>
    <w:pPr>
      <w:shd w:val="clear" w:color="000000" w:fill="FFFFFF"/>
      <w:spacing w:before="100" w:beforeAutospacing="1" w:afterLines="0" w:after="100" w:afterAutospacing="1" w:line="240" w:lineRule="auto"/>
      <w:jc w:val="right"/>
      <w:textAlignment w:val="center"/>
    </w:pPr>
    <w:rPr>
      <w:rFonts w:ascii="Segoe UI Light" w:eastAsia="Times New Roman" w:hAnsi="Segoe UI Light" w:cs="Segoe UI Light"/>
      <w:b/>
      <w:bCs/>
      <w:kern w:val="0"/>
      <w:szCs w:val="24"/>
      <w:lang w:val="en-US" w:eastAsia="ja-JP"/>
    </w:rPr>
  </w:style>
  <w:style w:type="paragraph" w:customStyle="1" w:styleId="xl1979">
    <w:name w:val="xl1979"/>
    <w:basedOn w:val="Normal"/>
    <w:rsid w:val="004259B8"/>
    <w:pPr>
      <w:shd w:val="clear" w:color="000000" w:fill="FFFFFF"/>
      <w:spacing w:before="100" w:beforeAutospacing="1" w:afterLines="0" w:after="100" w:afterAutospacing="1" w:line="240" w:lineRule="auto"/>
      <w:jc w:val="left"/>
    </w:pPr>
    <w:rPr>
      <w:rFonts w:ascii="Segoe UI Light" w:eastAsia="Times New Roman" w:hAnsi="Segoe UI Light" w:cs="Segoe UI Light"/>
      <w:color w:val="FF0000"/>
      <w:kern w:val="0"/>
      <w:szCs w:val="24"/>
      <w:lang w:val="en-US" w:eastAsia="ja-JP"/>
    </w:rPr>
  </w:style>
  <w:style w:type="paragraph" w:customStyle="1" w:styleId="xl1980">
    <w:name w:val="xl1980"/>
    <w:basedOn w:val="Normal"/>
    <w:rsid w:val="004259B8"/>
    <w:pP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1981">
    <w:name w:val="xl1981"/>
    <w:basedOn w:val="Normal"/>
    <w:rsid w:val="004259B8"/>
    <w:pP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1982">
    <w:name w:val="xl1982"/>
    <w:basedOn w:val="Normal"/>
    <w:rsid w:val="004259B8"/>
    <w:pPr>
      <w:shd w:val="clear" w:color="000000" w:fill="FFFFFF"/>
      <w:spacing w:before="100" w:beforeAutospacing="1" w:afterLines="0" w:after="100" w:afterAutospacing="1" w:line="240" w:lineRule="auto"/>
      <w:jc w:val="right"/>
    </w:pPr>
    <w:rPr>
      <w:rFonts w:eastAsia="Times New Roman" w:cs="Arial"/>
      <w:kern w:val="0"/>
      <w:szCs w:val="24"/>
      <w:lang w:val="en-US" w:eastAsia="ja-JP"/>
    </w:rPr>
  </w:style>
  <w:style w:type="paragraph" w:customStyle="1" w:styleId="xl1983">
    <w:name w:val="xl1983"/>
    <w:basedOn w:val="Normal"/>
    <w:rsid w:val="004259B8"/>
    <w:pPr>
      <w:shd w:val="clear" w:color="000000" w:fill="055957"/>
      <w:spacing w:before="100" w:beforeAutospacing="1" w:afterLines="0" w:after="100" w:afterAutospacing="1" w:line="240" w:lineRule="auto"/>
      <w:jc w:val="center"/>
      <w:textAlignment w:val="center"/>
    </w:pPr>
    <w:rPr>
      <w:rFonts w:eastAsia="Times New Roman" w:cs="Arial"/>
      <w:b/>
      <w:bCs/>
      <w:color w:val="FFFFFF"/>
      <w:kern w:val="0"/>
      <w:sz w:val="28"/>
      <w:szCs w:val="28"/>
      <w:lang w:val="en-US" w:eastAsia="ja-JP"/>
    </w:rPr>
  </w:style>
  <w:style w:type="paragraph" w:customStyle="1" w:styleId="xl1984">
    <w:name w:val="xl1984"/>
    <w:basedOn w:val="Normal"/>
    <w:rsid w:val="004259B8"/>
    <w:pPr>
      <w:shd w:val="clear" w:color="000000" w:fill="FFFF00"/>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1985">
    <w:name w:val="xl1985"/>
    <w:basedOn w:val="Normal"/>
    <w:rsid w:val="004259B8"/>
    <w:pPr>
      <w:shd w:val="clear" w:color="000000" w:fill="FFFF00"/>
      <w:spacing w:before="100" w:beforeAutospacing="1" w:afterLines="0" w:after="100" w:afterAutospacing="1" w:line="240" w:lineRule="auto"/>
      <w:jc w:val="right"/>
    </w:pPr>
    <w:rPr>
      <w:rFonts w:eastAsia="Times New Roman" w:cs="Arial"/>
      <w:kern w:val="0"/>
      <w:szCs w:val="24"/>
      <w:lang w:val="en-US" w:eastAsia="ja-JP"/>
    </w:rPr>
  </w:style>
  <w:style w:type="paragraph" w:customStyle="1" w:styleId="xl1986">
    <w:name w:val="xl1986"/>
    <w:basedOn w:val="Normal"/>
    <w:rsid w:val="004259B8"/>
    <w:pPr>
      <w:shd w:val="clear" w:color="000000" w:fill="FFFFFF"/>
      <w:spacing w:before="100" w:beforeAutospacing="1" w:afterLines="0" w:after="100" w:afterAutospacing="1" w:line="240" w:lineRule="auto"/>
      <w:jc w:val="right"/>
    </w:pPr>
    <w:rPr>
      <w:rFonts w:eastAsia="Times New Roman" w:cs="Arial"/>
      <w:kern w:val="0"/>
      <w:szCs w:val="24"/>
      <w:lang w:val="en-US" w:eastAsia="ja-JP"/>
    </w:rPr>
  </w:style>
  <w:style w:type="paragraph" w:customStyle="1" w:styleId="xl1987">
    <w:name w:val="xl1987"/>
    <w:basedOn w:val="Normal"/>
    <w:rsid w:val="004259B8"/>
    <w:pPr>
      <w:shd w:val="clear" w:color="000000" w:fill="FFFFFF"/>
      <w:spacing w:before="100" w:beforeAutospacing="1" w:afterLines="0" w:after="100" w:afterAutospacing="1" w:line="240" w:lineRule="auto"/>
      <w:jc w:val="left"/>
    </w:pPr>
    <w:rPr>
      <w:rFonts w:eastAsia="Times New Roman" w:cs="Arial"/>
      <w:b/>
      <w:bCs/>
      <w:kern w:val="0"/>
      <w:szCs w:val="24"/>
      <w:lang w:val="en-US" w:eastAsia="ja-JP"/>
    </w:rPr>
  </w:style>
  <w:style w:type="paragraph" w:customStyle="1" w:styleId="xl1988">
    <w:name w:val="xl1988"/>
    <w:basedOn w:val="Normal"/>
    <w:rsid w:val="004259B8"/>
    <w:pPr>
      <w:shd w:val="clear" w:color="000000" w:fill="FFFFFF"/>
      <w:spacing w:before="100" w:beforeAutospacing="1" w:afterLines="0" w:after="100" w:afterAutospacing="1" w:line="240" w:lineRule="auto"/>
      <w:jc w:val="right"/>
    </w:pPr>
    <w:rPr>
      <w:rFonts w:eastAsia="Times New Roman" w:cs="Arial"/>
      <w:b/>
      <w:bCs/>
      <w:kern w:val="0"/>
      <w:szCs w:val="24"/>
      <w:lang w:val="en-US" w:eastAsia="ja-JP"/>
    </w:rPr>
  </w:style>
  <w:style w:type="paragraph" w:customStyle="1" w:styleId="xl1989">
    <w:name w:val="xl1989"/>
    <w:basedOn w:val="Normal"/>
    <w:rsid w:val="004259B8"/>
    <w:pPr>
      <w:shd w:val="clear" w:color="000000" w:fill="FFFFFF"/>
      <w:spacing w:before="100" w:beforeAutospacing="1" w:afterLines="0" w:after="100" w:afterAutospacing="1" w:line="240" w:lineRule="auto"/>
      <w:jc w:val="right"/>
      <w:textAlignment w:val="center"/>
    </w:pPr>
    <w:rPr>
      <w:rFonts w:eastAsia="Times New Roman" w:cs="Arial"/>
      <w:kern w:val="0"/>
      <w:szCs w:val="24"/>
      <w:lang w:val="en-US" w:eastAsia="ja-JP"/>
    </w:rPr>
  </w:style>
  <w:style w:type="paragraph" w:customStyle="1" w:styleId="xl1990">
    <w:name w:val="xl1990"/>
    <w:basedOn w:val="Normal"/>
    <w:rsid w:val="004259B8"/>
    <w:pPr>
      <w:shd w:val="clear" w:color="000000" w:fill="FFFFFF"/>
      <w:spacing w:before="100" w:beforeAutospacing="1" w:afterLines="0" w:after="100" w:afterAutospacing="1" w:line="240" w:lineRule="auto"/>
      <w:jc w:val="right"/>
      <w:textAlignment w:val="center"/>
    </w:pPr>
    <w:rPr>
      <w:rFonts w:eastAsia="Times New Roman" w:cs="Arial"/>
      <w:b/>
      <w:bCs/>
      <w:kern w:val="0"/>
      <w:szCs w:val="24"/>
      <w:lang w:val="en-US" w:eastAsia="ja-JP"/>
    </w:rPr>
  </w:style>
  <w:style w:type="paragraph" w:customStyle="1" w:styleId="xl1991">
    <w:name w:val="xl1991"/>
    <w:basedOn w:val="Normal"/>
    <w:rsid w:val="004259B8"/>
    <w:pPr>
      <w:pBdr>
        <w:bottom w:val="single" w:sz="4" w:space="0" w:color="auto"/>
      </w:pBdr>
      <w:shd w:val="clear" w:color="000000" w:fill="FFFFFF"/>
      <w:spacing w:before="100" w:beforeAutospacing="1" w:afterLines="0" w:after="100" w:afterAutospacing="1" w:line="240" w:lineRule="auto"/>
      <w:jc w:val="left"/>
    </w:pPr>
    <w:rPr>
      <w:rFonts w:eastAsia="Times New Roman" w:cs="Arial"/>
      <w:color w:val="305496"/>
      <w:kern w:val="0"/>
      <w:szCs w:val="24"/>
      <w:lang w:val="en-US" w:eastAsia="ja-JP"/>
    </w:rPr>
  </w:style>
  <w:style w:type="paragraph" w:customStyle="1" w:styleId="xl1992">
    <w:name w:val="xl1992"/>
    <w:basedOn w:val="Normal"/>
    <w:rsid w:val="004259B8"/>
    <w:pPr>
      <w:pBdr>
        <w:bottom w:val="single" w:sz="4" w:space="0" w:color="auto"/>
      </w:pBd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1993">
    <w:name w:val="xl1993"/>
    <w:basedOn w:val="Normal"/>
    <w:rsid w:val="004259B8"/>
    <w:pPr>
      <w:pBdr>
        <w:bottom w:val="single" w:sz="4" w:space="0" w:color="auto"/>
      </w:pBdr>
      <w:shd w:val="clear" w:color="000000" w:fill="FFFFFF"/>
      <w:spacing w:before="100" w:beforeAutospacing="1" w:afterLines="0" w:after="100" w:afterAutospacing="1" w:line="240" w:lineRule="auto"/>
      <w:jc w:val="left"/>
      <w:textAlignment w:val="center"/>
    </w:pPr>
    <w:rPr>
      <w:rFonts w:eastAsia="Times New Roman" w:cs="Arial"/>
      <w:kern w:val="0"/>
      <w:szCs w:val="24"/>
      <w:lang w:val="en-US" w:eastAsia="ja-JP"/>
    </w:rPr>
  </w:style>
  <w:style w:type="paragraph" w:customStyle="1" w:styleId="xl1994">
    <w:name w:val="xl1994"/>
    <w:basedOn w:val="Normal"/>
    <w:rsid w:val="004259B8"/>
    <w:pPr>
      <w:pBdr>
        <w:bottom w:val="single" w:sz="4" w:space="0" w:color="auto"/>
      </w:pBdr>
      <w:shd w:val="clear" w:color="000000" w:fill="FFFFFF"/>
      <w:spacing w:before="100" w:beforeAutospacing="1" w:afterLines="0" w:after="100" w:afterAutospacing="1" w:line="240" w:lineRule="auto"/>
      <w:jc w:val="left"/>
      <w:textAlignment w:val="center"/>
    </w:pPr>
    <w:rPr>
      <w:rFonts w:eastAsia="Times New Roman" w:cs="Arial"/>
      <w:color w:val="305496"/>
      <w:kern w:val="0"/>
      <w:szCs w:val="24"/>
      <w:lang w:val="en-US" w:eastAsia="ja-JP"/>
    </w:rPr>
  </w:style>
  <w:style w:type="paragraph" w:customStyle="1" w:styleId="xl1995">
    <w:name w:val="xl1995"/>
    <w:basedOn w:val="Normal"/>
    <w:rsid w:val="004259B8"/>
    <w:pPr>
      <w:pBdr>
        <w:bottom w:val="single" w:sz="4" w:space="0" w:color="auto"/>
      </w:pBdr>
      <w:shd w:val="clear" w:color="000000" w:fill="FFFFFF"/>
      <w:spacing w:before="100" w:beforeAutospacing="1" w:afterLines="0" w:after="100" w:afterAutospacing="1" w:line="240" w:lineRule="auto"/>
      <w:jc w:val="right"/>
      <w:textAlignment w:val="center"/>
    </w:pPr>
    <w:rPr>
      <w:rFonts w:eastAsia="Times New Roman" w:cs="Arial"/>
      <w:color w:val="305496"/>
      <w:kern w:val="0"/>
      <w:szCs w:val="24"/>
      <w:lang w:val="en-US" w:eastAsia="ja-JP"/>
    </w:rPr>
  </w:style>
  <w:style w:type="paragraph" w:customStyle="1" w:styleId="xl1996">
    <w:name w:val="xl1996"/>
    <w:basedOn w:val="Normal"/>
    <w:rsid w:val="004259B8"/>
    <w:pPr>
      <w:shd w:val="clear" w:color="000000" w:fill="FFFFFF"/>
      <w:spacing w:before="100" w:beforeAutospacing="1" w:afterLines="0" w:after="100" w:afterAutospacing="1" w:line="240" w:lineRule="auto"/>
      <w:jc w:val="left"/>
    </w:pPr>
    <w:rPr>
      <w:rFonts w:eastAsia="Times New Roman" w:cs="Arial"/>
      <w:color w:val="305496"/>
      <w:kern w:val="0"/>
      <w:szCs w:val="24"/>
      <w:lang w:val="en-US" w:eastAsia="ja-JP"/>
    </w:rPr>
  </w:style>
  <w:style w:type="paragraph" w:customStyle="1" w:styleId="xl1997">
    <w:name w:val="xl1997"/>
    <w:basedOn w:val="Normal"/>
    <w:rsid w:val="004259B8"/>
    <w:pPr>
      <w:shd w:val="clear" w:color="000000" w:fill="FFFFFF"/>
      <w:spacing w:before="100" w:beforeAutospacing="1" w:afterLines="0" w:after="100" w:afterAutospacing="1" w:line="240" w:lineRule="auto"/>
      <w:jc w:val="right"/>
      <w:textAlignment w:val="center"/>
    </w:pPr>
    <w:rPr>
      <w:rFonts w:eastAsia="Times New Roman" w:cs="Arial"/>
      <w:color w:val="305496"/>
      <w:kern w:val="0"/>
      <w:szCs w:val="24"/>
      <w:lang w:val="en-US" w:eastAsia="ja-JP"/>
    </w:rPr>
  </w:style>
  <w:style w:type="paragraph" w:customStyle="1" w:styleId="xl1998">
    <w:name w:val="xl1998"/>
    <w:basedOn w:val="Normal"/>
    <w:rsid w:val="004259B8"/>
    <w:pPr>
      <w:shd w:val="clear" w:color="000000" w:fill="FFFFFF"/>
      <w:spacing w:before="100" w:beforeAutospacing="1" w:afterLines="0" w:after="100" w:afterAutospacing="1" w:line="240" w:lineRule="auto"/>
      <w:jc w:val="left"/>
    </w:pPr>
    <w:rPr>
      <w:rFonts w:eastAsia="Times New Roman" w:cs="Arial"/>
      <w:b/>
      <w:bCs/>
      <w:kern w:val="0"/>
      <w:szCs w:val="24"/>
      <w:lang w:val="en-US" w:eastAsia="ja-JP"/>
    </w:rPr>
  </w:style>
  <w:style w:type="paragraph" w:customStyle="1" w:styleId="xl1999">
    <w:name w:val="xl1999"/>
    <w:basedOn w:val="Normal"/>
    <w:rsid w:val="004259B8"/>
    <w:pPr>
      <w:shd w:val="clear" w:color="000000" w:fill="FFFFFF"/>
      <w:spacing w:before="100" w:beforeAutospacing="1" w:afterLines="0" w:after="100" w:afterAutospacing="1" w:line="240" w:lineRule="auto"/>
      <w:jc w:val="left"/>
      <w:textAlignment w:val="center"/>
    </w:pPr>
    <w:rPr>
      <w:rFonts w:eastAsia="Times New Roman" w:cs="Arial"/>
      <w:b/>
      <w:bCs/>
      <w:kern w:val="0"/>
      <w:szCs w:val="24"/>
      <w:lang w:val="en-US" w:eastAsia="ja-JP"/>
    </w:rPr>
  </w:style>
  <w:style w:type="paragraph" w:customStyle="1" w:styleId="xl2000">
    <w:name w:val="xl2000"/>
    <w:basedOn w:val="Normal"/>
    <w:rsid w:val="004259B8"/>
    <w:pPr>
      <w:shd w:val="clear" w:color="000000" w:fill="FFFFFF"/>
      <w:spacing w:before="100" w:beforeAutospacing="1" w:afterLines="0" w:after="100" w:afterAutospacing="1" w:line="240" w:lineRule="auto"/>
      <w:jc w:val="right"/>
      <w:textAlignment w:val="center"/>
    </w:pPr>
    <w:rPr>
      <w:rFonts w:eastAsia="Times New Roman" w:cs="Arial"/>
      <w:b/>
      <w:bCs/>
      <w:kern w:val="0"/>
      <w:szCs w:val="24"/>
      <w:lang w:val="en-US" w:eastAsia="ja-JP"/>
    </w:rPr>
  </w:style>
  <w:style w:type="paragraph" w:customStyle="1" w:styleId="xl2001">
    <w:name w:val="xl2001"/>
    <w:basedOn w:val="Normal"/>
    <w:rsid w:val="004259B8"/>
    <w:pPr>
      <w:shd w:val="clear" w:color="000000" w:fill="FFFFFF"/>
      <w:spacing w:before="100" w:beforeAutospacing="1" w:afterLines="0" w:after="100" w:afterAutospacing="1" w:line="240" w:lineRule="auto"/>
      <w:jc w:val="right"/>
    </w:pPr>
    <w:rPr>
      <w:rFonts w:eastAsia="Times New Roman" w:cs="Arial"/>
      <w:b/>
      <w:bCs/>
      <w:kern w:val="0"/>
      <w:szCs w:val="24"/>
      <w:lang w:val="en-US" w:eastAsia="ja-JP"/>
    </w:rPr>
  </w:style>
  <w:style w:type="paragraph" w:customStyle="1" w:styleId="xl2002">
    <w:name w:val="xl2002"/>
    <w:basedOn w:val="Normal"/>
    <w:rsid w:val="004259B8"/>
    <w:pP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2003">
    <w:name w:val="xl2003"/>
    <w:basedOn w:val="Normal"/>
    <w:rsid w:val="004259B8"/>
    <w:pP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2004">
    <w:name w:val="xl2004"/>
    <w:basedOn w:val="Normal"/>
    <w:rsid w:val="004259B8"/>
    <w:pP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2005">
    <w:name w:val="xl2005"/>
    <w:basedOn w:val="Normal"/>
    <w:rsid w:val="004259B8"/>
    <w:pP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2006">
    <w:name w:val="xl2006"/>
    <w:basedOn w:val="Normal"/>
    <w:rsid w:val="004259B8"/>
    <w:pPr>
      <w:shd w:val="clear" w:color="000000" w:fill="FFFFFF"/>
      <w:spacing w:before="100" w:beforeAutospacing="1" w:afterLines="0" w:after="100" w:afterAutospacing="1" w:line="240" w:lineRule="auto"/>
      <w:ind w:firstLineChars="200" w:firstLine="200"/>
      <w:jc w:val="left"/>
    </w:pPr>
    <w:rPr>
      <w:rFonts w:eastAsia="Times New Roman" w:cs="Arial"/>
      <w:kern w:val="0"/>
      <w:szCs w:val="24"/>
      <w:lang w:val="en-US" w:eastAsia="ja-JP"/>
    </w:rPr>
  </w:style>
  <w:style w:type="paragraph" w:customStyle="1" w:styleId="xl2007">
    <w:name w:val="xl2007"/>
    <w:basedOn w:val="Normal"/>
    <w:rsid w:val="004259B8"/>
    <w:pPr>
      <w:shd w:val="clear" w:color="000000" w:fill="FFFFFF"/>
      <w:spacing w:before="100" w:beforeAutospacing="1" w:afterLines="0" w:after="100" w:afterAutospacing="1" w:line="240" w:lineRule="auto"/>
      <w:jc w:val="left"/>
    </w:pPr>
    <w:rPr>
      <w:rFonts w:eastAsia="Times New Roman" w:cs="Arial"/>
      <w:color w:val="000000"/>
      <w:kern w:val="0"/>
      <w:szCs w:val="24"/>
      <w:lang w:val="en-US" w:eastAsia="ja-JP"/>
    </w:rPr>
  </w:style>
  <w:style w:type="paragraph" w:customStyle="1" w:styleId="xl2008">
    <w:name w:val="xl2008"/>
    <w:basedOn w:val="Normal"/>
    <w:rsid w:val="004259B8"/>
    <w:pP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2009">
    <w:name w:val="xl2009"/>
    <w:basedOn w:val="Normal"/>
    <w:rsid w:val="004259B8"/>
    <w:pPr>
      <w:shd w:val="clear" w:color="000000" w:fill="FFFFFF"/>
      <w:spacing w:before="100" w:beforeAutospacing="1" w:afterLines="0" w:after="100" w:afterAutospacing="1" w:line="240" w:lineRule="auto"/>
      <w:jc w:val="right"/>
    </w:pPr>
    <w:rPr>
      <w:rFonts w:eastAsia="Times New Roman" w:cs="Arial"/>
      <w:kern w:val="0"/>
      <w:szCs w:val="24"/>
      <w:lang w:val="en-US" w:eastAsia="ja-JP"/>
    </w:rPr>
  </w:style>
  <w:style w:type="paragraph" w:customStyle="1" w:styleId="xl2010">
    <w:name w:val="xl2010"/>
    <w:basedOn w:val="Normal"/>
    <w:rsid w:val="004259B8"/>
    <w:pPr>
      <w:shd w:val="clear" w:color="000000" w:fill="FFFFFF"/>
      <w:spacing w:before="100" w:beforeAutospacing="1" w:afterLines="0" w:after="100" w:afterAutospacing="1" w:line="240" w:lineRule="auto"/>
      <w:jc w:val="left"/>
    </w:pPr>
    <w:rPr>
      <w:rFonts w:eastAsia="Times New Roman" w:cs="Arial"/>
      <w:b/>
      <w:bCs/>
      <w:kern w:val="0"/>
      <w:szCs w:val="24"/>
      <w:lang w:val="en-US" w:eastAsia="ja-JP"/>
    </w:rPr>
  </w:style>
  <w:style w:type="paragraph" w:customStyle="1" w:styleId="xl2011">
    <w:name w:val="xl2011"/>
    <w:basedOn w:val="Normal"/>
    <w:rsid w:val="004259B8"/>
    <w:pPr>
      <w:shd w:val="clear" w:color="000000" w:fill="FFFFFF"/>
      <w:spacing w:before="100" w:beforeAutospacing="1" w:afterLines="0" w:after="100" w:afterAutospacing="1" w:line="240" w:lineRule="auto"/>
      <w:ind w:firstLineChars="100" w:firstLine="100"/>
      <w:jc w:val="left"/>
    </w:pPr>
    <w:rPr>
      <w:rFonts w:eastAsia="Times New Roman" w:cs="Arial"/>
      <w:kern w:val="0"/>
      <w:szCs w:val="24"/>
      <w:lang w:val="en-US" w:eastAsia="ja-JP"/>
    </w:rPr>
  </w:style>
  <w:style w:type="paragraph" w:customStyle="1" w:styleId="xl2012">
    <w:name w:val="xl2012"/>
    <w:basedOn w:val="Normal"/>
    <w:rsid w:val="004259B8"/>
    <w:pP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2013">
    <w:name w:val="xl2013"/>
    <w:basedOn w:val="Normal"/>
    <w:rsid w:val="004259B8"/>
    <w:pPr>
      <w:shd w:val="clear" w:color="000000" w:fill="FFFFFF"/>
      <w:spacing w:before="100" w:beforeAutospacing="1" w:afterLines="0" w:after="100" w:afterAutospacing="1" w:line="240" w:lineRule="auto"/>
      <w:jc w:val="center"/>
      <w:textAlignment w:val="center"/>
    </w:pPr>
    <w:rPr>
      <w:rFonts w:eastAsia="Times New Roman" w:cs="Arial"/>
      <w:kern w:val="0"/>
      <w:szCs w:val="24"/>
      <w:lang w:val="en-US" w:eastAsia="ja-JP"/>
    </w:rPr>
  </w:style>
  <w:style w:type="paragraph" w:customStyle="1" w:styleId="xl2014">
    <w:name w:val="xl2014"/>
    <w:basedOn w:val="Normal"/>
    <w:rsid w:val="004259B8"/>
    <w:pPr>
      <w:shd w:val="clear" w:color="000000" w:fill="FFFFFF"/>
      <w:spacing w:before="100" w:beforeAutospacing="1" w:afterLines="0" w:after="100" w:afterAutospacing="1" w:line="240" w:lineRule="auto"/>
      <w:ind w:firstLineChars="100" w:firstLine="100"/>
      <w:jc w:val="left"/>
    </w:pPr>
    <w:rPr>
      <w:rFonts w:eastAsia="Times New Roman" w:cs="Arial"/>
      <w:kern w:val="0"/>
      <w:szCs w:val="24"/>
      <w:lang w:val="en-US" w:eastAsia="ja-JP"/>
    </w:rPr>
  </w:style>
  <w:style w:type="paragraph" w:customStyle="1" w:styleId="xl2015">
    <w:name w:val="xl2015"/>
    <w:basedOn w:val="Normal"/>
    <w:rsid w:val="004259B8"/>
    <w:pPr>
      <w:shd w:val="clear" w:color="000000" w:fill="FFFFFF"/>
      <w:spacing w:before="100" w:beforeAutospacing="1" w:afterLines="0" w:after="100" w:afterAutospacing="1" w:line="240" w:lineRule="auto"/>
      <w:jc w:val="left"/>
    </w:pPr>
    <w:rPr>
      <w:rFonts w:eastAsia="Times New Roman" w:cs="Arial"/>
      <w:color w:val="000000"/>
      <w:kern w:val="0"/>
      <w:szCs w:val="24"/>
      <w:lang w:val="en-US" w:eastAsia="ja-JP"/>
    </w:rPr>
  </w:style>
  <w:style w:type="paragraph" w:customStyle="1" w:styleId="xl2016">
    <w:name w:val="xl2016"/>
    <w:basedOn w:val="Normal"/>
    <w:rsid w:val="004259B8"/>
    <w:pPr>
      <w:shd w:val="clear" w:color="000000" w:fill="FFFFFF"/>
      <w:spacing w:before="100" w:beforeAutospacing="1" w:afterLines="0" w:after="100" w:afterAutospacing="1" w:line="240" w:lineRule="auto"/>
      <w:jc w:val="left"/>
    </w:pPr>
    <w:rPr>
      <w:rFonts w:eastAsia="Times New Roman" w:cs="Arial"/>
      <w:b/>
      <w:bCs/>
      <w:kern w:val="0"/>
      <w:szCs w:val="24"/>
      <w:lang w:val="en-US" w:eastAsia="ja-JP"/>
    </w:rPr>
  </w:style>
  <w:style w:type="paragraph" w:customStyle="1" w:styleId="xl2017">
    <w:name w:val="xl2017"/>
    <w:basedOn w:val="Normal"/>
    <w:rsid w:val="004259B8"/>
    <w:pPr>
      <w:shd w:val="clear" w:color="000000" w:fill="FFFFFF"/>
      <w:spacing w:before="100" w:beforeAutospacing="1" w:afterLines="0" w:after="100" w:afterAutospacing="1" w:line="240" w:lineRule="auto"/>
      <w:jc w:val="left"/>
    </w:pPr>
    <w:rPr>
      <w:rFonts w:eastAsia="Times New Roman" w:cs="Arial"/>
      <w:color w:val="FF0000"/>
      <w:kern w:val="0"/>
      <w:szCs w:val="24"/>
      <w:lang w:val="en-US" w:eastAsia="ja-JP"/>
    </w:rPr>
  </w:style>
  <w:style w:type="paragraph" w:customStyle="1" w:styleId="xl2018">
    <w:name w:val="xl2018"/>
    <w:basedOn w:val="Normal"/>
    <w:rsid w:val="004259B8"/>
    <w:pP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2019">
    <w:name w:val="xl2019"/>
    <w:basedOn w:val="Normal"/>
    <w:rsid w:val="004259B8"/>
    <w:pPr>
      <w:shd w:val="clear" w:color="000000" w:fill="FFFFFF"/>
      <w:spacing w:before="100" w:beforeAutospacing="1" w:afterLines="0" w:after="100" w:afterAutospacing="1" w:line="240" w:lineRule="auto"/>
      <w:ind w:firstLineChars="200" w:firstLine="200"/>
      <w:jc w:val="left"/>
    </w:pPr>
    <w:rPr>
      <w:rFonts w:eastAsia="Times New Roman" w:cs="Arial"/>
      <w:kern w:val="0"/>
      <w:szCs w:val="24"/>
      <w:lang w:val="en-US" w:eastAsia="ja-JP"/>
    </w:rPr>
  </w:style>
  <w:style w:type="paragraph" w:customStyle="1" w:styleId="xl2020">
    <w:name w:val="xl2020"/>
    <w:basedOn w:val="Normal"/>
    <w:rsid w:val="004259B8"/>
    <w:pPr>
      <w:shd w:val="clear" w:color="000000" w:fill="FFFFFF"/>
      <w:spacing w:before="100" w:beforeAutospacing="1" w:afterLines="0" w:after="100" w:afterAutospacing="1" w:line="240" w:lineRule="auto"/>
      <w:ind w:firstLineChars="400" w:firstLine="400"/>
      <w:jc w:val="left"/>
    </w:pPr>
    <w:rPr>
      <w:rFonts w:eastAsia="Times New Roman" w:cs="Arial"/>
      <w:kern w:val="0"/>
      <w:szCs w:val="24"/>
      <w:lang w:val="en-US" w:eastAsia="ja-JP"/>
    </w:rPr>
  </w:style>
  <w:style w:type="paragraph" w:customStyle="1" w:styleId="xl2021">
    <w:name w:val="xl2021"/>
    <w:basedOn w:val="Normal"/>
    <w:rsid w:val="004259B8"/>
    <w:pPr>
      <w:pBdr>
        <w:bottom w:val="single" w:sz="4" w:space="0" w:color="auto"/>
      </w:pBd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2022">
    <w:name w:val="xl2022"/>
    <w:basedOn w:val="Normal"/>
    <w:rsid w:val="004259B8"/>
    <w:pPr>
      <w:pBdr>
        <w:bottom w:val="single" w:sz="4" w:space="0" w:color="auto"/>
      </w:pBdr>
      <w:shd w:val="clear" w:color="000000" w:fill="FFFFFF"/>
      <w:spacing w:before="100" w:beforeAutospacing="1" w:afterLines="0" w:after="100" w:afterAutospacing="1" w:line="240" w:lineRule="auto"/>
      <w:jc w:val="right"/>
    </w:pPr>
    <w:rPr>
      <w:rFonts w:eastAsia="Times New Roman" w:cs="Arial"/>
      <w:kern w:val="0"/>
      <w:szCs w:val="24"/>
      <w:lang w:val="en-US" w:eastAsia="ja-JP"/>
    </w:rPr>
  </w:style>
  <w:style w:type="paragraph" w:customStyle="1" w:styleId="CM58">
    <w:name w:val="CM58"/>
    <w:basedOn w:val="Normal"/>
    <w:next w:val="Normal"/>
    <w:uiPriority w:val="99"/>
    <w:rsid w:val="004259B8"/>
    <w:pPr>
      <w:widowControl w:val="0"/>
      <w:autoSpaceDE w:val="0"/>
      <w:autoSpaceDN w:val="0"/>
      <w:adjustRightInd w:val="0"/>
      <w:spacing w:afterLines="0" w:after="0" w:line="240" w:lineRule="auto"/>
      <w:jc w:val="left"/>
    </w:pPr>
    <w:rPr>
      <w:rFonts w:ascii="Ch Freeset" w:eastAsia="Times New Roman" w:hAnsi="Ch Freeset" w:cs="Times New Roman"/>
      <w:kern w:val="0"/>
      <w:szCs w:val="24"/>
      <w:lang w:val="en-US"/>
    </w:rPr>
  </w:style>
  <w:style w:type="paragraph" w:styleId="Revision">
    <w:name w:val="Revision"/>
    <w:hidden/>
    <w:uiPriority w:val="99"/>
    <w:semiHidden/>
    <w:rsid w:val="004259B8"/>
    <w:pPr>
      <w:spacing w:after="0" w:line="240" w:lineRule="auto"/>
    </w:pPr>
    <w:rPr>
      <w:rFonts w:ascii="Arial" w:eastAsia="MS Mincho" w:hAnsi="Arial"/>
      <w:szCs w:val="22"/>
      <w:lang w:val="mn-MN"/>
    </w:rPr>
  </w:style>
  <w:style w:type="character" w:customStyle="1" w:styleId="NoSpacingChar">
    <w:name w:val="No Spacing Char"/>
    <w:aliases w:val="График Char"/>
    <w:link w:val="NoSpacing"/>
    <w:uiPriority w:val="1"/>
    <w:locked/>
    <w:rsid w:val="004259B8"/>
    <w:rPr>
      <w:rFonts w:eastAsia="MS Mincho"/>
      <w:sz w:val="22"/>
      <w:szCs w:val="22"/>
    </w:rPr>
  </w:style>
  <w:style w:type="paragraph" w:styleId="BodyText">
    <w:name w:val="Body Text"/>
    <w:basedOn w:val="Normal"/>
    <w:link w:val="BodyTextChar"/>
    <w:uiPriority w:val="99"/>
    <w:unhideWhenUsed/>
    <w:rsid w:val="004259B8"/>
    <w:pPr>
      <w:spacing w:afterLines="0" w:line="276" w:lineRule="auto"/>
      <w:jc w:val="left"/>
    </w:pPr>
    <w:rPr>
      <w:rFonts w:asciiTheme="minorHAnsi" w:eastAsiaTheme="minorEastAsia" w:hAnsiTheme="minorHAnsi"/>
      <w:kern w:val="0"/>
      <w:sz w:val="22"/>
      <w:lang w:val="en-US"/>
    </w:rPr>
  </w:style>
  <w:style w:type="character" w:customStyle="1" w:styleId="BodyTextChar">
    <w:name w:val="Body Text Char"/>
    <w:basedOn w:val="DefaultParagraphFont"/>
    <w:link w:val="BodyText"/>
    <w:uiPriority w:val="99"/>
    <w:rsid w:val="004259B8"/>
    <w:rPr>
      <w:rFonts w:eastAsiaTheme="minorEastAsia"/>
      <w:kern w:val="0"/>
      <w:sz w:val="22"/>
      <w:szCs w:val="22"/>
    </w:rPr>
  </w:style>
  <w:style w:type="character" w:customStyle="1" w:styleId="wacimagecontainer">
    <w:name w:val="wacimagecontainer"/>
    <w:basedOn w:val="DefaultParagraphFont"/>
    <w:rsid w:val="004259B8"/>
  </w:style>
  <w:style w:type="character" w:styleId="FollowedHyperlink">
    <w:name w:val="FollowedHyperlink"/>
    <w:basedOn w:val="DefaultParagraphFont"/>
    <w:uiPriority w:val="99"/>
    <w:semiHidden/>
    <w:unhideWhenUsed/>
    <w:rsid w:val="004259B8"/>
    <w:rPr>
      <w:color w:val="96607D" w:themeColor="followedHyperlink"/>
      <w:u w:val="single"/>
    </w:rPr>
  </w:style>
  <w:style w:type="paragraph" w:styleId="EndnoteText">
    <w:name w:val="endnote text"/>
    <w:basedOn w:val="Normal"/>
    <w:link w:val="EndnoteTextChar"/>
    <w:uiPriority w:val="99"/>
    <w:semiHidden/>
    <w:unhideWhenUsed/>
    <w:rsid w:val="004259B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259B8"/>
    <w:rPr>
      <w:rFonts w:ascii="Arial" w:eastAsia="MS Mincho" w:hAnsi="Arial"/>
      <w:sz w:val="20"/>
      <w:szCs w:val="20"/>
      <w:lang w:val="mn-MN"/>
    </w:rPr>
  </w:style>
  <w:style w:type="character" w:styleId="EndnoteReference">
    <w:name w:val="endnote reference"/>
    <w:basedOn w:val="DefaultParagraphFont"/>
    <w:uiPriority w:val="99"/>
    <w:semiHidden/>
    <w:unhideWhenUsed/>
    <w:rsid w:val="004259B8"/>
    <w:rPr>
      <w:vertAlign w:val="superscript"/>
    </w:rPr>
  </w:style>
  <w:style w:type="character" w:styleId="PlaceholderText">
    <w:name w:val="Placeholder Text"/>
    <w:basedOn w:val="DefaultParagraphFont"/>
    <w:uiPriority w:val="99"/>
    <w:semiHidden/>
    <w:rsid w:val="004259B8"/>
    <w:rPr>
      <w:color w:val="666666"/>
    </w:rPr>
  </w:style>
  <w:style w:type="numbering" w:customStyle="1" w:styleId="Style1">
    <w:name w:val="Style1"/>
    <w:uiPriority w:val="99"/>
    <w:rsid w:val="004259B8"/>
    <w:pPr>
      <w:numPr>
        <w:numId w:val="19"/>
      </w:numPr>
    </w:pPr>
  </w:style>
  <w:style w:type="numbering" w:customStyle="1" w:styleId="Style2">
    <w:name w:val="Style2"/>
    <w:uiPriority w:val="99"/>
    <w:rsid w:val="004259B8"/>
    <w:pPr>
      <w:numPr>
        <w:numId w:val="21"/>
      </w:numPr>
    </w:pPr>
  </w:style>
  <w:style w:type="numbering" w:customStyle="1" w:styleId="Style3">
    <w:name w:val="Style3"/>
    <w:uiPriority w:val="99"/>
    <w:rsid w:val="004259B8"/>
    <w:pPr>
      <w:numPr>
        <w:numId w:val="6"/>
      </w:numPr>
    </w:pPr>
  </w:style>
  <w:style w:type="numbering" w:customStyle="1" w:styleId="Style4">
    <w:name w:val="Style4"/>
    <w:uiPriority w:val="99"/>
    <w:rsid w:val="004259B8"/>
    <w:pPr>
      <w:numPr>
        <w:numId w:val="3"/>
      </w:numPr>
    </w:pPr>
  </w:style>
  <w:style w:type="numbering" w:customStyle="1" w:styleId="Style5">
    <w:name w:val="Style5"/>
    <w:uiPriority w:val="99"/>
    <w:rsid w:val="004259B8"/>
    <w:pPr>
      <w:numPr>
        <w:numId w:val="8"/>
      </w:numPr>
    </w:pPr>
  </w:style>
  <w:style w:type="numbering" w:customStyle="1" w:styleId="Style6">
    <w:name w:val="Style6"/>
    <w:uiPriority w:val="99"/>
    <w:rsid w:val="004259B8"/>
    <w:pPr>
      <w:numPr>
        <w:numId w:val="11"/>
      </w:numPr>
    </w:pPr>
  </w:style>
  <w:style w:type="numbering" w:customStyle="1" w:styleId="Style7">
    <w:name w:val="Style7"/>
    <w:uiPriority w:val="99"/>
    <w:rsid w:val="004259B8"/>
    <w:pPr>
      <w:numPr>
        <w:numId w:val="14"/>
      </w:numPr>
    </w:pPr>
  </w:style>
  <w:style w:type="table" w:customStyle="1" w:styleId="TableGrid3">
    <w:name w:val="Table Grid3"/>
    <w:basedOn w:val="TableNormal"/>
    <w:next w:val="TableGrid"/>
    <w:uiPriority w:val="59"/>
    <w:rsid w:val="00257347"/>
    <w:pPr>
      <w:spacing w:after="0" w:line="240" w:lineRule="auto"/>
    </w:pPr>
    <w:rPr>
      <w:rFonts w:eastAsia="Yu Mincho"/>
      <w:kern w:val="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chart" Target="charts/chart8.xml"/><Relationship Id="rId39" Type="http://schemas.openxmlformats.org/officeDocument/2006/relationships/footer" Target="footer4.xml"/><Relationship Id="rId21" Type="http://schemas.openxmlformats.org/officeDocument/2006/relationships/chart" Target="charts/chart3.xml"/><Relationship Id="rId34" Type="http://schemas.openxmlformats.org/officeDocument/2006/relationships/chart" Target="charts/chart1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hart" Target="charts/chart2.xml"/><Relationship Id="rId29" Type="http://schemas.openxmlformats.org/officeDocument/2006/relationships/chart" Target="charts/chart11.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6.xml"/><Relationship Id="rId32" Type="http://schemas.openxmlformats.org/officeDocument/2006/relationships/chart" Target="charts/chart14.xml"/><Relationship Id="rId37" Type="http://schemas.openxmlformats.org/officeDocument/2006/relationships/chart" Target="charts/chart19.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chart" Target="charts/chart18.xml"/><Relationship Id="rId10" Type="http://schemas.openxmlformats.org/officeDocument/2006/relationships/endnotes" Target="endnotes.xml"/><Relationship Id="rId19" Type="http://schemas.openxmlformats.org/officeDocument/2006/relationships/chart" Target="charts/chart1.xml"/><Relationship Id="rId31" Type="http://schemas.openxmlformats.org/officeDocument/2006/relationships/chart" Target="charts/chart1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chart" Target="charts/chart17.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header" Target="header3.xml"/><Relationship Id="rId25" Type="http://schemas.openxmlformats.org/officeDocument/2006/relationships/chart" Target="charts/chart7.xml"/><Relationship Id="rId33" Type="http://schemas.openxmlformats.org/officeDocument/2006/relationships/chart" Target="charts/chart15.xml"/><Relationship Id="rId38" Type="http://schemas.openxmlformats.org/officeDocument/2006/relationships/chart" Target="charts/chart20.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https://medgov.sharepoint.com/sites/msteams_ed8e14/Shared%20Documents/General/0.%20&#1058;&#1256;&#1051;&#1041;&#1256;&#1056;&#1048;&#1049;&#1053;%20&#1058;&#1069;&#1053;&#1062;&#1069;&#1051;/PROJECTION/BOP_monthly2026.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https://medgov.sharepoint.com/sites/msteams_ed8e14/Shared%20Documents/General/0.%20&#1058;&#1256;&#1051;&#1041;&#1256;&#1056;&#1048;&#1049;&#1053;%20&#1058;&#1069;&#1053;&#1062;&#1069;&#1051;/PROJECTION/BOP_monthly2026.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1.xml"/><Relationship Id="rId1" Type="http://schemas.microsoft.com/office/2011/relationships/chartStyle" Target="style11.xml"/><Relationship Id="rId5" Type="http://schemas.openxmlformats.org/officeDocument/2006/relationships/chartUserShapes" Target="../drawings/drawing1.xml"/><Relationship Id="rId4" Type="http://schemas.openxmlformats.org/officeDocument/2006/relationships/oleObject" Target="file:///C:\Users\Munkhtsetseg\Downloads\WUI_Data.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https://medgov-my.sharepoint.com/personal/myagmarjav_t_med_gov_mn/Documents/5.%20Dump/Dump.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https://medgov-my.sharepoint.com/personal/myagmarjav_t_med_gov_mn/Documents/5.%20Dump/Dump.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https://medgov-my.sharepoint.com/personal/myagmarjav_t_med_gov_mn/Documents/5.%20Dump/Dump.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https://medgov-my.sharepoint.com/personal/myagmarjav_t_med_gov_mn/Documents/5.%20Dump/Dump.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https://medgov-my.sharepoint.com/personal/myagmarjav_t_med_gov_mn/Documents/5.%20Dump/Dump.xlsx" TargetMode="Externa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1.xml"/></Relationships>
</file>

<file path=word/charts/_rels/chart19.xml.rels><?xml version="1.0" encoding="UTF-8" standalone="yes"?>
<Relationships xmlns="http://schemas.openxmlformats.org/package/2006/relationships"><Relationship Id="rId3" Type="http://schemas.openxmlformats.org/officeDocument/2006/relationships/oleObject" Target="https://medgov.sharepoint.com/sites/msteams_25ac7e/employment_productivity/Shared%20Documents/%5b01%5d%20Labor%20sector/00_1.Labor%20excel.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https://medgov.sharepoint.com/sites/Inflationexcel/Shared%20Documents/General/0.%20&#1198;&#1085;&#1076;&#1089;&#1101;&#1085;%20&#1092;&#1072;&#1081;&#1083;/2.%20inflation_graph.xlsx" TargetMode="External"/><Relationship Id="rId2" Type="http://schemas.microsoft.com/office/2011/relationships/chartColorStyle" Target="colors1.xml"/><Relationship Id="rId1" Type="http://schemas.microsoft.com/office/2011/relationships/chartStyle" Target="style1.xml"/></Relationships>
</file>

<file path=word/charts/_rels/chart20.xml.rels><?xml version="1.0" encoding="UTF-8" standalone="yes"?>
<Relationships xmlns="http://schemas.openxmlformats.org/package/2006/relationships"><Relationship Id="rId3" Type="http://schemas.openxmlformats.org/officeDocument/2006/relationships/oleObject" Target="https://medgov.sharepoint.com/sites/msteams_25ac7e/employment_productivity/Shared%20Documents/%5b01%5d%20Labor%20sector/00_1.Labor%20excel.xlsx" TargetMode="External"/><Relationship Id="rId2" Type="http://schemas.microsoft.com/office/2011/relationships/chartColorStyle" Target="colors18.xml"/><Relationship Id="rId1" Type="http://schemas.microsoft.com/office/2011/relationships/chartStyle" Target="style18.xml"/></Relationships>
</file>

<file path=word/charts/_rels/chart3.xml.rels><?xml version="1.0" encoding="UTF-8" standalone="yes"?>
<Relationships xmlns="http://schemas.openxmlformats.org/package/2006/relationships"><Relationship Id="rId3" Type="http://schemas.openxmlformats.org/officeDocument/2006/relationships/oleObject" Target="https://medgov.sharepoint.com/sites/msteams_25ac7e/Shared%20Documents/General/03.%20Diagnostics/2026Q2/Excels/MF%2026Q2.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https://medgov.sharepoint.com/sites/msteams_25ac7e/Shared%20Documents/General/03.%20Diagnostics/2026Q2/Excels/MF%2026Q2.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https://medgov.sharepoint.com/sites/msteams_25ac7e/employment_productivity/Shared%20Documents/%5b01%5d%20Labor%20sector/00_1.Labor%20excel.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https://medgov.sharepoint.com/sites/msteams_25ac7e/employment_productivity/Shared%20Documents/%5b01%5d%20Labor%20sector/00_1.Labor%20excel.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https://medgov-my.sharepoint.com/personal/myagmarjav_t_med_gov_mn/Documents/5.%20Dump/Dump.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https://medgov-my.sharepoint.com/personal/myagmarjav_t_med_gov_mn/Documents/5.%20Dump/Dump.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https://medgov.sharepoint.com/sites/msteams_ed8e14/Shared%20Documents/General/0.%20&#1043;&#1040;&#1044;&#1040;&#1040;&#1044;%20&#1061;&#1059;&#1044;&#1040;&#1051;&#1044;&#1040;&#1040;/1.%20&#1058;&#1086;&#1086;&#1094;&#1086;&#1086;&#1083;&#1086;&#1083;/2024/2.%20&#1048;&#1084;&#1087;&#1086;&#1088;&#1090;/Import_new.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46044244469442"/>
          <c:y val="0.25810889023487449"/>
          <c:w val="0.83218568267201898"/>
          <c:h val="0.6264400924243444"/>
        </c:manualLayout>
      </c:layout>
      <c:barChart>
        <c:barDir val="col"/>
        <c:grouping val="stacked"/>
        <c:varyColors val="0"/>
        <c:ser>
          <c:idx val="1"/>
          <c:order val="1"/>
          <c:tx>
            <c:strRef>
              <c:f>GDP!$EH$23</c:f>
              <c:strCache>
                <c:ptCount val="1"/>
                <c:pt idx="0">
                  <c:v>Эцсийн хэрэглээ</c:v>
                </c:pt>
              </c:strCache>
            </c:strRef>
          </c:tx>
          <c:spPr>
            <a:solidFill>
              <a:srgbClr val="005054"/>
            </a:solidFill>
            <a:ln>
              <a:noFill/>
            </a:ln>
            <a:effectLst/>
          </c:spPr>
          <c:invertIfNegative val="0"/>
          <c:cat>
            <c:strRef>
              <c:f>GDP!$FD$21:$FH$21</c:f>
              <c:strCache>
                <c:ptCount val="5"/>
                <c:pt idx="0">
                  <c:v>2021</c:v>
                </c:pt>
                <c:pt idx="1">
                  <c:v>2022</c:v>
                </c:pt>
                <c:pt idx="2">
                  <c:v>2023</c:v>
                </c:pt>
                <c:pt idx="3">
                  <c:v>2024</c:v>
                </c:pt>
                <c:pt idx="4">
                  <c:v>2025*</c:v>
                </c:pt>
              </c:strCache>
            </c:strRef>
          </c:cat>
          <c:val>
            <c:numRef>
              <c:f>GDP!$FD$23:$FH$23</c:f>
              <c:numCache>
                <c:formatCode>#\ ###\ ##0.0</c:formatCode>
                <c:ptCount val="5"/>
                <c:pt idx="0">
                  <c:v>-2.300587035381469</c:v>
                </c:pt>
                <c:pt idx="1">
                  <c:v>6.4608867919072166</c:v>
                </c:pt>
                <c:pt idx="2">
                  <c:v>6.9950555970869219</c:v>
                </c:pt>
                <c:pt idx="3">
                  <c:v>11.50681566587676</c:v>
                </c:pt>
                <c:pt idx="4">
                  <c:v>5.3010108056186569</c:v>
                </c:pt>
              </c:numCache>
            </c:numRef>
          </c:val>
          <c:extLst>
            <c:ext xmlns:c16="http://schemas.microsoft.com/office/drawing/2014/chart" uri="{C3380CC4-5D6E-409C-BE32-E72D297353CC}">
              <c16:uniqueId val="{00000000-F6DE-43D8-B277-0996D4002A04}"/>
            </c:ext>
          </c:extLst>
        </c:ser>
        <c:ser>
          <c:idx val="2"/>
          <c:order val="2"/>
          <c:tx>
            <c:strRef>
              <c:f>GDP!$EH$24</c:f>
              <c:strCache>
                <c:ptCount val="1"/>
                <c:pt idx="0">
                  <c:v>Хөрөнгийн хуримтлал</c:v>
                </c:pt>
              </c:strCache>
            </c:strRef>
          </c:tx>
          <c:spPr>
            <a:solidFill>
              <a:srgbClr val="089090"/>
            </a:solidFill>
            <a:ln>
              <a:noFill/>
            </a:ln>
            <a:effectLst/>
          </c:spPr>
          <c:invertIfNegative val="0"/>
          <c:cat>
            <c:strRef>
              <c:f>GDP!$FD$21:$FH$21</c:f>
              <c:strCache>
                <c:ptCount val="5"/>
                <c:pt idx="0">
                  <c:v>2021</c:v>
                </c:pt>
                <c:pt idx="1">
                  <c:v>2022</c:v>
                </c:pt>
                <c:pt idx="2">
                  <c:v>2023</c:v>
                </c:pt>
                <c:pt idx="3">
                  <c:v>2024</c:v>
                </c:pt>
                <c:pt idx="4">
                  <c:v>2025*</c:v>
                </c:pt>
              </c:strCache>
            </c:strRef>
          </c:cat>
          <c:val>
            <c:numRef>
              <c:f>GDP!$FD$24:$FH$24</c:f>
              <c:numCache>
                <c:formatCode>#\ ###\ ##0.0</c:formatCode>
                <c:ptCount val="5"/>
                <c:pt idx="0">
                  <c:v>19.893990631100898</c:v>
                </c:pt>
                <c:pt idx="1">
                  <c:v>4.8967372145219654</c:v>
                </c:pt>
                <c:pt idx="2">
                  <c:v>-1.5831191648018379</c:v>
                </c:pt>
                <c:pt idx="3">
                  <c:v>9.6908203529503467</c:v>
                </c:pt>
                <c:pt idx="4">
                  <c:v>-3.5501286057044794</c:v>
                </c:pt>
              </c:numCache>
            </c:numRef>
          </c:val>
          <c:extLst>
            <c:ext xmlns:c16="http://schemas.microsoft.com/office/drawing/2014/chart" uri="{C3380CC4-5D6E-409C-BE32-E72D297353CC}">
              <c16:uniqueId val="{00000001-F6DE-43D8-B277-0996D4002A04}"/>
            </c:ext>
          </c:extLst>
        </c:ser>
        <c:ser>
          <c:idx val="3"/>
          <c:order val="3"/>
          <c:tx>
            <c:strRef>
              <c:f>GDP!$EH$25</c:f>
              <c:strCache>
                <c:ptCount val="1"/>
                <c:pt idx="0">
                  <c:v>Цэвэр экспорт</c:v>
                </c:pt>
              </c:strCache>
            </c:strRef>
          </c:tx>
          <c:spPr>
            <a:solidFill>
              <a:srgbClr val="D7D3CB"/>
            </a:solidFill>
            <a:ln>
              <a:noFill/>
            </a:ln>
            <a:effectLst/>
          </c:spPr>
          <c:invertIfNegative val="0"/>
          <c:cat>
            <c:strRef>
              <c:f>GDP!$FD$21:$FH$21</c:f>
              <c:strCache>
                <c:ptCount val="5"/>
                <c:pt idx="0">
                  <c:v>2021</c:v>
                </c:pt>
                <c:pt idx="1">
                  <c:v>2022</c:v>
                </c:pt>
                <c:pt idx="2">
                  <c:v>2023</c:v>
                </c:pt>
                <c:pt idx="3">
                  <c:v>2024</c:v>
                </c:pt>
                <c:pt idx="4">
                  <c:v>2025*</c:v>
                </c:pt>
              </c:strCache>
            </c:strRef>
          </c:cat>
          <c:val>
            <c:numRef>
              <c:f>GDP!$FD$25:$FH$25</c:f>
              <c:numCache>
                <c:formatCode>#\ ###\ ##0.0</c:formatCode>
                <c:ptCount val="5"/>
                <c:pt idx="0">
                  <c:v>-15.970741632343355</c:v>
                </c:pt>
                <c:pt idx="1">
                  <c:v>-6.4034666736163937</c:v>
                </c:pt>
                <c:pt idx="2">
                  <c:v>1.7950111485896252</c:v>
                </c:pt>
                <c:pt idx="3">
                  <c:v>-16.14590819802596</c:v>
                </c:pt>
                <c:pt idx="4">
                  <c:v>5.1170270218797294</c:v>
                </c:pt>
              </c:numCache>
            </c:numRef>
          </c:val>
          <c:extLst>
            <c:ext xmlns:c16="http://schemas.microsoft.com/office/drawing/2014/chart" uri="{C3380CC4-5D6E-409C-BE32-E72D297353CC}">
              <c16:uniqueId val="{00000002-F6DE-43D8-B277-0996D4002A04}"/>
            </c:ext>
          </c:extLst>
        </c:ser>
        <c:dLbls>
          <c:showLegendKey val="0"/>
          <c:showVal val="0"/>
          <c:showCatName val="0"/>
          <c:showSerName val="0"/>
          <c:showPercent val="0"/>
          <c:showBubbleSize val="0"/>
        </c:dLbls>
        <c:gapWidth val="80"/>
        <c:overlap val="100"/>
        <c:axId val="825191455"/>
        <c:axId val="825187135"/>
      </c:barChart>
      <c:lineChart>
        <c:grouping val="standard"/>
        <c:varyColors val="0"/>
        <c:ser>
          <c:idx val="0"/>
          <c:order val="0"/>
          <c:tx>
            <c:strRef>
              <c:f>GDP!$EH$22</c:f>
              <c:strCache>
                <c:ptCount val="1"/>
                <c:pt idx="0">
                  <c:v>ДНБ-ий өсөлт</c:v>
                </c:pt>
              </c:strCache>
            </c:strRef>
          </c:tx>
          <c:spPr>
            <a:ln w="28575" cap="rnd">
              <a:noFill/>
              <a:round/>
            </a:ln>
            <a:effectLst/>
          </c:spPr>
          <c:marker>
            <c:symbol val="diamond"/>
            <c:size val="9"/>
            <c:spPr>
              <a:solidFill>
                <a:srgbClr val="FFC000"/>
              </a:solidFill>
              <a:ln w="9525">
                <a:solidFill>
                  <a:srgbClr val="E46C0A"/>
                </a:solidFill>
              </a:ln>
              <a:effectLst/>
            </c:spPr>
          </c:marker>
          <c:dLbls>
            <c:dLbl>
              <c:idx val="1"/>
              <c:layout>
                <c:manualLayout>
                  <c:x val="-7.7596827358879308E-2"/>
                  <c:y val="-3.6411368015414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6DE-43D8-B277-0996D4002A04}"/>
                </c:ext>
              </c:extLst>
            </c:dLbl>
            <c:spPr>
              <a:noFill/>
              <a:ln>
                <a:noFill/>
              </a:ln>
              <a:effectLst/>
            </c:spPr>
            <c:txPr>
              <a:bodyPr rot="0" vert="horz"/>
              <a:lstStyle/>
              <a:p>
                <a:pPr>
                  <a:defRPr sz="900"/>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strRef>
              <c:f>GDP!$FD$21:$FH$21</c:f>
              <c:strCache>
                <c:ptCount val="5"/>
                <c:pt idx="0">
                  <c:v>2021</c:v>
                </c:pt>
                <c:pt idx="1">
                  <c:v>2022</c:v>
                </c:pt>
                <c:pt idx="2">
                  <c:v>2023</c:v>
                </c:pt>
                <c:pt idx="3">
                  <c:v>2024</c:v>
                </c:pt>
                <c:pt idx="4">
                  <c:v>2025*</c:v>
                </c:pt>
              </c:strCache>
            </c:strRef>
          </c:cat>
          <c:val>
            <c:numRef>
              <c:f>GDP!$FD$22:$FH$22</c:f>
              <c:numCache>
                <c:formatCode>#\ ###\ ##0.0</c:formatCode>
                <c:ptCount val="5"/>
                <c:pt idx="0">
                  <c:v>1.6226619633760606</c:v>
                </c:pt>
                <c:pt idx="1">
                  <c:v>4.9541573328127981</c:v>
                </c:pt>
                <c:pt idx="2">
                  <c:v>7.2069475808747256</c:v>
                </c:pt>
                <c:pt idx="3">
                  <c:v>5.0517278208011476</c:v>
                </c:pt>
                <c:pt idx="4">
                  <c:v>6.8679092217938944</c:v>
                </c:pt>
              </c:numCache>
            </c:numRef>
          </c:val>
          <c:smooth val="0"/>
          <c:extLst>
            <c:ext xmlns:c16="http://schemas.microsoft.com/office/drawing/2014/chart" uri="{C3380CC4-5D6E-409C-BE32-E72D297353CC}">
              <c16:uniqueId val="{00000006-F6DE-43D8-B277-0996D4002A04}"/>
            </c:ext>
          </c:extLst>
        </c:ser>
        <c:dLbls>
          <c:showLegendKey val="0"/>
          <c:showVal val="0"/>
          <c:showCatName val="0"/>
          <c:showSerName val="0"/>
          <c:showPercent val="0"/>
          <c:showBubbleSize val="0"/>
        </c:dLbls>
        <c:marker val="1"/>
        <c:smooth val="0"/>
        <c:axId val="825191455"/>
        <c:axId val="825187135"/>
      </c:lineChart>
      <c:catAx>
        <c:axId val="825191455"/>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vert="horz"/>
          <a:lstStyle/>
          <a:p>
            <a:pPr>
              <a:defRPr sz="900"/>
            </a:pPr>
            <a:endParaRPr lang="en-US"/>
          </a:p>
        </c:txPr>
        <c:crossAx val="825187135"/>
        <c:crosses val="autoZero"/>
        <c:auto val="1"/>
        <c:lblAlgn val="ctr"/>
        <c:lblOffset val="100"/>
        <c:noMultiLvlLbl val="0"/>
      </c:catAx>
      <c:valAx>
        <c:axId val="825187135"/>
        <c:scaling>
          <c:orientation val="minMax"/>
          <c:min val="-20"/>
        </c:scaling>
        <c:delete val="0"/>
        <c:axPos val="l"/>
        <c:numFmt formatCode="#,##0" sourceLinked="0"/>
        <c:majorTickMark val="none"/>
        <c:minorTickMark val="none"/>
        <c:tickLblPos val="nextTo"/>
        <c:spPr>
          <a:noFill/>
          <a:ln>
            <a:noFill/>
          </a:ln>
          <a:effectLst/>
        </c:spPr>
        <c:txPr>
          <a:bodyPr rot="-60000000" vert="horz"/>
          <a:lstStyle/>
          <a:p>
            <a:pPr>
              <a:defRPr/>
            </a:pPr>
            <a:endParaRPr lang="en-US"/>
          </a:p>
        </c:txPr>
        <c:crossAx val="825191455"/>
        <c:crosses val="autoZero"/>
        <c:crossBetween val="between"/>
        <c:majorUnit val="10"/>
      </c:valAx>
      <c:spPr>
        <a:noFill/>
        <a:ln>
          <a:noFill/>
        </a:ln>
        <a:effectLst/>
      </c:spPr>
    </c:plotArea>
    <c:legend>
      <c:legendPos val="t"/>
      <c:layout>
        <c:manualLayout>
          <c:xMode val="edge"/>
          <c:yMode val="edge"/>
          <c:x val="1.1812594423842877E-2"/>
          <c:y val="3.0587668593448941E-2"/>
          <c:w val="0.9720141464084604"/>
          <c:h val="0.14904277990892165"/>
        </c:manualLayout>
      </c:layout>
      <c:overlay val="0"/>
      <c:spPr>
        <a:noFill/>
        <a:ln>
          <a:noFill/>
        </a:ln>
        <a:effectLst/>
      </c:spPr>
      <c:txPr>
        <a:bodyPr rot="0" vert="horz"/>
        <a:lstStyle/>
        <a:p>
          <a:pPr>
            <a:defRPr sz="900"/>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853146445020499"/>
          <c:y val="0.24331091426071738"/>
          <c:w val="0.80617308568362245"/>
          <c:h val="0.61598315835520567"/>
        </c:manualLayout>
      </c:layout>
      <c:barChart>
        <c:barDir val="col"/>
        <c:grouping val="stacked"/>
        <c:varyColors val="0"/>
        <c:ser>
          <c:idx val="0"/>
          <c:order val="0"/>
          <c:tx>
            <c:strRef>
              <c:f>'Хураангуй-A'!$A$131</c:f>
              <c:strCache>
                <c:ptCount val="1"/>
                <c:pt idx="0">
                  <c:v>Урсгал данс</c:v>
                </c:pt>
              </c:strCache>
            </c:strRef>
          </c:tx>
          <c:spPr>
            <a:solidFill>
              <a:srgbClr val="009999"/>
            </a:solidFill>
            <a:ln>
              <a:noFill/>
            </a:ln>
            <a:effectLst/>
          </c:spPr>
          <c:invertIfNegative val="0"/>
          <c:cat>
            <c:numRef>
              <c:f>'Хураангуй-A'!$AG$97:$AL$97</c:f>
              <c:numCache>
                <c:formatCode>General</c:formatCode>
                <c:ptCount val="6"/>
                <c:pt idx="0">
                  <c:v>2020</c:v>
                </c:pt>
                <c:pt idx="1">
                  <c:v>2021</c:v>
                </c:pt>
                <c:pt idx="2">
                  <c:v>2022</c:v>
                </c:pt>
                <c:pt idx="3">
                  <c:v>2023</c:v>
                </c:pt>
                <c:pt idx="4">
                  <c:v>2024</c:v>
                </c:pt>
                <c:pt idx="5">
                  <c:v>2025</c:v>
                </c:pt>
              </c:numCache>
              <c:extLst/>
            </c:numRef>
          </c:cat>
          <c:val>
            <c:numRef>
              <c:f>'Хураангуй-A'!$AG$131:$AL$131</c:f>
              <c:numCache>
                <c:formatCode>#,##0</c:formatCode>
                <c:ptCount val="6"/>
                <c:pt idx="0">
                  <c:v>-674.61</c:v>
                </c:pt>
                <c:pt idx="1">
                  <c:v>-2108.44</c:v>
                </c:pt>
                <c:pt idx="2">
                  <c:v>-2303.5</c:v>
                </c:pt>
                <c:pt idx="3">
                  <c:v>121.27</c:v>
                </c:pt>
                <c:pt idx="4">
                  <c:v>-2485.4299999999998</c:v>
                </c:pt>
                <c:pt idx="5">
                  <c:v>-2119.96</c:v>
                </c:pt>
              </c:numCache>
              <c:extLst/>
            </c:numRef>
          </c:val>
          <c:extLst>
            <c:ext xmlns:c16="http://schemas.microsoft.com/office/drawing/2014/chart" uri="{C3380CC4-5D6E-409C-BE32-E72D297353CC}">
              <c16:uniqueId val="{00000000-16A2-4CEF-AA83-5DD1860C8B79}"/>
            </c:ext>
          </c:extLst>
        </c:ser>
        <c:ser>
          <c:idx val="1"/>
          <c:order val="1"/>
          <c:tx>
            <c:strRef>
              <c:f>'Хураангуй-A'!$A$143</c:f>
              <c:strCache>
                <c:ptCount val="1"/>
                <c:pt idx="0">
                  <c:v>Санхүү, хөрөнгийн данс</c:v>
                </c:pt>
              </c:strCache>
            </c:strRef>
          </c:tx>
          <c:spPr>
            <a:solidFill>
              <a:srgbClr val="C00000"/>
            </a:solidFill>
            <a:ln>
              <a:noFill/>
            </a:ln>
            <a:effectLst/>
          </c:spPr>
          <c:invertIfNegative val="0"/>
          <c:cat>
            <c:numRef>
              <c:f>'Хураангуй-A'!$AG$97:$AL$97</c:f>
              <c:numCache>
                <c:formatCode>General</c:formatCode>
                <c:ptCount val="6"/>
                <c:pt idx="0">
                  <c:v>2020</c:v>
                </c:pt>
                <c:pt idx="1">
                  <c:v>2021</c:v>
                </c:pt>
                <c:pt idx="2">
                  <c:v>2022</c:v>
                </c:pt>
                <c:pt idx="3">
                  <c:v>2023</c:v>
                </c:pt>
                <c:pt idx="4">
                  <c:v>2024</c:v>
                </c:pt>
                <c:pt idx="5">
                  <c:v>2025</c:v>
                </c:pt>
              </c:numCache>
              <c:extLst/>
            </c:numRef>
          </c:cat>
          <c:val>
            <c:numRef>
              <c:f>'Хураангуй-A'!$AG$143:$AL$143</c:f>
              <c:numCache>
                <c:formatCode>#,##0</c:formatCode>
                <c:ptCount val="6"/>
                <c:pt idx="0">
                  <c:v>1607.08</c:v>
                </c:pt>
                <c:pt idx="1">
                  <c:v>2096.19</c:v>
                </c:pt>
                <c:pt idx="2">
                  <c:v>1798.32</c:v>
                </c:pt>
                <c:pt idx="3">
                  <c:v>1611.4899999999998</c:v>
                </c:pt>
                <c:pt idx="4">
                  <c:v>3500.94</c:v>
                </c:pt>
                <c:pt idx="5">
                  <c:v>3392.41</c:v>
                </c:pt>
              </c:numCache>
              <c:extLst/>
            </c:numRef>
          </c:val>
          <c:extLst>
            <c:ext xmlns:c16="http://schemas.microsoft.com/office/drawing/2014/chart" uri="{C3380CC4-5D6E-409C-BE32-E72D297353CC}">
              <c16:uniqueId val="{00000001-16A2-4CEF-AA83-5DD1860C8B79}"/>
            </c:ext>
          </c:extLst>
        </c:ser>
        <c:dLbls>
          <c:showLegendKey val="0"/>
          <c:showVal val="0"/>
          <c:showCatName val="0"/>
          <c:showSerName val="0"/>
          <c:showPercent val="0"/>
          <c:showBubbleSize val="0"/>
        </c:dLbls>
        <c:gapWidth val="100"/>
        <c:overlap val="100"/>
        <c:axId val="85514831"/>
        <c:axId val="85514351"/>
      </c:barChart>
      <c:lineChart>
        <c:grouping val="standard"/>
        <c:varyColors val="0"/>
        <c:ser>
          <c:idx val="2"/>
          <c:order val="2"/>
          <c:tx>
            <c:strRef>
              <c:f>'Хураангуй-A'!$A$130</c:f>
              <c:strCache>
                <c:ptCount val="1"/>
                <c:pt idx="0">
                  <c:v>Төлбөрийн тэнцэл</c:v>
                </c:pt>
              </c:strCache>
            </c:strRef>
          </c:tx>
          <c:spPr>
            <a:ln w="12700" cap="rnd">
              <a:solidFill>
                <a:schemeClr val="tx1"/>
              </a:solidFill>
              <a:round/>
            </a:ln>
            <a:effectLst/>
          </c:spPr>
          <c:marker>
            <c:symbol val="circle"/>
            <c:size val="5"/>
            <c:spPr>
              <a:solidFill>
                <a:schemeClr val="tx1"/>
              </a:solidFill>
              <a:ln w="12700">
                <a:solidFill>
                  <a:schemeClr val="tx1"/>
                </a:solidFill>
              </a:ln>
              <a:effectLst/>
            </c:spPr>
          </c:marker>
          <c:dLbls>
            <c:dLbl>
              <c:idx val="5"/>
              <c:layout>
                <c:manualLayout>
                  <c:x val="-5.3530986205476631E-2"/>
                  <c:y val="-6.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6A2-4CEF-AA83-5DD1860C8B79}"/>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'Хураангуй-A'!$AG$97:$AL$97</c:f>
              <c:numCache>
                <c:formatCode>General</c:formatCode>
                <c:ptCount val="6"/>
                <c:pt idx="0">
                  <c:v>2020</c:v>
                </c:pt>
                <c:pt idx="1">
                  <c:v>2021</c:v>
                </c:pt>
                <c:pt idx="2">
                  <c:v>2022</c:v>
                </c:pt>
                <c:pt idx="3">
                  <c:v>2023</c:v>
                </c:pt>
                <c:pt idx="4">
                  <c:v>2024</c:v>
                </c:pt>
                <c:pt idx="5">
                  <c:v>2025</c:v>
                </c:pt>
              </c:numCache>
              <c:extLst/>
            </c:numRef>
          </c:cat>
          <c:val>
            <c:numRef>
              <c:f>'Хураангуй-A'!$AG$130:$AL$130</c:f>
              <c:numCache>
                <c:formatCode>#,##0</c:formatCode>
                <c:ptCount val="6"/>
                <c:pt idx="0">
                  <c:v>786.89</c:v>
                </c:pt>
                <c:pt idx="1">
                  <c:v>-221.63</c:v>
                </c:pt>
                <c:pt idx="2">
                  <c:v>-727.25</c:v>
                </c:pt>
                <c:pt idx="3">
                  <c:v>1457.02</c:v>
                </c:pt>
                <c:pt idx="4">
                  <c:v>622.29</c:v>
                </c:pt>
                <c:pt idx="5">
                  <c:v>1034.29</c:v>
                </c:pt>
              </c:numCache>
              <c:extLst/>
            </c:numRef>
          </c:val>
          <c:smooth val="0"/>
          <c:extLst>
            <c:ext xmlns:c16="http://schemas.microsoft.com/office/drawing/2014/chart" uri="{C3380CC4-5D6E-409C-BE32-E72D297353CC}">
              <c16:uniqueId val="{00000002-16A2-4CEF-AA83-5DD1860C8B79}"/>
            </c:ext>
          </c:extLst>
        </c:ser>
        <c:dLbls>
          <c:showLegendKey val="0"/>
          <c:showVal val="0"/>
          <c:showCatName val="0"/>
          <c:showSerName val="0"/>
          <c:showPercent val="0"/>
          <c:showBubbleSize val="0"/>
        </c:dLbls>
        <c:marker val="1"/>
        <c:smooth val="0"/>
        <c:axId val="85514831"/>
        <c:axId val="85514351"/>
      </c:lineChart>
      <c:catAx>
        <c:axId val="85514831"/>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5514351"/>
        <c:crosses val="autoZero"/>
        <c:auto val="1"/>
        <c:lblAlgn val="ctr"/>
        <c:lblOffset val="100"/>
        <c:noMultiLvlLbl val="0"/>
      </c:catAx>
      <c:valAx>
        <c:axId val="85514351"/>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5514831"/>
        <c:crosses val="autoZero"/>
        <c:crossBetween val="between"/>
      </c:valAx>
      <c:spPr>
        <a:noFill/>
        <a:ln>
          <a:noFill/>
        </a:ln>
        <a:effectLst/>
      </c:spPr>
    </c:plotArea>
    <c:legend>
      <c:legendPos val="t"/>
      <c:layout>
        <c:manualLayout>
          <c:xMode val="edge"/>
          <c:yMode val="edge"/>
          <c:x val="6.0130003280839908E-2"/>
          <c:y val="4.3072505384063174E-2"/>
          <c:w val="0.87973958333333335"/>
          <c:h val="0.2156265014611866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576844857408471"/>
          <c:y val="7.9970919665576151E-2"/>
          <c:w val="0.82358940552061144"/>
          <c:h val="0.80907558310936323"/>
        </c:manualLayout>
      </c:layout>
      <c:barChart>
        <c:barDir val="col"/>
        <c:grouping val="stacked"/>
        <c:varyColors val="0"/>
        <c:ser>
          <c:idx val="0"/>
          <c:order val="0"/>
          <c:spPr>
            <a:solidFill>
              <a:srgbClr val="009999"/>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'Хураангуй-A'!$AH$129:$AL$129</c:f>
              <c:numCache>
                <c:formatCode>General</c:formatCode>
                <c:ptCount val="5"/>
                <c:pt idx="0">
                  <c:v>2021</c:v>
                </c:pt>
                <c:pt idx="1">
                  <c:v>2022</c:v>
                </c:pt>
                <c:pt idx="2">
                  <c:v>2023</c:v>
                </c:pt>
                <c:pt idx="3">
                  <c:v>2024</c:v>
                </c:pt>
                <c:pt idx="4">
                  <c:v>2025</c:v>
                </c:pt>
              </c:numCache>
              <c:extLst/>
            </c:numRef>
          </c:cat>
          <c:val>
            <c:numRef>
              <c:f>'Хураангуй-A'!$AH$140:$AL$140</c:f>
              <c:numCache>
                <c:formatCode>#,##0</c:formatCode>
                <c:ptCount val="5"/>
                <c:pt idx="0">
                  <c:v>4366.0600000000004</c:v>
                </c:pt>
                <c:pt idx="1">
                  <c:v>3399.59</c:v>
                </c:pt>
                <c:pt idx="2">
                  <c:v>4921.62</c:v>
                </c:pt>
                <c:pt idx="3">
                  <c:v>5509.82</c:v>
                </c:pt>
                <c:pt idx="4">
                  <c:v>7005.28</c:v>
                </c:pt>
              </c:numCache>
              <c:extLst/>
            </c:numRef>
          </c:val>
          <c:extLst>
            <c:ext xmlns:c16="http://schemas.microsoft.com/office/drawing/2014/chart" uri="{C3380CC4-5D6E-409C-BE32-E72D297353CC}">
              <c16:uniqueId val="{00000000-2911-423E-A905-77551C5038C8}"/>
            </c:ext>
          </c:extLst>
        </c:ser>
        <c:dLbls>
          <c:showLegendKey val="0"/>
          <c:showVal val="0"/>
          <c:showCatName val="0"/>
          <c:showSerName val="0"/>
          <c:showPercent val="0"/>
          <c:showBubbleSize val="0"/>
        </c:dLbls>
        <c:gapWidth val="100"/>
        <c:overlap val="100"/>
        <c:axId val="85514831"/>
        <c:axId val="85514351"/>
      </c:barChart>
      <c:catAx>
        <c:axId val="85514831"/>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5514351"/>
        <c:crosses val="autoZero"/>
        <c:auto val="1"/>
        <c:lblAlgn val="ctr"/>
        <c:lblOffset val="100"/>
        <c:noMultiLvlLbl val="0"/>
      </c:catAx>
      <c:valAx>
        <c:axId val="85514351"/>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5514831"/>
        <c:crosses val="autoZero"/>
        <c:crossBetween val="between"/>
        <c:majorUnit val="2000"/>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2704655241993251E-2"/>
          <c:y val="0.11558178697822459"/>
          <c:w val="0.94169682127469956"/>
          <c:h val="0.83506213923131245"/>
        </c:manualLayout>
      </c:layout>
      <c:areaChart>
        <c:grouping val="standard"/>
        <c:varyColors val="0"/>
        <c:ser>
          <c:idx val="0"/>
          <c:order val="0"/>
          <c:spPr>
            <a:solidFill>
              <a:sysClr val="window" lastClr="FFFFFF">
                <a:lumMod val="75000"/>
                <a:alpha val="60000"/>
              </a:sysClr>
            </a:solidFill>
            <a:ln w="19050">
              <a:noFill/>
            </a:ln>
            <a:effectLst/>
          </c:spPr>
          <c:cat>
            <c:numRef>
              <c:f>'F1'!$B$4:$B$149</c:f>
              <c:numCache>
                <c:formatCode>General</c:formatCode>
                <c:ptCount val="146"/>
                <c:pt idx="0">
                  <c:v>1990</c:v>
                </c:pt>
                <c:pt idx="8">
                  <c:v>1992</c:v>
                </c:pt>
                <c:pt idx="20">
                  <c:v>1995</c:v>
                </c:pt>
                <c:pt idx="28">
                  <c:v>1997</c:v>
                </c:pt>
                <c:pt idx="40">
                  <c:v>2000</c:v>
                </c:pt>
                <c:pt idx="48">
                  <c:v>2002</c:v>
                </c:pt>
                <c:pt idx="60">
                  <c:v>2005</c:v>
                </c:pt>
                <c:pt idx="68">
                  <c:v>2007</c:v>
                </c:pt>
                <c:pt idx="80">
                  <c:v>2010</c:v>
                </c:pt>
                <c:pt idx="88">
                  <c:v>2012</c:v>
                </c:pt>
                <c:pt idx="100">
                  <c:v>2015</c:v>
                </c:pt>
                <c:pt idx="108">
                  <c:v>2017</c:v>
                </c:pt>
                <c:pt idx="120">
                  <c:v>2020</c:v>
                </c:pt>
                <c:pt idx="128">
                  <c:v>2022</c:v>
                </c:pt>
                <c:pt idx="140">
                  <c:v>2025</c:v>
                </c:pt>
                <c:pt idx="144">
                  <c:v>2026</c:v>
                </c:pt>
              </c:numCache>
            </c:numRef>
          </c:cat>
          <c:val>
            <c:numRef>
              <c:f>'F1'!$C$4:$C$149</c:f>
              <c:numCache>
                <c:formatCode>#,##0</c:formatCode>
                <c:ptCount val="146"/>
                <c:pt idx="0">
                  <c:v>12496.47</c:v>
                </c:pt>
                <c:pt idx="1">
                  <c:v>8769.9650000000001</c:v>
                </c:pt>
                <c:pt idx="2">
                  <c:v>16198.83</c:v>
                </c:pt>
                <c:pt idx="3">
                  <c:v>11872.27</c:v>
                </c:pt>
                <c:pt idx="4">
                  <c:v>8223.5499999999993</c:v>
                </c:pt>
                <c:pt idx="5">
                  <c:v>10483.81</c:v>
                </c:pt>
                <c:pt idx="6">
                  <c:v>6208.3220000000001</c:v>
                </c:pt>
                <c:pt idx="7">
                  <c:v>7314.1329999999998</c:v>
                </c:pt>
                <c:pt idx="8">
                  <c:v>12616.9</c:v>
                </c:pt>
                <c:pt idx="9">
                  <c:v>7358.835</c:v>
                </c:pt>
                <c:pt idx="10">
                  <c:v>6777.6109999999999</c:v>
                </c:pt>
                <c:pt idx="11">
                  <c:v>13982.37</c:v>
                </c:pt>
                <c:pt idx="12">
                  <c:v>13705.72</c:v>
                </c:pt>
                <c:pt idx="13">
                  <c:v>10558.9</c:v>
                </c:pt>
                <c:pt idx="14">
                  <c:v>15698.88</c:v>
                </c:pt>
                <c:pt idx="15">
                  <c:v>11880.08</c:v>
                </c:pt>
                <c:pt idx="16">
                  <c:v>9655.8529999999992</c:v>
                </c:pt>
                <c:pt idx="17">
                  <c:v>9446.2360000000008</c:v>
                </c:pt>
                <c:pt idx="18">
                  <c:v>12937.13</c:v>
                </c:pt>
                <c:pt idx="19">
                  <c:v>8478.3179999999993</c:v>
                </c:pt>
                <c:pt idx="20">
                  <c:v>11010.07</c:v>
                </c:pt>
                <c:pt idx="21">
                  <c:v>9926.9740000000002</c:v>
                </c:pt>
                <c:pt idx="22">
                  <c:v>8000.6670000000004</c:v>
                </c:pt>
                <c:pt idx="23">
                  <c:v>11781.52</c:v>
                </c:pt>
                <c:pt idx="24">
                  <c:v>10780.95</c:v>
                </c:pt>
                <c:pt idx="25">
                  <c:v>11799.2</c:v>
                </c:pt>
                <c:pt idx="26">
                  <c:v>9862.2459999999992</c:v>
                </c:pt>
                <c:pt idx="27">
                  <c:v>8467.3970000000008</c:v>
                </c:pt>
                <c:pt idx="28">
                  <c:v>8311.3050000000003</c:v>
                </c:pt>
                <c:pt idx="29">
                  <c:v>11003.56</c:v>
                </c:pt>
                <c:pt idx="30">
                  <c:v>8718.8449999999993</c:v>
                </c:pt>
                <c:pt idx="31">
                  <c:v>6869.1059999999998</c:v>
                </c:pt>
                <c:pt idx="32">
                  <c:v>13808.13</c:v>
                </c:pt>
                <c:pt idx="33">
                  <c:v>9724.482</c:v>
                </c:pt>
                <c:pt idx="34">
                  <c:v>14250.31</c:v>
                </c:pt>
                <c:pt idx="35">
                  <c:v>9511.1049999999996</c:v>
                </c:pt>
                <c:pt idx="36">
                  <c:v>11074.92</c:v>
                </c:pt>
                <c:pt idx="37">
                  <c:v>13018.25</c:v>
                </c:pt>
                <c:pt idx="38">
                  <c:v>5777.7690000000002</c:v>
                </c:pt>
                <c:pt idx="39">
                  <c:v>7862.549</c:v>
                </c:pt>
                <c:pt idx="40">
                  <c:v>5832.3329999999996</c:v>
                </c:pt>
                <c:pt idx="41">
                  <c:v>5569.9409999999998</c:v>
                </c:pt>
                <c:pt idx="42">
                  <c:v>13816.67</c:v>
                </c:pt>
                <c:pt idx="43">
                  <c:v>11881.05</c:v>
                </c:pt>
                <c:pt idx="44">
                  <c:v>22324.51</c:v>
                </c:pt>
                <c:pt idx="45">
                  <c:v>13179.21</c:v>
                </c:pt>
                <c:pt idx="46">
                  <c:v>25155.95</c:v>
                </c:pt>
                <c:pt idx="47">
                  <c:v>23448.18</c:v>
                </c:pt>
                <c:pt idx="48">
                  <c:v>22597.360000000001</c:v>
                </c:pt>
                <c:pt idx="49">
                  <c:v>17938.45</c:v>
                </c:pt>
                <c:pt idx="50">
                  <c:v>14136.45</c:v>
                </c:pt>
                <c:pt idx="51">
                  <c:v>27832.880000000001</c:v>
                </c:pt>
                <c:pt idx="52">
                  <c:v>25718.62</c:v>
                </c:pt>
                <c:pt idx="53">
                  <c:v>34454.82</c:v>
                </c:pt>
                <c:pt idx="54">
                  <c:v>23886.34</c:v>
                </c:pt>
                <c:pt idx="55">
                  <c:v>12058.21</c:v>
                </c:pt>
                <c:pt idx="56">
                  <c:v>16122.31</c:v>
                </c:pt>
                <c:pt idx="57">
                  <c:v>9975.3389999999999</c:v>
                </c:pt>
                <c:pt idx="58">
                  <c:v>14397.81</c:v>
                </c:pt>
                <c:pt idx="59">
                  <c:v>13202.73</c:v>
                </c:pt>
                <c:pt idx="60">
                  <c:v>11537.9</c:v>
                </c:pt>
                <c:pt idx="61">
                  <c:v>11866.98</c:v>
                </c:pt>
                <c:pt idx="62">
                  <c:v>20193.73</c:v>
                </c:pt>
                <c:pt idx="63">
                  <c:v>12165.63</c:v>
                </c:pt>
                <c:pt idx="64">
                  <c:v>11552.83</c:v>
                </c:pt>
                <c:pt idx="65">
                  <c:v>8235.1579999999994</c:v>
                </c:pt>
                <c:pt idx="66">
                  <c:v>11854.69</c:v>
                </c:pt>
                <c:pt idx="67">
                  <c:v>9051.4310000000005</c:v>
                </c:pt>
                <c:pt idx="68">
                  <c:v>13357.51</c:v>
                </c:pt>
                <c:pt idx="69">
                  <c:v>18459.61</c:v>
                </c:pt>
                <c:pt idx="70">
                  <c:v>21867.71</c:v>
                </c:pt>
                <c:pt idx="71">
                  <c:v>13843.68</c:v>
                </c:pt>
                <c:pt idx="72">
                  <c:v>13176.87</c:v>
                </c:pt>
                <c:pt idx="73">
                  <c:v>18019.05</c:v>
                </c:pt>
                <c:pt idx="74">
                  <c:v>14048.15</c:v>
                </c:pt>
                <c:pt idx="75">
                  <c:v>13245.42</c:v>
                </c:pt>
                <c:pt idx="76">
                  <c:v>21794.11</c:v>
                </c:pt>
                <c:pt idx="77">
                  <c:v>18972.07</c:v>
                </c:pt>
                <c:pt idx="78">
                  <c:v>14507.25</c:v>
                </c:pt>
                <c:pt idx="79">
                  <c:v>18951.79</c:v>
                </c:pt>
                <c:pt idx="80">
                  <c:v>19711.91</c:v>
                </c:pt>
                <c:pt idx="81">
                  <c:v>21449.03</c:v>
                </c:pt>
                <c:pt idx="82">
                  <c:v>19653.439999999999</c:v>
                </c:pt>
                <c:pt idx="83">
                  <c:v>14901.64</c:v>
                </c:pt>
                <c:pt idx="84">
                  <c:v>13397.83</c:v>
                </c:pt>
                <c:pt idx="85">
                  <c:v>14121</c:v>
                </c:pt>
                <c:pt idx="86">
                  <c:v>20227.560000000001</c:v>
                </c:pt>
                <c:pt idx="87">
                  <c:v>19436.98</c:v>
                </c:pt>
                <c:pt idx="88">
                  <c:v>18629.88</c:v>
                </c:pt>
                <c:pt idx="89">
                  <c:v>36827.879999999997</c:v>
                </c:pt>
                <c:pt idx="90">
                  <c:v>25945.24</c:v>
                </c:pt>
                <c:pt idx="91">
                  <c:v>38752.269999999997</c:v>
                </c:pt>
                <c:pt idx="92">
                  <c:v>31598.92</c:v>
                </c:pt>
                <c:pt idx="93">
                  <c:v>14113.9</c:v>
                </c:pt>
                <c:pt idx="94">
                  <c:v>15802.53</c:v>
                </c:pt>
                <c:pt idx="95">
                  <c:v>18492.009999999998</c:v>
                </c:pt>
                <c:pt idx="96">
                  <c:v>19536.86</c:v>
                </c:pt>
                <c:pt idx="97">
                  <c:v>20086.099999999999</c:v>
                </c:pt>
                <c:pt idx="98">
                  <c:v>14211.19</c:v>
                </c:pt>
                <c:pt idx="99">
                  <c:v>17252.02</c:v>
                </c:pt>
                <c:pt idx="100">
                  <c:v>29838.2</c:v>
                </c:pt>
                <c:pt idx="101">
                  <c:v>25360.74</c:v>
                </c:pt>
                <c:pt idx="102">
                  <c:v>21280.47</c:v>
                </c:pt>
                <c:pt idx="103">
                  <c:v>18517.900000000001</c:v>
                </c:pt>
                <c:pt idx="104">
                  <c:v>22826.080000000002</c:v>
                </c:pt>
                <c:pt idx="105">
                  <c:v>18513.21</c:v>
                </c:pt>
                <c:pt idx="106">
                  <c:v>30182.29</c:v>
                </c:pt>
                <c:pt idx="107">
                  <c:v>32031.3</c:v>
                </c:pt>
                <c:pt idx="108">
                  <c:v>29910.11</c:v>
                </c:pt>
                <c:pt idx="109">
                  <c:v>16514.349999999999</c:v>
                </c:pt>
                <c:pt idx="110">
                  <c:v>16325.61</c:v>
                </c:pt>
                <c:pt idx="111">
                  <c:v>28396.560000000001</c:v>
                </c:pt>
                <c:pt idx="112">
                  <c:v>13622.16</c:v>
                </c:pt>
                <c:pt idx="113">
                  <c:v>25653.23</c:v>
                </c:pt>
                <c:pt idx="114">
                  <c:v>28710.76</c:v>
                </c:pt>
                <c:pt idx="115">
                  <c:v>26443.05</c:v>
                </c:pt>
                <c:pt idx="116">
                  <c:v>36588.019999999997</c:v>
                </c:pt>
                <c:pt idx="117">
                  <c:v>40489.040000000001</c:v>
                </c:pt>
                <c:pt idx="118">
                  <c:v>32800.980000000003</c:v>
                </c:pt>
                <c:pt idx="119">
                  <c:v>52716.26</c:v>
                </c:pt>
                <c:pt idx="120">
                  <c:v>55684.71</c:v>
                </c:pt>
                <c:pt idx="121">
                  <c:v>28914.37</c:v>
                </c:pt>
                <c:pt idx="122">
                  <c:v>27497.73</c:v>
                </c:pt>
                <c:pt idx="123">
                  <c:v>22319.62</c:v>
                </c:pt>
                <c:pt idx="124">
                  <c:v>11888.73</c:v>
                </c:pt>
                <c:pt idx="125">
                  <c:v>18072.810000000001</c:v>
                </c:pt>
                <c:pt idx="126">
                  <c:v>21508.560000000001</c:v>
                </c:pt>
                <c:pt idx="127">
                  <c:v>19802.650000000001</c:v>
                </c:pt>
                <c:pt idx="128">
                  <c:v>26455.02</c:v>
                </c:pt>
                <c:pt idx="129">
                  <c:v>29343.64</c:v>
                </c:pt>
                <c:pt idx="130">
                  <c:v>24504.76</c:v>
                </c:pt>
                <c:pt idx="131">
                  <c:v>26500.43</c:v>
                </c:pt>
                <c:pt idx="132">
                  <c:v>26400.05</c:v>
                </c:pt>
                <c:pt idx="133">
                  <c:v>30702.400000000001</c:v>
                </c:pt>
                <c:pt idx="134">
                  <c:v>17905.28</c:v>
                </c:pt>
                <c:pt idx="135">
                  <c:v>16655.52</c:v>
                </c:pt>
                <c:pt idx="136">
                  <c:v>16042.91</c:v>
                </c:pt>
                <c:pt idx="137">
                  <c:v>15096.69</c:v>
                </c:pt>
                <c:pt idx="138">
                  <c:v>19263.25</c:v>
                </c:pt>
                <c:pt idx="139">
                  <c:v>26370.25</c:v>
                </c:pt>
                <c:pt idx="140">
                  <c:v>48145.7</c:v>
                </c:pt>
                <c:pt idx="141">
                  <c:v>80038.14</c:v>
                </c:pt>
                <c:pt idx="142">
                  <c:v>106862.2</c:v>
                </c:pt>
                <c:pt idx="143">
                  <c:v>94947.06</c:v>
                </c:pt>
                <c:pt idx="144">
                  <c:v>81872</c:v>
                </c:pt>
                <c:pt idx="145">
                  <c:v>77923</c:v>
                </c:pt>
              </c:numCache>
            </c:numRef>
          </c:val>
          <c:extLst>
            <c:ext xmlns:c16="http://schemas.microsoft.com/office/drawing/2014/chart" uri="{C3380CC4-5D6E-409C-BE32-E72D297353CC}">
              <c16:uniqueId val="{00000000-7B9A-4E73-8F9F-E14F3EAD9271}"/>
            </c:ext>
          </c:extLst>
        </c:ser>
        <c:dLbls>
          <c:showLegendKey val="0"/>
          <c:showVal val="0"/>
          <c:showCatName val="0"/>
          <c:showSerName val="0"/>
          <c:showPercent val="0"/>
          <c:showBubbleSize val="0"/>
        </c:dLbls>
        <c:axId val="1179486943"/>
        <c:axId val="1179484063"/>
      </c:areaChart>
      <c:lineChart>
        <c:grouping val="standard"/>
        <c:varyColors val="0"/>
        <c:ser>
          <c:idx val="1"/>
          <c:order val="1"/>
          <c:spPr>
            <a:ln w="9525" cap="rnd">
              <a:solidFill>
                <a:srgbClr val="C00000"/>
              </a:solidFill>
              <a:round/>
            </a:ln>
            <a:effectLst/>
          </c:spPr>
          <c:marker>
            <c:symbol val="none"/>
          </c:marker>
          <c:dPt>
            <c:idx val="120"/>
            <c:marker>
              <c:symbol val="circle"/>
              <c:size val="6"/>
              <c:spPr>
                <a:solidFill>
                  <a:srgbClr val="C00000"/>
                </a:solidFill>
                <a:ln w="9525">
                  <a:solidFill>
                    <a:srgbClr val="C00000"/>
                  </a:solidFill>
                </a:ln>
                <a:effectLst/>
              </c:spPr>
            </c:marker>
            <c:bubble3D val="0"/>
            <c:extLst>
              <c:ext xmlns:c16="http://schemas.microsoft.com/office/drawing/2014/chart" uri="{C3380CC4-5D6E-409C-BE32-E72D297353CC}">
                <c16:uniqueId val="{00000001-7B9A-4E73-8F9F-E14F3EAD9271}"/>
              </c:ext>
            </c:extLst>
          </c:dPt>
          <c:dPt>
            <c:idx val="140"/>
            <c:marker>
              <c:symbol val="none"/>
            </c:marker>
            <c:bubble3D val="0"/>
            <c:extLst>
              <c:ext xmlns:c16="http://schemas.microsoft.com/office/drawing/2014/chart" uri="{C3380CC4-5D6E-409C-BE32-E72D297353CC}">
                <c16:uniqueId val="{00000002-7B9A-4E73-8F9F-E14F3EAD9271}"/>
              </c:ext>
            </c:extLst>
          </c:dPt>
          <c:dPt>
            <c:idx val="141"/>
            <c:marker>
              <c:symbol val="none"/>
            </c:marker>
            <c:bubble3D val="0"/>
            <c:extLst>
              <c:ext xmlns:c16="http://schemas.microsoft.com/office/drawing/2014/chart" uri="{C3380CC4-5D6E-409C-BE32-E72D297353CC}">
                <c16:uniqueId val="{00000003-7B9A-4E73-8F9F-E14F3EAD9271}"/>
              </c:ext>
            </c:extLst>
          </c:dPt>
          <c:dPt>
            <c:idx val="142"/>
            <c:marker>
              <c:symbol val="circle"/>
              <c:size val="6"/>
              <c:spPr>
                <a:solidFill>
                  <a:srgbClr val="C00000"/>
                </a:solidFill>
                <a:ln w="9525">
                  <a:solidFill>
                    <a:srgbClr val="C00000"/>
                  </a:solidFill>
                </a:ln>
                <a:effectLst/>
              </c:spPr>
            </c:marker>
            <c:bubble3D val="0"/>
            <c:extLst>
              <c:ext xmlns:c16="http://schemas.microsoft.com/office/drawing/2014/chart" uri="{C3380CC4-5D6E-409C-BE32-E72D297353CC}">
                <c16:uniqueId val="{00000004-7B9A-4E73-8F9F-E14F3EAD9271}"/>
              </c:ext>
            </c:extLst>
          </c:dPt>
          <c:dPt>
            <c:idx val="143"/>
            <c:marker>
              <c:symbol val="none"/>
            </c:marker>
            <c:bubble3D val="0"/>
            <c:extLst>
              <c:ext xmlns:c16="http://schemas.microsoft.com/office/drawing/2014/chart" uri="{C3380CC4-5D6E-409C-BE32-E72D297353CC}">
                <c16:uniqueId val="{00000005-7B9A-4E73-8F9F-E14F3EAD9271}"/>
              </c:ext>
            </c:extLst>
          </c:dPt>
          <c:val>
            <c:numRef>
              <c:f>'F1'!$C$4:$C$149</c:f>
              <c:numCache>
                <c:formatCode>#,##0</c:formatCode>
                <c:ptCount val="146"/>
                <c:pt idx="0">
                  <c:v>12496.47</c:v>
                </c:pt>
                <c:pt idx="1">
                  <c:v>8769.9650000000001</c:v>
                </c:pt>
                <c:pt idx="2">
                  <c:v>16198.83</c:v>
                </c:pt>
                <c:pt idx="3">
                  <c:v>11872.27</c:v>
                </c:pt>
                <c:pt idx="4">
                  <c:v>8223.5499999999993</c:v>
                </c:pt>
                <c:pt idx="5">
                  <c:v>10483.81</c:v>
                </c:pt>
                <c:pt idx="6">
                  <c:v>6208.3220000000001</c:v>
                </c:pt>
                <c:pt idx="7">
                  <c:v>7314.1329999999998</c:v>
                </c:pt>
                <c:pt idx="8">
                  <c:v>12616.9</c:v>
                </c:pt>
                <c:pt idx="9">
                  <c:v>7358.835</c:v>
                </c:pt>
                <c:pt idx="10">
                  <c:v>6777.6109999999999</c:v>
                </c:pt>
                <c:pt idx="11">
                  <c:v>13982.37</c:v>
                </c:pt>
                <c:pt idx="12">
                  <c:v>13705.72</c:v>
                </c:pt>
                <c:pt idx="13">
                  <c:v>10558.9</c:v>
                </c:pt>
                <c:pt idx="14">
                  <c:v>15698.88</c:v>
                </c:pt>
                <c:pt idx="15">
                  <c:v>11880.08</c:v>
                </c:pt>
                <c:pt idx="16">
                  <c:v>9655.8529999999992</c:v>
                </c:pt>
                <c:pt idx="17">
                  <c:v>9446.2360000000008</c:v>
                </c:pt>
                <c:pt idx="18">
                  <c:v>12937.13</c:v>
                </c:pt>
                <c:pt idx="19">
                  <c:v>8478.3179999999993</c:v>
                </c:pt>
                <c:pt idx="20">
                  <c:v>11010.07</c:v>
                </c:pt>
                <c:pt idx="21">
                  <c:v>9926.9740000000002</c:v>
                </c:pt>
                <c:pt idx="22">
                  <c:v>8000.6670000000004</c:v>
                </c:pt>
                <c:pt idx="23">
                  <c:v>11781.52</c:v>
                </c:pt>
                <c:pt idx="24">
                  <c:v>10780.95</c:v>
                </c:pt>
                <c:pt idx="25">
                  <c:v>11799.2</c:v>
                </c:pt>
                <c:pt idx="26">
                  <c:v>9862.2459999999992</c:v>
                </c:pt>
                <c:pt idx="27">
                  <c:v>8467.3970000000008</c:v>
                </c:pt>
                <c:pt idx="28">
                  <c:v>8311.3050000000003</c:v>
                </c:pt>
                <c:pt idx="29">
                  <c:v>11003.56</c:v>
                </c:pt>
                <c:pt idx="30">
                  <c:v>8718.8449999999993</c:v>
                </c:pt>
                <c:pt idx="31">
                  <c:v>6869.1059999999998</c:v>
                </c:pt>
                <c:pt idx="32">
                  <c:v>13808.13</c:v>
                </c:pt>
                <c:pt idx="33">
                  <c:v>9724.482</c:v>
                </c:pt>
                <c:pt idx="34">
                  <c:v>14250.31</c:v>
                </c:pt>
                <c:pt idx="35">
                  <c:v>9511.1049999999996</c:v>
                </c:pt>
                <c:pt idx="36">
                  <c:v>11074.92</c:v>
                </c:pt>
                <c:pt idx="37">
                  <c:v>13018.25</c:v>
                </c:pt>
                <c:pt idx="38">
                  <c:v>5777.7690000000002</c:v>
                </c:pt>
                <c:pt idx="39">
                  <c:v>7862.549</c:v>
                </c:pt>
                <c:pt idx="40">
                  <c:v>5832.3329999999996</c:v>
                </c:pt>
                <c:pt idx="41">
                  <c:v>5569.9409999999998</c:v>
                </c:pt>
                <c:pt idx="42">
                  <c:v>13816.67</c:v>
                </c:pt>
                <c:pt idx="43">
                  <c:v>11881.05</c:v>
                </c:pt>
                <c:pt idx="44">
                  <c:v>22324.51</c:v>
                </c:pt>
                <c:pt idx="45">
                  <c:v>13179.21</c:v>
                </c:pt>
                <c:pt idx="46">
                  <c:v>25155.95</c:v>
                </c:pt>
                <c:pt idx="47">
                  <c:v>23448.18</c:v>
                </c:pt>
                <c:pt idx="48">
                  <c:v>22597.360000000001</c:v>
                </c:pt>
                <c:pt idx="49">
                  <c:v>17938.45</c:v>
                </c:pt>
                <c:pt idx="50">
                  <c:v>14136.45</c:v>
                </c:pt>
                <c:pt idx="51">
                  <c:v>27832.880000000001</c:v>
                </c:pt>
                <c:pt idx="52">
                  <c:v>25718.62</c:v>
                </c:pt>
                <c:pt idx="53">
                  <c:v>34454.82</c:v>
                </c:pt>
                <c:pt idx="54">
                  <c:v>23886.34</c:v>
                </c:pt>
                <c:pt idx="55">
                  <c:v>12058.21</c:v>
                </c:pt>
                <c:pt idx="56">
                  <c:v>16122.31</c:v>
                </c:pt>
                <c:pt idx="57">
                  <c:v>9975.3389999999999</c:v>
                </c:pt>
                <c:pt idx="58">
                  <c:v>14397.81</c:v>
                </c:pt>
                <c:pt idx="59">
                  <c:v>13202.73</c:v>
                </c:pt>
                <c:pt idx="60">
                  <c:v>11537.9</c:v>
                </c:pt>
                <c:pt idx="61">
                  <c:v>11866.98</c:v>
                </c:pt>
                <c:pt idx="62">
                  <c:v>20193.73</c:v>
                </c:pt>
                <c:pt idx="63">
                  <c:v>12165.63</c:v>
                </c:pt>
                <c:pt idx="64">
                  <c:v>11552.83</c:v>
                </c:pt>
                <c:pt idx="65">
                  <c:v>8235.1579999999994</c:v>
                </c:pt>
                <c:pt idx="66">
                  <c:v>11854.69</c:v>
                </c:pt>
                <c:pt idx="67">
                  <c:v>9051.4310000000005</c:v>
                </c:pt>
                <c:pt idx="68">
                  <c:v>13357.51</c:v>
                </c:pt>
                <c:pt idx="69">
                  <c:v>18459.61</c:v>
                </c:pt>
                <c:pt idx="70">
                  <c:v>21867.71</c:v>
                </c:pt>
                <c:pt idx="71">
                  <c:v>13843.68</c:v>
                </c:pt>
                <c:pt idx="72">
                  <c:v>13176.87</c:v>
                </c:pt>
                <c:pt idx="73">
                  <c:v>18019.05</c:v>
                </c:pt>
                <c:pt idx="74">
                  <c:v>14048.15</c:v>
                </c:pt>
                <c:pt idx="75">
                  <c:v>13245.42</c:v>
                </c:pt>
                <c:pt idx="76">
                  <c:v>21794.11</c:v>
                </c:pt>
                <c:pt idx="77">
                  <c:v>18972.07</c:v>
                </c:pt>
                <c:pt idx="78">
                  <c:v>14507.25</c:v>
                </c:pt>
                <c:pt idx="79">
                  <c:v>18951.79</c:v>
                </c:pt>
                <c:pt idx="80">
                  <c:v>19711.91</c:v>
                </c:pt>
                <c:pt idx="81">
                  <c:v>21449.03</c:v>
                </c:pt>
                <c:pt idx="82">
                  <c:v>19653.439999999999</c:v>
                </c:pt>
                <c:pt idx="83">
                  <c:v>14901.64</c:v>
                </c:pt>
                <c:pt idx="84">
                  <c:v>13397.83</c:v>
                </c:pt>
                <c:pt idx="85">
                  <c:v>14121</c:v>
                </c:pt>
                <c:pt idx="86">
                  <c:v>20227.560000000001</c:v>
                </c:pt>
                <c:pt idx="87">
                  <c:v>19436.98</c:v>
                </c:pt>
                <c:pt idx="88">
                  <c:v>18629.88</c:v>
                </c:pt>
                <c:pt idx="89">
                  <c:v>36827.879999999997</c:v>
                </c:pt>
                <c:pt idx="90">
                  <c:v>25945.24</c:v>
                </c:pt>
                <c:pt idx="91">
                  <c:v>38752.269999999997</c:v>
                </c:pt>
                <c:pt idx="92">
                  <c:v>31598.92</c:v>
                </c:pt>
                <c:pt idx="93">
                  <c:v>14113.9</c:v>
                </c:pt>
                <c:pt idx="94">
                  <c:v>15802.53</c:v>
                </c:pt>
                <c:pt idx="95">
                  <c:v>18492.009999999998</c:v>
                </c:pt>
                <c:pt idx="96">
                  <c:v>19536.86</c:v>
                </c:pt>
                <c:pt idx="97">
                  <c:v>20086.099999999999</c:v>
                </c:pt>
                <c:pt idx="98">
                  <c:v>14211.19</c:v>
                </c:pt>
                <c:pt idx="99">
                  <c:v>17252.02</c:v>
                </c:pt>
                <c:pt idx="100">
                  <c:v>29838.2</c:v>
                </c:pt>
                <c:pt idx="101">
                  <c:v>25360.74</c:v>
                </c:pt>
                <c:pt idx="102">
                  <c:v>21280.47</c:v>
                </c:pt>
                <c:pt idx="103">
                  <c:v>18517.900000000001</c:v>
                </c:pt>
                <c:pt idx="104">
                  <c:v>22826.080000000002</c:v>
                </c:pt>
                <c:pt idx="105">
                  <c:v>18513.21</c:v>
                </c:pt>
                <c:pt idx="106">
                  <c:v>30182.29</c:v>
                </c:pt>
                <c:pt idx="107">
                  <c:v>32031.3</c:v>
                </c:pt>
                <c:pt idx="108">
                  <c:v>29910.11</c:v>
                </c:pt>
                <c:pt idx="109">
                  <c:v>16514.349999999999</c:v>
                </c:pt>
                <c:pt idx="110">
                  <c:v>16325.61</c:v>
                </c:pt>
                <c:pt idx="111">
                  <c:v>28396.560000000001</c:v>
                </c:pt>
                <c:pt idx="112">
                  <c:v>13622.16</c:v>
                </c:pt>
                <c:pt idx="113">
                  <c:v>25653.23</c:v>
                </c:pt>
                <c:pt idx="114">
                  <c:v>28710.76</c:v>
                </c:pt>
                <c:pt idx="115">
                  <c:v>26443.05</c:v>
                </c:pt>
                <c:pt idx="116">
                  <c:v>36588.019999999997</c:v>
                </c:pt>
                <c:pt idx="117">
                  <c:v>40489.040000000001</c:v>
                </c:pt>
                <c:pt idx="118">
                  <c:v>32800.980000000003</c:v>
                </c:pt>
                <c:pt idx="119">
                  <c:v>52716.26</c:v>
                </c:pt>
                <c:pt idx="120">
                  <c:v>55684.71</c:v>
                </c:pt>
                <c:pt idx="121">
                  <c:v>28914.37</c:v>
                </c:pt>
                <c:pt idx="122">
                  <c:v>27497.73</c:v>
                </c:pt>
                <c:pt idx="123">
                  <c:v>22319.62</c:v>
                </c:pt>
                <c:pt idx="124">
                  <c:v>11888.73</c:v>
                </c:pt>
                <c:pt idx="125">
                  <c:v>18072.810000000001</c:v>
                </c:pt>
                <c:pt idx="126">
                  <c:v>21508.560000000001</c:v>
                </c:pt>
                <c:pt idx="127">
                  <c:v>19802.650000000001</c:v>
                </c:pt>
                <c:pt idx="128">
                  <c:v>26455.02</c:v>
                </c:pt>
                <c:pt idx="129">
                  <c:v>29343.64</c:v>
                </c:pt>
                <c:pt idx="130">
                  <c:v>24504.76</c:v>
                </c:pt>
                <c:pt idx="131">
                  <c:v>26500.43</c:v>
                </c:pt>
                <c:pt idx="132">
                  <c:v>26400.05</c:v>
                </c:pt>
                <c:pt idx="133">
                  <c:v>30702.400000000001</c:v>
                </c:pt>
                <c:pt idx="134">
                  <c:v>17905.28</c:v>
                </c:pt>
                <c:pt idx="135">
                  <c:v>16655.52</c:v>
                </c:pt>
                <c:pt idx="136">
                  <c:v>16042.91</c:v>
                </c:pt>
                <c:pt idx="137">
                  <c:v>15096.69</c:v>
                </c:pt>
                <c:pt idx="138">
                  <c:v>19263.25</c:v>
                </c:pt>
                <c:pt idx="139">
                  <c:v>26370.25</c:v>
                </c:pt>
                <c:pt idx="140">
                  <c:v>48145.7</c:v>
                </c:pt>
                <c:pt idx="141">
                  <c:v>80038.14</c:v>
                </c:pt>
                <c:pt idx="142">
                  <c:v>106862.2</c:v>
                </c:pt>
                <c:pt idx="143">
                  <c:v>94947.06</c:v>
                </c:pt>
                <c:pt idx="144">
                  <c:v>81872</c:v>
                </c:pt>
                <c:pt idx="145">
                  <c:v>77923</c:v>
                </c:pt>
              </c:numCache>
            </c:numRef>
          </c:val>
          <c:smooth val="0"/>
          <c:extLst>
            <c:ext xmlns:c16="http://schemas.microsoft.com/office/drawing/2014/chart" uri="{C3380CC4-5D6E-409C-BE32-E72D297353CC}">
              <c16:uniqueId val="{00000006-7B9A-4E73-8F9F-E14F3EAD9271}"/>
            </c:ext>
          </c:extLst>
        </c:ser>
        <c:dLbls>
          <c:showLegendKey val="0"/>
          <c:showVal val="0"/>
          <c:showCatName val="0"/>
          <c:showSerName val="0"/>
          <c:showPercent val="0"/>
          <c:showBubbleSize val="0"/>
        </c:dLbls>
        <c:marker val="1"/>
        <c:smooth val="0"/>
        <c:axId val="1179486943"/>
        <c:axId val="1179484063"/>
      </c:lineChart>
      <c:catAx>
        <c:axId val="11794869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179484063"/>
        <c:crosses val="autoZero"/>
        <c:auto val="1"/>
        <c:lblAlgn val="ctr"/>
        <c:lblOffset val="100"/>
        <c:tickLblSkip val="10"/>
        <c:tickMarkSkip val="5"/>
        <c:noMultiLvlLbl val="0"/>
      </c:catAx>
      <c:valAx>
        <c:axId val="1179484063"/>
        <c:scaling>
          <c:orientation val="minMax"/>
        </c:scaling>
        <c:delete val="0"/>
        <c:axPos val="l"/>
        <c:majorGridlines>
          <c:spPr>
            <a:ln w="9525" cap="flat" cmpd="sng" algn="ctr">
              <a:solidFill>
                <a:schemeClr val="bg1">
                  <a:lumMod val="95000"/>
                </a:schemeClr>
              </a:solidFill>
              <a:prstDash val="sysDash"/>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179486943"/>
        <c:crosses val="autoZero"/>
        <c:crossBetween val="between"/>
        <c:dispUnits>
          <c:builtInUnit val="thousands"/>
        </c:dispUnits>
      </c:valAx>
      <c:spPr>
        <a:solidFill>
          <a:schemeClr val="bg1"/>
        </a:solid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6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userShapes r:id="rId5"/>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7916907803576215"/>
          <c:w val="1"/>
          <c:h val="0.68073098380552077"/>
        </c:manualLayout>
      </c:layout>
      <c:lineChart>
        <c:grouping val="standard"/>
        <c:varyColors val="0"/>
        <c:ser>
          <c:idx val="1"/>
          <c:order val="0"/>
          <c:tx>
            <c:strRef>
              <c:f>'Төсөв үнэ'!$N$6</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Pt>
            <c:idx val="2"/>
            <c:marker>
              <c:symbol val="circle"/>
              <c:size val="5"/>
              <c:spPr>
                <a:solidFill>
                  <a:srgbClr val="6CAC9D"/>
                </a:solidFill>
                <a:ln w="19050">
                  <a:solidFill>
                    <a:srgbClr val="6CAC9D"/>
                  </a:solidFill>
                  <a:prstDash val="dash"/>
                </a:ln>
                <a:effectLst/>
              </c:spPr>
            </c:marker>
            <c:bubble3D val="0"/>
            <c:spPr>
              <a:ln w="19050" cap="rnd">
                <a:solidFill>
                  <a:srgbClr val="6CAC9D"/>
                </a:solidFill>
                <a:prstDash val="dash"/>
                <a:round/>
              </a:ln>
              <a:effectLst/>
            </c:spPr>
            <c:extLst>
              <c:ext xmlns:c16="http://schemas.microsoft.com/office/drawing/2014/chart" uri="{C3380CC4-5D6E-409C-BE32-E72D297353CC}">
                <c16:uniqueId val="{00000001-B9AA-4843-BC0F-6BFCAFF2550B}"/>
              </c:ext>
            </c:extLst>
          </c:dPt>
          <c:dLbls>
            <c:dLbl>
              <c:idx val="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9AA-4843-BC0F-6BFCAFF2550B}"/>
                </c:ext>
              </c:extLst>
            </c:dLbl>
            <c:dLbl>
              <c:idx val="4"/>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9AA-4843-BC0F-6BFCAFF2550B}"/>
                </c:ext>
              </c:extLst>
            </c:dLbl>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үнэ'!$O$6:$S$6</c:f>
              <c:numCache>
                <c:formatCode>General</c:formatCode>
                <c:ptCount val="5"/>
                <c:pt idx="2" formatCode="&quot;$&quot;#,##0">
                  <c:v>9946.7586206896558</c:v>
                </c:pt>
                <c:pt idx="3" formatCode="&quot;$&quot;#,##0">
                  <c:v>12700</c:v>
                </c:pt>
                <c:pt idx="4" formatCode="&quot;$&quot;#,##0">
                  <c:v>12200</c:v>
                </c:pt>
              </c:numCache>
            </c:numRef>
          </c:val>
          <c:smooth val="0"/>
          <c:extLst>
            <c:ext xmlns:c16="http://schemas.microsoft.com/office/drawing/2014/chart" uri="{C3380CC4-5D6E-409C-BE32-E72D297353CC}">
              <c16:uniqueId val="{00000004-B9AA-4843-BC0F-6BFCAFF2550B}"/>
            </c:ext>
          </c:extLst>
        </c:ser>
        <c:ser>
          <c:idx val="0"/>
          <c:order val="1"/>
          <c:tx>
            <c:strRef>
              <c:f>'Төсөв үнэ'!$N$5</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2"/>
              <c:delete val="1"/>
              <c:extLst>
                <c:ext xmlns:c15="http://schemas.microsoft.com/office/drawing/2012/chart" uri="{CE6537A1-D6FC-4f65-9D91-7224C49458BB}"/>
                <c:ext xmlns:c16="http://schemas.microsoft.com/office/drawing/2014/chart" uri="{C3380CC4-5D6E-409C-BE32-E72D297353CC}">
                  <c16:uniqueId val="{00000005-B9AA-4843-BC0F-6BFCAFF2550B}"/>
                </c:ext>
              </c:extLst>
            </c:dLbl>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үнэ'!$O$5:$Q$5</c:f>
              <c:numCache>
                <c:formatCode>"$"#,##0</c:formatCode>
                <c:ptCount val="3"/>
                <c:pt idx="0">
                  <c:v>8478.8461538461543</c:v>
                </c:pt>
                <c:pt idx="1">
                  <c:v>9144.9561068702296</c:v>
                </c:pt>
                <c:pt idx="2">
                  <c:v>9946.7586206896558</c:v>
                </c:pt>
              </c:numCache>
            </c:numRef>
          </c:val>
          <c:smooth val="1"/>
          <c:extLst>
            <c:ext xmlns:c16="http://schemas.microsoft.com/office/drawing/2014/chart" uri="{C3380CC4-5D6E-409C-BE32-E72D297353CC}">
              <c16:uniqueId val="{00000006-B9AA-4843-BC0F-6BFCAFF2550B}"/>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'Төсөв үнэ'!$N$7</c:f>
              <c:strCache>
                <c:ptCount val="1"/>
                <c:pt idx="0">
                  <c:v>I-VII сарын дундаж</c:v>
                </c:pt>
              </c:strCache>
            </c:strRef>
          </c:tx>
          <c:spPr>
            <a:ln w="25400" cap="rnd">
              <a:noFill/>
              <a:round/>
            </a:ln>
            <a:effectLst/>
          </c:spPr>
          <c:marker>
            <c:symbol val="circle"/>
            <c:size val="5"/>
            <c:spPr>
              <a:solidFill>
                <a:schemeClr val="accent3"/>
              </a:solidFill>
              <a:ln w="9525">
                <a:solidFill>
                  <a:schemeClr val="accent3"/>
                </a:solidFill>
              </a:ln>
              <a:effectLst/>
            </c:spPr>
          </c:marker>
          <c:yVal>
            <c:numRef>
              <c:f>'Төсөв үнэ'!$O$7:$R$7</c:f>
              <c:numCache>
                <c:formatCode>General</c:formatCode>
                <c:ptCount val="4"/>
                <c:pt idx="3" formatCode="&quot;$&quot;#,##0">
                  <c:v>13199.282608695652</c:v>
                </c:pt>
              </c:numCache>
            </c:numRef>
          </c:yVal>
          <c:smooth val="0"/>
          <c:extLst>
            <c:ext xmlns:c16="http://schemas.microsoft.com/office/drawing/2014/chart" uri="{C3380CC4-5D6E-409C-BE32-E72D297353CC}">
              <c16:uniqueId val="{00000007-B9AA-4843-BC0F-6BFCAFF2550B}"/>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5000"/>
        </c:scaling>
        <c:delete val="1"/>
        <c:axPos val="l"/>
        <c:numFmt formatCode="General" sourceLinked="1"/>
        <c:majorTickMark val="out"/>
        <c:minorTickMark val="none"/>
        <c:tickLblPos val="nextTo"/>
        <c:crossAx val="471978768"/>
        <c:crosses val="autoZero"/>
        <c:crossBetween val="between"/>
        <c:majorUnit val="1000"/>
      </c:valAx>
      <c:spPr>
        <a:noFill/>
        <a:ln w="25400">
          <a:noFill/>
        </a:ln>
        <a:effectLst/>
      </c:spPr>
    </c:plotArea>
    <c:legend>
      <c:legendPos val="b"/>
      <c:layout>
        <c:manualLayout>
          <c:xMode val="edge"/>
          <c:yMode val="edge"/>
          <c:x val="0"/>
          <c:y val="5.2077865266841649E-3"/>
          <c:w val="0.55604326382279146"/>
          <c:h val="0.2697806524184476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9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875689100391221"/>
          <c:w val="1"/>
          <c:h val="0.67233115180216085"/>
        </c:manualLayout>
      </c:layout>
      <c:lineChart>
        <c:grouping val="standard"/>
        <c:varyColors val="0"/>
        <c:ser>
          <c:idx val="1"/>
          <c:order val="0"/>
          <c:tx>
            <c:strRef>
              <c:f>'Төсөв үнэ'!$N$9</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Lbls>
            <c:dLbl>
              <c:idx val="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1C2-419C-9D3D-12647B2E64B9}"/>
                </c:ext>
              </c:extLst>
            </c:dLbl>
            <c:dLbl>
              <c:idx val="4"/>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1C2-419C-9D3D-12647B2E64B9}"/>
                </c:ext>
              </c:extLst>
            </c:dLbl>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үнэ'!$O$9:$S$9</c:f>
              <c:numCache>
                <c:formatCode>General</c:formatCode>
                <c:ptCount val="5"/>
                <c:pt idx="2" formatCode="&quot;$&quot;#,##0">
                  <c:v>3445.7105363984665</c:v>
                </c:pt>
                <c:pt idx="3" formatCode="&quot;$&quot;#,##0">
                  <c:v>4500</c:v>
                </c:pt>
                <c:pt idx="4" formatCode="&quot;$&quot;#,##0">
                  <c:v>4000</c:v>
                </c:pt>
              </c:numCache>
            </c:numRef>
          </c:val>
          <c:smooth val="1"/>
          <c:extLst>
            <c:ext xmlns:c16="http://schemas.microsoft.com/office/drawing/2014/chart" uri="{C3380CC4-5D6E-409C-BE32-E72D297353CC}">
              <c16:uniqueId val="{00000002-B1C2-419C-9D3D-12647B2E64B9}"/>
            </c:ext>
          </c:extLst>
        </c:ser>
        <c:ser>
          <c:idx val="0"/>
          <c:order val="1"/>
          <c:tx>
            <c:strRef>
              <c:f>'Төсөв үнэ'!$N$8</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2"/>
              <c:delete val="1"/>
              <c:extLst>
                <c:ext xmlns:c15="http://schemas.microsoft.com/office/drawing/2012/chart" uri="{CE6537A1-D6FC-4f65-9D91-7224C49458BB}"/>
                <c:ext xmlns:c16="http://schemas.microsoft.com/office/drawing/2014/chart" uri="{C3380CC4-5D6E-409C-BE32-E72D297353CC}">
                  <c16:uniqueId val="{00000003-B1C2-419C-9D3D-12647B2E64B9}"/>
                </c:ext>
              </c:extLst>
            </c:dLbl>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үнэ'!$O$8:$R$8</c:f>
              <c:numCache>
                <c:formatCode>"$"#,##0</c:formatCode>
                <c:ptCount val="4"/>
                <c:pt idx="0">
                  <c:v>1943.3448076923073</c:v>
                </c:pt>
                <c:pt idx="1">
                  <c:v>2388.677404580154</c:v>
                </c:pt>
                <c:pt idx="2">
                  <c:v>3445.7105363984665</c:v>
                </c:pt>
              </c:numCache>
            </c:numRef>
          </c:val>
          <c:smooth val="1"/>
          <c:extLst>
            <c:ext xmlns:c16="http://schemas.microsoft.com/office/drawing/2014/chart" uri="{C3380CC4-5D6E-409C-BE32-E72D297353CC}">
              <c16:uniqueId val="{00000004-B1C2-419C-9D3D-12647B2E64B9}"/>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'Төсөв үнэ'!$N$10</c:f>
              <c:strCache>
                <c:ptCount val="1"/>
                <c:pt idx="0">
                  <c:v>I-VII сарын дундаж</c:v>
                </c:pt>
              </c:strCache>
            </c:strRef>
          </c:tx>
          <c:spPr>
            <a:ln w="25400" cap="rnd">
              <a:noFill/>
              <a:round/>
            </a:ln>
            <a:effectLst/>
          </c:spPr>
          <c:marker>
            <c:symbol val="circle"/>
            <c:size val="5"/>
            <c:spPr>
              <a:solidFill>
                <a:schemeClr val="accent3"/>
              </a:solidFill>
              <a:ln w="9525">
                <a:solidFill>
                  <a:schemeClr val="accent3"/>
                </a:solidFill>
              </a:ln>
              <a:effectLst/>
            </c:spPr>
          </c:marker>
          <c:yVal>
            <c:numRef>
              <c:f>'Төсөв үнэ'!$O$10:$R$10</c:f>
              <c:numCache>
                <c:formatCode>General</c:formatCode>
                <c:ptCount val="4"/>
                <c:pt idx="3" formatCode="&quot;$&quot;#,##0">
                  <c:v>4576.116211180125</c:v>
                </c:pt>
              </c:numCache>
            </c:numRef>
          </c:yVal>
          <c:smooth val="0"/>
          <c:extLst>
            <c:ext xmlns:c16="http://schemas.microsoft.com/office/drawing/2014/chart" uri="{C3380CC4-5D6E-409C-BE32-E72D297353CC}">
              <c16:uniqueId val="{00000005-B1C2-419C-9D3D-12647B2E64B9}"/>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1200"/>
        </c:scaling>
        <c:delete val="1"/>
        <c:axPos val="l"/>
        <c:numFmt formatCode="General" sourceLinked="0"/>
        <c:majorTickMark val="out"/>
        <c:minorTickMark val="none"/>
        <c:tickLblPos val="nextTo"/>
        <c:crossAx val="471978768"/>
        <c:crosses val="autoZero"/>
        <c:crossBetween val="between"/>
        <c:majorUnit val="200"/>
      </c:valAx>
      <c:spPr>
        <a:noFill/>
        <a:ln w="25400">
          <a:noFill/>
        </a:ln>
        <a:effectLst/>
      </c:spPr>
    </c:plotArea>
    <c:legend>
      <c:legendPos val="b"/>
      <c:layout>
        <c:manualLayout>
          <c:xMode val="edge"/>
          <c:yMode val="edge"/>
          <c:x val="0"/>
          <c:y val="1.909667541557301E-2"/>
          <c:w val="0.52786640131522033"/>
          <c:h val="0.2618441444819397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9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24025743255999912"/>
          <c:w val="1"/>
          <c:h val="0.62514641764820722"/>
        </c:manualLayout>
      </c:layout>
      <c:lineChart>
        <c:grouping val="standard"/>
        <c:varyColors val="0"/>
        <c:ser>
          <c:idx val="1"/>
          <c:order val="0"/>
          <c:tx>
            <c:strRef>
              <c:f>'Төсөв үнэ'!$N$3</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Lbls>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'Төсөв үнэ'!$O$1:$S$1</c:f>
              <c:strCache>
                <c:ptCount val="5"/>
                <c:pt idx="0">
                  <c:v>2023</c:v>
                </c:pt>
                <c:pt idx="1">
                  <c:v>2024</c:v>
                </c:pt>
                <c:pt idx="2">
                  <c:v>2025</c:v>
                </c:pt>
                <c:pt idx="3">
                  <c:v>2026*</c:v>
                </c:pt>
                <c:pt idx="4">
                  <c:v>2027*</c:v>
                </c:pt>
              </c:strCache>
            </c:strRef>
          </c:cat>
          <c:val>
            <c:numRef>
              <c:f>'Төсөв үнэ'!$O$3:$S$3</c:f>
              <c:numCache>
                <c:formatCode>General</c:formatCode>
                <c:ptCount val="5"/>
                <c:pt idx="2" formatCode="&quot;$&quot;#,##0">
                  <c:v>188.57463601532575</c:v>
                </c:pt>
                <c:pt idx="3" formatCode="&quot;$&quot;#,##0">
                  <c:v>210</c:v>
                </c:pt>
                <c:pt idx="4" formatCode="&quot;$&quot;#,##0">
                  <c:v>215</c:v>
                </c:pt>
              </c:numCache>
            </c:numRef>
          </c:val>
          <c:smooth val="1"/>
          <c:extLst>
            <c:ext xmlns:c16="http://schemas.microsoft.com/office/drawing/2014/chart" uri="{C3380CC4-5D6E-409C-BE32-E72D297353CC}">
              <c16:uniqueId val="{00000000-9869-48CA-897C-C0E496A1BB7E}"/>
            </c:ext>
          </c:extLst>
        </c:ser>
        <c:ser>
          <c:idx val="0"/>
          <c:order val="1"/>
          <c:tx>
            <c:strRef>
              <c:f>'Төсөв үнэ'!$N$2</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2"/>
              <c:delete val="1"/>
              <c:extLst>
                <c:ext xmlns:c15="http://schemas.microsoft.com/office/drawing/2012/chart" uri="{CE6537A1-D6FC-4f65-9D91-7224C49458BB}"/>
                <c:ext xmlns:c16="http://schemas.microsoft.com/office/drawing/2014/chart" uri="{C3380CC4-5D6E-409C-BE32-E72D297353CC}">
                  <c16:uniqueId val="{00000001-9869-48CA-897C-C0E496A1BB7E}"/>
                </c:ext>
              </c:extLst>
            </c:dLbl>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үнэ'!$O$2:$Q$2</c:f>
              <c:numCache>
                <c:formatCode>"$"#,##0</c:formatCode>
                <c:ptCount val="3"/>
                <c:pt idx="0">
                  <c:v>296.08311538461538</c:v>
                </c:pt>
                <c:pt idx="1">
                  <c:v>243.12297709923661</c:v>
                </c:pt>
                <c:pt idx="2">
                  <c:v>188.57463601532575</c:v>
                </c:pt>
              </c:numCache>
            </c:numRef>
          </c:val>
          <c:smooth val="1"/>
          <c:extLst>
            <c:ext xmlns:c16="http://schemas.microsoft.com/office/drawing/2014/chart" uri="{C3380CC4-5D6E-409C-BE32-E72D297353CC}">
              <c16:uniqueId val="{00000002-9869-48CA-897C-C0E496A1BB7E}"/>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'Төсөв үнэ'!$N$4</c:f>
              <c:strCache>
                <c:ptCount val="1"/>
                <c:pt idx="0">
                  <c:v>I-VII сарын дундаж</c:v>
                </c:pt>
              </c:strCache>
            </c:strRef>
          </c:tx>
          <c:spPr>
            <a:ln w="25400" cap="rnd">
              <a:noFill/>
              <a:round/>
            </a:ln>
            <a:effectLst/>
          </c:spPr>
          <c:marker>
            <c:symbol val="circle"/>
            <c:size val="5"/>
            <c:spPr>
              <a:solidFill>
                <a:schemeClr val="accent3"/>
              </a:solidFill>
              <a:ln w="9525">
                <a:solidFill>
                  <a:schemeClr val="accent3"/>
                </a:solidFill>
              </a:ln>
              <a:effectLst/>
            </c:spPr>
          </c:marker>
          <c:yVal>
            <c:numRef>
              <c:f>'Төсөв үнэ'!$O$4:$R$4</c:f>
              <c:numCache>
                <c:formatCode>General</c:formatCode>
                <c:ptCount val="4"/>
                <c:pt idx="3" formatCode="&quot;$&quot;#,##0">
                  <c:v>233.55385093167706</c:v>
                </c:pt>
              </c:numCache>
            </c:numRef>
          </c:yVal>
          <c:smooth val="0"/>
          <c:extLst>
            <c:ext xmlns:c16="http://schemas.microsoft.com/office/drawing/2014/chart" uri="{C3380CC4-5D6E-409C-BE32-E72D297353CC}">
              <c16:uniqueId val="{00000003-9869-48CA-897C-C0E496A1BB7E}"/>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50"/>
        </c:scaling>
        <c:delete val="1"/>
        <c:axPos val="l"/>
        <c:numFmt formatCode="General"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2.9892706369014335E-2"/>
          <c:y val="1.909667541557301E-2"/>
          <c:w val="0.5193569265380289"/>
          <c:h val="0.1949507602871954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9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23320524638228401"/>
          <c:w val="1"/>
          <c:h val="0.62669464870610181"/>
        </c:manualLayout>
      </c:layout>
      <c:lineChart>
        <c:grouping val="standard"/>
        <c:varyColors val="0"/>
        <c:ser>
          <c:idx val="1"/>
          <c:order val="0"/>
          <c:tx>
            <c:strRef>
              <c:f>'Төсөв үнэ'!$N$15</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Lbls>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үнэ'!$O$15:$S$15</c:f>
              <c:numCache>
                <c:formatCode>General</c:formatCode>
                <c:ptCount val="5"/>
                <c:pt idx="2" formatCode="&quot;$&quot;#,##0">
                  <c:v>101.86988505747124</c:v>
                </c:pt>
                <c:pt idx="3" formatCode="&quot;$&quot;#,##0">
                  <c:v>100</c:v>
                </c:pt>
                <c:pt idx="4" formatCode="&quot;$&quot;#,##0">
                  <c:v>85</c:v>
                </c:pt>
              </c:numCache>
            </c:numRef>
          </c:val>
          <c:smooth val="1"/>
          <c:extLst>
            <c:ext xmlns:c16="http://schemas.microsoft.com/office/drawing/2014/chart" uri="{C3380CC4-5D6E-409C-BE32-E72D297353CC}">
              <c16:uniqueId val="{00000000-B5A8-47AB-8B76-9A935E443CC0}"/>
            </c:ext>
          </c:extLst>
        </c:ser>
        <c:ser>
          <c:idx val="0"/>
          <c:order val="1"/>
          <c:tx>
            <c:strRef>
              <c:f>'Төсөв үнэ'!$N$14</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2"/>
              <c:delete val="1"/>
              <c:extLst>
                <c:ext xmlns:c15="http://schemas.microsoft.com/office/drawing/2012/chart" uri="{CE6537A1-D6FC-4f65-9D91-7224C49458BB}"/>
                <c:ext xmlns:c16="http://schemas.microsoft.com/office/drawing/2014/chart" uri="{C3380CC4-5D6E-409C-BE32-E72D297353CC}">
                  <c16:uniqueId val="{00000001-B5A8-47AB-8B76-9A935E443CC0}"/>
                </c:ext>
              </c:extLst>
            </c:dLbl>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үнэ'!$O$14:$Q$14</c:f>
              <c:numCache>
                <c:formatCode>"$"#,##0</c:formatCode>
                <c:ptCount val="3"/>
                <c:pt idx="0">
                  <c:v>119.63419230769227</c:v>
                </c:pt>
                <c:pt idx="1">
                  <c:v>110.07759541984731</c:v>
                </c:pt>
                <c:pt idx="2">
                  <c:v>101.86988505747124</c:v>
                </c:pt>
              </c:numCache>
            </c:numRef>
          </c:val>
          <c:smooth val="1"/>
          <c:extLst>
            <c:ext xmlns:c16="http://schemas.microsoft.com/office/drawing/2014/chart" uri="{C3380CC4-5D6E-409C-BE32-E72D297353CC}">
              <c16:uniqueId val="{00000002-B5A8-47AB-8B76-9A935E443CC0}"/>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'Төсөв үнэ'!$N$16</c:f>
              <c:strCache>
                <c:ptCount val="1"/>
                <c:pt idx="0">
                  <c:v>I-VII сарын дундаж</c:v>
                </c:pt>
              </c:strCache>
            </c:strRef>
          </c:tx>
          <c:spPr>
            <a:ln w="25400" cap="rnd">
              <a:noFill/>
              <a:round/>
            </a:ln>
            <a:effectLst/>
          </c:spPr>
          <c:marker>
            <c:symbol val="circle"/>
            <c:size val="5"/>
            <c:spPr>
              <a:solidFill>
                <a:schemeClr val="accent3"/>
              </a:solidFill>
              <a:ln w="9525">
                <a:solidFill>
                  <a:schemeClr val="accent3"/>
                </a:solidFill>
              </a:ln>
              <a:effectLst/>
            </c:spPr>
          </c:marker>
          <c:yVal>
            <c:numRef>
              <c:f>'Төсөв үнэ'!$O$16:$R$16</c:f>
              <c:numCache>
                <c:formatCode>General</c:formatCode>
                <c:ptCount val="4"/>
                <c:pt idx="3" formatCode="&quot;$&quot;#,##0">
                  <c:v>104.94465838509311</c:v>
                </c:pt>
              </c:numCache>
            </c:numRef>
          </c:yVal>
          <c:smooth val="0"/>
          <c:extLst>
            <c:ext xmlns:c16="http://schemas.microsoft.com/office/drawing/2014/chart" uri="{C3380CC4-5D6E-409C-BE32-E72D297353CC}">
              <c16:uniqueId val="{00000003-B5A8-47AB-8B76-9A935E443CC0}"/>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ax val="180"/>
          <c:min val="50"/>
        </c:scaling>
        <c:delete val="1"/>
        <c:axPos val="l"/>
        <c:numFmt formatCode="General"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50035441723630703"/>
          <c:h val="0.2036934572367643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9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24025743255999912"/>
          <c:w val="1"/>
          <c:h val="0.61964228202081229"/>
        </c:manualLayout>
      </c:layout>
      <c:lineChart>
        <c:grouping val="standard"/>
        <c:varyColors val="0"/>
        <c:ser>
          <c:idx val="1"/>
          <c:order val="0"/>
          <c:tx>
            <c:strRef>
              <c:f>'Төсөв үнэ'!$N$3</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Lbls>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'Төсөв үнэ'!$O$1:$S$1</c:f>
              <c:strCache>
                <c:ptCount val="5"/>
                <c:pt idx="0">
                  <c:v>2023</c:v>
                </c:pt>
                <c:pt idx="1">
                  <c:v>2024</c:v>
                </c:pt>
                <c:pt idx="2">
                  <c:v>2025</c:v>
                </c:pt>
                <c:pt idx="3">
                  <c:v>2026*</c:v>
                </c:pt>
                <c:pt idx="4">
                  <c:v>2027*</c:v>
                </c:pt>
              </c:strCache>
            </c:strRef>
          </c:cat>
          <c:val>
            <c:numRef>
              <c:f>'Төсөв үнэ'!$O$12:$S$12</c:f>
              <c:numCache>
                <c:formatCode>General</c:formatCode>
                <c:ptCount val="5"/>
                <c:pt idx="2" formatCode="&quot;$&quot;#,##0">
                  <c:v>65.678620689655205</c:v>
                </c:pt>
                <c:pt idx="3" formatCode="&quot;$&quot;#,##0">
                  <c:v>80</c:v>
                </c:pt>
                <c:pt idx="4" formatCode="&quot;$&quot;#,##0">
                  <c:v>70</c:v>
                </c:pt>
              </c:numCache>
            </c:numRef>
          </c:val>
          <c:smooth val="1"/>
          <c:extLst>
            <c:ext xmlns:c16="http://schemas.microsoft.com/office/drawing/2014/chart" uri="{C3380CC4-5D6E-409C-BE32-E72D297353CC}">
              <c16:uniqueId val="{00000000-E6EB-44FF-8C5E-FF89F28FD50C}"/>
            </c:ext>
          </c:extLst>
        </c:ser>
        <c:ser>
          <c:idx val="0"/>
          <c:order val="1"/>
          <c:tx>
            <c:strRef>
              <c:f>'Төсөв үнэ'!$N$2</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2"/>
              <c:delete val="1"/>
              <c:extLst>
                <c:ext xmlns:c15="http://schemas.microsoft.com/office/drawing/2012/chart" uri="{CE6537A1-D6FC-4f65-9D91-7224C49458BB}"/>
                <c:ext xmlns:c16="http://schemas.microsoft.com/office/drawing/2014/chart" uri="{C3380CC4-5D6E-409C-BE32-E72D297353CC}">
                  <c16:uniqueId val="{00000001-E6EB-44FF-8C5E-FF89F28FD50C}"/>
                </c:ext>
              </c:extLst>
            </c:dLbl>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үнэ'!$O$11:$S$11</c:f>
              <c:numCache>
                <c:formatCode>"$"#,##0</c:formatCode>
                <c:ptCount val="5"/>
                <c:pt idx="0">
                  <c:v>72.172538461538494</c:v>
                </c:pt>
                <c:pt idx="1">
                  <c:v>73.101030534351182</c:v>
                </c:pt>
                <c:pt idx="2">
                  <c:v>65.678620689655205</c:v>
                </c:pt>
              </c:numCache>
            </c:numRef>
          </c:val>
          <c:smooth val="1"/>
          <c:extLst>
            <c:ext xmlns:c16="http://schemas.microsoft.com/office/drawing/2014/chart" uri="{C3380CC4-5D6E-409C-BE32-E72D297353CC}">
              <c16:uniqueId val="{00000002-E6EB-44FF-8C5E-FF89F28FD50C}"/>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'Төсөв үнэ'!$N$16</c:f>
              <c:strCache>
                <c:ptCount val="1"/>
                <c:pt idx="0">
                  <c:v>I-VII сарын дундаж</c:v>
                </c:pt>
              </c:strCache>
            </c:strRef>
          </c:tx>
          <c:spPr>
            <a:ln w="25400" cap="rnd">
              <a:noFill/>
              <a:round/>
            </a:ln>
            <a:effectLst/>
          </c:spPr>
          <c:marker>
            <c:symbol val="circle"/>
            <c:size val="5"/>
            <c:spPr>
              <a:solidFill>
                <a:schemeClr val="accent3"/>
              </a:solidFill>
              <a:ln w="9525">
                <a:solidFill>
                  <a:schemeClr val="accent3"/>
                </a:solidFill>
              </a:ln>
              <a:effectLst/>
            </c:spPr>
          </c:marker>
          <c:yVal>
            <c:numRef>
              <c:f>'Төсөв үнэ'!$O$13:$S$13</c:f>
              <c:numCache>
                <c:formatCode>General</c:formatCode>
                <c:ptCount val="5"/>
                <c:pt idx="3" formatCode="&quot;$&quot;#,##0">
                  <c:v>79.649378881987573</c:v>
                </c:pt>
              </c:numCache>
            </c:numRef>
          </c:yVal>
          <c:smooth val="0"/>
          <c:extLst>
            <c:ext xmlns:c16="http://schemas.microsoft.com/office/drawing/2014/chart" uri="{C3380CC4-5D6E-409C-BE32-E72D297353CC}">
              <c16:uniqueId val="{00000003-E6EB-44FF-8C5E-FF89F28FD50C}"/>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ax val="105"/>
          <c:min val="40"/>
        </c:scaling>
        <c:delete val="1"/>
        <c:axPos val="l"/>
        <c:numFmt formatCode="General"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2.9892706369014335E-2"/>
          <c:y val="1.909667541557301E-2"/>
          <c:w val="0.62421033798823033"/>
          <c:h val="0.2337443574538937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chart>
  <c:spPr>
    <a:noFill/>
    <a:ln w="9525" cap="flat" cmpd="sng" algn="ctr">
      <a:noFill/>
      <a:round/>
    </a:ln>
    <a:effectLst/>
  </c:spPr>
  <c:txPr>
    <a:bodyPr/>
    <a:lstStyle/>
    <a:p>
      <a:pPr>
        <a:defRPr sz="9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666256907759949E-2"/>
          <c:y val="5.2930461395028314E-2"/>
          <c:w val="0.90329897449527674"/>
          <c:h val="0.75524892158750423"/>
        </c:manualLayout>
      </c:layout>
      <c:barChart>
        <c:barDir val="col"/>
        <c:grouping val="stacked"/>
        <c:varyColors val="0"/>
        <c:ser>
          <c:idx val="1"/>
          <c:order val="0"/>
          <c:tx>
            <c:strRef>
              <c:f>GDP!$G$35</c:f>
              <c:strCache>
                <c:ptCount val="1"/>
                <c:pt idx="0">
                  <c:v>Эцсийн хэрэглээ</c:v>
                </c:pt>
              </c:strCache>
            </c:strRef>
          </c:tx>
          <c:spPr>
            <a:solidFill>
              <a:srgbClr val="6679A0"/>
            </a:solidFill>
          </c:spPr>
          <c:invertIfNegative val="0"/>
          <c:cat>
            <c:multiLvlStrRef>
              <c:f>GDP!$DE$1:$DV$2</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2022</c:v>
                  </c:pt>
                  <c:pt idx="4">
                    <c:v>2023</c:v>
                  </c:pt>
                  <c:pt idx="8">
                    <c:v>2024</c:v>
                  </c:pt>
                  <c:pt idx="12">
                    <c:v>2025</c:v>
                  </c:pt>
                  <c:pt idx="16">
                    <c:v>2026</c:v>
                  </c:pt>
                </c:lvl>
              </c:multiLvlStrCache>
            </c:multiLvlStrRef>
          </c:cat>
          <c:val>
            <c:numRef>
              <c:f>GDP!$DE$35:$DV$35</c:f>
              <c:numCache>
                <c:formatCode>#\ ###\ ###\ ##0.0</c:formatCode>
                <c:ptCount val="18"/>
                <c:pt idx="0">
                  <c:v>7.3756250508258816</c:v>
                </c:pt>
                <c:pt idx="1">
                  <c:v>6.0880228088396047</c:v>
                </c:pt>
                <c:pt idx="2">
                  <c:v>6.0035123955451235</c:v>
                </c:pt>
                <c:pt idx="3">
                  <c:v>6.46088679183939</c:v>
                </c:pt>
                <c:pt idx="4">
                  <c:v>4.0680977076225471</c:v>
                </c:pt>
                <c:pt idx="5">
                  <c:v>7.741294893772781</c:v>
                </c:pt>
                <c:pt idx="6">
                  <c:v>9.6691102267833529</c:v>
                </c:pt>
                <c:pt idx="7">
                  <c:v>6.9950556044611325</c:v>
                </c:pt>
                <c:pt idx="8">
                  <c:v>17.781265110504251</c:v>
                </c:pt>
                <c:pt idx="9">
                  <c:v>16.737938194945613</c:v>
                </c:pt>
                <c:pt idx="10">
                  <c:v>13.155883008486546</c:v>
                </c:pt>
                <c:pt idx="11">
                  <c:v>11.506815701562138</c:v>
                </c:pt>
                <c:pt idx="12">
                  <c:v>8.9822490013667053</c:v>
                </c:pt>
                <c:pt idx="13">
                  <c:v>6.8988471819641077</c:v>
                </c:pt>
                <c:pt idx="14">
                  <c:v>7.1707332339281242</c:v>
                </c:pt>
                <c:pt idx="15">
                  <c:v>5.3010108056186569</c:v>
                </c:pt>
                <c:pt idx="16">
                  <c:v>6.3658859009373776</c:v>
                </c:pt>
                <c:pt idx="17">
                  <c:v>1.3263472820960278</c:v>
                </c:pt>
              </c:numCache>
            </c:numRef>
          </c:val>
          <c:extLst>
            <c:ext xmlns:c16="http://schemas.microsoft.com/office/drawing/2014/chart" uri="{C3380CC4-5D6E-409C-BE32-E72D297353CC}">
              <c16:uniqueId val="{00000000-F680-43CD-B5F4-498BB3DB0A63}"/>
            </c:ext>
          </c:extLst>
        </c:ser>
        <c:ser>
          <c:idx val="2"/>
          <c:order val="1"/>
          <c:tx>
            <c:strRef>
              <c:f>GDP!$EH$24</c:f>
              <c:strCache>
                <c:ptCount val="1"/>
                <c:pt idx="0">
                  <c:v>Хөрөнгийн хуримтлал</c:v>
                </c:pt>
              </c:strCache>
            </c:strRef>
          </c:tx>
          <c:spPr>
            <a:solidFill>
              <a:srgbClr val="D93A85"/>
            </a:solidFill>
          </c:spPr>
          <c:invertIfNegative val="0"/>
          <c:cat>
            <c:multiLvlStrRef>
              <c:f>GDP!$DE$1:$DV$2</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2022</c:v>
                  </c:pt>
                  <c:pt idx="4">
                    <c:v>2023</c:v>
                  </c:pt>
                  <c:pt idx="8">
                    <c:v>2024</c:v>
                  </c:pt>
                  <c:pt idx="12">
                    <c:v>2025</c:v>
                  </c:pt>
                  <c:pt idx="16">
                    <c:v>2026</c:v>
                  </c:pt>
                </c:lvl>
              </c:multiLvlStrCache>
            </c:multiLvlStrRef>
          </c:cat>
          <c:val>
            <c:numRef>
              <c:f>GDP!$DE$38:$DV$38</c:f>
              <c:numCache>
                <c:formatCode>#\ ###\ ###\ ##0.0</c:formatCode>
                <c:ptCount val="18"/>
                <c:pt idx="0">
                  <c:v>10.205872503707678</c:v>
                </c:pt>
                <c:pt idx="1">
                  <c:v>14.28793725802324</c:v>
                </c:pt>
                <c:pt idx="2">
                  <c:v>4.0530596874463853</c:v>
                </c:pt>
                <c:pt idx="3">
                  <c:v>4.8967372198971271</c:v>
                </c:pt>
                <c:pt idx="4">
                  <c:v>-6.5710908735840734</c:v>
                </c:pt>
                <c:pt idx="5">
                  <c:v>-14.861548187512408</c:v>
                </c:pt>
                <c:pt idx="6">
                  <c:v>-11.209917985008042</c:v>
                </c:pt>
                <c:pt idx="7">
                  <c:v>-1.5831191664885655</c:v>
                </c:pt>
                <c:pt idx="8">
                  <c:v>14.788402860960485</c:v>
                </c:pt>
                <c:pt idx="9">
                  <c:v>10.887893363305714</c:v>
                </c:pt>
                <c:pt idx="10">
                  <c:v>12.286153451071099</c:v>
                </c:pt>
                <c:pt idx="11">
                  <c:v>9.6908203472684633</c:v>
                </c:pt>
                <c:pt idx="12">
                  <c:v>-0.80262135916302391</c:v>
                </c:pt>
                <c:pt idx="13">
                  <c:v>3.4675701690931628</c:v>
                </c:pt>
                <c:pt idx="14">
                  <c:v>-2.6043974777100822</c:v>
                </c:pt>
                <c:pt idx="15">
                  <c:v>-3.5501286057044794</c:v>
                </c:pt>
                <c:pt idx="16">
                  <c:v>-14.967358418204579</c:v>
                </c:pt>
                <c:pt idx="17">
                  <c:v>-6.5006339450333144</c:v>
                </c:pt>
              </c:numCache>
            </c:numRef>
          </c:val>
          <c:extLst>
            <c:ext xmlns:c16="http://schemas.microsoft.com/office/drawing/2014/chart" uri="{C3380CC4-5D6E-409C-BE32-E72D297353CC}">
              <c16:uniqueId val="{00000001-F680-43CD-B5F4-498BB3DB0A63}"/>
            </c:ext>
          </c:extLst>
        </c:ser>
        <c:ser>
          <c:idx val="3"/>
          <c:order val="2"/>
          <c:tx>
            <c:strRef>
              <c:f>GDP!$G$41</c:f>
              <c:strCache>
                <c:ptCount val="1"/>
                <c:pt idx="0">
                  <c:v>Цэвэр экспорт</c:v>
                </c:pt>
              </c:strCache>
            </c:strRef>
          </c:tx>
          <c:spPr>
            <a:solidFill>
              <a:srgbClr val="ADB9CA">
                <a:alpha val="60000"/>
              </a:srgbClr>
            </a:solidFill>
            <a:ln>
              <a:noFill/>
            </a:ln>
            <a:effectLst/>
          </c:spPr>
          <c:invertIfNegative val="0"/>
          <c:cat>
            <c:multiLvlStrRef>
              <c:f>GDP!$DE$1:$DV$2</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2022</c:v>
                  </c:pt>
                  <c:pt idx="4">
                    <c:v>2023</c:v>
                  </c:pt>
                  <c:pt idx="8">
                    <c:v>2024</c:v>
                  </c:pt>
                  <c:pt idx="12">
                    <c:v>2025</c:v>
                  </c:pt>
                  <c:pt idx="16">
                    <c:v>2026</c:v>
                  </c:pt>
                </c:lvl>
              </c:multiLvlStrCache>
            </c:multiLvlStrRef>
          </c:cat>
          <c:val>
            <c:numRef>
              <c:f>GDP!$DE$41:$DV$41</c:f>
              <c:numCache>
                <c:formatCode>#\ ###\ ###\ ##0.0</c:formatCode>
                <c:ptCount val="18"/>
                <c:pt idx="0">
                  <c:v>-20.032015631226614</c:v>
                </c:pt>
                <c:pt idx="1">
                  <c:v>-20.536680217163262</c:v>
                </c:pt>
                <c:pt idx="2">
                  <c:v>-7.4951590814892457</c:v>
                </c:pt>
                <c:pt idx="3">
                  <c:v>-6.4034666736163874</c:v>
                </c:pt>
                <c:pt idx="4">
                  <c:v>10.387937199926665</c:v>
                </c:pt>
                <c:pt idx="5">
                  <c:v>13.389196626789337</c:v>
                </c:pt>
                <c:pt idx="6">
                  <c:v>8.7679374504399039</c:v>
                </c:pt>
                <c:pt idx="7">
                  <c:v>1.7950111657213563</c:v>
                </c:pt>
                <c:pt idx="8">
                  <c:v>-24.678601888771194</c:v>
                </c:pt>
                <c:pt idx="9">
                  <c:v>-22.027433411612613</c:v>
                </c:pt>
                <c:pt idx="10">
                  <c:v>-20.583482772932236</c:v>
                </c:pt>
                <c:pt idx="11">
                  <c:v>-16.145908209837533</c:v>
                </c:pt>
                <c:pt idx="12">
                  <c:v>-5.6492920840226137</c:v>
                </c:pt>
                <c:pt idx="13">
                  <c:v>-4.7028175605949913</c:v>
                </c:pt>
                <c:pt idx="14">
                  <c:v>1.3228512124530019</c:v>
                </c:pt>
                <c:pt idx="15">
                  <c:v>5.1170270218797294</c:v>
                </c:pt>
                <c:pt idx="16">
                  <c:v>16.601096286190653</c:v>
                </c:pt>
                <c:pt idx="17">
                  <c:v>12.968875747247088</c:v>
                </c:pt>
              </c:numCache>
            </c:numRef>
          </c:val>
          <c:extLst>
            <c:ext xmlns:c16="http://schemas.microsoft.com/office/drawing/2014/chart" uri="{C3380CC4-5D6E-409C-BE32-E72D297353CC}">
              <c16:uniqueId val="{00000002-F680-43CD-B5F4-498BB3DB0A63}"/>
            </c:ext>
          </c:extLst>
        </c:ser>
        <c:dLbls>
          <c:showLegendKey val="0"/>
          <c:showVal val="0"/>
          <c:showCatName val="0"/>
          <c:showSerName val="0"/>
          <c:showPercent val="0"/>
          <c:showBubbleSize val="0"/>
        </c:dLbls>
        <c:gapWidth val="10"/>
        <c:overlap val="100"/>
        <c:axId val="2023500016"/>
        <c:axId val="2023500496"/>
      </c:barChart>
      <c:lineChart>
        <c:grouping val="standard"/>
        <c:varyColors val="0"/>
        <c:ser>
          <c:idx val="5"/>
          <c:order val="3"/>
          <c:tx>
            <c:strRef>
              <c:f>GDP!$E$19</c:f>
              <c:strCache>
                <c:ptCount val="1"/>
                <c:pt idx="0">
                  <c:v>ДНБ, Бодит өсөлт</c:v>
                </c:pt>
              </c:strCache>
            </c:strRef>
          </c:tx>
          <c:spPr>
            <a:ln w="12700">
              <a:solidFill>
                <a:srgbClr val="00174C"/>
              </a:solidFill>
            </a:ln>
            <a:effectLst/>
          </c:spPr>
          <c:marker>
            <c:symbol val="circle"/>
            <c:size val="6"/>
            <c:spPr>
              <a:solidFill>
                <a:sysClr val="window" lastClr="FFFFFF"/>
              </a:solidFill>
              <a:ln>
                <a:solidFill>
                  <a:srgbClr val="00174C"/>
                </a:solidFill>
              </a:ln>
            </c:spPr>
          </c:marker>
          <c:dPt>
            <c:idx val="6"/>
            <c:bubble3D val="0"/>
            <c:extLst>
              <c:ext xmlns:c16="http://schemas.microsoft.com/office/drawing/2014/chart" uri="{C3380CC4-5D6E-409C-BE32-E72D297353CC}">
                <c16:uniqueId val="{00000003-F680-43CD-B5F4-498BB3DB0A63}"/>
              </c:ext>
            </c:extLst>
          </c:dPt>
          <c:dPt>
            <c:idx val="8"/>
            <c:bubble3D val="0"/>
            <c:extLst>
              <c:ext xmlns:c16="http://schemas.microsoft.com/office/drawing/2014/chart" uri="{C3380CC4-5D6E-409C-BE32-E72D297353CC}">
                <c16:uniqueId val="{00000004-F680-43CD-B5F4-498BB3DB0A63}"/>
              </c:ext>
            </c:extLst>
          </c:dPt>
          <c:dPt>
            <c:idx val="10"/>
            <c:bubble3D val="0"/>
            <c:extLst>
              <c:ext xmlns:c16="http://schemas.microsoft.com/office/drawing/2014/chart" uri="{C3380CC4-5D6E-409C-BE32-E72D297353CC}">
                <c16:uniqueId val="{00000005-F680-43CD-B5F4-498BB3DB0A63}"/>
              </c:ext>
            </c:extLst>
          </c:dPt>
          <c:dPt>
            <c:idx val="16"/>
            <c:bubble3D val="0"/>
            <c:extLst>
              <c:ext xmlns:c16="http://schemas.microsoft.com/office/drawing/2014/chart" uri="{C3380CC4-5D6E-409C-BE32-E72D297353CC}">
                <c16:uniqueId val="{00000006-F680-43CD-B5F4-498BB3DB0A63}"/>
              </c:ext>
            </c:extLst>
          </c:dPt>
          <c:dLbls>
            <c:dLbl>
              <c:idx val="17"/>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680-43CD-B5F4-498BB3DB0A63}"/>
                </c:ext>
              </c:extLst>
            </c:dLbl>
            <c:spPr>
              <a:noFill/>
              <a:ln>
                <a:noFill/>
              </a:ln>
              <a:effectLst/>
            </c:spPr>
            <c:dLblPos val="t"/>
            <c:showLegendKey val="0"/>
            <c:showVal val="0"/>
            <c:showCatName val="0"/>
            <c:showSerName val="0"/>
            <c:showPercent val="0"/>
            <c:showBubbleSize val="0"/>
            <c:extLst>
              <c:ext xmlns:c15="http://schemas.microsoft.com/office/drawing/2012/chart" uri="{CE6537A1-D6FC-4f65-9D91-7224C49458BB}">
                <c15:showLeaderLines val="1"/>
              </c:ext>
            </c:extLst>
          </c:dLbls>
          <c:cat>
            <c:multiLvlStrRef>
              <c:f>GDP!$DE$1:$DU$2</c:f>
              <c:multiLvlStrCache>
                <c:ptCount val="17"/>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lvl>
                <c:lvl>
                  <c:pt idx="0">
                    <c:v>2022</c:v>
                  </c:pt>
                  <c:pt idx="4">
                    <c:v>2023</c:v>
                  </c:pt>
                  <c:pt idx="8">
                    <c:v>2024</c:v>
                  </c:pt>
                  <c:pt idx="12">
                    <c:v>2025</c:v>
                  </c:pt>
                  <c:pt idx="16">
                    <c:v>2026</c:v>
                  </c:pt>
                </c:lvl>
              </c:multiLvlStrCache>
            </c:multiLvlStrRef>
          </c:cat>
          <c:val>
            <c:numRef>
              <c:f>GDP!$DE$19:$DV$19</c:f>
              <c:numCache>
                <c:formatCode>#\ ###\ ###\ ##0.0</c:formatCode>
                <c:ptCount val="18"/>
                <c:pt idx="0">
                  <c:v>-2.4505180766930579</c:v>
                </c:pt>
                <c:pt idx="1">
                  <c:v>-0.16072015030039211</c:v>
                </c:pt>
                <c:pt idx="2">
                  <c:v>2.5614130015022738</c:v>
                </c:pt>
                <c:pt idx="3">
                  <c:v>4.9541573381201403</c:v>
                </c:pt>
                <c:pt idx="4">
                  <c:v>7.8849440339651409</c:v>
                </c:pt>
                <c:pt idx="5">
                  <c:v>6.2689433330496769</c:v>
                </c:pt>
                <c:pt idx="6">
                  <c:v>7.2271296922152146</c:v>
                </c:pt>
                <c:pt idx="7">
                  <c:v>7.2069476036939193</c:v>
                </c:pt>
                <c:pt idx="8">
                  <c:v>7.8910660826935271</c:v>
                </c:pt>
                <c:pt idx="9">
                  <c:v>5.5983981466387007</c:v>
                </c:pt>
                <c:pt idx="10">
                  <c:v>4.8585536866253989</c:v>
                </c:pt>
                <c:pt idx="11">
                  <c:v>5.0517278389930595</c:v>
                </c:pt>
                <c:pt idx="12">
                  <c:v>2.5303355581810791</c:v>
                </c:pt>
                <c:pt idx="13">
                  <c:v>5.6635997904623139</c:v>
                </c:pt>
                <c:pt idx="14">
                  <c:v>5.8891869686710407</c:v>
                </c:pt>
                <c:pt idx="15">
                  <c:v>6.8679092217938944</c:v>
                </c:pt>
                <c:pt idx="16">
                  <c:v>7.9996237689234704</c:v>
                </c:pt>
                <c:pt idx="17">
                  <c:v>7.7945890843098056</c:v>
                </c:pt>
              </c:numCache>
            </c:numRef>
          </c:val>
          <c:smooth val="0"/>
          <c:extLst>
            <c:ext xmlns:c16="http://schemas.microsoft.com/office/drawing/2014/chart" uri="{C3380CC4-5D6E-409C-BE32-E72D297353CC}">
              <c16:uniqueId val="{00000008-F680-43CD-B5F4-498BB3DB0A63}"/>
            </c:ext>
          </c:extLst>
        </c:ser>
        <c:dLbls>
          <c:showLegendKey val="0"/>
          <c:showVal val="0"/>
          <c:showCatName val="0"/>
          <c:showSerName val="0"/>
          <c:showPercent val="0"/>
          <c:showBubbleSize val="0"/>
        </c:dLbls>
        <c:marker val="1"/>
        <c:smooth val="0"/>
        <c:axId val="2023500016"/>
        <c:axId val="2023500496"/>
      </c:lineChart>
      <c:catAx>
        <c:axId val="2023500016"/>
        <c:scaling>
          <c:orientation val="minMax"/>
        </c:scaling>
        <c:delete val="0"/>
        <c:axPos val="b"/>
        <c:majorGridlines>
          <c:spPr>
            <a:ln w="3175" cap="flat" cmpd="sng" algn="ctr">
              <a:solidFill>
                <a:schemeClr val="bg1"/>
              </a:solidFill>
              <a:round/>
            </a:ln>
            <a:effectLst/>
          </c:spPr>
        </c:majorGridlines>
        <c:numFmt formatCode="General" sourceLinked="1"/>
        <c:majorTickMark val="none"/>
        <c:minorTickMark val="none"/>
        <c:tickLblPos val="low"/>
        <c:spPr>
          <a:noFill/>
          <a:ln w="3175" cap="flat" cmpd="sng" algn="ctr">
            <a:solidFill>
              <a:schemeClr val="bg1">
                <a:lumMod val="85000"/>
              </a:schemeClr>
            </a:solidFill>
            <a:round/>
          </a:ln>
          <a:effectLst/>
        </c:spPr>
        <c:txPr>
          <a:bodyPr rot="-60000000" vert="horz"/>
          <a:lstStyle/>
          <a:p>
            <a:pPr>
              <a:defRPr/>
            </a:pPr>
            <a:endParaRPr lang="en-US"/>
          </a:p>
        </c:txPr>
        <c:crossAx val="2023500496"/>
        <c:crosses val="autoZero"/>
        <c:auto val="1"/>
        <c:lblAlgn val="ctr"/>
        <c:lblOffset val="100"/>
        <c:tickMarkSkip val="1"/>
        <c:noMultiLvlLbl val="0"/>
      </c:catAx>
      <c:valAx>
        <c:axId val="2023500496"/>
        <c:scaling>
          <c:orientation val="minMax"/>
          <c:max val="40"/>
          <c:min val="-30"/>
        </c:scaling>
        <c:delete val="0"/>
        <c:axPos val="l"/>
        <c:numFmt formatCode="0" sourceLinked="0"/>
        <c:majorTickMark val="none"/>
        <c:minorTickMark val="none"/>
        <c:tickLblPos val="nextTo"/>
        <c:spPr>
          <a:noFill/>
          <a:ln>
            <a:noFill/>
          </a:ln>
          <a:effectLst/>
        </c:spPr>
        <c:txPr>
          <a:bodyPr rot="-60000000" vert="horz"/>
          <a:lstStyle/>
          <a:p>
            <a:pPr>
              <a:defRPr/>
            </a:pPr>
            <a:endParaRPr lang="en-US"/>
          </a:p>
        </c:txPr>
        <c:crossAx val="2023500016"/>
        <c:crosses val="autoZero"/>
        <c:crossBetween val="between"/>
        <c:majorUnit val="10"/>
        <c:minorUnit val="5"/>
      </c:valAx>
    </c:plotArea>
    <c:legend>
      <c:legendPos val="t"/>
      <c:legendEntry>
        <c:idx val="1"/>
        <c:txPr>
          <a:bodyPr rot="0" vert="horz"/>
          <a:lstStyle/>
          <a:p>
            <a:pPr>
              <a:defRPr/>
            </a:pPr>
            <a:endParaRPr lang="en-US"/>
          </a:p>
        </c:txPr>
      </c:legendEntry>
      <c:layout>
        <c:manualLayout>
          <c:xMode val="edge"/>
          <c:yMode val="edge"/>
          <c:x val="3.937007874015748E-2"/>
          <c:y val="0"/>
          <c:w val="0.96062992125984248"/>
          <c:h val="0.13180836402614463"/>
        </c:manualLayout>
      </c:layout>
      <c:overlay val="0"/>
      <c:spPr>
        <a:noFill/>
        <a:ln>
          <a:noFill/>
        </a:ln>
        <a:effectLst/>
      </c:spPr>
      <c:txPr>
        <a:bodyPr rot="0" vert="horz"/>
        <a:lstStyle/>
        <a:p>
          <a:pPr>
            <a:defRPr/>
          </a:pPr>
          <a:endParaRPr lang="en-US"/>
        </a:p>
      </c:txPr>
    </c:legend>
    <c:plotVisOnly val="1"/>
    <c:dispBlanksAs val="gap"/>
    <c:showDLblsOverMax val="0"/>
    <c:extLst/>
  </c:chart>
  <c:spPr>
    <a:solidFill>
      <a:sysClr val="window" lastClr="FFFFFF"/>
    </a:solidFill>
    <a:ln w="9525" cap="flat" cmpd="sng" algn="ctr">
      <a:no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645888013998247E-2"/>
          <c:y val="7.407407407407407E-2"/>
          <c:w val="0.89075699912510942"/>
          <c:h val="0.8416746864975212"/>
        </c:manualLayout>
      </c:layout>
      <c:barChart>
        <c:barDir val="bar"/>
        <c:grouping val="clustered"/>
        <c:varyColors val="0"/>
        <c:ser>
          <c:idx val="0"/>
          <c:order val="0"/>
          <c:tx>
            <c:strRef>
              <c:f>'Graphs quarterly'!$E$8</c:f>
              <c:strCache>
                <c:ptCount val="1"/>
                <c:pt idx="0">
                  <c:v>2026Q2/2025Q2</c:v>
                </c:pt>
              </c:strCache>
            </c:strRef>
          </c:tx>
          <c:spPr>
            <a:solidFill>
              <a:srgbClr val="EA3A81"/>
            </a:solidFill>
            <a:ln>
              <a:noFill/>
            </a:ln>
            <a:effectLst/>
          </c:spPr>
          <c:invertIfNegative val="0"/>
          <c:dPt>
            <c:idx val="0"/>
            <c:invertIfNegative val="0"/>
            <c:bubble3D val="0"/>
            <c:spPr>
              <a:solidFill>
                <a:srgbClr val="52657E"/>
              </a:solidFill>
              <a:ln>
                <a:noFill/>
              </a:ln>
              <a:effectLst/>
            </c:spPr>
            <c:extLst>
              <c:ext xmlns:c16="http://schemas.microsoft.com/office/drawing/2014/chart" uri="{C3380CC4-5D6E-409C-BE32-E72D297353CC}">
                <c16:uniqueId val="{00000001-44B7-4825-B423-DF6A996DB3DD}"/>
              </c:ext>
            </c:extLst>
          </c:dPt>
          <c:dPt>
            <c:idx val="1"/>
            <c:invertIfNegative val="0"/>
            <c:bubble3D val="0"/>
            <c:spPr>
              <a:solidFill>
                <a:srgbClr val="52657E"/>
              </a:solidFill>
              <a:ln>
                <a:noFill/>
              </a:ln>
              <a:effectLst/>
            </c:spPr>
            <c:extLst>
              <c:ext xmlns:c16="http://schemas.microsoft.com/office/drawing/2014/chart" uri="{C3380CC4-5D6E-409C-BE32-E72D297353CC}">
                <c16:uniqueId val="{00000003-44B7-4825-B423-DF6A996DB3DD}"/>
              </c:ext>
            </c:extLst>
          </c:dPt>
          <c:dPt>
            <c:idx val="2"/>
            <c:invertIfNegative val="0"/>
            <c:bubble3D val="0"/>
            <c:spPr>
              <a:solidFill>
                <a:srgbClr val="52657E"/>
              </a:solidFill>
              <a:ln>
                <a:noFill/>
              </a:ln>
              <a:effectLst/>
            </c:spPr>
            <c:extLst>
              <c:ext xmlns:c16="http://schemas.microsoft.com/office/drawing/2014/chart" uri="{C3380CC4-5D6E-409C-BE32-E72D297353CC}">
                <c16:uniqueId val="{00000005-44B7-4825-B423-DF6A996DB3DD}"/>
              </c:ext>
            </c:extLst>
          </c:dPt>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quarterly'!$D$9:$D$16</c:f>
              <c:strCache>
                <c:ptCount val="8"/>
                <c:pt idx="0">
                  <c:v>Хөдөө аж ахуй</c:v>
                </c:pt>
                <c:pt idx="1">
                  <c:v>Боловсруулах</c:v>
                </c:pt>
                <c:pt idx="2">
                  <c:v>Худалдаа</c:v>
                </c:pt>
                <c:pt idx="3">
                  <c:v>Барилга</c:v>
                </c:pt>
                <c:pt idx="4">
                  <c:v>Тээвэр</c:v>
                </c:pt>
                <c:pt idx="5">
                  <c:v>Уул уурхай</c:v>
                </c:pt>
                <c:pt idx="6">
                  <c:v>Цахилгаан, ус</c:v>
                </c:pt>
                <c:pt idx="7">
                  <c:v>Үйлчилгээ ба бусад</c:v>
                </c:pt>
              </c:strCache>
            </c:strRef>
          </c:cat>
          <c:val>
            <c:numRef>
              <c:f>'Graphs quarterly'!$E$9:$E$16</c:f>
              <c:numCache>
                <c:formatCode>0.0</c:formatCode>
                <c:ptCount val="8"/>
                <c:pt idx="0">
                  <c:v>-45.975999999999999</c:v>
                </c:pt>
                <c:pt idx="1">
                  <c:v>-23.534000000000006</c:v>
                </c:pt>
                <c:pt idx="2">
                  <c:v>-7.8680000000000234</c:v>
                </c:pt>
                <c:pt idx="3">
                  <c:v>0.71999999999999886</c:v>
                </c:pt>
                <c:pt idx="4">
                  <c:v>1.5510000000000019</c:v>
                </c:pt>
                <c:pt idx="5">
                  <c:v>5.9939999999999998</c:v>
                </c:pt>
                <c:pt idx="6">
                  <c:v>7.4859999999999971</c:v>
                </c:pt>
                <c:pt idx="7">
                  <c:v>39.539999999999964</c:v>
                </c:pt>
              </c:numCache>
            </c:numRef>
          </c:val>
          <c:extLst>
            <c:ext xmlns:c16="http://schemas.microsoft.com/office/drawing/2014/chart" uri="{C3380CC4-5D6E-409C-BE32-E72D297353CC}">
              <c16:uniqueId val="{00000006-44B7-4825-B423-DF6A996DB3DD}"/>
            </c:ext>
          </c:extLst>
        </c:ser>
        <c:dLbls>
          <c:dLblPos val="outEnd"/>
          <c:showLegendKey val="0"/>
          <c:showVal val="1"/>
          <c:showCatName val="0"/>
          <c:showSerName val="0"/>
          <c:showPercent val="0"/>
          <c:showBubbleSize val="0"/>
        </c:dLbls>
        <c:gapWidth val="182"/>
        <c:axId val="113612784"/>
        <c:axId val="2114857759"/>
      </c:barChart>
      <c:catAx>
        <c:axId val="113612784"/>
        <c:scaling>
          <c:orientation val="minMax"/>
        </c:scaling>
        <c:delete val="0"/>
        <c:axPos val="l"/>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114857759"/>
        <c:crosses val="autoZero"/>
        <c:auto val="1"/>
        <c:lblAlgn val="ctr"/>
        <c:lblOffset val="100"/>
        <c:noMultiLvlLbl val="0"/>
      </c:catAx>
      <c:valAx>
        <c:axId val="2114857759"/>
        <c:scaling>
          <c:orientation val="minMax"/>
        </c:scaling>
        <c:delete val="0"/>
        <c:axPos val="b"/>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13612784"/>
        <c:crosses val="autoZero"/>
        <c:crossBetween val="between"/>
        <c:majorUnit val="3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358705161854772E-2"/>
          <c:y val="0.16666666666666666"/>
          <c:w val="0.83405729543987994"/>
          <c:h val="0.6613988392296033"/>
        </c:manualLayout>
      </c:layout>
      <c:lineChart>
        <c:grouping val="standard"/>
        <c:varyColors val="0"/>
        <c:ser>
          <c:idx val="0"/>
          <c:order val="0"/>
          <c:tx>
            <c:strRef>
              <c:f>'Төсөв танилцуулгын зураг'!$A$3</c:f>
              <c:strCache>
                <c:ptCount val="1"/>
                <c:pt idx="0">
                  <c:v>Жилийн инфляц (Улс)</c:v>
                </c:pt>
              </c:strCache>
            </c:strRef>
          </c:tx>
          <c:spPr>
            <a:ln w="12700" cap="rnd">
              <a:solidFill>
                <a:srgbClr val="055957"/>
              </a:solidFill>
              <a:round/>
            </a:ln>
            <a:effectLst/>
          </c:spPr>
          <c:marker>
            <c:symbol val="none"/>
          </c:marker>
          <c:dLbls>
            <c:dLbl>
              <c:idx val="59"/>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92B-4E04-870C-8BE33978AC1B}"/>
                </c:ext>
              </c:extLst>
            </c:dLbl>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b"/>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'Төсөв танилцуулгын зураг'!$B$1:$BI$1</c:f>
              <c:numCache>
                <c:formatCode>General</c:formatCode>
                <c:ptCount val="60"/>
                <c:pt idx="11">
                  <c:v>2021</c:v>
                </c:pt>
                <c:pt idx="23">
                  <c:v>2022</c:v>
                </c:pt>
                <c:pt idx="35">
                  <c:v>2023</c:v>
                </c:pt>
                <c:pt idx="47">
                  <c:v>2024</c:v>
                </c:pt>
                <c:pt idx="59">
                  <c:v>2025</c:v>
                </c:pt>
              </c:numCache>
            </c:numRef>
          </c:cat>
          <c:val>
            <c:numRef>
              <c:f>'Төсөв танилцуулгын зураг'!$B$3:$BI$3</c:f>
              <c:numCache>
                <c:formatCode>0.0</c:formatCode>
                <c:ptCount val="60"/>
                <c:pt idx="0">
                  <c:v>2.5560945509953683</c:v>
                </c:pt>
                <c:pt idx="1">
                  <c:v>2.520571161665103</c:v>
                </c:pt>
                <c:pt idx="2">
                  <c:v>2.2807850597746864</c:v>
                </c:pt>
                <c:pt idx="3">
                  <c:v>5.2473049424948783</c:v>
                </c:pt>
                <c:pt idx="4">
                  <c:v>6.0780507721262467</c:v>
                </c:pt>
                <c:pt idx="5">
                  <c:v>6.7177566914457145</c:v>
                </c:pt>
                <c:pt idx="6">
                  <c:v>7.6753345467593732</c:v>
                </c:pt>
                <c:pt idx="7">
                  <c:v>9.5537962347380585</c:v>
                </c:pt>
                <c:pt idx="8">
                  <c:v>10.245055034911999</c:v>
                </c:pt>
                <c:pt idx="9">
                  <c:v>10.414972776650117</c:v>
                </c:pt>
                <c:pt idx="10">
                  <c:v>11.024239743302871</c:v>
                </c:pt>
                <c:pt idx="11">
                  <c:v>13.829040505296319</c:v>
                </c:pt>
                <c:pt idx="12">
                  <c:v>15.115788570222975</c:v>
                </c:pt>
                <c:pt idx="13">
                  <c:v>15.315024762754376</c:v>
                </c:pt>
                <c:pt idx="14">
                  <c:v>15.737034607205075</c:v>
                </c:pt>
                <c:pt idx="15">
                  <c:v>15.786834015429235</c:v>
                </c:pt>
                <c:pt idx="16">
                  <c:v>16.228269690676413</c:v>
                </c:pt>
                <c:pt idx="17">
                  <c:v>16.93686443470861</c:v>
                </c:pt>
                <c:pt idx="18">
                  <c:v>16.438516139343307</c:v>
                </c:pt>
                <c:pt idx="19">
                  <c:v>14.418046475455128</c:v>
                </c:pt>
                <c:pt idx="20">
                  <c:v>13.820523032682615</c:v>
                </c:pt>
                <c:pt idx="21">
                  <c:v>14.457231015447064</c:v>
                </c:pt>
                <c:pt idx="22">
                  <c:v>14.54310040151978</c:v>
                </c:pt>
                <c:pt idx="23">
                  <c:v>13.238419053633194</c:v>
                </c:pt>
                <c:pt idx="24">
                  <c:v>12.32822734553767</c:v>
                </c:pt>
                <c:pt idx="25">
                  <c:v>12.179839478392608</c:v>
                </c:pt>
                <c:pt idx="26">
                  <c:v>12.233205886118625</c:v>
                </c:pt>
                <c:pt idx="27">
                  <c:v>11.305502223521941</c:v>
                </c:pt>
                <c:pt idx="28">
                  <c:v>11.293457426401602</c:v>
                </c:pt>
                <c:pt idx="29">
                  <c:v>10.643843650039912</c:v>
                </c:pt>
                <c:pt idx="30">
                  <c:v>9.1891224121646928</c:v>
                </c:pt>
                <c:pt idx="31">
                  <c:v>10.015672592001962</c:v>
                </c:pt>
                <c:pt idx="32">
                  <c:v>10.060467561619092</c:v>
                </c:pt>
                <c:pt idx="33">
                  <c:v>8.9606325279487606</c:v>
                </c:pt>
                <c:pt idx="34">
                  <c:v>8.58423888560786</c:v>
                </c:pt>
                <c:pt idx="35">
                  <c:v>7.9239441073876833</c:v>
                </c:pt>
                <c:pt idx="36">
                  <c:v>6.7261549095261497</c:v>
                </c:pt>
                <c:pt idx="37">
                  <c:v>6.2539160149069462</c:v>
                </c:pt>
                <c:pt idx="38">
                  <c:v>6.1759547550654936</c:v>
                </c:pt>
                <c:pt idx="39">
                  <c:v>5.7161185395243841</c:v>
                </c:pt>
                <c:pt idx="40">
                  <c:v>5.1258653805263066</c:v>
                </c:pt>
                <c:pt idx="41">
                  <c:v>4.5776346174031479</c:v>
                </c:pt>
                <c:pt idx="42">
                  <c:v>5.0893479627195815</c:v>
                </c:pt>
                <c:pt idx="43">
                  <c:v>6.1338374109629612</c:v>
                </c:pt>
                <c:pt idx="44">
                  <c:v>6.3325277002357572</c:v>
                </c:pt>
                <c:pt idx="45">
                  <c:v>6.5745002274041342</c:v>
                </c:pt>
                <c:pt idx="46">
                  <c:v>7.4058345213378951</c:v>
                </c:pt>
                <c:pt idx="47">
                  <c:v>8.3598213391466345</c:v>
                </c:pt>
                <c:pt idx="48">
                  <c:v>8.7129663773040988</c:v>
                </c:pt>
                <c:pt idx="49">
                  <c:v>9.5688087673903688</c:v>
                </c:pt>
                <c:pt idx="50">
                  <c:v>9.1020943294784384</c:v>
                </c:pt>
                <c:pt idx="51">
                  <c:v>8.6334765918372636</c:v>
                </c:pt>
                <c:pt idx="52">
                  <c:v>8.2803589306901024</c:v>
                </c:pt>
                <c:pt idx="53">
                  <c:v>8.1863350175044083</c:v>
                </c:pt>
                <c:pt idx="54">
                  <c:v>8.1</c:v>
                </c:pt>
                <c:pt idx="55" formatCode="_(* #,##0.0_);_(* \(#,##0.0\);_(* &quot;-&quot;??_);_(@_)">
                  <c:v>8.803193429305022</c:v>
                </c:pt>
                <c:pt idx="56" formatCode="_(* #,##0.0_);_(* \(#,##0.0\);_(* &quot;-&quot;??_);_(@_)">
                  <c:v>9.0281886577386459</c:v>
                </c:pt>
                <c:pt idx="57" formatCode="_(* #,##0.0_);_(* \(#,##0.0\);_(* &quot;-&quot;??_);_(@_)">
                  <c:v>9.1666039539632038</c:v>
                </c:pt>
                <c:pt idx="58" formatCode="_(* #,##0.0_);_(* \(#,##0.0\);_(* &quot;-&quot;??_);_(@_)">
                  <c:v>8.1655923188003641</c:v>
                </c:pt>
                <c:pt idx="59" formatCode="_(* #,##0.0_);_(* \(#,##0.0\);_(* &quot;-&quot;??_);_(@_)">
                  <c:v>7.4907342117947362</c:v>
                </c:pt>
              </c:numCache>
            </c:numRef>
          </c:val>
          <c:smooth val="1"/>
          <c:extLst>
            <c:ext xmlns:c16="http://schemas.microsoft.com/office/drawing/2014/chart" uri="{C3380CC4-5D6E-409C-BE32-E72D297353CC}">
              <c16:uniqueId val="{00000001-392B-4E04-870C-8BE33978AC1B}"/>
            </c:ext>
          </c:extLst>
        </c:ser>
        <c:dLbls>
          <c:showLegendKey val="0"/>
          <c:showVal val="0"/>
          <c:showCatName val="0"/>
          <c:showSerName val="0"/>
          <c:showPercent val="0"/>
          <c:showBubbleSize val="0"/>
        </c:dLbls>
        <c:smooth val="0"/>
        <c:axId val="310113151"/>
        <c:axId val="310124191"/>
      </c:lineChart>
      <c:catAx>
        <c:axId val="310113151"/>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5400000" spcFirstLastPara="1" vertOverflow="ellipsis"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10124191"/>
        <c:crosses val="autoZero"/>
        <c:auto val="0"/>
        <c:lblAlgn val="ctr"/>
        <c:lblOffset val="100"/>
        <c:tickLblSkip val="1"/>
        <c:tickMarkSkip val="1"/>
        <c:noMultiLvlLbl val="0"/>
      </c:catAx>
      <c:valAx>
        <c:axId val="310124191"/>
        <c:scaling>
          <c:orientation val="minMax"/>
          <c:max val="2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10113151"/>
        <c:crosses val="autoZero"/>
        <c:crossBetween val="midCat"/>
        <c:majorUnit val="4"/>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04242341038202"/>
          <c:y val="0.15102702439972782"/>
          <c:w val="0.77803621550460766"/>
          <c:h val="0.66609264119762812"/>
        </c:manualLayout>
      </c:layout>
      <c:barChart>
        <c:barDir val="col"/>
        <c:grouping val="clustered"/>
        <c:varyColors val="0"/>
        <c:ser>
          <c:idx val="0"/>
          <c:order val="0"/>
          <c:tx>
            <c:strRef>
              <c:f>graph_egshig!$A$3</c:f>
              <c:strCache>
                <c:ptCount val="1"/>
                <c:pt idx="0">
                  <c:v>Ажиллагчид</c:v>
                </c:pt>
              </c:strCache>
            </c:strRef>
          </c:tx>
          <c:spPr>
            <a:solidFill>
              <a:srgbClr val="808080"/>
            </a:solidFill>
            <a:ln>
              <a:noFill/>
            </a:ln>
            <a:effectLst/>
          </c:spPr>
          <c:invertIfNegative val="0"/>
          <c:dPt>
            <c:idx val="1"/>
            <c:invertIfNegative val="0"/>
            <c:bubble3D val="0"/>
            <c:spPr>
              <a:solidFill>
                <a:srgbClr val="52657E"/>
              </a:solidFill>
              <a:ln>
                <a:noFill/>
              </a:ln>
              <a:effectLst/>
            </c:spPr>
            <c:extLst>
              <c:ext xmlns:c16="http://schemas.microsoft.com/office/drawing/2014/chart" uri="{C3380CC4-5D6E-409C-BE32-E72D297353CC}">
                <c16:uniqueId val="{00000001-5231-4C04-83AB-C660A0D70E2F}"/>
              </c:ext>
            </c:extLst>
          </c:dPt>
          <c:dPt>
            <c:idx val="5"/>
            <c:invertIfNegative val="0"/>
            <c:bubble3D val="0"/>
            <c:spPr>
              <a:solidFill>
                <a:srgbClr val="52657E"/>
              </a:solidFill>
              <a:ln>
                <a:noFill/>
              </a:ln>
              <a:effectLst/>
            </c:spPr>
            <c:extLst>
              <c:ext xmlns:c16="http://schemas.microsoft.com/office/drawing/2014/chart" uri="{C3380CC4-5D6E-409C-BE32-E72D297353CC}">
                <c16:uniqueId val="{00000003-5231-4C04-83AB-C660A0D70E2F}"/>
              </c:ext>
            </c:extLst>
          </c:dPt>
          <c:dPt>
            <c:idx val="9"/>
            <c:invertIfNegative val="0"/>
            <c:bubble3D val="0"/>
            <c:spPr>
              <a:solidFill>
                <a:srgbClr val="52657E"/>
              </a:solidFill>
              <a:ln>
                <a:noFill/>
              </a:ln>
              <a:effectLst/>
            </c:spPr>
            <c:extLst>
              <c:ext xmlns:c16="http://schemas.microsoft.com/office/drawing/2014/chart" uri="{C3380CC4-5D6E-409C-BE32-E72D297353CC}">
                <c16:uniqueId val="{00000005-5231-4C04-83AB-C660A0D70E2F}"/>
              </c:ext>
            </c:extLst>
          </c:dPt>
          <c:dPt>
            <c:idx val="13"/>
            <c:invertIfNegative val="0"/>
            <c:bubble3D val="0"/>
            <c:spPr>
              <a:solidFill>
                <a:srgbClr val="52657E"/>
              </a:solidFill>
              <a:ln>
                <a:noFill/>
              </a:ln>
              <a:effectLst/>
            </c:spPr>
            <c:extLst>
              <c:ext xmlns:c16="http://schemas.microsoft.com/office/drawing/2014/chart" uri="{C3380CC4-5D6E-409C-BE32-E72D297353CC}">
                <c16:uniqueId val="{00000007-5231-4C04-83AB-C660A0D70E2F}"/>
              </c:ext>
            </c:extLst>
          </c:dPt>
          <c:dPt>
            <c:idx val="17"/>
            <c:invertIfNegative val="0"/>
            <c:bubble3D val="0"/>
            <c:spPr>
              <a:solidFill>
                <a:srgbClr val="52657E"/>
              </a:solidFill>
              <a:ln>
                <a:noFill/>
              </a:ln>
              <a:effectLst/>
            </c:spPr>
            <c:extLst>
              <c:ext xmlns:c16="http://schemas.microsoft.com/office/drawing/2014/chart" uri="{C3380CC4-5D6E-409C-BE32-E72D297353CC}">
                <c16:uniqueId val="{00000009-5231-4C04-83AB-C660A0D70E2F}"/>
              </c:ext>
            </c:extLst>
          </c:dPt>
          <c:dPt>
            <c:idx val="21"/>
            <c:invertIfNegative val="0"/>
            <c:bubble3D val="0"/>
            <c:spPr>
              <a:solidFill>
                <a:srgbClr val="52657E"/>
              </a:solidFill>
              <a:ln>
                <a:noFill/>
              </a:ln>
              <a:effectLst/>
            </c:spPr>
            <c:extLst>
              <c:ext xmlns:c16="http://schemas.microsoft.com/office/drawing/2014/chart" uri="{C3380CC4-5D6E-409C-BE32-E72D297353CC}">
                <c16:uniqueId val="{0000000B-5231-4C04-83AB-C660A0D70E2F}"/>
              </c:ext>
            </c:extLst>
          </c:dPt>
          <c:dPt>
            <c:idx val="25"/>
            <c:invertIfNegative val="0"/>
            <c:bubble3D val="0"/>
            <c:spPr>
              <a:solidFill>
                <a:srgbClr val="52657E"/>
              </a:solidFill>
              <a:ln>
                <a:noFill/>
              </a:ln>
              <a:effectLst/>
            </c:spPr>
            <c:extLst>
              <c:ext xmlns:c16="http://schemas.microsoft.com/office/drawing/2014/chart" uri="{C3380CC4-5D6E-409C-BE32-E72D297353CC}">
                <c16:uniqueId val="{0000000D-5231-4C04-83AB-C660A0D70E2F}"/>
              </c:ext>
            </c:extLst>
          </c:dPt>
          <c:dLbls>
            <c:dLbl>
              <c:idx val="25"/>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231-4C04-83AB-C660A0D70E2F}"/>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graph_egshig!$B$1:$AA$2</c:f>
              <c:multiLvlStrCache>
                <c:ptCount val="2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lvl>
                <c:lvl>
                  <c:pt idx="0">
                    <c:v>2020</c:v>
                  </c:pt>
                  <c:pt idx="4">
                    <c:v>2021</c:v>
                  </c:pt>
                  <c:pt idx="8">
                    <c:v>2022</c:v>
                  </c:pt>
                  <c:pt idx="12">
                    <c:v>2023</c:v>
                  </c:pt>
                  <c:pt idx="16">
                    <c:v>2024</c:v>
                  </c:pt>
                  <c:pt idx="20">
                    <c:v>2025</c:v>
                  </c:pt>
                  <c:pt idx="24">
                    <c:v>2026</c:v>
                  </c:pt>
                </c:lvl>
              </c:multiLvlStrCache>
            </c:multiLvlStrRef>
          </c:cat>
          <c:val>
            <c:numRef>
              <c:f>graph_egshig!$B$3:$AA$3</c:f>
              <c:numCache>
                <c:formatCode>0</c:formatCode>
                <c:ptCount val="26"/>
                <c:pt idx="0">
                  <c:v>1249.7</c:v>
                </c:pt>
                <c:pt idx="1">
                  <c:v>1259.7</c:v>
                </c:pt>
                <c:pt idx="2">
                  <c:v>1244.2</c:v>
                </c:pt>
                <c:pt idx="3">
                  <c:v>1204.5</c:v>
                </c:pt>
                <c:pt idx="4">
                  <c:v>1153.9000000000001</c:v>
                </c:pt>
                <c:pt idx="5">
                  <c:v>1190.8</c:v>
                </c:pt>
                <c:pt idx="6">
                  <c:v>1218.7</c:v>
                </c:pt>
                <c:pt idx="7">
                  <c:v>1212.8</c:v>
                </c:pt>
                <c:pt idx="8">
                  <c:v>1237.5</c:v>
                </c:pt>
                <c:pt idx="9">
                  <c:v>1273.8</c:v>
                </c:pt>
                <c:pt idx="10">
                  <c:v>1304.5999999999999</c:v>
                </c:pt>
                <c:pt idx="11">
                  <c:v>1261.5</c:v>
                </c:pt>
                <c:pt idx="12">
                  <c:v>1253.9000000000001</c:v>
                </c:pt>
                <c:pt idx="13">
                  <c:v>1279.0999999999999</c:v>
                </c:pt>
                <c:pt idx="14">
                  <c:v>1326.2</c:v>
                </c:pt>
                <c:pt idx="15">
                  <c:v>1322.4</c:v>
                </c:pt>
                <c:pt idx="16">
                  <c:v>1332.62</c:v>
                </c:pt>
                <c:pt idx="17">
                  <c:v>1347.1</c:v>
                </c:pt>
                <c:pt idx="18">
                  <c:v>1360.3</c:v>
                </c:pt>
                <c:pt idx="19">
                  <c:v>1353.4</c:v>
                </c:pt>
                <c:pt idx="20">
                  <c:v>1380.1</c:v>
                </c:pt>
                <c:pt idx="21">
                  <c:v>1390.09</c:v>
                </c:pt>
                <c:pt idx="22">
                  <c:v>1393.7</c:v>
                </c:pt>
                <c:pt idx="23">
                  <c:v>1383.6</c:v>
                </c:pt>
                <c:pt idx="24">
                  <c:v>1340.884</c:v>
                </c:pt>
                <c:pt idx="25">
                  <c:v>1368.0029999999999</c:v>
                </c:pt>
              </c:numCache>
            </c:numRef>
          </c:val>
          <c:extLst>
            <c:ext xmlns:c16="http://schemas.microsoft.com/office/drawing/2014/chart" uri="{C3380CC4-5D6E-409C-BE32-E72D297353CC}">
              <c16:uniqueId val="{0000000E-5231-4C04-83AB-C660A0D70E2F}"/>
            </c:ext>
          </c:extLst>
        </c:ser>
        <c:dLbls>
          <c:showLegendKey val="0"/>
          <c:showVal val="0"/>
          <c:showCatName val="0"/>
          <c:showSerName val="0"/>
          <c:showPercent val="0"/>
          <c:showBubbleSize val="0"/>
        </c:dLbls>
        <c:gapWidth val="85"/>
        <c:overlap val="-19"/>
        <c:axId val="1646030575"/>
        <c:axId val="309631072"/>
      </c:barChart>
      <c:lineChart>
        <c:grouping val="standard"/>
        <c:varyColors val="0"/>
        <c:ser>
          <c:idx val="1"/>
          <c:order val="1"/>
          <c:tx>
            <c:strRef>
              <c:f>graph_egshig!$A$4</c:f>
              <c:strCache>
                <c:ptCount val="1"/>
                <c:pt idx="0">
                  <c:v>Ажиллах хүчний оролцооны түвшин</c:v>
                </c:pt>
              </c:strCache>
            </c:strRef>
          </c:tx>
          <c:spPr>
            <a:ln w="28575" cap="rnd">
              <a:solidFill>
                <a:srgbClr val="EA3A81"/>
              </a:solidFill>
              <a:round/>
            </a:ln>
            <a:effectLst/>
          </c:spPr>
          <c:marker>
            <c:symbol val="none"/>
          </c:marker>
          <c:dLbls>
            <c:dLbl>
              <c:idx val="25"/>
              <c:numFmt formatCode="#,##0.0" sourceLinked="0"/>
              <c:spPr>
                <a:solidFill>
                  <a:srgbClr val="EA3A81"/>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231-4C04-83AB-C660A0D70E2F}"/>
                </c:ext>
              </c:extLst>
            </c:dLbl>
            <c:spPr>
              <a:solidFill>
                <a:srgbClr val="EA3A81"/>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graph_egshig!$B$1:$AA$2</c:f>
              <c:multiLvlStrCache>
                <c:ptCount val="2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lvl>
                <c:lvl>
                  <c:pt idx="0">
                    <c:v>2020</c:v>
                  </c:pt>
                  <c:pt idx="4">
                    <c:v>2021</c:v>
                  </c:pt>
                  <c:pt idx="8">
                    <c:v>2022</c:v>
                  </c:pt>
                  <c:pt idx="12">
                    <c:v>2023</c:v>
                  </c:pt>
                  <c:pt idx="16">
                    <c:v>2024</c:v>
                  </c:pt>
                  <c:pt idx="20">
                    <c:v>2025</c:v>
                  </c:pt>
                  <c:pt idx="24">
                    <c:v>2026</c:v>
                  </c:pt>
                </c:lvl>
              </c:multiLvlStrCache>
            </c:multiLvlStrRef>
          </c:cat>
          <c:val>
            <c:numRef>
              <c:f>graph_egshig!$B$4:$AA$4</c:f>
              <c:numCache>
                <c:formatCode>0</c:formatCode>
                <c:ptCount val="26"/>
                <c:pt idx="0">
                  <c:v>60.442515131417181</c:v>
                </c:pt>
                <c:pt idx="1">
                  <c:v>61.120696009194219</c:v>
                </c:pt>
                <c:pt idx="2">
                  <c:v>60.266072789075778</c:v>
                </c:pt>
                <c:pt idx="3">
                  <c:v>58.545740574256996</c:v>
                </c:pt>
                <c:pt idx="4">
                  <c:v>56.925810903915263</c:v>
                </c:pt>
                <c:pt idx="5">
                  <c:v>58.490793235757977</c:v>
                </c:pt>
                <c:pt idx="6">
                  <c:v>59.435118709667464</c:v>
                </c:pt>
                <c:pt idx="7">
                  <c:v>59.907941611131378</c:v>
                </c:pt>
                <c:pt idx="8">
                  <c:v>60.048255611549486</c:v>
                </c:pt>
                <c:pt idx="9">
                  <c:v>61.328195349448301</c:v>
                </c:pt>
                <c:pt idx="10">
                  <c:v>61.291577088537785</c:v>
                </c:pt>
                <c:pt idx="11">
                  <c:v>59.889714350231451</c:v>
                </c:pt>
                <c:pt idx="12">
                  <c:v>59.024690814664851</c:v>
                </c:pt>
                <c:pt idx="13">
                  <c:v>59.641788417532112</c:v>
                </c:pt>
                <c:pt idx="14">
                  <c:v>61.610561056105617</c:v>
                </c:pt>
                <c:pt idx="15">
                  <c:v>60.539517690547441</c:v>
                </c:pt>
                <c:pt idx="16">
                  <c:v>61.111812188594683</c:v>
                </c:pt>
                <c:pt idx="17">
                  <c:v>62.204621611036174</c:v>
                </c:pt>
                <c:pt idx="18">
                  <c:v>63</c:v>
                </c:pt>
                <c:pt idx="19">
                  <c:v>62.175805047867719</c:v>
                </c:pt>
                <c:pt idx="20">
                  <c:v>62.014760561656203</c:v>
                </c:pt>
                <c:pt idx="21">
                  <c:v>61.882113924803846</c:v>
                </c:pt>
                <c:pt idx="22">
                  <c:v>62.661509690581433</c:v>
                </c:pt>
                <c:pt idx="23">
                  <c:v>62.3</c:v>
                </c:pt>
                <c:pt idx="24">
                  <c:v>60.4</c:v>
                </c:pt>
                <c:pt idx="25">
                  <c:v>61.5</c:v>
                </c:pt>
              </c:numCache>
            </c:numRef>
          </c:val>
          <c:smooth val="1"/>
          <c:extLst>
            <c:ext xmlns:c16="http://schemas.microsoft.com/office/drawing/2014/chart" uri="{C3380CC4-5D6E-409C-BE32-E72D297353CC}">
              <c16:uniqueId val="{00000010-5231-4C04-83AB-C660A0D70E2F}"/>
            </c:ext>
          </c:extLst>
        </c:ser>
        <c:dLbls>
          <c:showLegendKey val="0"/>
          <c:showVal val="0"/>
          <c:showCatName val="0"/>
          <c:showSerName val="0"/>
          <c:showPercent val="0"/>
          <c:showBubbleSize val="0"/>
        </c:dLbls>
        <c:marker val="1"/>
        <c:smooth val="0"/>
        <c:axId val="181133776"/>
        <c:axId val="309623872"/>
      </c:lineChart>
      <c:catAx>
        <c:axId val="16460305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09631072"/>
        <c:crosses val="autoZero"/>
        <c:auto val="1"/>
        <c:lblAlgn val="ctr"/>
        <c:lblOffset val="100"/>
        <c:noMultiLvlLbl val="0"/>
      </c:catAx>
      <c:valAx>
        <c:axId val="30963107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46030575"/>
        <c:crosses val="autoZero"/>
        <c:crossBetween val="between"/>
      </c:valAx>
      <c:valAx>
        <c:axId val="309623872"/>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81133776"/>
        <c:crosses val="max"/>
        <c:crossBetween val="between"/>
        <c:majorUnit val="2"/>
      </c:valAx>
      <c:catAx>
        <c:axId val="181133776"/>
        <c:scaling>
          <c:orientation val="minMax"/>
        </c:scaling>
        <c:delete val="1"/>
        <c:axPos val="b"/>
        <c:numFmt formatCode="General" sourceLinked="1"/>
        <c:majorTickMark val="out"/>
        <c:minorTickMark val="none"/>
        <c:tickLblPos val="nextTo"/>
        <c:crossAx val="309623872"/>
        <c:crosses val="autoZero"/>
        <c:auto val="1"/>
        <c:lblAlgn val="ctr"/>
        <c:lblOffset val="100"/>
        <c:noMultiLvlLbl val="0"/>
      </c:catAx>
      <c:spPr>
        <a:noFill/>
        <a:ln>
          <a:noFill/>
        </a:ln>
        <a:effectLst/>
      </c:spPr>
    </c:plotArea>
    <c:legend>
      <c:legendPos val="t"/>
      <c:layout>
        <c:manualLayout>
          <c:xMode val="edge"/>
          <c:yMode val="edge"/>
          <c:x val="0.1219928506508966"/>
          <c:y val="3.5874439461883408E-2"/>
          <c:w val="0.69089081530423835"/>
          <c:h val="0.15535797935571954"/>
        </c:manualLayout>
      </c:layout>
      <c:overlay val="1"/>
      <c:spPr>
        <a:noFill/>
        <a:ln w="9525">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152141441700516E-2"/>
          <c:y val="0.17356795973741346"/>
          <c:w val="0.84203688248646336"/>
          <c:h val="0.73845941391135772"/>
        </c:manualLayout>
      </c:layout>
      <c:barChart>
        <c:barDir val="col"/>
        <c:grouping val="stacked"/>
        <c:varyColors val="0"/>
        <c:ser>
          <c:idx val="0"/>
          <c:order val="0"/>
          <c:tx>
            <c:strRef>
              <c:f>Sheet2!$B$75</c:f>
              <c:strCache>
                <c:ptCount val="1"/>
                <c:pt idx="0">
                  <c:v>Харилцах данс, хадгаламж $</c:v>
                </c:pt>
              </c:strCache>
            </c:strRef>
          </c:tx>
          <c:spPr>
            <a:solidFill>
              <a:srgbClr val="17375E"/>
            </a:solidFill>
            <a:ln>
              <a:noFill/>
            </a:ln>
            <a:effectLst/>
          </c:spPr>
          <c:invertIfNegative val="0"/>
          <c:cat>
            <c:numRef>
              <c:f>Sheet2!$D$74:$H$74</c:f>
              <c:numCache>
                <c:formatCode>General</c:formatCode>
                <c:ptCount val="5"/>
                <c:pt idx="0">
                  <c:v>2021</c:v>
                </c:pt>
                <c:pt idx="1">
                  <c:v>2022</c:v>
                </c:pt>
                <c:pt idx="2">
                  <c:v>2023</c:v>
                </c:pt>
                <c:pt idx="3">
                  <c:v>2024</c:v>
                </c:pt>
                <c:pt idx="4">
                  <c:v>2025</c:v>
                </c:pt>
              </c:numCache>
            </c:numRef>
          </c:cat>
          <c:val>
            <c:numRef>
              <c:f>Sheet2!$D$75:$H$75</c:f>
              <c:numCache>
                <c:formatCode>0.0</c:formatCode>
                <c:ptCount val="5"/>
                <c:pt idx="0">
                  <c:v>-1.6974963977080635</c:v>
                </c:pt>
                <c:pt idx="1">
                  <c:v>12.113798309247162</c:v>
                </c:pt>
                <c:pt idx="2">
                  <c:v>9.300110754365748E-2</c:v>
                </c:pt>
                <c:pt idx="3">
                  <c:v>-2.35365924361402</c:v>
                </c:pt>
                <c:pt idx="4">
                  <c:v>2.2343571634765516</c:v>
                </c:pt>
              </c:numCache>
            </c:numRef>
          </c:val>
          <c:extLst>
            <c:ext xmlns:c16="http://schemas.microsoft.com/office/drawing/2014/chart" uri="{C3380CC4-5D6E-409C-BE32-E72D297353CC}">
              <c16:uniqueId val="{00000000-F9F6-4031-98AC-476CC218478C}"/>
            </c:ext>
          </c:extLst>
        </c:ser>
        <c:ser>
          <c:idx val="1"/>
          <c:order val="1"/>
          <c:tx>
            <c:strRef>
              <c:f>Sheet2!$B$76</c:f>
              <c:strCache>
                <c:ptCount val="1"/>
                <c:pt idx="0">
                  <c:v>Харилцах данс, хадгаламж ₮</c:v>
                </c:pt>
              </c:strCache>
            </c:strRef>
          </c:tx>
          <c:spPr>
            <a:solidFill>
              <a:srgbClr val="11A795"/>
            </a:solidFill>
            <a:ln>
              <a:noFill/>
            </a:ln>
            <a:effectLst/>
          </c:spPr>
          <c:invertIfNegative val="0"/>
          <c:cat>
            <c:numRef>
              <c:f>Sheet2!$D$74:$H$74</c:f>
              <c:numCache>
                <c:formatCode>General</c:formatCode>
                <c:ptCount val="5"/>
                <c:pt idx="0">
                  <c:v>2021</c:v>
                </c:pt>
                <c:pt idx="1">
                  <c:v>2022</c:v>
                </c:pt>
                <c:pt idx="2">
                  <c:v>2023</c:v>
                </c:pt>
                <c:pt idx="3">
                  <c:v>2024</c:v>
                </c:pt>
                <c:pt idx="4">
                  <c:v>2025</c:v>
                </c:pt>
              </c:numCache>
            </c:numRef>
          </c:cat>
          <c:val>
            <c:numRef>
              <c:f>Sheet2!$D$76:$H$76</c:f>
              <c:numCache>
                <c:formatCode>0.0</c:formatCode>
                <c:ptCount val="5"/>
                <c:pt idx="0">
                  <c:v>15.084034598407333</c:v>
                </c:pt>
                <c:pt idx="1">
                  <c:v>-6.1238549236684801</c:v>
                </c:pt>
                <c:pt idx="2">
                  <c:v>23.95727751753617</c:v>
                </c:pt>
                <c:pt idx="3">
                  <c:v>18.030828559131894</c:v>
                </c:pt>
                <c:pt idx="4">
                  <c:v>7.6478292915687609</c:v>
                </c:pt>
              </c:numCache>
            </c:numRef>
          </c:val>
          <c:extLst>
            <c:ext xmlns:c16="http://schemas.microsoft.com/office/drawing/2014/chart" uri="{C3380CC4-5D6E-409C-BE32-E72D297353CC}">
              <c16:uniqueId val="{00000001-F9F6-4031-98AC-476CC218478C}"/>
            </c:ext>
          </c:extLst>
        </c:ser>
        <c:ser>
          <c:idx val="2"/>
          <c:order val="2"/>
          <c:tx>
            <c:strRef>
              <c:f>Sheet2!$B$77</c:f>
              <c:strCache>
                <c:ptCount val="1"/>
                <c:pt idx="0">
                  <c:v>Банкнаас гадуурх мөнгө</c:v>
                </c:pt>
              </c:strCache>
            </c:strRef>
          </c:tx>
          <c:spPr>
            <a:solidFill>
              <a:srgbClr val="DDDDDD"/>
            </a:solidFill>
            <a:ln>
              <a:noFill/>
            </a:ln>
            <a:effectLst/>
          </c:spPr>
          <c:invertIfNegative val="0"/>
          <c:cat>
            <c:numRef>
              <c:f>Sheet2!$D$74:$H$74</c:f>
              <c:numCache>
                <c:formatCode>General</c:formatCode>
                <c:ptCount val="5"/>
                <c:pt idx="0">
                  <c:v>2021</c:v>
                </c:pt>
                <c:pt idx="1">
                  <c:v>2022</c:v>
                </c:pt>
                <c:pt idx="2">
                  <c:v>2023</c:v>
                </c:pt>
                <c:pt idx="3">
                  <c:v>2024</c:v>
                </c:pt>
                <c:pt idx="4">
                  <c:v>2025</c:v>
                </c:pt>
              </c:numCache>
            </c:numRef>
          </c:cat>
          <c:val>
            <c:numRef>
              <c:f>Sheet2!$D$77:$H$77</c:f>
              <c:numCache>
                <c:formatCode>0.0</c:formatCode>
                <c:ptCount val="5"/>
                <c:pt idx="0">
                  <c:v>0.38406698696058772</c:v>
                </c:pt>
                <c:pt idx="1">
                  <c:v>-5.7513067247709278E-2</c:v>
                </c:pt>
                <c:pt idx="2">
                  <c:v>0.2507113815633959</c:v>
                </c:pt>
                <c:pt idx="3">
                  <c:v>0.19651427120162351</c:v>
                </c:pt>
                <c:pt idx="4">
                  <c:v>4.8712738395790475E-2</c:v>
                </c:pt>
              </c:numCache>
            </c:numRef>
          </c:val>
          <c:extLst>
            <c:ext xmlns:c16="http://schemas.microsoft.com/office/drawing/2014/chart" uri="{C3380CC4-5D6E-409C-BE32-E72D297353CC}">
              <c16:uniqueId val="{00000002-F9F6-4031-98AC-476CC218478C}"/>
            </c:ext>
          </c:extLst>
        </c:ser>
        <c:dLbls>
          <c:showLegendKey val="0"/>
          <c:showVal val="0"/>
          <c:showCatName val="0"/>
          <c:showSerName val="0"/>
          <c:showPercent val="0"/>
          <c:showBubbleSize val="0"/>
        </c:dLbls>
        <c:gapWidth val="50"/>
        <c:overlap val="100"/>
        <c:axId val="1161067664"/>
        <c:axId val="467089328"/>
      </c:barChart>
      <c:lineChart>
        <c:grouping val="standard"/>
        <c:varyColors val="0"/>
        <c:ser>
          <c:idx val="3"/>
          <c:order val="3"/>
          <c:tx>
            <c:strRef>
              <c:f>Sheet2!$B$78</c:f>
              <c:strCache>
                <c:ptCount val="1"/>
                <c:pt idx="0">
                  <c:v>Мөнгөний нийлүүлэлт</c:v>
                </c:pt>
              </c:strCache>
            </c:strRef>
          </c:tx>
          <c:spPr>
            <a:ln w="12700" cap="rnd">
              <a:solidFill>
                <a:srgbClr val="DD0952"/>
              </a:solidFill>
              <a:round/>
            </a:ln>
            <a:effectLst/>
          </c:spPr>
          <c:marker>
            <c:symbol val="none"/>
          </c:marker>
          <c:dLbls>
            <c:dLbl>
              <c:idx val="4"/>
              <c:layout>
                <c:manualLayout>
                  <c:x val="-1.3427324605572347E-2"/>
                  <c:y val="-7.1956348053937413E-2"/>
                </c:manualLayout>
              </c:layout>
              <c:tx>
                <c:rich>
                  <a:bodyPr/>
                  <a:lstStyle/>
                  <a:p>
                    <a:fld id="{4FDF2CAD-E8F4-40F8-8159-4AF41F526847}" type="VALUE">
                      <a:rPr lang="en-US" sz="800" b="0">
                        <a:solidFill>
                          <a:sysClr val="windowText" lastClr="000000"/>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layout>
                    <c:manualLayout>
                      <c:w val="0.13249386122807155"/>
                      <c:h val="0.10425462812601492"/>
                    </c:manualLayout>
                  </c15:layout>
                  <c15:dlblFieldTable/>
                  <c15:showDataLabelsRange val="0"/>
                </c:ext>
                <c:ext xmlns:c16="http://schemas.microsoft.com/office/drawing/2014/chart" uri="{C3380CC4-5D6E-409C-BE32-E72D297353CC}">
                  <c16:uniqueId val="{00000004-F9F6-4031-98AC-476CC218478C}"/>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Sheet2!$D$74:$H$74</c:f>
              <c:numCache>
                <c:formatCode>General</c:formatCode>
                <c:ptCount val="5"/>
                <c:pt idx="0">
                  <c:v>2021</c:v>
                </c:pt>
                <c:pt idx="1">
                  <c:v>2022</c:v>
                </c:pt>
                <c:pt idx="2">
                  <c:v>2023</c:v>
                </c:pt>
                <c:pt idx="3">
                  <c:v>2024</c:v>
                </c:pt>
                <c:pt idx="4">
                  <c:v>2025</c:v>
                </c:pt>
              </c:numCache>
            </c:numRef>
          </c:cat>
          <c:val>
            <c:numRef>
              <c:f>Sheet2!$D$78:$H$78</c:f>
              <c:numCache>
                <c:formatCode>0.0</c:formatCode>
                <c:ptCount val="5"/>
                <c:pt idx="0">
                  <c:v>13.817914812967842</c:v>
                </c:pt>
                <c:pt idx="1">
                  <c:v>6.4648482303134784</c:v>
                </c:pt>
                <c:pt idx="2">
                  <c:v>24.160302428331832</c:v>
                </c:pt>
                <c:pt idx="3">
                  <c:v>15.528375451571065</c:v>
                </c:pt>
                <c:pt idx="4">
                  <c:v>9.930189053192052</c:v>
                </c:pt>
              </c:numCache>
            </c:numRef>
          </c:val>
          <c:smooth val="1"/>
          <c:extLst>
            <c:ext xmlns:c16="http://schemas.microsoft.com/office/drawing/2014/chart" uri="{C3380CC4-5D6E-409C-BE32-E72D297353CC}">
              <c16:uniqueId val="{00000003-F9F6-4031-98AC-476CC218478C}"/>
            </c:ext>
          </c:extLst>
        </c:ser>
        <c:dLbls>
          <c:showLegendKey val="0"/>
          <c:showVal val="0"/>
          <c:showCatName val="0"/>
          <c:showSerName val="0"/>
          <c:showPercent val="0"/>
          <c:showBubbleSize val="0"/>
        </c:dLbls>
        <c:marker val="1"/>
        <c:smooth val="0"/>
        <c:axId val="1161067664"/>
        <c:axId val="467089328"/>
      </c:lineChart>
      <c:catAx>
        <c:axId val="116106766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ct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67089328"/>
        <c:crosses val="autoZero"/>
        <c:auto val="1"/>
        <c:lblAlgn val="ctr"/>
        <c:lblOffset val="100"/>
        <c:noMultiLvlLbl val="0"/>
      </c:catAx>
      <c:valAx>
        <c:axId val="467089328"/>
        <c:scaling>
          <c:orientation val="minMax"/>
        </c:scaling>
        <c:delete val="0"/>
        <c:axPos val="l"/>
        <c:majorGridlines>
          <c:spPr>
            <a:ln w="9525" cap="flat" cmpd="sng" algn="ctr">
              <a:no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lgn="ct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161067664"/>
        <c:crosses val="autoZero"/>
        <c:crossBetween val="between"/>
        <c:majorUnit val="10"/>
      </c:valAx>
      <c:spPr>
        <a:noFill/>
        <a:ln>
          <a:noFill/>
        </a:ln>
        <a:effectLst/>
      </c:spPr>
    </c:plotArea>
    <c:legend>
      <c:legendPos val="b"/>
      <c:layout>
        <c:manualLayout>
          <c:xMode val="edge"/>
          <c:yMode val="edge"/>
          <c:x val="7.2880377041821126E-2"/>
          <c:y val="2.1915343367133626E-2"/>
          <c:w val="0.87723830593683338"/>
          <c:h val="0.2105239199760634"/>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152141441700516E-2"/>
          <c:y val="0.27749780709045019"/>
          <c:w val="0.84203688248646336"/>
          <c:h val="0.63452956655832116"/>
        </c:manualLayout>
      </c:layout>
      <c:barChart>
        <c:barDir val="col"/>
        <c:grouping val="stacked"/>
        <c:varyColors val="0"/>
        <c:ser>
          <c:idx val="0"/>
          <c:order val="0"/>
          <c:tx>
            <c:strRef>
              <c:f>Sheet2!$B$94</c:f>
              <c:strCache>
                <c:ptCount val="1"/>
                <c:pt idx="0">
                  <c:v>Цалингийн зээл</c:v>
                </c:pt>
              </c:strCache>
            </c:strRef>
          </c:tx>
          <c:spPr>
            <a:solidFill>
              <a:srgbClr val="FFC000"/>
            </a:solidFill>
            <a:ln>
              <a:noFill/>
            </a:ln>
            <a:effectLst/>
          </c:spPr>
          <c:invertIfNegative val="0"/>
          <c:cat>
            <c:numRef>
              <c:f>Sheet2!$C$93:$G$93</c:f>
              <c:numCache>
                <c:formatCode>General</c:formatCode>
                <c:ptCount val="5"/>
                <c:pt idx="0">
                  <c:v>2021</c:v>
                </c:pt>
                <c:pt idx="1">
                  <c:v>2022</c:v>
                </c:pt>
                <c:pt idx="2">
                  <c:v>2023</c:v>
                </c:pt>
                <c:pt idx="3">
                  <c:v>2024</c:v>
                </c:pt>
                <c:pt idx="4">
                  <c:v>2025</c:v>
                </c:pt>
              </c:numCache>
            </c:numRef>
          </c:cat>
          <c:val>
            <c:numRef>
              <c:f>Sheet2!$C$94:$G$94</c:f>
              <c:numCache>
                <c:formatCode>0.0</c:formatCode>
                <c:ptCount val="5"/>
                <c:pt idx="0">
                  <c:v>-0.2508276904962638</c:v>
                </c:pt>
                <c:pt idx="1">
                  <c:v>1.0684118499593129</c:v>
                </c:pt>
                <c:pt idx="2">
                  <c:v>5.7938043164664883</c:v>
                </c:pt>
                <c:pt idx="3">
                  <c:v>7.3517841497103689</c:v>
                </c:pt>
                <c:pt idx="4">
                  <c:v>1.2250809679840733</c:v>
                </c:pt>
              </c:numCache>
            </c:numRef>
          </c:val>
          <c:extLst>
            <c:ext xmlns:c16="http://schemas.microsoft.com/office/drawing/2014/chart" uri="{C3380CC4-5D6E-409C-BE32-E72D297353CC}">
              <c16:uniqueId val="{00000000-F080-4BC8-8A75-096FE36578F3}"/>
            </c:ext>
          </c:extLst>
        </c:ser>
        <c:ser>
          <c:idx val="1"/>
          <c:order val="1"/>
          <c:tx>
            <c:strRef>
              <c:f>Sheet2!$B$95</c:f>
              <c:strCache>
                <c:ptCount val="1"/>
                <c:pt idx="0">
                  <c:v>Үл хөдлөх хөрөнгийн үйл ажиллагаа</c:v>
                </c:pt>
              </c:strCache>
            </c:strRef>
          </c:tx>
          <c:spPr>
            <a:solidFill>
              <a:srgbClr val="993366"/>
            </a:solidFill>
            <a:ln>
              <a:noFill/>
            </a:ln>
            <a:effectLst/>
          </c:spPr>
          <c:invertIfNegative val="0"/>
          <c:cat>
            <c:numRef>
              <c:f>Sheet2!$C$93:$G$93</c:f>
              <c:numCache>
                <c:formatCode>General</c:formatCode>
                <c:ptCount val="5"/>
                <c:pt idx="0">
                  <c:v>2021</c:v>
                </c:pt>
                <c:pt idx="1">
                  <c:v>2022</c:v>
                </c:pt>
                <c:pt idx="2">
                  <c:v>2023</c:v>
                </c:pt>
                <c:pt idx="3">
                  <c:v>2024</c:v>
                </c:pt>
                <c:pt idx="4">
                  <c:v>2025</c:v>
                </c:pt>
              </c:numCache>
            </c:numRef>
          </c:cat>
          <c:val>
            <c:numRef>
              <c:f>Sheet2!$C$95:$G$95</c:f>
              <c:numCache>
                <c:formatCode>0.0</c:formatCode>
                <c:ptCount val="5"/>
                <c:pt idx="0">
                  <c:v>3.895336554489496</c:v>
                </c:pt>
                <c:pt idx="1">
                  <c:v>2.2689962492689584</c:v>
                </c:pt>
                <c:pt idx="2">
                  <c:v>2.3483328839788502</c:v>
                </c:pt>
                <c:pt idx="3">
                  <c:v>6.7242581274716606</c:v>
                </c:pt>
                <c:pt idx="4">
                  <c:v>2.5572141456605282</c:v>
                </c:pt>
              </c:numCache>
            </c:numRef>
          </c:val>
          <c:extLst>
            <c:ext xmlns:c16="http://schemas.microsoft.com/office/drawing/2014/chart" uri="{C3380CC4-5D6E-409C-BE32-E72D297353CC}">
              <c16:uniqueId val="{00000001-F080-4BC8-8A75-096FE36578F3}"/>
            </c:ext>
          </c:extLst>
        </c:ser>
        <c:ser>
          <c:idx val="2"/>
          <c:order val="2"/>
          <c:tx>
            <c:strRef>
              <c:f>Sheet2!$B$96</c:f>
              <c:strCache>
                <c:ptCount val="1"/>
                <c:pt idx="0">
                  <c:v>Бөөний болон жижиглэн худалдаа</c:v>
                </c:pt>
              </c:strCache>
            </c:strRef>
          </c:tx>
          <c:spPr>
            <a:solidFill>
              <a:srgbClr val="11A795"/>
            </a:solidFill>
            <a:ln>
              <a:noFill/>
            </a:ln>
            <a:effectLst/>
          </c:spPr>
          <c:invertIfNegative val="0"/>
          <c:cat>
            <c:numRef>
              <c:f>Sheet2!$C$93:$G$93</c:f>
              <c:numCache>
                <c:formatCode>General</c:formatCode>
                <c:ptCount val="5"/>
                <c:pt idx="0">
                  <c:v>2021</c:v>
                </c:pt>
                <c:pt idx="1">
                  <c:v>2022</c:v>
                </c:pt>
                <c:pt idx="2">
                  <c:v>2023</c:v>
                </c:pt>
                <c:pt idx="3">
                  <c:v>2024</c:v>
                </c:pt>
                <c:pt idx="4">
                  <c:v>2025</c:v>
                </c:pt>
              </c:numCache>
            </c:numRef>
          </c:cat>
          <c:val>
            <c:numRef>
              <c:f>Sheet2!$C$96:$G$96</c:f>
              <c:numCache>
                <c:formatCode>0.0</c:formatCode>
                <c:ptCount val="5"/>
                <c:pt idx="0">
                  <c:v>8.056568866192217</c:v>
                </c:pt>
                <c:pt idx="1">
                  <c:v>3.0550470038110604</c:v>
                </c:pt>
                <c:pt idx="2">
                  <c:v>3.1256524435367377</c:v>
                </c:pt>
                <c:pt idx="3">
                  <c:v>3.7707780822801289</c:v>
                </c:pt>
                <c:pt idx="4">
                  <c:v>5.4147877654744443</c:v>
                </c:pt>
              </c:numCache>
            </c:numRef>
          </c:val>
          <c:extLst>
            <c:ext xmlns:c16="http://schemas.microsoft.com/office/drawing/2014/chart" uri="{C3380CC4-5D6E-409C-BE32-E72D297353CC}">
              <c16:uniqueId val="{00000002-F080-4BC8-8A75-096FE36578F3}"/>
            </c:ext>
          </c:extLst>
        </c:ser>
        <c:ser>
          <c:idx val="3"/>
          <c:order val="3"/>
          <c:tx>
            <c:strRef>
              <c:f>Sheet2!$B$97</c:f>
              <c:strCache>
                <c:ptCount val="1"/>
                <c:pt idx="0">
                  <c:v>Уул уурхай</c:v>
                </c:pt>
              </c:strCache>
            </c:strRef>
          </c:tx>
          <c:spPr>
            <a:solidFill>
              <a:srgbClr val="17375E"/>
            </a:solidFill>
            <a:ln>
              <a:noFill/>
            </a:ln>
            <a:effectLst/>
          </c:spPr>
          <c:invertIfNegative val="0"/>
          <c:cat>
            <c:numRef>
              <c:f>Sheet2!$C$93:$G$93</c:f>
              <c:numCache>
                <c:formatCode>General</c:formatCode>
                <c:ptCount val="5"/>
                <c:pt idx="0">
                  <c:v>2021</c:v>
                </c:pt>
                <c:pt idx="1">
                  <c:v>2022</c:v>
                </c:pt>
                <c:pt idx="2">
                  <c:v>2023</c:v>
                </c:pt>
                <c:pt idx="3">
                  <c:v>2024</c:v>
                </c:pt>
                <c:pt idx="4">
                  <c:v>2025</c:v>
                </c:pt>
              </c:numCache>
            </c:numRef>
          </c:cat>
          <c:val>
            <c:numRef>
              <c:f>Sheet2!$C$97:$G$97</c:f>
              <c:numCache>
                <c:formatCode>0.0</c:formatCode>
                <c:ptCount val="5"/>
                <c:pt idx="0">
                  <c:v>0.54195093707667763</c:v>
                </c:pt>
                <c:pt idx="1">
                  <c:v>-3.2800997983147324</c:v>
                </c:pt>
                <c:pt idx="2">
                  <c:v>1.1018226504565367</c:v>
                </c:pt>
                <c:pt idx="3">
                  <c:v>3.9725443368866422</c:v>
                </c:pt>
                <c:pt idx="4">
                  <c:v>0.13748511238607791</c:v>
                </c:pt>
              </c:numCache>
            </c:numRef>
          </c:val>
          <c:extLst>
            <c:ext xmlns:c16="http://schemas.microsoft.com/office/drawing/2014/chart" uri="{C3380CC4-5D6E-409C-BE32-E72D297353CC}">
              <c16:uniqueId val="{00000003-F080-4BC8-8A75-096FE36578F3}"/>
            </c:ext>
          </c:extLst>
        </c:ser>
        <c:ser>
          <c:idx val="4"/>
          <c:order val="4"/>
          <c:tx>
            <c:strRef>
              <c:f>Sheet2!$B$98</c:f>
              <c:strCache>
                <c:ptCount val="1"/>
                <c:pt idx="0">
                  <c:v>Бусад</c:v>
                </c:pt>
              </c:strCache>
            </c:strRef>
          </c:tx>
          <c:spPr>
            <a:solidFill>
              <a:srgbClr val="DDDDDD"/>
            </a:solidFill>
            <a:ln>
              <a:noFill/>
            </a:ln>
            <a:effectLst/>
          </c:spPr>
          <c:invertIfNegative val="0"/>
          <c:cat>
            <c:numRef>
              <c:f>Sheet2!$C$93:$G$93</c:f>
              <c:numCache>
                <c:formatCode>General</c:formatCode>
                <c:ptCount val="5"/>
                <c:pt idx="0">
                  <c:v>2021</c:v>
                </c:pt>
                <c:pt idx="1">
                  <c:v>2022</c:v>
                </c:pt>
                <c:pt idx="2">
                  <c:v>2023</c:v>
                </c:pt>
                <c:pt idx="3">
                  <c:v>2024</c:v>
                </c:pt>
                <c:pt idx="4">
                  <c:v>2025</c:v>
                </c:pt>
              </c:numCache>
            </c:numRef>
          </c:cat>
          <c:val>
            <c:numRef>
              <c:f>Sheet2!$C$98:$G$98</c:f>
              <c:numCache>
                <c:formatCode>0.0</c:formatCode>
                <c:ptCount val="5"/>
                <c:pt idx="0">
                  <c:v>9.0853090050879413</c:v>
                </c:pt>
                <c:pt idx="1">
                  <c:v>3.3757472093667786</c:v>
                </c:pt>
                <c:pt idx="2">
                  <c:v>11.000427653250695</c:v>
                </c:pt>
                <c:pt idx="3">
                  <c:v>13.647608893429322</c:v>
                </c:pt>
                <c:pt idx="4">
                  <c:v>9.6154514921760672</c:v>
                </c:pt>
              </c:numCache>
            </c:numRef>
          </c:val>
          <c:extLst>
            <c:ext xmlns:c16="http://schemas.microsoft.com/office/drawing/2014/chart" uri="{C3380CC4-5D6E-409C-BE32-E72D297353CC}">
              <c16:uniqueId val="{00000004-F080-4BC8-8A75-096FE36578F3}"/>
            </c:ext>
          </c:extLst>
        </c:ser>
        <c:dLbls>
          <c:showLegendKey val="0"/>
          <c:showVal val="0"/>
          <c:showCatName val="0"/>
          <c:showSerName val="0"/>
          <c:showPercent val="0"/>
          <c:showBubbleSize val="0"/>
        </c:dLbls>
        <c:gapWidth val="60"/>
        <c:overlap val="100"/>
        <c:axId val="1161067664"/>
        <c:axId val="467089328"/>
      </c:barChart>
      <c:lineChart>
        <c:grouping val="standard"/>
        <c:varyColors val="0"/>
        <c:ser>
          <c:idx val="5"/>
          <c:order val="5"/>
          <c:tx>
            <c:strRef>
              <c:f>Sheet2!$B$99</c:f>
              <c:strCache>
                <c:ptCount val="1"/>
                <c:pt idx="0">
                  <c:v>Нийт зээлийн үлдэгдэл</c:v>
                </c:pt>
              </c:strCache>
            </c:strRef>
          </c:tx>
          <c:spPr>
            <a:ln w="12700" cap="rnd">
              <a:solidFill>
                <a:srgbClr val="DD0952"/>
              </a:solidFill>
              <a:round/>
            </a:ln>
            <a:effectLst/>
          </c:spPr>
          <c:marker>
            <c:symbol val="none"/>
          </c:marker>
          <c:dLbls>
            <c:dLbl>
              <c:idx val="4"/>
              <c:layout>
                <c:manualLayout>
                  <c:x val="0"/>
                  <c:y val="-3.8973692757388823E-2"/>
                </c:manualLayout>
              </c:layout>
              <c:tx>
                <c:rich>
                  <a:bodyPr/>
                  <a:lstStyle/>
                  <a:p>
                    <a:fld id="{0FE06932-479E-4636-A58A-7D452CECB111}" type="VALUE">
                      <a:rPr lang="en-US" sz="800" b="0">
                        <a:solidFill>
                          <a:sysClr val="windowText" lastClr="000000"/>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F080-4BC8-8A75-096FE36578F3}"/>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Sheet2!$C$74:$G$74</c:f>
              <c:numCache>
                <c:formatCode>General</c:formatCode>
                <c:ptCount val="5"/>
                <c:pt idx="0">
                  <c:v>2020</c:v>
                </c:pt>
                <c:pt idx="1">
                  <c:v>2021</c:v>
                </c:pt>
                <c:pt idx="2">
                  <c:v>2022</c:v>
                </c:pt>
                <c:pt idx="3">
                  <c:v>2023</c:v>
                </c:pt>
                <c:pt idx="4">
                  <c:v>2024</c:v>
                </c:pt>
              </c:numCache>
            </c:numRef>
          </c:cat>
          <c:val>
            <c:numRef>
              <c:f>Sheet2!$C$99:$G$99</c:f>
              <c:numCache>
                <c:formatCode>0.0</c:formatCode>
                <c:ptCount val="5"/>
                <c:pt idx="0">
                  <c:v>21.32833767235006</c:v>
                </c:pt>
                <c:pt idx="1">
                  <c:v>6.4881025140913744</c:v>
                </c:pt>
                <c:pt idx="2">
                  <c:v>23.370039947689321</c:v>
                </c:pt>
                <c:pt idx="3">
                  <c:v>35.466973589778121</c:v>
                </c:pt>
                <c:pt idx="4">
                  <c:v>18.950019483681181</c:v>
                </c:pt>
              </c:numCache>
            </c:numRef>
          </c:val>
          <c:smooth val="1"/>
          <c:extLst>
            <c:ext xmlns:c16="http://schemas.microsoft.com/office/drawing/2014/chart" uri="{C3380CC4-5D6E-409C-BE32-E72D297353CC}">
              <c16:uniqueId val="{00000005-F080-4BC8-8A75-096FE36578F3}"/>
            </c:ext>
          </c:extLst>
        </c:ser>
        <c:dLbls>
          <c:showLegendKey val="0"/>
          <c:showVal val="0"/>
          <c:showCatName val="0"/>
          <c:showSerName val="0"/>
          <c:showPercent val="0"/>
          <c:showBubbleSize val="0"/>
        </c:dLbls>
        <c:marker val="1"/>
        <c:smooth val="0"/>
        <c:axId val="1161067664"/>
        <c:axId val="467089328"/>
      </c:lineChart>
      <c:catAx>
        <c:axId val="116106766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ct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67089328"/>
        <c:crosses val="autoZero"/>
        <c:auto val="1"/>
        <c:lblAlgn val="ctr"/>
        <c:lblOffset val="100"/>
        <c:noMultiLvlLbl val="0"/>
      </c:catAx>
      <c:valAx>
        <c:axId val="467089328"/>
        <c:scaling>
          <c:orientation val="minMax"/>
        </c:scaling>
        <c:delete val="0"/>
        <c:axPos val="l"/>
        <c:majorGridlines>
          <c:spPr>
            <a:ln w="9525" cap="flat" cmpd="sng" algn="ctr">
              <a:no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lgn="ct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161067664"/>
        <c:crosses val="autoZero"/>
        <c:crossBetween val="between"/>
        <c:majorUnit val="10"/>
      </c:valAx>
      <c:spPr>
        <a:noFill/>
        <a:ln>
          <a:noFill/>
        </a:ln>
        <a:effectLst/>
      </c:spPr>
    </c:plotArea>
    <c:legend>
      <c:legendPos val="b"/>
      <c:layout>
        <c:manualLayout>
          <c:xMode val="edge"/>
          <c:yMode val="edge"/>
          <c:x val="7.2880377041821126E-2"/>
          <c:y val="2.1915343367133626E-2"/>
          <c:w val="0.92080256037710673"/>
          <c:h val="0.29076011487521514"/>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4"/>
          <c:order val="4"/>
          <c:tx>
            <c:strRef>
              <c:f>RawData_Жил!$J$6</c:f>
              <c:strCache>
                <c:ptCount val="1"/>
                <c:pt idx="0">
                  <c:v>     Ажиллагчид</c:v>
                </c:pt>
              </c:strCache>
            </c:strRef>
          </c:tx>
          <c:spPr>
            <a:solidFill>
              <a:srgbClr val="11A795">
                <a:alpha val="73000"/>
              </a:srgbClr>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(RawData_Жил!$K$1:$U$1,RawData_Жил!$AN$1:$AR$1)</c:f>
              <c:numCache>
                <c:formatCode>General</c:formatCode>
                <c:ptCount val="5"/>
                <c:pt idx="0">
                  <c:v>2021</c:v>
                </c:pt>
                <c:pt idx="1">
                  <c:v>2022</c:v>
                </c:pt>
                <c:pt idx="2">
                  <c:v>2023</c:v>
                </c:pt>
                <c:pt idx="3">
                  <c:v>2024</c:v>
                </c:pt>
                <c:pt idx="4">
                  <c:v>2025</c:v>
                </c:pt>
              </c:numCache>
              <c:extLst/>
            </c:numRef>
          </c:cat>
          <c:val>
            <c:numRef>
              <c:f>(RawData_Жил!$K$6:$U$6,RawData_Жил!$AN$6:$AR$6)</c:f>
              <c:numCache>
                <c:formatCode>0.0</c:formatCode>
                <c:ptCount val="5"/>
                <c:pt idx="0">
                  <c:v>1207.991</c:v>
                </c:pt>
                <c:pt idx="1">
                  <c:v>1283.1279999999999</c:v>
                </c:pt>
                <c:pt idx="2">
                  <c:v>1294.7460000000001</c:v>
                </c:pt>
                <c:pt idx="3">
                  <c:v>1355.6669999999999</c:v>
                </c:pt>
                <c:pt idx="4">
                  <c:v>1358.982</c:v>
                </c:pt>
              </c:numCache>
              <c:extLst/>
            </c:numRef>
          </c:val>
          <c:extLst>
            <c:ext xmlns:c16="http://schemas.microsoft.com/office/drawing/2014/chart" uri="{C3380CC4-5D6E-409C-BE32-E72D297353CC}">
              <c16:uniqueId val="{00000000-52E0-451B-85E0-821DC96AF1FD}"/>
            </c:ext>
          </c:extLst>
        </c:ser>
        <c:ser>
          <c:idx val="6"/>
          <c:order val="6"/>
          <c:tx>
            <c:strRef>
              <c:f>RawData_Жил!$J$8</c:f>
              <c:strCache>
                <c:ptCount val="1"/>
                <c:pt idx="0">
                  <c:v>     Ажилгүй хүн</c:v>
                </c:pt>
              </c:strCache>
            </c:strRef>
          </c:tx>
          <c:spPr>
            <a:solidFill>
              <a:schemeClr val="bg1">
                <a:lumMod val="85000"/>
              </a:schemeClr>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(RawData_Жил!$K$1:$U$1,RawData_Жил!$AN$1:$AR$1)</c:f>
              <c:numCache>
                <c:formatCode>General</c:formatCode>
                <c:ptCount val="5"/>
                <c:pt idx="0">
                  <c:v>2021</c:v>
                </c:pt>
                <c:pt idx="1">
                  <c:v>2022</c:v>
                </c:pt>
                <c:pt idx="2">
                  <c:v>2023</c:v>
                </c:pt>
                <c:pt idx="3">
                  <c:v>2024</c:v>
                </c:pt>
                <c:pt idx="4">
                  <c:v>2025</c:v>
                </c:pt>
              </c:numCache>
              <c:extLst/>
            </c:numRef>
          </c:cat>
          <c:val>
            <c:numRef>
              <c:f>(RawData_Жил!$K$8:$U$8,RawData_Жил!$AN$8:$AR$8)</c:f>
              <c:numCache>
                <c:formatCode>0.0</c:formatCode>
                <c:ptCount val="5"/>
                <c:pt idx="0">
                  <c:v>109.434</c:v>
                </c:pt>
                <c:pt idx="1">
                  <c:v>87.465999999999994</c:v>
                </c:pt>
                <c:pt idx="2">
                  <c:v>72.572999999999993</c:v>
                </c:pt>
                <c:pt idx="3">
                  <c:v>85.424000000000007</c:v>
                </c:pt>
                <c:pt idx="4">
                  <c:v>78.349999999999994</c:v>
                </c:pt>
              </c:numCache>
              <c:extLst/>
            </c:numRef>
          </c:val>
          <c:extLst>
            <c:ext xmlns:c16="http://schemas.microsoft.com/office/drawing/2014/chart" uri="{C3380CC4-5D6E-409C-BE32-E72D297353CC}">
              <c16:uniqueId val="{00000001-52E0-451B-85E0-821DC96AF1FD}"/>
            </c:ext>
          </c:extLst>
        </c:ser>
        <c:dLbls>
          <c:showLegendKey val="0"/>
          <c:showVal val="0"/>
          <c:showCatName val="0"/>
          <c:showSerName val="0"/>
          <c:showPercent val="0"/>
          <c:showBubbleSize val="0"/>
        </c:dLbls>
        <c:gapWidth val="100"/>
        <c:overlap val="100"/>
        <c:axId val="1248287135"/>
        <c:axId val="107412384"/>
        <c:extLst>
          <c:ext xmlns:c15="http://schemas.microsoft.com/office/drawing/2012/chart" uri="{02D57815-91ED-43cb-92C2-25804820EDAC}">
            <c15:filteredBarSeries>
              <c15:ser>
                <c:idx val="0"/>
                <c:order val="0"/>
                <c:tx>
                  <c:strRef>
                    <c:extLst>
                      <c:ext uri="{02D57815-91ED-43cb-92C2-25804820EDAC}">
                        <c15:formulaRef>
                          <c15:sqref>RawData_Жил!$J$2</c15:sqref>
                        </c15:formulaRef>
                      </c:ext>
                    </c:extLst>
                    <c:strCache>
                      <c:ptCount val="1"/>
                      <c:pt idx="0">
                        <c:v>Хөдөлмөр эрхлэлт</c:v>
                      </c:pt>
                    </c:strCache>
                  </c:strRef>
                </c:tx>
                <c:spPr>
                  <a:solidFill>
                    <a:schemeClr val="accent1"/>
                  </a:solidFill>
                  <a:ln>
                    <a:noFill/>
                  </a:ln>
                  <a:effectLst/>
                </c:spPr>
                <c:invertIfNegative val="0"/>
                <c:cat>
                  <c:numRef>
                    <c:extLst>
                      <c:ext uri="{02D57815-91ED-43cb-92C2-25804820EDAC}">
                        <c15:formulaRef>
                          <c15:sqref>(RawData_Жил!$K$1:$U$1,RawData_Жил!$AN$1:$AR$1)</c15:sqref>
                        </c15:formulaRef>
                      </c:ext>
                    </c:extLst>
                    <c:numCache>
                      <c:formatCode>General</c:formatCode>
                      <c:ptCount val="5"/>
                      <c:pt idx="0">
                        <c:v>2021</c:v>
                      </c:pt>
                      <c:pt idx="1">
                        <c:v>2022</c:v>
                      </c:pt>
                      <c:pt idx="2">
                        <c:v>2023</c:v>
                      </c:pt>
                      <c:pt idx="3">
                        <c:v>2024</c:v>
                      </c:pt>
                      <c:pt idx="4">
                        <c:v>2025</c:v>
                      </c:pt>
                    </c:numCache>
                  </c:numRef>
                </c:cat>
                <c:val>
                  <c:numRef>
                    <c:extLst>
                      <c:ext uri="{02D57815-91ED-43cb-92C2-25804820EDAC}">
                        <c15:formulaRef>
                          <c15:sqref>(RawData_Жил!$K$2:$U$2,RawData_Жил!$AN$2:$AR$2)</c15:sqref>
                        </c15:formulaRef>
                      </c:ext>
                    </c:extLst>
                    <c:numCache>
                      <c:formatCode>General</c:formatCode>
                      <c:ptCount val="5"/>
                    </c:numCache>
                  </c:numRef>
                </c:val>
                <c:extLst>
                  <c:ext xmlns:c16="http://schemas.microsoft.com/office/drawing/2014/chart" uri="{C3380CC4-5D6E-409C-BE32-E72D297353CC}">
                    <c16:uniqueId val="{00000002-52E0-451B-85E0-821DC96AF1FD}"/>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RawData_Жил!$J$3</c15:sqref>
                        </c15:formulaRef>
                      </c:ext>
                    </c:extLst>
                    <c:strCache>
                      <c:ptCount val="1"/>
                      <c:pt idx="0">
                        <c:v>15-аас дээш насны хүн ам</c:v>
                      </c:pt>
                    </c:strCache>
                  </c:strRef>
                </c:tx>
                <c:spPr>
                  <a:solidFill>
                    <a:schemeClr val="accent2"/>
                  </a:solidFill>
                  <a:ln>
                    <a:noFill/>
                  </a:ln>
                  <a:effectLst/>
                </c:spPr>
                <c:invertIfNegative val="0"/>
                <c:cat>
                  <c:numRef>
                    <c:extLst xmlns:c15="http://schemas.microsoft.com/office/drawing/2012/chart">
                      <c:ext xmlns:c15="http://schemas.microsoft.com/office/drawing/2012/chart" uri="{02D57815-91ED-43cb-92C2-25804820EDAC}">
                        <c15:formulaRef>
                          <c15:sqref>(RawData_Жил!$K$1:$U$1,RawData_Жил!$AN$1:$AR$1)</c15:sqref>
                        </c15:formulaRef>
                      </c:ext>
                    </c:extLst>
                    <c:numCache>
                      <c:formatCode>General</c:formatCode>
                      <c:ptCount val="5"/>
                      <c:pt idx="0">
                        <c:v>2021</c:v>
                      </c:pt>
                      <c:pt idx="1">
                        <c:v>2022</c:v>
                      </c:pt>
                      <c:pt idx="2">
                        <c:v>2023</c:v>
                      </c:pt>
                      <c:pt idx="3">
                        <c:v>2024</c:v>
                      </c:pt>
                      <c:pt idx="4">
                        <c:v>2025</c:v>
                      </c:pt>
                    </c:numCache>
                  </c:numRef>
                </c:cat>
                <c:val>
                  <c:numRef>
                    <c:extLst xmlns:c15="http://schemas.microsoft.com/office/drawing/2012/chart">
                      <c:ext xmlns:c15="http://schemas.microsoft.com/office/drawing/2012/chart" uri="{02D57815-91ED-43cb-92C2-25804820EDAC}">
                        <c15:formulaRef>
                          <c15:sqref>(RawData_Жил!$K$3:$U$3,RawData_Жил!$AN$3:$AR$3)</c15:sqref>
                        </c15:formulaRef>
                      </c:ext>
                    </c:extLst>
                    <c:numCache>
                      <c:formatCode>0.0</c:formatCode>
                      <c:ptCount val="5"/>
                      <c:pt idx="0">
                        <c:v>2314.681</c:v>
                      </c:pt>
                      <c:pt idx="1">
                        <c:v>2352.7489999999998</c:v>
                      </c:pt>
                      <c:pt idx="2">
                        <c:v>2231.6999999999998</c:v>
                      </c:pt>
                    </c:numCache>
                  </c:numRef>
                </c:val>
                <c:extLst xmlns:c15="http://schemas.microsoft.com/office/drawing/2012/chart">
                  <c:ext xmlns:c16="http://schemas.microsoft.com/office/drawing/2014/chart" uri="{C3380CC4-5D6E-409C-BE32-E72D297353CC}">
                    <c16:uniqueId val="{00000003-52E0-451B-85E0-821DC96AF1FD}"/>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RawData_Жил!$J$4</c15:sqref>
                        </c15:formulaRef>
                      </c:ext>
                    </c:extLst>
                    <c:strCache>
                      <c:ptCount val="1"/>
                      <c:pt idx="0">
                        <c:v>Хөдөлмөрийн насны хүн ам</c:v>
                      </c:pt>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(RawData_Жил!$K$1:$U$1,RawData_Жил!$AN$1:$AR$1)</c15:sqref>
                        </c15:formulaRef>
                      </c:ext>
                    </c:extLst>
                    <c:numCache>
                      <c:formatCode>General</c:formatCode>
                      <c:ptCount val="5"/>
                      <c:pt idx="0">
                        <c:v>2021</c:v>
                      </c:pt>
                      <c:pt idx="1">
                        <c:v>2022</c:v>
                      </c:pt>
                      <c:pt idx="2">
                        <c:v>2023</c:v>
                      </c:pt>
                      <c:pt idx="3">
                        <c:v>2024</c:v>
                      </c:pt>
                      <c:pt idx="4">
                        <c:v>2025</c:v>
                      </c:pt>
                    </c:numCache>
                  </c:numRef>
                </c:cat>
                <c:val>
                  <c:numRef>
                    <c:extLst xmlns:c15="http://schemas.microsoft.com/office/drawing/2012/chart">
                      <c:ext xmlns:c15="http://schemas.microsoft.com/office/drawing/2012/chart" uri="{02D57815-91ED-43cb-92C2-25804820EDAC}">
                        <c15:formulaRef>
                          <c15:sqref>(RawData_Жил!$K$4:$U$4,RawData_Жил!$AN$4:$AR$4)</c15:sqref>
                        </c15:formulaRef>
                      </c:ext>
                    </c:extLst>
                    <c:numCache>
                      <c:formatCode>0.0</c:formatCode>
                      <c:ptCount val="5"/>
                      <c:pt idx="0">
                        <c:v>2227.674</c:v>
                      </c:pt>
                      <c:pt idx="1">
                        <c:v>2272.462</c:v>
                      </c:pt>
                      <c:pt idx="2">
                        <c:v>2297.8679999999999</c:v>
                      </c:pt>
                      <c:pt idx="3">
                        <c:v>2352.7809999999999</c:v>
                      </c:pt>
                      <c:pt idx="4">
                        <c:v>2353.5500000000002</c:v>
                      </c:pt>
                    </c:numCache>
                  </c:numRef>
                </c:val>
                <c:extLst xmlns:c15="http://schemas.microsoft.com/office/drawing/2012/chart">
                  <c:ext xmlns:c16="http://schemas.microsoft.com/office/drawing/2014/chart" uri="{C3380CC4-5D6E-409C-BE32-E72D297353CC}">
                    <c16:uniqueId val="{00000004-52E0-451B-85E0-821DC96AF1FD}"/>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RawData_Жил!$J$5</c15:sqref>
                        </c15:formulaRef>
                      </c:ext>
                    </c:extLst>
                    <c:strCache>
                      <c:ptCount val="1"/>
                      <c:pt idx="0">
                        <c:v>  Ажиллах хүч</c:v>
                      </c:pt>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(RawData_Жил!$K$1:$U$1,RawData_Жил!$AN$1:$AR$1)</c15:sqref>
                        </c15:formulaRef>
                      </c:ext>
                    </c:extLst>
                    <c:numCache>
                      <c:formatCode>General</c:formatCode>
                      <c:ptCount val="5"/>
                      <c:pt idx="0">
                        <c:v>2021</c:v>
                      </c:pt>
                      <c:pt idx="1">
                        <c:v>2022</c:v>
                      </c:pt>
                      <c:pt idx="2">
                        <c:v>2023</c:v>
                      </c:pt>
                      <c:pt idx="3">
                        <c:v>2024</c:v>
                      </c:pt>
                      <c:pt idx="4">
                        <c:v>2025</c:v>
                      </c:pt>
                    </c:numCache>
                  </c:numRef>
                </c:cat>
                <c:val>
                  <c:numRef>
                    <c:extLst xmlns:c15="http://schemas.microsoft.com/office/drawing/2012/chart">
                      <c:ext xmlns:c15="http://schemas.microsoft.com/office/drawing/2012/chart" uri="{02D57815-91ED-43cb-92C2-25804820EDAC}">
                        <c15:formulaRef>
                          <c15:sqref>(RawData_Жил!$K$5:$U$5,RawData_Жил!$AN$5:$AR$5)</c15:sqref>
                        </c15:formulaRef>
                      </c:ext>
                    </c:extLst>
                    <c:numCache>
                      <c:formatCode>0.0</c:formatCode>
                      <c:ptCount val="5"/>
                      <c:pt idx="0">
                        <c:v>1317.425</c:v>
                      </c:pt>
                      <c:pt idx="1">
                        <c:v>1370.5940000000001</c:v>
                      </c:pt>
                      <c:pt idx="2">
                        <c:v>1367.319</c:v>
                      </c:pt>
                      <c:pt idx="3">
                        <c:v>1441.0909999999999</c:v>
                      </c:pt>
                      <c:pt idx="4">
                        <c:v>1437.3320000000001</c:v>
                      </c:pt>
                    </c:numCache>
                  </c:numRef>
                </c:val>
                <c:extLst xmlns:c15="http://schemas.microsoft.com/office/drawing/2012/chart">
                  <c:ext xmlns:c16="http://schemas.microsoft.com/office/drawing/2014/chart" uri="{C3380CC4-5D6E-409C-BE32-E72D297353CC}">
                    <c16:uniqueId val="{00000005-52E0-451B-85E0-821DC96AF1FD}"/>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RawData_Жил!$J$7</c15:sqref>
                        </c15:formulaRef>
                      </c:ext>
                    </c:extLst>
                    <c:strCache>
                      <c:ptCount val="1"/>
                      <c:pt idx="0">
                        <c:v>Цаг хугацаанаас хамаарсан бүрэн бус хөдөлмөр эрхлэгч</c:v>
                      </c:pt>
                    </c:strCache>
                  </c:strRef>
                </c:tx>
                <c:spPr>
                  <a:solidFill>
                    <a:schemeClr val="accent6"/>
                  </a:solidFill>
                  <a:ln>
                    <a:noFill/>
                  </a:ln>
                  <a:effectLst/>
                </c:spPr>
                <c:invertIfNegative val="0"/>
                <c:cat>
                  <c:numRef>
                    <c:extLst xmlns:c15="http://schemas.microsoft.com/office/drawing/2012/chart">
                      <c:ext xmlns:c15="http://schemas.microsoft.com/office/drawing/2012/chart" uri="{02D57815-91ED-43cb-92C2-25804820EDAC}">
                        <c15:formulaRef>
                          <c15:sqref>(RawData_Жил!$K$1:$U$1,RawData_Жил!$AN$1:$AR$1)</c15:sqref>
                        </c15:formulaRef>
                      </c:ext>
                    </c:extLst>
                    <c:numCache>
                      <c:formatCode>General</c:formatCode>
                      <c:ptCount val="5"/>
                      <c:pt idx="0">
                        <c:v>2021</c:v>
                      </c:pt>
                      <c:pt idx="1">
                        <c:v>2022</c:v>
                      </c:pt>
                      <c:pt idx="2">
                        <c:v>2023</c:v>
                      </c:pt>
                      <c:pt idx="3">
                        <c:v>2024</c:v>
                      </c:pt>
                      <c:pt idx="4">
                        <c:v>2025</c:v>
                      </c:pt>
                    </c:numCache>
                  </c:numRef>
                </c:cat>
                <c:val>
                  <c:numRef>
                    <c:extLst xmlns:c15="http://schemas.microsoft.com/office/drawing/2012/chart">
                      <c:ext xmlns:c15="http://schemas.microsoft.com/office/drawing/2012/chart" uri="{02D57815-91ED-43cb-92C2-25804820EDAC}">
                        <c15:formulaRef>
                          <c15:sqref>(RawData_Жил!$K$7:$U$7,RawData_Жил!$AN$7:$AR$7)</c15:sqref>
                        </c15:formulaRef>
                      </c:ext>
                    </c:extLst>
                    <c:numCache>
                      <c:formatCode>0.0</c:formatCode>
                      <c:ptCount val="5"/>
                      <c:pt idx="0">
                        <c:v>6.7539999999999996</c:v>
                      </c:pt>
                      <c:pt idx="1">
                        <c:v>8.3759999999999994</c:v>
                      </c:pt>
                      <c:pt idx="2">
                        <c:v>6.5049999999999999</c:v>
                      </c:pt>
                      <c:pt idx="3">
                        <c:v>4.3150000000000004</c:v>
                      </c:pt>
                      <c:pt idx="4">
                        <c:v>1.3640000000000001</c:v>
                      </c:pt>
                    </c:numCache>
                  </c:numRef>
                </c:val>
                <c:extLst xmlns:c15="http://schemas.microsoft.com/office/drawing/2012/chart">
                  <c:ext xmlns:c16="http://schemas.microsoft.com/office/drawing/2014/chart" uri="{C3380CC4-5D6E-409C-BE32-E72D297353CC}">
                    <c16:uniqueId val="{00000006-52E0-451B-85E0-821DC96AF1FD}"/>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RawData_Жил!$J$9</c15:sqref>
                        </c15:formulaRef>
                      </c:ext>
                    </c:extLst>
                    <c:strCache>
                      <c:ptCount val="1"/>
                      <c:pt idx="0">
                        <c:v>  Ажиллах хүчнээс гадуурх хүн ам</c:v>
                      </c:pt>
                    </c:strCache>
                  </c:strRef>
                </c:tx>
                <c:spPr>
                  <a:solidFill>
                    <a:schemeClr val="accent2">
                      <a:lumMod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(RawData_Жил!$K$1:$U$1,RawData_Жил!$AN$1:$AR$1)</c15:sqref>
                        </c15:formulaRef>
                      </c:ext>
                    </c:extLst>
                    <c:numCache>
                      <c:formatCode>General</c:formatCode>
                      <c:ptCount val="5"/>
                      <c:pt idx="0">
                        <c:v>2021</c:v>
                      </c:pt>
                      <c:pt idx="1">
                        <c:v>2022</c:v>
                      </c:pt>
                      <c:pt idx="2">
                        <c:v>2023</c:v>
                      </c:pt>
                      <c:pt idx="3">
                        <c:v>2024</c:v>
                      </c:pt>
                      <c:pt idx="4">
                        <c:v>2025</c:v>
                      </c:pt>
                    </c:numCache>
                  </c:numRef>
                </c:cat>
                <c:val>
                  <c:numRef>
                    <c:extLst xmlns:c15="http://schemas.microsoft.com/office/drawing/2012/chart">
                      <c:ext xmlns:c15="http://schemas.microsoft.com/office/drawing/2012/chart" uri="{02D57815-91ED-43cb-92C2-25804820EDAC}">
                        <c15:formulaRef>
                          <c15:sqref>(RawData_Жил!$K$9:$U$9,RawData_Жил!$AN$9:$AR$9)</c15:sqref>
                        </c15:formulaRef>
                      </c:ext>
                    </c:extLst>
                    <c:numCache>
                      <c:formatCode>0.0</c:formatCode>
                      <c:ptCount val="5"/>
                      <c:pt idx="0">
                        <c:v>910.24900000000002</c:v>
                      </c:pt>
                      <c:pt idx="1">
                        <c:v>901.86800000000005</c:v>
                      </c:pt>
                      <c:pt idx="2">
                        <c:v>930.54899999999998</c:v>
                      </c:pt>
                      <c:pt idx="3">
                        <c:v>911.69</c:v>
                      </c:pt>
                      <c:pt idx="4">
                        <c:v>916.21799999999996</c:v>
                      </c:pt>
                    </c:numCache>
                  </c:numRef>
                </c:val>
                <c:extLst xmlns:c15="http://schemas.microsoft.com/office/drawing/2012/chart">
                  <c:ext xmlns:c16="http://schemas.microsoft.com/office/drawing/2014/chart" uri="{C3380CC4-5D6E-409C-BE32-E72D297353CC}">
                    <c16:uniqueId val="{00000007-52E0-451B-85E0-821DC96AF1FD}"/>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RawData_Жил!$J$10</c15:sqref>
                        </c15:formulaRef>
                      </c:ext>
                    </c:extLst>
                    <c:strCache>
                      <c:ptCount val="1"/>
                      <c:pt idx="0">
                        <c:v>     Боломжит ажиллах хүч</c:v>
                      </c:pt>
                    </c:strCache>
                  </c:strRef>
                </c:tx>
                <c:spPr>
                  <a:solidFill>
                    <a:schemeClr val="accent3">
                      <a:lumMod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(RawData_Жил!$K$1:$U$1,RawData_Жил!$AN$1:$AR$1)</c15:sqref>
                        </c15:formulaRef>
                      </c:ext>
                    </c:extLst>
                    <c:numCache>
                      <c:formatCode>General</c:formatCode>
                      <c:ptCount val="5"/>
                      <c:pt idx="0">
                        <c:v>2021</c:v>
                      </c:pt>
                      <c:pt idx="1">
                        <c:v>2022</c:v>
                      </c:pt>
                      <c:pt idx="2">
                        <c:v>2023</c:v>
                      </c:pt>
                      <c:pt idx="3">
                        <c:v>2024</c:v>
                      </c:pt>
                      <c:pt idx="4">
                        <c:v>2025</c:v>
                      </c:pt>
                    </c:numCache>
                  </c:numRef>
                </c:cat>
                <c:val>
                  <c:numRef>
                    <c:extLst xmlns:c15="http://schemas.microsoft.com/office/drawing/2012/chart">
                      <c:ext xmlns:c15="http://schemas.microsoft.com/office/drawing/2012/chart" uri="{02D57815-91ED-43cb-92C2-25804820EDAC}">
                        <c15:formulaRef>
                          <c15:sqref>(RawData_Жил!$K$10:$U$10,RawData_Жил!$AN$10:$AR$10)</c15:sqref>
                        </c15:formulaRef>
                      </c:ext>
                    </c:extLst>
                    <c:numCache>
                      <c:formatCode>0.0</c:formatCode>
                      <c:ptCount val="5"/>
                      <c:pt idx="0">
                        <c:v>73.421999999999997</c:v>
                      </c:pt>
                      <c:pt idx="1">
                        <c:v>45.338000000000001</c:v>
                      </c:pt>
                      <c:pt idx="2">
                        <c:v>39.841000000000001</c:v>
                      </c:pt>
                      <c:pt idx="3">
                        <c:v>24.219000000000001</c:v>
                      </c:pt>
                      <c:pt idx="4">
                        <c:v>31.565000000000001</c:v>
                      </c:pt>
                    </c:numCache>
                  </c:numRef>
                </c:val>
                <c:extLst xmlns:c15="http://schemas.microsoft.com/office/drawing/2012/chart">
                  <c:ext xmlns:c16="http://schemas.microsoft.com/office/drawing/2014/chart" uri="{C3380CC4-5D6E-409C-BE32-E72D297353CC}">
                    <c16:uniqueId val="{00000008-52E0-451B-85E0-821DC96AF1FD}"/>
                  </c:ext>
                </c:extLst>
              </c15:ser>
            </c15:filteredBarSeries>
          </c:ext>
        </c:extLst>
      </c:barChart>
      <c:catAx>
        <c:axId val="12482871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7412384"/>
        <c:crosses val="autoZero"/>
        <c:auto val="1"/>
        <c:lblAlgn val="ctr"/>
        <c:lblOffset val="100"/>
        <c:noMultiLvlLbl val="0"/>
      </c:catAx>
      <c:valAx>
        <c:axId val="107412384"/>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48287135"/>
        <c:crosses val="autoZero"/>
        <c:crossBetween val="between"/>
        <c:majorUnit val="1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0"/>
          <c:order val="10"/>
          <c:tx>
            <c:strRef>
              <c:f>RawData_Жил!$J$12</c:f>
              <c:strCache>
                <c:ptCount val="1"/>
                <c:pt idx="0">
                  <c:v>Ажиллах хүчний оролцооны түвшин</c:v>
                </c:pt>
              </c:strCache>
            </c:strRef>
          </c:tx>
          <c:spPr>
            <a:ln w="31750" cap="rnd">
              <a:solidFill>
                <a:srgbClr val="11A795">
                  <a:alpha val="73000"/>
                </a:srgbClr>
              </a:solidFill>
              <a:round/>
            </a:ln>
            <a:effectLst/>
          </c:spPr>
          <c:marker>
            <c:symbol val="triangle"/>
            <c:size val="5"/>
            <c:spPr>
              <a:solidFill>
                <a:schemeClr val="bg1"/>
              </a:solidFill>
              <a:ln w="9525">
                <a:solidFill>
                  <a:srgbClr val="186623"/>
                </a:solidFill>
              </a:ln>
              <a:effectLst/>
            </c:spPr>
          </c:marker>
          <c:dLbls>
            <c:dLbl>
              <c:idx val="4"/>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1ED-4277-A703-24EAD48319CD}"/>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(RawData_Жил!$K$1:$U$1,RawData_Жил!$AN$1:$AR$1)</c:f>
              <c:numCache>
                <c:formatCode>General</c:formatCode>
                <c:ptCount val="5"/>
                <c:pt idx="0">
                  <c:v>2021</c:v>
                </c:pt>
                <c:pt idx="1">
                  <c:v>2022</c:v>
                </c:pt>
                <c:pt idx="2">
                  <c:v>2023</c:v>
                </c:pt>
                <c:pt idx="3">
                  <c:v>2024</c:v>
                </c:pt>
                <c:pt idx="4">
                  <c:v>2025</c:v>
                </c:pt>
              </c:numCache>
              <c:extLst/>
            </c:numRef>
          </c:cat>
          <c:val>
            <c:numRef>
              <c:f>(RawData_Жил!$K$12:$U$12,RawData_Жил!$AN$12:$AR$12)</c:f>
              <c:numCache>
                <c:formatCode>0.0</c:formatCode>
                <c:ptCount val="5"/>
                <c:pt idx="0">
                  <c:v>59.1</c:v>
                </c:pt>
                <c:pt idx="1">
                  <c:v>60.3</c:v>
                </c:pt>
                <c:pt idx="2">
                  <c:v>59.5</c:v>
                </c:pt>
                <c:pt idx="3">
                  <c:v>61.3</c:v>
                </c:pt>
                <c:pt idx="4">
                  <c:v>61.1</c:v>
                </c:pt>
              </c:numCache>
              <c:extLst/>
            </c:numRef>
          </c:val>
          <c:smooth val="1"/>
          <c:extLst>
            <c:ext xmlns:c16="http://schemas.microsoft.com/office/drawing/2014/chart" uri="{C3380CC4-5D6E-409C-BE32-E72D297353CC}">
              <c16:uniqueId val="{00000000-01ED-4277-A703-24EAD48319CD}"/>
            </c:ext>
          </c:extLst>
        </c:ser>
        <c:dLbls>
          <c:showLegendKey val="0"/>
          <c:showVal val="0"/>
          <c:showCatName val="0"/>
          <c:showSerName val="0"/>
          <c:showPercent val="0"/>
          <c:showBubbleSize val="0"/>
        </c:dLbls>
        <c:marker val="1"/>
        <c:smooth val="0"/>
        <c:axId val="1248287135"/>
        <c:axId val="107412384"/>
        <c:extLst>
          <c:ext xmlns:c15="http://schemas.microsoft.com/office/drawing/2012/chart" uri="{02D57815-91ED-43cb-92C2-25804820EDAC}">
            <c15:filteredLineSeries>
              <c15:ser>
                <c:idx val="0"/>
                <c:order val="0"/>
                <c:tx>
                  <c:strRef>
                    <c:extLst>
                      <c:ext uri="{02D57815-91ED-43cb-92C2-25804820EDAC}">
                        <c15:formulaRef>
                          <c15:sqref>RawData_Жил!$J$2</c15:sqref>
                        </c15:formulaRef>
                      </c:ext>
                    </c:extLst>
                    <c:strCache>
                      <c:ptCount val="1"/>
                      <c:pt idx="0">
                        <c:v>Хөдөлмөр эрхлэлт</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extLst>
                      <c:ext uri="{02D57815-91ED-43cb-92C2-25804820EDAC}">
                        <c15:formulaRef>
                          <c15:sqref>(RawData_Жил!$K$1:$U$1,RawData_Жил!$AN$1:$AR$1)</c15:sqref>
                        </c15:formulaRef>
                      </c:ext>
                    </c:extLst>
                    <c:numCache>
                      <c:formatCode>General</c:formatCode>
                      <c:ptCount val="5"/>
                      <c:pt idx="0">
                        <c:v>2021</c:v>
                      </c:pt>
                      <c:pt idx="1">
                        <c:v>2022</c:v>
                      </c:pt>
                      <c:pt idx="2">
                        <c:v>2023</c:v>
                      </c:pt>
                      <c:pt idx="3">
                        <c:v>2024</c:v>
                      </c:pt>
                      <c:pt idx="4">
                        <c:v>2025</c:v>
                      </c:pt>
                    </c:numCache>
                  </c:numRef>
                </c:cat>
                <c:val>
                  <c:numRef>
                    <c:extLst>
                      <c:ext uri="{02D57815-91ED-43cb-92C2-25804820EDAC}">
                        <c15:formulaRef>
                          <c15:sqref>(RawData_Жил!$K$2:$U$2,RawData_Жил!$AN$2:$AR$2)</c15:sqref>
                        </c15:formulaRef>
                      </c:ext>
                    </c:extLst>
                    <c:numCache>
                      <c:formatCode>General</c:formatCode>
                      <c:ptCount val="5"/>
                    </c:numCache>
                  </c:numRef>
                </c:val>
                <c:smooth val="0"/>
                <c:extLst>
                  <c:ext xmlns:c16="http://schemas.microsoft.com/office/drawing/2014/chart" uri="{C3380CC4-5D6E-409C-BE32-E72D297353CC}">
                    <c16:uniqueId val="{00000002-01ED-4277-A703-24EAD48319CD}"/>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RawData_Жил!$J$3</c15:sqref>
                        </c15:formulaRef>
                      </c:ext>
                    </c:extLst>
                    <c:strCache>
                      <c:ptCount val="1"/>
                      <c:pt idx="0">
                        <c:v>15-аас дээш насны хүн ам</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extLst xmlns:c15="http://schemas.microsoft.com/office/drawing/2012/chart">
                      <c:ext xmlns:c15="http://schemas.microsoft.com/office/drawing/2012/chart" uri="{02D57815-91ED-43cb-92C2-25804820EDAC}">
                        <c15:formulaRef>
                          <c15:sqref>(RawData_Жил!$K$1:$U$1,RawData_Жил!$AN$1:$AR$1)</c15:sqref>
                        </c15:formulaRef>
                      </c:ext>
                    </c:extLst>
                    <c:numCache>
                      <c:formatCode>General</c:formatCode>
                      <c:ptCount val="5"/>
                      <c:pt idx="0">
                        <c:v>2021</c:v>
                      </c:pt>
                      <c:pt idx="1">
                        <c:v>2022</c:v>
                      </c:pt>
                      <c:pt idx="2">
                        <c:v>2023</c:v>
                      </c:pt>
                      <c:pt idx="3">
                        <c:v>2024</c:v>
                      </c:pt>
                      <c:pt idx="4">
                        <c:v>2025</c:v>
                      </c:pt>
                    </c:numCache>
                  </c:numRef>
                </c:cat>
                <c:val>
                  <c:numRef>
                    <c:extLst xmlns:c15="http://schemas.microsoft.com/office/drawing/2012/chart">
                      <c:ext xmlns:c15="http://schemas.microsoft.com/office/drawing/2012/chart" uri="{02D57815-91ED-43cb-92C2-25804820EDAC}">
                        <c15:formulaRef>
                          <c15:sqref>(RawData_Жил!$K$3:$U$3,RawData_Жил!$AN$3:$AR$3)</c15:sqref>
                        </c15:formulaRef>
                      </c:ext>
                    </c:extLst>
                    <c:numCache>
                      <c:formatCode>0.0</c:formatCode>
                      <c:ptCount val="5"/>
                      <c:pt idx="0">
                        <c:v>2314.681</c:v>
                      </c:pt>
                      <c:pt idx="1">
                        <c:v>2352.7489999999998</c:v>
                      </c:pt>
                      <c:pt idx="2">
                        <c:v>2231.6999999999998</c:v>
                      </c:pt>
                    </c:numCache>
                  </c:numRef>
                </c:val>
                <c:smooth val="0"/>
                <c:extLst xmlns:c15="http://schemas.microsoft.com/office/drawing/2012/chart">
                  <c:ext xmlns:c16="http://schemas.microsoft.com/office/drawing/2014/chart" uri="{C3380CC4-5D6E-409C-BE32-E72D297353CC}">
                    <c16:uniqueId val="{00000003-01ED-4277-A703-24EAD48319CD}"/>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RawData_Жил!$J$4</c15:sqref>
                        </c15:formulaRef>
                      </c:ext>
                    </c:extLst>
                    <c:strCache>
                      <c:ptCount val="1"/>
                      <c:pt idx="0">
                        <c:v>Хөдөлмөрийн насны хүн ам</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extLst xmlns:c15="http://schemas.microsoft.com/office/drawing/2012/chart">
                      <c:ext xmlns:c15="http://schemas.microsoft.com/office/drawing/2012/chart" uri="{02D57815-91ED-43cb-92C2-25804820EDAC}">
                        <c15:formulaRef>
                          <c15:sqref>(RawData_Жил!$K$1:$U$1,RawData_Жил!$AN$1:$AR$1)</c15:sqref>
                        </c15:formulaRef>
                      </c:ext>
                    </c:extLst>
                    <c:numCache>
                      <c:formatCode>General</c:formatCode>
                      <c:ptCount val="5"/>
                      <c:pt idx="0">
                        <c:v>2021</c:v>
                      </c:pt>
                      <c:pt idx="1">
                        <c:v>2022</c:v>
                      </c:pt>
                      <c:pt idx="2">
                        <c:v>2023</c:v>
                      </c:pt>
                      <c:pt idx="3">
                        <c:v>2024</c:v>
                      </c:pt>
                      <c:pt idx="4">
                        <c:v>2025</c:v>
                      </c:pt>
                    </c:numCache>
                  </c:numRef>
                </c:cat>
                <c:val>
                  <c:numRef>
                    <c:extLst xmlns:c15="http://schemas.microsoft.com/office/drawing/2012/chart">
                      <c:ext xmlns:c15="http://schemas.microsoft.com/office/drawing/2012/chart" uri="{02D57815-91ED-43cb-92C2-25804820EDAC}">
                        <c15:formulaRef>
                          <c15:sqref>(RawData_Жил!$K$4:$U$4,RawData_Жил!$AN$4:$AR$4)</c15:sqref>
                        </c15:formulaRef>
                      </c:ext>
                    </c:extLst>
                    <c:numCache>
                      <c:formatCode>0.0</c:formatCode>
                      <c:ptCount val="5"/>
                      <c:pt idx="0">
                        <c:v>2227.674</c:v>
                      </c:pt>
                      <c:pt idx="1">
                        <c:v>2272.462</c:v>
                      </c:pt>
                      <c:pt idx="2">
                        <c:v>2297.8679999999999</c:v>
                      </c:pt>
                      <c:pt idx="3">
                        <c:v>2352.7809999999999</c:v>
                      </c:pt>
                      <c:pt idx="4">
                        <c:v>2353.5500000000002</c:v>
                      </c:pt>
                    </c:numCache>
                  </c:numRef>
                </c:val>
                <c:smooth val="0"/>
                <c:extLst xmlns:c15="http://schemas.microsoft.com/office/drawing/2012/chart">
                  <c:ext xmlns:c16="http://schemas.microsoft.com/office/drawing/2014/chart" uri="{C3380CC4-5D6E-409C-BE32-E72D297353CC}">
                    <c16:uniqueId val="{00000004-01ED-4277-A703-24EAD48319CD}"/>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RawData_Жил!$J$5</c15:sqref>
                        </c15:formulaRef>
                      </c:ext>
                    </c:extLst>
                    <c:strCache>
                      <c:ptCount val="1"/>
                      <c:pt idx="0">
                        <c:v>  Ажиллах хүч</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extLst xmlns:c15="http://schemas.microsoft.com/office/drawing/2012/chart">
                      <c:ext xmlns:c15="http://schemas.microsoft.com/office/drawing/2012/chart" uri="{02D57815-91ED-43cb-92C2-25804820EDAC}">
                        <c15:formulaRef>
                          <c15:sqref>(RawData_Жил!$K$1:$U$1,RawData_Жил!$AN$1:$AR$1)</c15:sqref>
                        </c15:formulaRef>
                      </c:ext>
                    </c:extLst>
                    <c:numCache>
                      <c:formatCode>General</c:formatCode>
                      <c:ptCount val="5"/>
                      <c:pt idx="0">
                        <c:v>2021</c:v>
                      </c:pt>
                      <c:pt idx="1">
                        <c:v>2022</c:v>
                      </c:pt>
                      <c:pt idx="2">
                        <c:v>2023</c:v>
                      </c:pt>
                      <c:pt idx="3">
                        <c:v>2024</c:v>
                      </c:pt>
                      <c:pt idx="4">
                        <c:v>2025</c:v>
                      </c:pt>
                    </c:numCache>
                  </c:numRef>
                </c:cat>
                <c:val>
                  <c:numRef>
                    <c:extLst xmlns:c15="http://schemas.microsoft.com/office/drawing/2012/chart">
                      <c:ext xmlns:c15="http://schemas.microsoft.com/office/drawing/2012/chart" uri="{02D57815-91ED-43cb-92C2-25804820EDAC}">
                        <c15:formulaRef>
                          <c15:sqref>(RawData_Жил!$K$5:$U$5,RawData_Жил!$AN$5:$AR$5)</c15:sqref>
                        </c15:formulaRef>
                      </c:ext>
                    </c:extLst>
                    <c:numCache>
                      <c:formatCode>0.0</c:formatCode>
                      <c:ptCount val="5"/>
                      <c:pt idx="0">
                        <c:v>1317.425</c:v>
                      </c:pt>
                      <c:pt idx="1">
                        <c:v>1370.5940000000001</c:v>
                      </c:pt>
                      <c:pt idx="2">
                        <c:v>1367.319</c:v>
                      </c:pt>
                      <c:pt idx="3">
                        <c:v>1441.0909999999999</c:v>
                      </c:pt>
                      <c:pt idx="4">
                        <c:v>1437.3320000000001</c:v>
                      </c:pt>
                    </c:numCache>
                  </c:numRef>
                </c:val>
                <c:smooth val="0"/>
                <c:extLst xmlns:c15="http://schemas.microsoft.com/office/drawing/2012/chart">
                  <c:ext xmlns:c16="http://schemas.microsoft.com/office/drawing/2014/chart" uri="{C3380CC4-5D6E-409C-BE32-E72D297353CC}">
                    <c16:uniqueId val="{00000005-01ED-4277-A703-24EAD48319CD}"/>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RawData_Жил!$J$6</c15:sqref>
                        </c15:formulaRef>
                      </c:ext>
                    </c:extLst>
                    <c:strCache>
                      <c:ptCount val="1"/>
                      <c:pt idx="0">
                        <c:v>     Ажиллагчид</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extLst xmlns:c15="http://schemas.microsoft.com/office/drawing/2012/chart">
                      <c:ext xmlns:c15="http://schemas.microsoft.com/office/drawing/2012/chart" uri="{02D57815-91ED-43cb-92C2-25804820EDAC}">
                        <c15:formulaRef>
                          <c15:sqref>(RawData_Жил!$K$1:$U$1,RawData_Жил!$AN$1:$AR$1)</c15:sqref>
                        </c15:formulaRef>
                      </c:ext>
                    </c:extLst>
                    <c:numCache>
                      <c:formatCode>General</c:formatCode>
                      <c:ptCount val="5"/>
                      <c:pt idx="0">
                        <c:v>2021</c:v>
                      </c:pt>
                      <c:pt idx="1">
                        <c:v>2022</c:v>
                      </c:pt>
                      <c:pt idx="2">
                        <c:v>2023</c:v>
                      </c:pt>
                      <c:pt idx="3">
                        <c:v>2024</c:v>
                      </c:pt>
                      <c:pt idx="4">
                        <c:v>2025</c:v>
                      </c:pt>
                    </c:numCache>
                  </c:numRef>
                </c:cat>
                <c:val>
                  <c:numRef>
                    <c:extLst xmlns:c15="http://schemas.microsoft.com/office/drawing/2012/chart">
                      <c:ext xmlns:c15="http://schemas.microsoft.com/office/drawing/2012/chart" uri="{02D57815-91ED-43cb-92C2-25804820EDAC}">
                        <c15:formulaRef>
                          <c15:sqref>(RawData_Жил!$K$6:$U$6,RawData_Жил!$AN$6:$AR$6)</c15:sqref>
                        </c15:formulaRef>
                      </c:ext>
                    </c:extLst>
                    <c:numCache>
                      <c:formatCode>0.0</c:formatCode>
                      <c:ptCount val="5"/>
                      <c:pt idx="0">
                        <c:v>1207.991</c:v>
                      </c:pt>
                      <c:pt idx="1">
                        <c:v>1283.1279999999999</c:v>
                      </c:pt>
                      <c:pt idx="2">
                        <c:v>1294.7460000000001</c:v>
                      </c:pt>
                      <c:pt idx="3">
                        <c:v>1355.6669999999999</c:v>
                      </c:pt>
                      <c:pt idx="4">
                        <c:v>1358.982</c:v>
                      </c:pt>
                    </c:numCache>
                  </c:numRef>
                </c:val>
                <c:smooth val="0"/>
                <c:extLst xmlns:c15="http://schemas.microsoft.com/office/drawing/2012/chart">
                  <c:ext xmlns:c16="http://schemas.microsoft.com/office/drawing/2014/chart" uri="{C3380CC4-5D6E-409C-BE32-E72D297353CC}">
                    <c16:uniqueId val="{00000006-01ED-4277-A703-24EAD48319CD}"/>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RawData_Жил!$J$7</c15:sqref>
                        </c15:formulaRef>
                      </c:ext>
                    </c:extLst>
                    <c:strCache>
                      <c:ptCount val="1"/>
                      <c:pt idx="0">
                        <c:v>Цаг хугацаанаас хамаарсан бүрэн бус хөдөлмөр эрхлэгч</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extLst xmlns:c15="http://schemas.microsoft.com/office/drawing/2012/chart">
                      <c:ext xmlns:c15="http://schemas.microsoft.com/office/drawing/2012/chart" uri="{02D57815-91ED-43cb-92C2-25804820EDAC}">
                        <c15:formulaRef>
                          <c15:sqref>(RawData_Жил!$K$1:$U$1,RawData_Жил!$AN$1:$AR$1)</c15:sqref>
                        </c15:formulaRef>
                      </c:ext>
                    </c:extLst>
                    <c:numCache>
                      <c:formatCode>General</c:formatCode>
                      <c:ptCount val="5"/>
                      <c:pt idx="0">
                        <c:v>2021</c:v>
                      </c:pt>
                      <c:pt idx="1">
                        <c:v>2022</c:v>
                      </c:pt>
                      <c:pt idx="2">
                        <c:v>2023</c:v>
                      </c:pt>
                      <c:pt idx="3">
                        <c:v>2024</c:v>
                      </c:pt>
                      <c:pt idx="4">
                        <c:v>2025</c:v>
                      </c:pt>
                    </c:numCache>
                  </c:numRef>
                </c:cat>
                <c:val>
                  <c:numRef>
                    <c:extLst xmlns:c15="http://schemas.microsoft.com/office/drawing/2012/chart">
                      <c:ext xmlns:c15="http://schemas.microsoft.com/office/drawing/2012/chart" uri="{02D57815-91ED-43cb-92C2-25804820EDAC}">
                        <c15:formulaRef>
                          <c15:sqref>(RawData_Жил!$K$7:$U$7,RawData_Жил!$AN$7:$AR$7)</c15:sqref>
                        </c15:formulaRef>
                      </c:ext>
                    </c:extLst>
                    <c:numCache>
                      <c:formatCode>0.0</c:formatCode>
                      <c:ptCount val="5"/>
                      <c:pt idx="0">
                        <c:v>6.7539999999999996</c:v>
                      </c:pt>
                      <c:pt idx="1">
                        <c:v>8.3759999999999994</c:v>
                      </c:pt>
                      <c:pt idx="2">
                        <c:v>6.5049999999999999</c:v>
                      </c:pt>
                      <c:pt idx="3">
                        <c:v>4.3150000000000004</c:v>
                      </c:pt>
                      <c:pt idx="4">
                        <c:v>1.3640000000000001</c:v>
                      </c:pt>
                    </c:numCache>
                  </c:numRef>
                </c:val>
                <c:smooth val="0"/>
                <c:extLst xmlns:c15="http://schemas.microsoft.com/office/drawing/2012/chart">
                  <c:ext xmlns:c16="http://schemas.microsoft.com/office/drawing/2014/chart" uri="{C3380CC4-5D6E-409C-BE32-E72D297353CC}">
                    <c16:uniqueId val="{00000007-01ED-4277-A703-24EAD48319CD}"/>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RawData_Жил!$J$8</c15:sqref>
                        </c15:formulaRef>
                      </c:ext>
                    </c:extLst>
                    <c:strCache>
                      <c:ptCount val="1"/>
                      <c:pt idx="0">
                        <c:v>     Ажилгүй хүн</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extLst xmlns:c15="http://schemas.microsoft.com/office/drawing/2012/chart">
                      <c:ext xmlns:c15="http://schemas.microsoft.com/office/drawing/2012/chart" uri="{02D57815-91ED-43cb-92C2-25804820EDAC}">
                        <c15:formulaRef>
                          <c15:sqref>(RawData_Жил!$K$1:$U$1,RawData_Жил!$AN$1:$AR$1)</c15:sqref>
                        </c15:formulaRef>
                      </c:ext>
                    </c:extLst>
                    <c:numCache>
                      <c:formatCode>General</c:formatCode>
                      <c:ptCount val="5"/>
                      <c:pt idx="0">
                        <c:v>2021</c:v>
                      </c:pt>
                      <c:pt idx="1">
                        <c:v>2022</c:v>
                      </c:pt>
                      <c:pt idx="2">
                        <c:v>2023</c:v>
                      </c:pt>
                      <c:pt idx="3">
                        <c:v>2024</c:v>
                      </c:pt>
                      <c:pt idx="4">
                        <c:v>2025</c:v>
                      </c:pt>
                    </c:numCache>
                  </c:numRef>
                </c:cat>
                <c:val>
                  <c:numRef>
                    <c:extLst xmlns:c15="http://schemas.microsoft.com/office/drawing/2012/chart">
                      <c:ext xmlns:c15="http://schemas.microsoft.com/office/drawing/2012/chart" uri="{02D57815-91ED-43cb-92C2-25804820EDAC}">
                        <c15:formulaRef>
                          <c15:sqref>(RawData_Жил!$K$8:$U$8,RawData_Жил!$AN$8:$AR$8)</c15:sqref>
                        </c15:formulaRef>
                      </c:ext>
                    </c:extLst>
                    <c:numCache>
                      <c:formatCode>0.0</c:formatCode>
                      <c:ptCount val="5"/>
                      <c:pt idx="0">
                        <c:v>109.434</c:v>
                      </c:pt>
                      <c:pt idx="1">
                        <c:v>87.465999999999994</c:v>
                      </c:pt>
                      <c:pt idx="2">
                        <c:v>72.572999999999993</c:v>
                      </c:pt>
                      <c:pt idx="3">
                        <c:v>85.424000000000007</c:v>
                      </c:pt>
                      <c:pt idx="4">
                        <c:v>78.349999999999994</c:v>
                      </c:pt>
                    </c:numCache>
                  </c:numRef>
                </c:val>
                <c:smooth val="0"/>
                <c:extLst xmlns:c15="http://schemas.microsoft.com/office/drawing/2012/chart">
                  <c:ext xmlns:c16="http://schemas.microsoft.com/office/drawing/2014/chart" uri="{C3380CC4-5D6E-409C-BE32-E72D297353CC}">
                    <c16:uniqueId val="{00000008-01ED-4277-A703-24EAD48319CD}"/>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RawData_Жил!$J$9</c15:sqref>
                        </c15:formulaRef>
                      </c:ext>
                    </c:extLst>
                    <c:strCache>
                      <c:ptCount val="1"/>
                      <c:pt idx="0">
                        <c:v>  Ажиллах хүчнээс гадуурх хүн ам</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extLst xmlns:c15="http://schemas.microsoft.com/office/drawing/2012/chart">
                      <c:ext xmlns:c15="http://schemas.microsoft.com/office/drawing/2012/chart" uri="{02D57815-91ED-43cb-92C2-25804820EDAC}">
                        <c15:formulaRef>
                          <c15:sqref>(RawData_Жил!$K$1:$U$1,RawData_Жил!$AN$1:$AR$1)</c15:sqref>
                        </c15:formulaRef>
                      </c:ext>
                    </c:extLst>
                    <c:numCache>
                      <c:formatCode>General</c:formatCode>
                      <c:ptCount val="5"/>
                      <c:pt idx="0">
                        <c:v>2021</c:v>
                      </c:pt>
                      <c:pt idx="1">
                        <c:v>2022</c:v>
                      </c:pt>
                      <c:pt idx="2">
                        <c:v>2023</c:v>
                      </c:pt>
                      <c:pt idx="3">
                        <c:v>2024</c:v>
                      </c:pt>
                      <c:pt idx="4">
                        <c:v>2025</c:v>
                      </c:pt>
                    </c:numCache>
                  </c:numRef>
                </c:cat>
                <c:val>
                  <c:numRef>
                    <c:extLst xmlns:c15="http://schemas.microsoft.com/office/drawing/2012/chart">
                      <c:ext xmlns:c15="http://schemas.microsoft.com/office/drawing/2012/chart" uri="{02D57815-91ED-43cb-92C2-25804820EDAC}">
                        <c15:formulaRef>
                          <c15:sqref>(RawData_Жил!$K$9:$U$9,RawData_Жил!$AN$9:$AR$9)</c15:sqref>
                        </c15:formulaRef>
                      </c:ext>
                    </c:extLst>
                    <c:numCache>
                      <c:formatCode>0.0</c:formatCode>
                      <c:ptCount val="5"/>
                      <c:pt idx="0">
                        <c:v>910.24900000000002</c:v>
                      </c:pt>
                      <c:pt idx="1">
                        <c:v>901.86800000000005</c:v>
                      </c:pt>
                      <c:pt idx="2">
                        <c:v>930.54899999999998</c:v>
                      </c:pt>
                      <c:pt idx="3">
                        <c:v>911.69</c:v>
                      </c:pt>
                      <c:pt idx="4">
                        <c:v>916.21799999999996</c:v>
                      </c:pt>
                    </c:numCache>
                  </c:numRef>
                </c:val>
                <c:smooth val="0"/>
                <c:extLst xmlns:c15="http://schemas.microsoft.com/office/drawing/2012/chart">
                  <c:ext xmlns:c16="http://schemas.microsoft.com/office/drawing/2014/chart" uri="{C3380CC4-5D6E-409C-BE32-E72D297353CC}">
                    <c16:uniqueId val="{00000009-01ED-4277-A703-24EAD48319CD}"/>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RawData_Жил!$J$10</c15:sqref>
                        </c15:formulaRef>
                      </c:ext>
                    </c:extLst>
                    <c:strCache>
                      <c:ptCount val="1"/>
                      <c:pt idx="0">
                        <c:v>     Боломжит ажиллах хүч</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numRef>
                    <c:extLst xmlns:c15="http://schemas.microsoft.com/office/drawing/2012/chart">
                      <c:ext xmlns:c15="http://schemas.microsoft.com/office/drawing/2012/chart" uri="{02D57815-91ED-43cb-92C2-25804820EDAC}">
                        <c15:formulaRef>
                          <c15:sqref>(RawData_Жил!$K$1:$U$1,RawData_Жил!$AN$1:$AR$1)</c15:sqref>
                        </c15:formulaRef>
                      </c:ext>
                    </c:extLst>
                    <c:numCache>
                      <c:formatCode>General</c:formatCode>
                      <c:ptCount val="5"/>
                      <c:pt idx="0">
                        <c:v>2021</c:v>
                      </c:pt>
                      <c:pt idx="1">
                        <c:v>2022</c:v>
                      </c:pt>
                      <c:pt idx="2">
                        <c:v>2023</c:v>
                      </c:pt>
                      <c:pt idx="3">
                        <c:v>2024</c:v>
                      </c:pt>
                      <c:pt idx="4">
                        <c:v>2025</c:v>
                      </c:pt>
                    </c:numCache>
                  </c:numRef>
                </c:cat>
                <c:val>
                  <c:numRef>
                    <c:extLst xmlns:c15="http://schemas.microsoft.com/office/drawing/2012/chart">
                      <c:ext xmlns:c15="http://schemas.microsoft.com/office/drawing/2012/chart" uri="{02D57815-91ED-43cb-92C2-25804820EDAC}">
                        <c15:formulaRef>
                          <c15:sqref>(RawData_Жил!$K$10:$U$10,RawData_Жил!$AN$10:$AR$10)</c15:sqref>
                        </c15:formulaRef>
                      </c:ext>
                    </c:extLst>
                    <c:numCache>
                      <c:formatCode>0.0</c:formatCode>
                      <c:ptCount val="5"/>
                      <c:pt idx="0">
                        <c:v>73.421999999999997</c:v>
                      </c:pt>
                      <c:pt idx="1">
                        <c:v>45.338000000000001</c:v>
                      </c:pt>
                      <c:pt idx="2">
                        <c:v>39.841000000000001</c:v>
                      </c:pt>
                      <c:pt idx="3">
                        <c:v>24.219000000000001</c:v>
                      </c:pt>
                      <c:pt idx="4">
                        <c:v>31.565000000000001</c:v>
                      </c:pt>
                    </c:numCache>
                  </c:numRef>
                </c:val>
                <c:smooth val="0"/>
                <c:extLst xmlns:c15="http://schemas.microsoft.com/office/drawing/2012/chart">
                  <c:ext xmlns:c16="http://schemas.microsoft.com/office/drawing/2014/chart" uri="{C3380CC4-5D6E-409C-BE32-E72D297353CC}">
                    <c16:uniqueId val="{0000000A-01ED-4277-A703-24EAD48319CD}"/>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RawData_Жил!$J$11</c15:sqref>
                        </c15:formulaRef>
                      </c:ext>
                    </c:extLst>
                    <c:strCache>
                      <c:ptCount val="1"/>
                      <c:pt idx="0">
                        <c:v>     Бусад ажиллах хүчнээс гадуурх хүн ам</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extLst xmlns:c15="http://schemas.microsoft.com/office/drawing/2012/chart">
                      <c:ext xmlns:c15="http://schemas.microsoft.com/office/drawing/2012/chart" uri="{02D57815-91ED-43cb-92C2-25804820EDAC}">
                        <c15:formulaRef>
                          <c15:sqref>(RawData_Жил!$K$1:$U$1,RawData_Жил!$AN$1:$AR$1)</c15:sqref>
                        </c15:formulaRef>
                      </c:ext>
                    </c:extLst>
                    <c:numCache>
                      <c:formatCode>General</c:formatCode>
                      <c:ptCount val="5"/>
                      <c:pt idx="0">
                        <c:v>2021</c:v>
                      </c:pt>
                      <c:pt idx="1">
                        <c:v>2022</c:v>
                      </c:pt>
                      <c:pt idx="2">
                        <c:v>2023</c:v>
                      </c:pt>
                      <c:pt idx="3">
                        <c:v>2024</c:v>
                      </c:pt>
                      <c:pt idx="4">
                        <c:v>2025</c:v>
                      </c:pt>
                    </c:numCache>
                  </c:numRef>
                </c:cat>
                <c:val>
                  <c:numRef>
                    <c:extLst xmlns:c15="http://schemas.microsoft.com/office/drawing/2012/chart">
                      <c:ext xmlns:c15="http://schemas.microsoft.com/office/drawing/2012/chart" uri="{02D57815-91ED-43cb-92C2-25804820EDAC}">
                        <c15:formulaRef>
                          <c15:sqref>(RawData_Жил!$K$11:$U$11,RawData_Жил!$AN$11:$AR$11)</c15:sqref>
                        </c15:formulaRef>
                      </c:ext>
                    </c:extLst>
                    <c:numCache>
                      <c:formatCode>0.0</c:formatCode>
                      <c:ptCount val="5"/>
                      <c:pt idx="0">
                        <c:v>836.82600000000002</c:v>
                      </c:pt>
                      <c:pt idx="1">
                        <c:v>856.53</c:v>
                      </c:pt>
                      <c:pt idx="2">
                        <c:v>890.70799999999997</c:v>
                      </c:pt>
                      <c:pt idx="3">
                        <c:v>887.471</c:v>
                      </c:pt>
                      <c:pt idx="4">
                        <c:v>884.65300000000002</c:v>
                      </c:pt>
                    </c:numCache>
                  </c:numRef>
                </c:val>
                <c:smooth val="0"/>
                <c:extLst xmlns:c15="http://schemas.microsoft.com/office/drawing/2012/chart">
                  <c:ext xmlns:c16="http://schemas.microsoft.com/office/drawing/2014/chart" uri="{C3380CC4-5D6E-409C-BE32-E72D297353CC}">
                    <c16:uniqueId val="{0000000B-01ED-4277-A703-24EAD48319CD}"/>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RawData_Жил!$J$13</c15:sqref>
                        </c15:formulaRef>
                      </c:ext>
                    </c:extLst>
                    <c:strCache>
                      <c:ptCount val="1"/>
                      <c:pt idx="0">
                        <c:v>Хөдөлмөр эрхлэлтийн түвшин</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extLst xmlns:c15="http://schemas.microsoft.com/office/drawing/2012/chart">
                      <c:ext xmlns:c15="http://schemas.microsoft.com/office/drawing/2012/chart" uri="{02D57815-91ED-43cb-92C2-25804820EDAC}">
                        <c15:formulaRef>
                          <c15:sqref>(RawData_Жил!$K$1:$U$1,RawData_Жил!$AN$1:$AR$1)</c15:sqref>
                        </c15:formulaRef>
                      </c:ext>
                    </c:extLst>
                    <c:numCache>
                      <c:formatCode>General</c:formatCode>
                      <c:ptCount val="5"/>
                      <c:pt idx="0">
                        <c:v>2021</c:v>
                      </c:pt>
                      <c:pt idx="1">
                        <c:v>2022</c:v>
                      </c:pt>
                      <c:pt idx="2">
                        <c:v>2023</c:v>
                      </c:pt>
                      <c:pt idx="3">
                        <c:v>2024</c:v>
                      </c:pt>
                      <c:pt idx="4">
                        <c:v>2025</c:v>
                      </c:pt>
                    </c:numCache>
                  </c:numRef>
                </c:cat>
                <c:val>
                  <c:numRef>
                    <c:extLst xmlns:c15="http://schemas.microsoft.com/office/drawing/2012/chart">
                      <c:ext xmlns:c15="http://schemas.microsoft.com/office/drawing/2012/chart" uri="{02D57815-91ED-43cb-92C2-25804820EDAC}">
                        <c15:formulaRef>
                          <c15:sqref>(RawData_Жил!$K$13:$U$13,RawData_Жил!$AN$13:$AR$13)</c15:sqref>
                        </c15:formulaRef>
                      </c:ext>
                    </c:extLst>
                    <c:numCache>
                      <c:formatCode>0.0</c:formatCode>
                      <c:ptCount val="5"/>
                      <c:pt idx="0">
                        <c:v>54.2</c:v>
                      </c:pt>
                      <c:pt idx="1">
                        <c:v>56.5</c:v>
                      </c:pt>
                      <c:pt idx="2">
                        <c:v>56.3</c:v>
                      </c:pt>
                      <c:pt idx="3">
                        <c:v>57.6</c:v>
                      </c:pt>
                      <c:pt idx="4">
                        <c:v>57.7</c:v>
                      </c:pt>
                    </c:numCache>
                  </c:numRef>
                </c:val>
                <c:smooth val="0"/>
                <c:extLst xmlns:c15="http://schemas.microsoft.com/office/drawing/2012/chart">
                  <c:ext xmlns:c16="http://schemas.microsoft.com/office/drawing/2014/chart" uri="{C3380CC4-5D6E-409C-BE32-E72D297353CC}">
                    <c16:uniqueId val="{0000000C-01ED-4277-A703-24EAD48319CD}"/>
                  </c:ext>
                </c:extLst>
              </c15:ser>
            </c15:filteredLineSeries>
            <c15:filteredLineSeries>
              <c15:ser>
                <c:idx val="12"/>
                <c:order val="12"/>
                <c:tx>
                  <c:strRef>
                    <c:extLst xmlns:c15="http://schemas.microsoft.com/office/drawing/2012/chart">
                      <c:ext xmlns:c15="http://schemas.microsoft.com/office/drawing/2012/chart" uri="{02D57815-91ED-43cb-92C2-25804820EDAC}">
                        <c15:formulaRef>
                          <c15:sqref>RawData_Жил!$J$14</c15:sqref>
                        </c15:formulaRef>
                      </c:ext>
                    </c:extLst>
                    <c:strCache>
                      <c:ptCount val="1"/>
                      <c:pt idx="0">
                        <c:v>Хөдөлмөрийн дутуу ашиглалтын нийлмэл түвшин</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numRef>
                    <c:extLst xmlns:c15="http://schemas.microsoft.com/office/drawing/2012/chart">
                      <c:ext xmlns:c15="http://schemas.microsoft.com/office/drawing/2012/chart" uri="{02D57815-91ED-43cb-92C2-25804820EDAC}">
                        <c15:formulaRef>
                          <c15:sqref>(RawData_Жил!$K$1:$U$1,RawData_Жил!$AN$1:$AR$1)</c15:sqref>
                        </c15:formulaRef>
                      </c:ext>
                    </c:extLst>
                    <c:numCache>
                      <c:formatCode>General</c:formatCode>
                      <c:ptCount val="5"/>
                      <c:pt idx="0">
                        <c:v>2021</c:v>
                      </c:pt>
                      <c:pt idx="1">
                        <c:v>2022</c:v>
                      </c:pt>
                      <c:pt idx="2">
                        <c:v>2023</c:v>
                      </c:pt>
                      <c:pt idx="3">
                        <c:v>2024</c:v>
                      </c:pt>
                      <c:pt idx="4">
                        <c:v>2025</c:v>
                      </c:pt>
                    </c:numCache>
                  </c:numRef>
                </c:cat>
                <c:val>
                  <c:numRef>
                    <c:extLst xmlns:c15="http://schemas.microsoft.com/office/drawing/2012/chart">
                      <c:ext xmlns:c15="http://schemas.microsoft.com/office/drawing/2012/chart" uri="{02D57815-91ED-43cb-92C2-25804820EDAC}">
                        <c15:formulaRef>
                          <c15:sqref>(RawData_Жил!$K$14:$U$14,RawData_Жил!$AN$14:$AR$14)</c15:sqref>
                        </c15:formulaRef>
                      </c:ext>
                    </c:extLst>
                    <c:numCache>
                      <c:formatCode>0.0</c:formatCode>
                      <c:ptCount val="5"/>
                      <c:pt idx="0">
                        <c:v>13.6</c:v>
                      </c:pt>
                      <c:pt idx="1">
                        <c:v>10</c:v>
                      </c:pt>
                      <c:pt idx="2">
                        <c:v>8.5</c:v>
                      </c:pt>
                      <c:pt idx="3">
                        <c:v>7.8</c:v>
                      </c:pt>
                      <c:pt idx="4">
                        <c:v>7.6</c:v>
                      </c:pt>
                    </c:numCache>
                  </c:numRef>
                </c:val>
                <c:smooth val="0"/>
                <c:extLst xmlns:c15="http://schemas.microsoft.com/office/drawing/2012/chart">
                  <c:ext xmlns:c16="http://schemas.microsoft.com/office/drawing/2014/chart" uri="{C3380CC4-5D6E-409C-BE32-E72D297353CC}">
                    <c16:uniqueId val="{0000000D-01ED-4277-A703-24EAD48319CD}"/>
                  </c:ext>
                </c:extLst>
              </c15:ser>
            </c15:filteredLineSeries>
          </c:ext>
        </c:extLst>
      </c:lineChart>
      <c:lineChart>
        <c:grouping val="standard"/>
        <c:varyColors val="0"/>
        <c:ser>
          <c:idx val="13"/>
          <c:order val="13"/>
          <c:tx>
            <c:strRef>
              <c:f>RawData_Жил!$J$15</c:f>
              <c:strCache>
                <c:ptCount val="1"/>
                <c:pt idx="0">
                  <c:v>Ажилгүйдлийн түвшин</c:v>
                </c:pt>
              </c:strCache>
            </c:strRef>
          </c:tx>
          <c:spPr>
            <a:ln w="28575" cap="rnd">
              <a:solidFill>
                <a:srgbClr val="C00000"/>
              </a:solidFill>
              <a:round/>
            </a:ln>
            <a:effectLst/>
          </c:spPr>
          <c:marker>
            <c:symbol val="circle"/>
            <c:size val="5"/>
            <c:spPr>
              <a:solidFill>
                <a:schemeClr val="bg1"/>
              </a:solidFill>
              <a:ln w="9525">
                <a:solidFill>
                  <a:srgbClr val="C00000"/>
                </a:solidFill>
              </a:ln>
              <a:effectLst/>
            </c:spPr>
          </c:marker>
          <c:dLbls>
            <c:dLbl>
              <c:idx val="4"/>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1ED-4277-A703-24EAD48319CD}"/>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(RawData_Жил!$K$1:$U$1,RawData_Жил!$AN$1:$AR$1)</c:f>
              <c:numCache>
                <c:formatCode>General</c:formatCode>
                <c:ptCount val="5"/>
                <c:pt idx="0">
                  <c:v>2021</c:v>
                </c:pt>
                <c:pt idx="1">
                  <c:v>2022</c:v>
                </c:pt>
                <c:pt idx="2">
                  <c:v>2023</c:v>
                </c:pt>
                <c:pt idx="3">
                  <c:v>2024</c:v>
                </c:pt>
                <c:pt idx="4">
                  <c:v>2025</c:v>
                </c:pt>
              </c:numCache>
              <c:extLst/>
            </c:numRef>
          </c:cat>
          <c:val>
            <c:numRef>
              <c:f>(RawData_Жил!$K$15:$U$15,RawData_Жил!$AN$15:$AR$15)</c:f>
              <c:numCache>
                <c:formatCode>0.0</c:formatCode>
                <c:ptCount val="5"/>
                <c:pt idx="0">
                  <c:v>8.3000000000000007</c:v>
                </c:pt>
                <c:pt idx="1">
                  <c:v>6.4</c:v>
                </c:pt>
                <c:pt idx="2">
                  <c:v>5.3</c:v>
                </c:pt>
                <c:pt idx="3">
                  <c:v>5.9</c:v>
                </c:pt>
                <c:pt idx="4">
                  <c:v>5.5</c:v>
                </c:pt>
              </c:numCache>
              <c:extLst/>
            </c:numRef>
          </c:val>
          <c:smooth val="1"/>
          <c:extLst>
            <c:ext xmlns:c16="http://schemas.microsoft.com/office/drawing/2014/chart" uri="{C3380CC4-5D6E-409C-BE32-E72D297353CC}">
              <c16:uniqueId val="{00000001-01ED-4277-A703-24EAD48319CD}"/>
            </c:ext>
          </c:extLst>
        </c:ser>
        <c:dLbls>
          <c:showLegendKey val="0"/>
          <c:showVal val="0"/>
          <c:showCatName val="0"/>
          <c:showSerName val="0"/>
          <c:showPercent val="0"/>
          <c:showBubbleSize val="0"/>
        </c:dLbls>
        <c:marker val="1"/>
        <c:smooth val="0"/>
        <c:axId val="823411551"/>
        <c:axId val="1609309951"/>
      </c:lineChart>
      <c:catAx>
        <c:axId val="12482871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7412384"/>
        <c:crosses val="autoZero"/>
        <c:auto val="1"/>
        <c:lblAlgn val="ctr"/>
        <c:lblOffset val="100"/>
        <c:noMultiLvlLbl val="0"/>
      </c:catAx>
      <c:valAx>
        <c:axId val="107412384"/>
        <c:scaling>
          <c:orientation val="minMax"/>
          <c:min val="58"/>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48287135"/>
        <c:crosses val="autoZero"/>
        <c:crossBetween val="between"/>
        <c:majorUnit val="1"/>
      </c:valAx>
      <c:valAx>
        <c:axId val="1609309951"/>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23411551"/>
        <c:crosses val="max"/>
        <c:crossBetween val="between"/>
        <c:majorUnit val="2"/>
      </c:valAx>
      <c:catAx>
        <c:axId val="823411551"/>
        <c:scaling>
          <c:orientation val="minMax"/>
        </c:scaling>
        <c:delete val="1"/>
        <c:axPos val="b"/>
        <c:numFmt formatCode="General" sourceLinked="1"/>
        <c:majorTickMark val="out"/>
        <c:minorTickMark val="none"/>
        <c:tickLblPos val="nextTo"/>
        <c:crossAx val="1609309951"/>
        <c:crosses val="autoZero"/>
        <c:auto val="1"/>
        <c:lblAlgn val="ctr"/>
        <c:lblOffset val="100"/>
        <c:noMultiLvlLbl val="0"/>
      </c:cat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13275200104119E-2"/>
          <c:y val="1.9857735625370479E-2"/>
          <c:w val="0.86645565172122074"/>
          <c:h val="0.72005843667881764"/>
        </c:manualLayout>
      </c:layout>
      <c:barChart>
        <c:barDir val="col"/>
        <c:grouping val="clustered"/>
        <c:varyColors val="0"/>
        <c:ser>
          <c:idx val="1"/>
          <c:order val="0"/>
          <c:tx>
            <c:strRef>
              <c:f>Төсөв!$M$41</c:f>
              <c:strCache>
                <c:ptCount val="1"/>
                <c:pt idx="0">
                  <c:v>Импорт</c:v>
                </c:pt>
              </c:strCache>
            </c:strRef>
          </c:tx>
          <c:spPr>
            <a:solidFill>
              <a:srgbClr val="ADB9CA"/>
            </a:solidFill>
            <a:ln>
              <a:noFill/>
            </a:ln>
            <a:effectLst/>
          </c:spPr>
          <c:invertIfNegative val="0"/>
          <c:cat>
            <c:numRef>
              <c:f>Төсөв!$O$39:$Z$39</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Төсөв!$O$41:$Z$41</c:f>
              <c:numCache>
                <c:formatCode>General</c:formatCode>
                <c:ptCount val="12"/>
                <c:pt idx="0">
                  <c:v>5236.67</c:v>
                </c:pt>
                <c:pt idx="1">
                  <c:v>3797.52</c:v>
                </c:pt>
                <c:pt idx="2">
                  <c:v>3358.14</c:v>
                </c:pt>
                <c:pt idx="3">
                  <c:v>4337.32</c:v>
                </c:pt>
                <c:pt idx="4">
                  <c:v>5874.8</c:v>
                </c:pt>
                <c:pt idx="5">
                  <c:v>6127.52</c:v>
                </c:pt>
                <c:pt idx="6">
                  <c:v>5298.91</c:v>
                </c:pt>
                <c:pt idx="7">
                  <c:v>6845.45</c:v>
                </c:pt>
                <c:pt idx="8">
                  <c:v>8704.42</c:v>
                </c:pt>
                <c:pt idx="9">
                  <c:v>9250.25</c:v>
                </c:pt>
                <c:pt idx="10">
                  <c:v>11614.66</c:v>
                </c:pt>
                <c:pt idx="11">
                  <c:v>11312.09</c:v>
                </c:pt>
              </c:numCache>
            </c:numRef>
          </c:val>
          <c:extLst>
            <c:ext xmlns:c16="http://schemas.microsoft.com/office/drawing/2014/chart" uri="{C3380CC4-5D6E-409C-BE32-E72D297353CC}">
              <c16:uniqueId val="{00000000-5FA7-4AC9-B947-3283321185FC}"/>
            </c:ext>
          </c:extLst>
        </c:ser>
        <c:ser>
          <c:idx val="0"/>
          <c:order val="1"/>
          <c:tx>
            <c:strRef>
              <c:f>Төсөв!$M$40</c:f>
              <c:strCache>
                <c:ptCount val="1"/>
                <c:pt idx="0">
                  <c:v>Экспорт</c:v>
                </c:pt>
              </c:strCache>
            </c:strRef>
          </c:tx>
          <c:spPr>
            <a:solidFill>
              <a:srgbClr val="275161"/>
            </a:solidFill>
            <a:ln>
              <a:noFill/>
            </a:ln>
            <a:effectLst/>
          </c:spPr>
          <c:invertIfNegative val="0"/>
          <c:cat>
            <c:numRef>
              <c:f>Төсөв!$O$39:$Z$39</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Төсөв!$O$40:$Z$40</c:f>
              <c:numCache>
                <c:formatCode>General</c:formatCode>
                <c:ptCount val="12"/>
                <c:pt idx="0">
                  <c:v>5774.33</c:v>
                </c:pt>
                <c:pt idx="1">
                  <c:v>4669.28</c:v>
                </c:pt>
                <c:pt idx="2">
                  <c:v>4916.34</c:v>
                </c:pt>
                <c:pt idx="3">
                  <c:v>6200.59</c:v>
                </c:pt>
                <c:pt idx="4">
                  <c:v>7011.76</c:v>
                </c:pt>
                <c:pt idx="5">
                  <c:v>7619.63</c:v>
                </c:pt>
                <c:pt idx="6">
                  <c:v>7576.32</c:v>
                </c:pt>
                <c:pt idx="7">
                  <c:v>9241.1200000000008</c:v>
                </c:pt>
                <c:pt idx="8">
                  <c:v>12538.59</c:v>
                </c:pt>
                <c:pt idx="9">
                  <c:v>15186.9</c:v>
                </c:pt>
                <c:pt idx="10">
                  <c:v>15783.38</c:v>
                </c:pt>
                <c:pt idx="11">
                  <c:v>15701.47</c:v>
                </c:pt>
              </c:numCache>
            </c:numRef>
          </c:val>
          <c:extLst>
            <c:ext xmlns:c16="http://schemas.microsoft.com/office/drawing/2014/chart" uri="{C3380CC4-5D6E-409C-BE32-E72D297353CC}">
              <c16:uniqueId val="{00000001-5FA7-4AC9-B947-3283321185FC}"/>
            </c:ext>
          </c:extLst>
        </c:ser>
        <c:dLbls>
          <c:showLegendKey val="0"/>
          <c:showVal val="0"/>
          <c:showCatName val="0"/>
          <c:showSerName val="0"/>
          <c:showPercent val="0"/>
          <c:showBubbleSize val="0"/>
        </c:dLbls>
        <c:gapWidth val="50"/>
        <c:overlap val="-27"/>
        <c:axId val="1613417136"/>
        <c:axId val="1613422896"/>
      </c:barChart>
      <c:lineChart>
        <c:grouping val="standard"/>
        <c:varyColors val="0"/>
        <c:ser>
          <c:idx val="2"/>
          <c:order val="2"/>
          <c:tx>
            <c:strRef>
              <c:f>Төсөв!$M$42</c:f>
              <c:strCache>
                <c:ptCount val="1"/>
                <c:pt idx="0">
                  <c:v>Нийт эргэлт</c:v>
                </c:pt>
              </c:strCache>
            </c:strRef>
          </c:tx>
          <c:spPr>
            <a:ln w="22225" cap="rnd">
              <a:solidFill>
                <a:srgbClr val="BC5966"/>
              </a:solidFill>
              <a:round/>
            </a:ln>
            <a:effectLst/>
          </c:spPr>
          <c:marker>
            <c:symbol val="none"/>
          </c:marker>
          <c:cat>
            <c:numRef>
              <c:f>Төсөв!$O$39:$Z$39</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Төсөв!$O$42:$Z$42</c:f>
              <c:numCache>
                <c:formatCode>General</c:formatCode>
                <c:ptCount val="12"/>
                <c:pt idx="0">
                  <c:v>11011</c:v>
                </c:pt>
                <c:pt idx="1">
                  <c:v>8466.7999999999993</c:v>
                </c:pt>
                <c:pt idx="2">
                  <c:v>8274.48</c:v>
                </c:pt>
                <c:pt idx="3">
                  <c:v>10537.91</c:v>
                </c:pt>
                <c:pt idx="4">
                  <c:v>12886.560000000001</c:v>
                </c:pt>
                <c:pt idx="5">
                  <c:v>13747.150000000001</c:v>
                </c:pt>
                <c:pt idx="6">
                  <c:v>12875.23</c:v>
                </c:pt>
                <c:pt idx="7">
                  <c:v>16086.57</c:v>
                </c:pt>
                <c:pt idx="8">
                  <c:v>21243.010000000002</c:v>
                </c:pt>
                <c:pt idx="9">
                  <c:v>24437.15</c:v>
                </c:pt>
                <c:pt idx="10">
                  <c:v>27398.04</c:v>
                </c:pt>
                <c:pt idx="11">
                  <c:v>27013.559999999998</c:v>
                </c:pt>
              </c:numCache>
            </c:numRef>
          </c:val>
          <c:smooth val="0"/>
          <c:extLst>
            <c:ext xmlns:c16="http://schemas.microsoft.com/office/drawing/2014/chart" uri="{C3380CC4-5D6E-409C-BE32-E72D297353CC}">
              <c16:uniqueId val="{00000002-5FA7-4AC9-B947-3283321185FC}"/>
            </c:ext>
          </c:extLst>
        </c:ser>
        <c:dLbls>
          <c:showLegendKey val="0"/>
          <c:showVal val="0"/>
          <c:showCatName val="0"/>
          <c:showSerName val="0"/>
          <c:showPercent val="0"/>
          <c:showBubbleSize val="0"/>
        </c:dLbls>
        <c:marker val="1"/>
        <c:smooth val="0"/>
        <c:axId val="1613417136"/>
        <c:axId val="1613422896"/>
      </c:lineChart>
      <c:catAx>
        <c:axId val="1613417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13422896"/>
        <c:crosses val="autoZero"/>
        <c:auto val="1"/>
        <c:lblAlgn val="ctr"/>
        <c:lblOffset val="100"/>
        <c:noMultiLvlLbl val="0"/>
      </c:catAx>
      <c:valAx>
        <c:axId val="1613422896"/>
        <c:scaling>
          <c:orientation val="minMax"/>
        </c:scaling>
        <c:delete val="0"/>
        <c:axPos val="l"/>
        <c:majorGridlines>
          <c:spPr>
            <a:ln w="9525" cap="flat" cmpd="sng" algn="ctr">
              <a:solidFill>
                <a:schemeClr val="bg1">
                  <a:lumMod val="95000"/>
                </a:schemeClr>
              </a:solidFill>
              <a:prstDash val="sysDot"/>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13417136"/>
        <c:crosses val="autoZero"/>
        <c:crossBetween val="between"/>
        <c:dispUnits>
          <c:builtInUnit val="thousands"/>
        </c:dispUnits>
      </c:valAx>
      <c:spPr>
        <a:noFill/>
        <a:ln>
          <a:noFill/>
        </a:ln>
        <a:effectLst/>
      </c:spPr>
    </c:plotArea>
    <c:legend>
      <c:legendPos val="b"/>
      <c:layout>
        <c:manualLayout>
          <c:xMode val="edge"/>
          <c:yMode val="edge"/>
          <c:x val="0.20493506215058718"/>
          <c:y val="0.85912279637244515"/>
          <c:w val="0.59012987569882558"/>
          <c:h val="0.14087720362755485"/>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6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32173351587261"/>
          <c:y val="3.8589590065048154E-2"/>
          <c:w val="0.87091061558781846"/>
          <c:h val="0.63987761937574283"/>
        </c:manualLayout>
      </c:layout>
      <c:barChart>
        <c:barDir val="col"/>
        <c:grouping val="stacked"/>
        <c:varyColors val="0"/>
        <c:ser>
          <c:idx val="2"/>
          <c:order val="0"/>
          <c:tx>
            <c:strRef>
              <c:f>Төсөв!$Q$11</c:f>
              <c:strCache>
                <c:ptCount val="1"/>
                <c:pt idx="0">
                  <c:v>Зэсийн баяжмал</c:v>
                </c:pt>
              </c:strCache>
            </c:strRef>
          </c:tx>
          <c:spPr>
            <a:solidFill>
              <a:srgbClr val="ADB9CA"/>
            </a:solidFill>
            <a:ln>
              <a:noFill/>
            </a:ln>
            <a:effectLst/>
          </c:spPr>
          <c:invertIfNegative val="0"/>
          <c:cat>
            <c:numRef>
              <c:f>Төсөв!$R$10:$AC$10</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Төсөв!$R$11:$AC$11</c:f>
              <c:numCache>
                <c:formatCode>0.0</c:formatCode>
                <c:ptCount val="12"/>
                <c:pt idx="0">
                  <c:v>38.082388160391275</c:v>
                </c:pt>
                <c:pt idx="1">
                  <c:v>-5.10137106815856</c:v>
                </c:pt>
                <c:pt idx="2">
                  <c:v>-14.40029297878902</c:v>
                </c:pt>
                <c:pt idx="3">
                  <c:v>0.10922759613858869</c:v>
                </c:pt>
                <c:pt idx="4">
                  <c:v>6.4360004451189345</c:v>
                </c:pt>
                <c:pt idx="5">
                  <c:v>-3.0851027416796946</c:v>
                </c:pt>
                <c:pt idx="6">
                  <c:v>-0.23452582343236997</c:v>
                </c:pt>
                <c:pt idx="7">
                  <c:v>14.807452694711948</c:v>
                </c:pt>
                <c:pt idx="8">
                  <c:v>-1.785606073722668</c:v>
                </c:pt>
                <c:pt idx="9">
                  <c:v>-0.87059230742850546</c:v>
                </c:pt>
                <c:pt idx="10">
                  <c:v>4.5659746228657578</c:v>
                </c:pt>
                <c:pt idx="11">
                  <c:v>15.773680922590724</c:v>
                </c:pt>
              </c:numCache>
            </c:numRef>
          </c:val>
          <c:extLst>
            <c:ext xmlns:c16="http://schemas.microsoft.com/office/drawing/2014/chart" uri="{C3380CC4-5D6E-409C-BE32-E72D297353CC}">
              <c16:uniqueId val="{00000000-C07A-4F55-900D-D978165BC4C0}"/>
            </c:ext>
          </c:extLst>
        </c:ser>
        <c:ser>
          <c:idx val="0"/>
          <c:order val="1"/>
          <c:tx>
            <c:strRef>
              <c:f>Төсөв!$Q$12</c:f>
              <c:strCache>
                <c:ptCount val="1"/>
                <c:pt idx="0">
                  <c:v>Нүүрс</c:v>
                </c:pt>
              </c:strCache>
            </c:strRef>
          </c:tx>
          <c:spPr>
            <a:solidFill>
              <a:srgbClr val="11A795"/>
            </a:solidFill>
            <a:ln>
              <a:noFill/>
            </a:ln>
            <a:effectLst/>
          </c:spPr>
          <c:invertIfNegative val="0"/>
          <c:cat>
            <c:numRef>
              <c:f>Төсөв!$R$10:$AC$10</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Төсөв!$R$12:$AC$12</c:f>
              <c:numCache>
                <c:formatCode>0.0</c:formatCode>
                <c:ptCount val="12"/>
                <c:pt idx="0">
                  <c:v>-6.2671876244419149</c:v>
                </c:pt>
                <c:pt idx="1">
                  <c:v>-5.0842262219166559</c:v>
                </c:pt>
                <c:pt idx="2">
                  <c:v>8.9251447760682598</c:v>
                </c:pt>
                <c:pt idx="3">
                  <c:v>26.135092365458856</c:v>
                </c:pt>
                <c:pt idx="4">
                  <c:v>8.5406388746877262</c:v>
                </c:pt>
                <c:pt idx="5">
                  <c:v>4.1096671876961031</c:v>
                </c:pt>
                <c:pt idx="6">
                  <c:v>-12.476721310614822</c:v>
                </c:pt>
                <c:pt idx="7">
                  <c:v>8.379529903699952</c:v>
                </c:pt>
                <c:pt idx="8">
                  <c:v>40.439254116384163</c:v>
                </c:pt>
                <c:pt idx="9">
                  <c:v>18.093661248992117</c:v>
                </c:pt>
                <c:pt idx="10">
                  <c:v>-1.5103806570136171</c:v>
                </c:pt>
                <c:pt idx="11">
                  <c:v>-18.724633126744717</c:v>
                </c:pt>
              </c:numCache>
            </c:numRef>
          </c:val>
          <c:extLst>
            <c:ext xmlns:c16="http://schemas.microsoft.com/office/drawing/2014/chart" uri="{C3380CC4-5D6E-409C-BE32-E72D297353CC}">
              <c16:uniqueId val="{00000001-C07A-4F55-900D-D978165BC4C0}"/>
            </c:ext>
          </c:extLst>
        </c:ser>
        <c:ser>
          <c:idx val="1"/>
          <c:order val="2"/>
          <c:tx>
            <c:strRef>
              <c:f>Төсөв!$Q$13</c:f>
              <c:strCache>
                <c:ptCount val="1"/>
                <c:pt idx="0">
                  <c:v>Малын гаралтай бүтээгдэхүүн</c:v>
                </c:pt>
              </c:strCache>
            </c:strRef>
          </c:tx>
          <c:spPr>
            <a:solidFill>
              <a:srgbClr val="BC5966"/>
            </a:solidFill>
            <a:ln>
              <a:noFill/>
            </a:ln>
            <a:effectLst/>
          </c:spPr>
          <c:invertIfNegative val="0"/>
          <c:cat>
            <c:numRef>
              <c:f>Төсөв!$R$10:$AC$10</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Төсөв!$R$13:$AC$13</c:f>
              <c:numCache>
                <c:formatCode>0.0</c:formatCode>
                <c:ptCount val="12"/>
                <c:pt idx="0">
                  <c:v>1.0995394770745783</c:v>
                </c:pt>
                <c:pt idx="1">
                  <c:v>-0.55400366795801437</c:v>
                </c:pt>
                <c:pt idx="2">
                  <c:v>-0.27605969228660493</c:v>
                </c:pt>
                <c:pt idx="3">
                  <c:v>1.2747287616397556</c:v>
                </c:pt>
                <c:pt idx="4">
                  <c:v>1.586784483412063</c:v>
                </c:pt>
                <c:pt idx="5">
                  <c:v>5.2768491790933916E-2</c:v>
                </c:pt>
                <c:pt idx="6">
                  <c:v>-2.477154402510358</c:v>
                </c:pt>
                <c:pt idx="7">
                  <c:v>1.0536777749619868</c:v>
                </c:pt>
                <c:pt idx="8">
                  <c:v>1.4053491351697629</c:v>
                </c:pt>
                <c:pt idx="9">
                  <c:v>0.78214536084200892</c:v>
                </c:pt>
                <c:pt idx="10">
                  <c:v>-0.29887600497797512</c:v>
                </c:pt>
                <c:pt idx="11">
                  <c:v>0.30595474480117746</c:v>
                </c:pt>
              </c:numCache>
            </c:numRef>
          </c:val>
          <c:extLst>
            <c:ext xmlns:c16="http://schemas.microsoft.com/office/drawing/2014/chart" uri="{C3380CC4-5D6E-409C-BE32-E72D297353CC}">
              <c16:uniqueId val="{00000002-C07A-4F55-900D-D978165BC4C0}"/>
            </c:ext>
          </c:extLst>
        </c:ser>
        <c:dLbls>
          <c:showLegendKey val="0"/>
          <c:showVal val="0"/>
          <c:showCatName val="0"/>
          <c:showSerName val="0"/>
          <c:showPercent val="0"/>
          <c:showBubbleSize val="0"/>
        </c:dLbls>
        <c:gapWidth val="50"/>
        <c:overlap val="100"/>
        <c:axId val="139222543"/>
        <c:axId val="139237903"/>
      </c:barChart>
      <c:lineChart>
        <c:grouping val="standard"/>
        <c:varyColors val="0"/>
        <c:ser>
          <c:idx val="3"/>
          <c:order val="3"/>
          <c:tx>
            <c:strRef>
              <c:f>Төсөв!$Q$14</c:f>
              <c:strCache>
                <c:ptCount val="1"/>
                <c:pt idx="0">
                  <c:v>Нийт</c:v>
                </c:pt>
              </c:strCache>
            </c:strRef>
          </c:tx>
          <c:spPr>
            <a:ln w="22225" cap="rnd">
              <a:solidFill>
                <a:srgbClr val="BC5966"/>
              </a:solidFill>
              <a:round/>
            </a:ln>
            <a:effectLst/>
          </c:spPr>
          <c:marker>
            <c:symbol val="none"/>
          </c:marker>
          <c:cat>
            <c:multiLvlStrRef>
              <c:f>Төсөв!$R$9:$AC$10</c:f>
              <c:multiLvlStrCache>
                <c:ptCount val="12"/>
                <c:lvl>
                  <c:pt idx="0">
                    <c:v>2014</c:v>
                  </c:pt>
                  <c:pt idx="1">
                    <c:v>2015</c:v>
                  </c:pt>
                  <c:pt idx="2">
                    <c:v>2016</c:v>
                  </c:pt>
                  <c:pt idx="3">
                    <c:v>2017</c:v>
                  </c:pt>
                  <c:pt idx="4">
                    <c:v>2018</c:v>
                  </c:pt>
                  <c:pt idx="5">
                    <c:v>2019</c:v>
                  </c:pt>
                  <c:pt idx="6">
                    <c:v>2020</c:v>
                  </c:pt>
                  <c:pt idx="7">
                    <c:v>2021</c:v>
                  </c:pt>
                  <c:pt idx="8">
                    <c:v>2022</c:v>
                  </c:pt>
                  <c:pt idx="9">
                    <c:v>2023</c:v>
                  </c:pt>
                  <c:pt idx="10">
                    <c:v>2024</c:v>
                  </c:pt>
                  <c:pt idx="11">
                    <c:v>2025</c:v>
                  </c:pt>
                </c:lvl>
                <c:lvl>
                  <c:pt idx="0">
                    <c:v>2019</c:v>
                  </c:pt>
                  <c:pt idx="4">
                    <c:v>2020</c:v>
                  </c:pt>
                  <c:pt idx="8">
                    <c:v>2021</c:v>
                  </c:pt>
                </c:lvl>
              </c:multiLvlStrCache>
            </c:multiLvlStrRef>
          </c:cat>
          <c:val>
            <c:numRef>
              <c:f>Төсөв!$R$14:$AC$14</c:f>
              <c:numCache>
                <c:formatCode>0.0</c:formatCode>
                <c:ptCount val="12"/>
                <c:pt idx="0">
                  <c:v>35.2599869760556</c:v>
                </c:pt>
                <c:pt idx="1">
                  <c:v>-19.137285191528715</c:v>
                </c:pt>
                <c:pt idx="2">
                  <c:v>5.2911797964568503</c:v>
                </c:pt>
                <c:pt idx="3">
                  <c:v>26.122074551393919</c:v>
                </c:pt>
                <c:pt idx="4">
                  <c:v>13.082142183243853</c:v>
                </c:pt>
                <c:pt idx="5">
                  <c:v>8.6692927310689445</c:v>
                </c:pt>
                <c:pt idx="6">
                  <c:v>-0.56840030290185217</c:v>
                </c:pt>
                <c:pt idx="7">
                  <c:v>21.973728670383526</c:v>
                </c:pt>
                <c:pt idx="8">
                  <c:v>35.682579600741029</c:v>
                </c:pt>
                <c:pt idx="9">
                  <c:v>21.121274401667169</c:v>
                </c:pt>
                <c:pt idx="10">
                  <c:v>3.9275954934845134</c:v>
                </c:pt>
                <c:pt idx="11">
                  <c:v>-0.51896361869257324</c:v>
                </c:pt>
              </c:numCache>
            </c:numRef>
          </c:val>
          <c:smooth val="1"/>
          <c:extLst>
            <c:ext xmlns:c16="http://schemas.microsoft.com/office/drawing/2014/chart" uri="{C3380CC4-5D6E-409C-BE32-E72D297353CC}">
              <c16:uniqueId val="{00000003-C07A-4F55-900D-D978165BC4C0}"/>
            </c:ext>
          </c:extLst>
        </c:ser>
        <c:dLbls>
          <c:showLegendKey val="0"/>
          <c:showVal val="0"/>
          <c:showCatName val="0"/>
          <c:showSerName val="0"/>
          <c:showPercent val="0"/>
          <c:showBubbleSize val="0"/>
        </c:dLbls>
        <c:marker val="1"/>
        <c:smooth val="0"/>
        <c:axId val="139222543"/>
        <c:axId val="139237903"/>
      </c:lineChart>
      <c:catAx>
        <c:axId val="139222543"/>
        <c:scaling>
          <c:orientation val="minMax"/>
        </c:scaling>
        <c:delete val="0"/>
        <c:axPos val="b"/>
        <c:numFmt formatCode="General" sourceLinked="1"/>
        <c:majorTickMark val="none"/>
        <c:minorTickMark val="none"/>
        <c:tickLblPos val="low"/>
        <c:spPr>
          <a:noFill/>
          <a:ln w="3175" cap="flat" cmpd="sng" algn="ctr">
            <a:solidFill>
              <a:schemeClr val="tx1">
                <a:lumMod val="15000"/>
                <a:lumOff val="85000"/>
              </a:schemeClr>
            </a:solidFill>
            <a:round/>
          </a:ln>
          <a:effectLst/>
        </c:spPr>
        <c:txPr>
          <a:bodyPr rot="-5400000" spcFirstLastPara="1" vertOverflow="ellipsis" wrap="square" anchor="ctr" anchorCtr="1"/>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39237903"/>
        <c:crosses val="autoZero"/>
        <c:auto val="1"/>
        <c:lblAlgn val="ctr"/>
        <c:lblOffset val="100"/>
        <c:noMultiLvlLbl val="0"/>
      </c:catAx>
      <c:valAx>
        <c:axId val="139237903"/>
        <c:scaling>
          <c:orientation val="minMax"/>
        </c:scaling>
        <c:delete val="0"/>
        <c:axPos val="l"/>
        <c:numFmt formatCode="0" sourceLinked="0"/>
        <c:majorTickMark val="none"/>
        <c:minorTickMark val="none"/>
        <c:tickLblPos val="nextTo"/>
        <c:spPr>
          <a:noFill/>
          <a:ln>
            <a:noFill/>
            <a:prstDash val="sysDash"/>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9222543"/>
        <c:crosses val="autoZero"/>
        <c:crossBetween val="between"/>
        <c:majorUnit val="20"/>
      </c:valAx>
      <c:spPr>
        <a:noFill/>
        <a:ln>
          <a:noFill/>
        </a:ln>
        <a:effectLst/>
      </c:spPr>
    </c:plotArea>
    <c:legend>
      <c:legendPos val="b"/>
      <c:layout>
        <c:manualLayout>
          <c:xMode val="edge"/>
          <c:yMode val="edge"/>
          <c:x val="0.14063244547817194"/>
          <c:y val="0.8220980873567526"/>
          <c:w val="0.85483572804505259"/>
          <c:h val="0.17539034810429721"/>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600">
          <a:latin typeface="Arial" panose="020B0604020202020204" pitchFamily="34" charset="0"/>
          <a:cs typeface="Arial" panose="020B0604020202020204"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780800127256816E-2"/>
          <c:y val="3.7683031869078377E-2"/>
          <c:w val="0.87763013998250217"/>
          <c:h val="0.64142789288127433"/>
        </c:manualLayout>
      </c:layout>
      <c:barChart>
        <c:barDir val="col"/>
        <c:grouping val="stacked"/>
        <c:varyColors val="0"/>
        <c:ser>
          <c:idx val="1"/>
          <c:order val="1"/>
          <c:tx>
            <c:strRef>
              <c:f>Dashboard!$W$80</c:f>
              <c:strCache>
                <c:ptCount val="1"/>
                <c:pt idx="0">
                  <c:v>Хэрэглээний бүтээгдэхүүн</c:v>
                </c:pt>
              </c:strCache>
            </c:strRef>
          </c:tx>
          <c:spPr>
            <a:solidFill>
              <a:srgbClr val="002060"/>
            </a:solidFill>
            <a:ln>
              <a:noFill/>
            </a:ln>
            <a:effectLst/>
          </c:spPr>
          <c:invertIfNegative val="0"/>
          <c:cat>
            <c:strRef>
              <c:f>Dashboard!$X$66:$AH$66</c:f>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f>Dashboard!$X$80:$AH$80</c:f>
              <c:numCache>
                <c:formatCode>0</c:formatCode>
                <c:ptCount val="11"/>
                <c:pt idx="0">
                  <c:v>0</c:v>
                </c:pt>
                <c:pt idx="1">
                  <c:v>-1.0862659467991036</c:v>
                </c:pt>
                <c:pt idx="2">
                  <c:v>5.8443455383473601</c:v>
                </c:pt>
                <c:pt idx="3">
                  <c:v>9.4399788361334647</c:v>
                </c:pt>
                <c:pt idx="4">
                  <c:v>9.7290755222213143E-2</c:v>
                </c:pt>
                <c:pt idx="5">
                  <c:v>-2.9137048648375647</c:v>
                </c:pt>
                <c:pt idx="6">
                  <c:v>14.737097789151358</c:v>
                </c:pt>
                <c:pt idx="7">
                  <c:v>9.7146519416260091</c:v>
                </c:pt>
                <c:pt idx="8">
                  <c:v>-0.44411443887140967</c:v>
                </c:pt>
                <c:pt idx="9">
                  <c:v>10.638684193297287</c:v>
                </c:pt>
                <c:pt idx="10">
                  <c:v>-0.60266896254842872</c:v>
                </c:pt>
              </c:numCache>
            </c:numRef>
          </c:val>
          <c:extLst>
            <c:ext xmlns:c16="http://schemas.microsoft.com/office/drawing/2014/chart" uri="{C3380CC4-5D6E-409C-BE32-E72D297353CC}">
              <c16:uniqueId val="{00000000-4C74-4298-BE44-37F85618CB5E}"/>
            </c:ext>
          </c:extLst>
        </c:ser>
        <c:ser>
          <c:idx val="2"/>
          <c:order val="2"/>
          <c:tx>
            <c:strRef>
              <c:f>Dashboard!$W$81</c:f>
              <c:strCache>
                <c:ptCount val="1"/>
                <c:pt idx="0">
                  <c:v>Аж үйлдвэрлэлийн орц</c:v>
                </c:pt>
              </c:strCache>
            </c:strRef>
          </c:tx>
          <c:spPr>
            <a:solidFill>
              <a:srgbClr val="70AD47">
                <a:lumMod val="60000"/>
                <a:lumOff val="40000"/>
              </a:srgbClr>
            </a:solidFill>
            <a:ln>
              <a:noFill/>
            </a:ln>
            <a:effectLst/>
          </c:spPr>
          <c:invertIfNegative val="0"/>
          <c:cat>
            <c:strRef>
              <c:f>Dashboard!$X$66:$AH$66</c:f>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f>Dashboard!$X$81:$AH$81</c:f>
              <c:numCache>
                <c:formatCode>0</c:formatCode>
                <c:ptCount val="11"/>
                <c:pt idx="0">
                  <c:v>0</c:v>
                </c:pt>
                <c:pt idx="1">
                  <c:v>-3.6528252060377344</c:v>
                </c:pt>
                <c:pt idx="2">
                  <c:v>8.0710455701105417</c:v>
                </c:pt>
                <c:pt idx="3">
                  <c:v>9.2624812788690356</c:v>
                </c:pt>
                <c:pt idx="4">
                  <c:v>-0.23808801392015111</c:v>
                </c:pt>
                <c:pt idx="5">
                  <c:v>-4.8447812239516681</c:v>
                </c:pt>
                <c:pt idx="6">
                  <c:v>5.6367505315438304</c:v>
                </c:pt>
                <c:pt idx="7">
                  <c:v>9.3140348644178328</c:v>
                </c:pt>
                <c:pt idx="8">
                  <c:v>0.74283760873889837</c:v>
                </c:pt>
                <c:pt idx="9">
                  <c:v>3.2665533707891878</c:v>
                </c:pt>
                <c:pt idx="10">
                  <c:v>-0.23893119502367688</c:v>
                </c:pt>
              </c:numCache>
            </c:numRef>
          </c:val>
          <c:extLst>
            <c:ext xmlns:c16="http://schemas.microsoft.com/office/drawing/2014/chart" uri="{C3380CC4-5D6E-409C-BE32-E72D297353CC}">
              <c16:uniqueId val="{00000001-4C74-4298-BE44-37F85618CB5E}"/>
            </c:ext>
          </c:extLst>
        </c:ser>
        <c:ser>
          <c:idx val="3"/>
          <c:order val="3"/>
          <c:tx>
            <c:strRef>
              <c:f>Dashboard!$W$82</c:f>
              <c:strCache>
                <c:ptCount val="1"/>
                <c:pt idx="0">
                  <c:v>Хөрөнгө оруулалтын бүтээгдэхүүнүүд</c:v>
                </c:pt>
              </c:strCache>
            </c:strRef>
          </c:tx>
          <c:spPr>
            <a:solidFill>
              <a:srgbClr val="11A795"/>
            </a:solidFill>
            <a:ln>
              <a:noFill/>
            </a:ln>
            <a:effectLst/>
          </c:spPr>
          <c:invertIfNegative val="0"/>
          <c:cat>
            <c:strRef>
              <c:f>Dashboard!$X$66:$AH$66</c:f>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f>Dashboard!$X$82:$AH$82</c:f>
              <c:numCache>
                <c:formatCode>0</c:formatCode>
                <c:ptCount val="11"/>
                <c:pt idx="0">
                  <c:v>0</c:v>
                </c:pt>
                <c:pt idx="1">
                  <c:v>-7.3436982149141903</c:v>
                </c:pt>
                <c:pt idx="2">
                  <c:v>15.891035438892514</c:v>
                </c:pt>
                <c:pt idx="3">
                  <c:v>16.788847139509048</c:v>
                </c:pt>
                <c:pt idx="4">
                  <c:v>3.2812767901527624</c:v>
                </c:pt>
                <c:pt idx="5">
                  <c:v>-4.904436459196341</c:v>
                </c:pt>
                <c:pt idx="6">
                  <c:v>8.9823546274415182</c:v>
                </c:pt>
                <c:pt idx="7">
                  <c:v>8.7091562826714917</c:v>
                </c:pt>
                <c:pt idx="8">
                  <c:v>5.4701344464925601</c:v>
                </c:pt>
                <c:pt idx="9">
                  <c:v>11.616506572043249</c:v>
                </c:pt>
                <c:pt idx="10">
                  <c:v>-1.7907877744296168</c:v>
                </c:pt>
              </c:numCache>
            </c:numRef>
          </c:val>
          <c:extLst>
            <c:ext xmlns:c16="http://schemas.microsoft.com/office/drawing/2014/chart" uri="{C3380CC4-5D6E-409C-BE32-E72D297353CC}">
              <c16:uniqueId val="{00000002-4C74-4298-BE44-37F85618CB5E}"/>
            </c:ext>
          </c:extLst>
        </c:ser>
        <c:dLbls>
          <c:showLegendKey val="0"/>
          <c:showVal val="0"/>
          <c:showCatName val="0"/>
          <c:showSerName val="0"/>
          <c:showPercent val="0"/>
          <c:showBubbleSize val="0"/>
        </c:dLbls>
        <c:gapWidth val="50"/>
        <c:overlap val="100"/>
        <c:axId val="1401976384"/>
        <c:axId val="1401976864"/>
      </c:barChart>
      <c:lineChart>
        <c:grouping val="stacked"/>
        <c:varyColors val="0"/>
        <c:ser>
          <c:idx val="0"/>
          <c:order val="0"/>
          <c:tx>
            <c:strRef>
              <c:f>Dashboard!$W$79</c:f>
              <c:strCache>
                <c:ptCount val="1"/>
                <c:pt idx="0">
                  <c:v>Нийт</c:v>
                </c:pt>
              </c:strCache>
            </c:strRef>
          </c:tx>
          <c:spPr>
            <a:ln w="22225" cap="rnd">
              <a:solidFill>
                <a:srgbClr val="BC5966"/>
              </a:solidFill>
              <a:round/>
            </a:ln>
            <a:effectLst/>
          </c:spPr>
          <c:marker>
            <c:symbol val="none"/>
          </c:marker>
          <c:dLbls>
            <c:dLbl>
              <c:idx val="10"/>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C74-4298-BE44-37F85618CB5E}"/>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Dashboard!$X$66:$AH$66</c:f>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f>Dashboard!$X$79:$AH$79</c:f>
              <c:numCache>
                <c:formatCode>0</c:formatCode>
                <c:ptCount val="11"/>
                <c:pt idx="0">
                  <c:v>0</c:v>
                </c:pt>
                <c:pt idx="1">
                  <c:v>-12.082789367751031</c:v>
                </c:pt>
                <c:pt idx="2">
                  <c:v>29.806426547350412</c:v>
                </c:pt>
                <c:pt idx="3">
                  <c:v>35.491307254511554</c:v>
                </c:pt>
                <c:pt idx="4">
                  <c:v>3.1404795314548317</c:v>
                </c:pt>
                <c:pt idx="5">
                  <c:v>-12.66292254798558</c:v>
                </c:pt>
                <c:pt idx="6">
                  <c:v>29.356202948136701</c:v>
                </c:pt>
                <c:pt idx="7">
                  <c:v>27.737843088715326</c:v>
                </c:pt>
                <c:pt idx="8">
                  <c:v>5.8948951434437289</c:v>
                </c:pt>
                <c:pt idx="9">
                  <c:v>25.567567567567568</c:v>
                </c:pt>
                <c:pt idx="10">
                  <c:v>-2.6086956521739131</c:v>
                </c:pt>
              </c:numCache>
            </c:numRef>
          </c:val>
          <c:smooth val="1"/>
          <c:extLst>
            <c:ext xmlns:c16="http://schemas.microsoft.com/office/drawing/2014/chart" uri="{C3380CC4-5D6E-409C-BE32-E72D297353CC}">
              <c16:uniqueId val="{00000004-4C74-4298-BE44-37F85618CB5E}"/>
            </c:ext>
          </c:extLst>
        </c:ser>
        <c:dLbls>
          <c:showLegendKey val="0"/>
          <c:showVal val="0"/>
          <c:showCatName val="0"/>
          <c:showSerName val="0"/>
          <c:showPercent val="0"/>
          <c:showBubbleSize val="0"/>
        </c:dLbls>
        <c:upDownBars>
          <c:gapWidth val="219"/>
          <c:upBars>
            <c:spPr>
              <a:solidFill>
                <a:schemeClr val="lt1"/>
              </a:solidFill>
              <a:ln w="9525">
                <a:solidFill>
                  <a:schemeClr val="tx1">
                    <a:lumMod val="15000"/>
                    <a:lumOff val="85000"/>
                  </a:schemeClr>
                </a:solidFill>
              </a:ln>
              <a:effectLst/>
            </c:spPr>
          </c:upBars>
          <c:downBars>
            <c:spPr>
              <a:solidFill>
                <a:schemeClr val="dk1">
                  <a:lumMod val="65000"/>
                  <a:lumOff val="35000"/>
                </a:schemeClr>
              </a:solidFill>
              <a:ln w="9525">
                <a:solidFill>
                  <a:schemeClr val="tx1">
                    <a:lumMod val="65000"/>
                    <a:lumOff val="35000"/>
                  </a:schemeClr>
                </a:solidFill>
              </a:ln>
              <a:effectLst/>
            </c:spPr>
          </c:downBars>
        </c:upDownBars>
        <c:marker val="1"/>
        <c:smooth val="0"/>
        <c:axId val="1401976384"/>
        <c:axId val="1401976864"/>
      </c:lineChart>
      <c:catAx>
        <c:axId val="14019763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01976864"/>
        <c:crosses val="autoZero"/>
        <c:auto val="1"/>
        <c:lblAlgn val="ctr"/>
        <c:lblOffset val="100"/>
        <c:noMultiLvlLbl val="0"/>
      </c:catAx>
      <c:valAx>
        <c:axId val="1401976864"/>
        <c:scaling>
          <c:orientation val="minMax"/>
          <c:max val="40"/>
          <c:min val="-3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01976384"/>
        <c:crosses val="autoZero"/>
        <c:crossBetween val="between"/>
      </c:valAx>
      <c:spPr>
        <a:noFill/>
        <a:ln>
          <a:noFill/>
        </a:ln>
        <a:effectLst/>
      </c:spPr>
    </c:plotArea>
    <c:legend>
      <c:legendPos val="b"/>
      <c:layout>
        <c:manualLayout>
          <c:xMode val="edge"/>
          <c:yMode val="edge"/>
          <c:x val="0"/>
          <c:y val="0.83706384620359153"/>
          <c:w val="0.97618806171955774"/>
          <c:h val="0.15781481010710538"/>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600">
          <a:latin typeface="Arial" panose="020B0604020202020204" pitchFamily="34" charset="0"/>
          <a:cs typeface="Arial" panose="020B0604020202020204"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0.65011</cdr:x>
      <cdr:y>0.36835</cdr:y>
    </cdr:from>
    <cdr:to>
      <cdr:x>0.92283</cdr:x>
      <cdr:y>0.44361</cdr:y>
    </cdr:to>
    <cdr:sp macro="" textlink="">
      <cdr:nvSpPr>
        <cdr:cNvPr id="81" name="TextBox 1">
          <a:extLst xmlns:a="http://schemas.openxmlformats.org/drawingml/2006/main">
            <a:ext uri="{FF2B5EF4-FFF2-40B4-BE49-F238E27FC236}">
              <a16:creationId xmlns:a16="http://schemas.microsoft.com/office/drawing/2014/main" id="{649A33D6-1C69-6A90-58B3-A45C4FA25520}"/>
            </a:ext>
          </a:extLst>
        </cdr:cNvPr>
        <cdr:cNvSpPr txBox="1"/>
      </cdr:nvSpPr>
      <cdr:spPr>
        <a:xfrm xmlns:a="http://schemas.openxmlformats.org/drawingml/2006/main">
          <a:off x="1754900" y="596684"/>
          <a:ext cx="736176" cy="1219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mn-MN" sz="700" b="0" kern="1200" dirty="0" err="1">
              <a:solidFill>
                <a:sysClr val="windowText" lastClr="000000"/>
              </a:solidFill>
              <a:latin typeface="Arial" panose="020B0604020202020204" pitchFamily="34" charset="0"/>
              <a:cs typeface="Arial" panose="020B0604020202020204" pitchFamily="34" charset="0"/>
            </a:rPr>
            <a:t>КОВИД</a:t>
          </a:r>
          <a:r>
            <a:rPr lang="mn-MN" sz="700" b="0" kern="1200" dirty="0">
              <a:solidFill>
                <a:sysClr val="windowText" lastClr="000000"/>
              </a:solidFill>
              <a:latin typeface="Arial" panose="020B0604020202020204" pitchFamily="34" charset="0"/>
              <a:cs typeface="Arial" panose="020B0604020202020204" pitchFamily="34" charset="0"/>
            </a:rPr>
            <a:t>-19</a:t>
          </a:r>
          <a:endParaRPr lang="en-US" sz="700" b="0" kern="1200" dirty="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0.67519</cdr:x>
      <cdr:y>0.04555</cdr:y>
    </cdr:from>
    <cdr:to>
      <cdr:x>1</cdr:x>
      <cdr:y>0.15062</cdr:y>
    </cdr:to>
    <cdr:sp macro="" textlink="">
      <cdr:nvSpPr>
        <cdr:cNvPr id="2" name="TextBox 1"/>
        <cdr:cNvSpPr txBox="1"/>
      </cdr:nvSpPr>
      <cdr:spPr>
        <a:xfrm xmlns:a="http://schemas.openxmlformats.org/drawingml/2006/main">
          <a:off x="1822598" y="73783"/>
          <a:ext cx="876787" cy="17020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mn-MN" sz="700" b="0" kern="1200" dirty="0" err="1">
              <a:solidFill>
                <a:schemeClr val="tx1"/>
              </a:solidFill>
              <a:latin typeface="Arial" panose="020B0604020202020204" pitchFamily="34" charset="0"/>
              <a:cs typeface="Arial" panose="020B0604020202020204" pitchFamily="34" charset="0"/>
            </a:rPr>
            <a:t>Худалдааны</a:t>
          </a:r>
          <a:r>
            <a:rPr lang="mn-MN" sz="700" b="0" kern="1200" baseline="0" dirty="0" err="1">
              <a:solidFill>
                <a:schemeClr val="tx1"/>
              </a:solidFill>
              <a:latin typeface="Arial" panose="020B0604020202020204" pitchFamily="34" charset="0"/>
              <a:cs typeface="Arial" panose="020B0604020202020204" pitchFamily="34" charset="0"/>
            </a:rPr>
            <a:t> дайн</a:t>
          </a:r>
          <a:endParaRPr lang="en-US" sz="700" b="0" kern="1200" dirty="0">
            <a:solidFill>
              <a:schemeClr val="tx1"/>
            </a:solidFill>
            <a:latin typeface="Arial" panose="020B0604020202020204" pitchFamily="34"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Times New Roman"/>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Arial"/>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22" ma:contentTypeDescription="Create a new document." ma:contentTypeScope="" ma:versionID="e395b52430222d23df43796f28956eb1">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fa4ed462d156791ebf92ff357007d89c"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cc29ea0-13c3-469d-8107-fdcbce64d825}"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9BE2DC-718F-42CE-A644-6104DE56C4CB}">
  <ds:schemaRefs>
    <ds:schemaRef ds:uri="http://schemas.microsoft.com/sharepoint/v3/contenttype/forms"/>
  </ds:schemaRefs>
</ds:datastoreItem>
</file>

<file path=customXml/itemProps2.xml><?xml version="1.0" encoding="utf-8"?>
<ds:datastoreItem xmlns:ds="http://schemas.openxmlformats.org/officeDocument/2006/customXml" ds:itemID="{E95283F0-5C4C-4DF9-ABEA-73881A77B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FC0E5A-3737-428E-917C-A6BA0AD52E07}">
  <ds:schemaRefs>
    <ds:schemaRef ds:uri="http://schemas.microsoft.com/office/2006/metadata/properties"/>
    <ds:schemaRef ds:uri="http://schemas.microsoft.com/office/infopath/2007/PartnerControls"/>
    <ds:schemaRef ds:uri="a6ac2e82-6d58-4877-80da-2382c159e9d4"/>
    <ds:schemaRef ds:uri="86bdc60b-3bb4-498c-97b6-1370c6bac81b"/>
  </ds:schemaRefs>
</ds:datastoreItem>
</file>

<file path=customXml/itemProps4.xml><?xml version="1.0" encoding="utf-8"?>
<ds:datastoreItem xmlns:ds="http://schemas.openxmlformats.org/officeDocument/2006/customXml" ds:itemID="{C76905B6-36E3-4295-9B6D-9DB5A7450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20</Pages>
  <Words>6928</Words>
  <Characters>39496</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46332</CharactersWithSpaces>
  <SharedDoc>false</SharedDoc>
  <HLinks>
    <vt:vector size="126" baseType="variant">
      <vt:variant>
        <vt:i4>1835057</vt:i4>
      </vt:variant>
      <vt:variant>
        <vt:i4>122</vt:i4>
      </vt:variant>
      <vt:variant>
        <vt:i4>0</vt:i4>
      </vt:variant>
      <vt:variant>
        <vt:i4>5</vt:i4>
      </vt:variant>
      <vt:variant>
        <vt:lpwstr/>
      </vt:variant>
      <vt:variant>
        <vt:lpwstr>_Toc238120999</vt:lpwstr>
      </vt:variant>
      <vt:variant>
        <vt:i4>1835057</vt:i4>
      </vt:variant>
      <vt:variant>
        <vt:i4>116</vt:i4>
      </vt:variant>
      <vt:variant>
        <vt:i4>0</vt:i4>
      </vt:variant>
      <vt:variant>
        <vt:i4>5</vt:i4>
      </vt:variant>
      <vt:variant>
        <vt:lpwstr/>
      </vt:variant>
      <vt:variant>
        <vt:lpwstr>_Toc238120998</vt:lpwstr>
      </vt:variant>
      <vt:variant>
        <vt:i4>1835057</vt:i4>
      </vt:variant>
      <vt:variant>
        <vt:i4>110</vt:i4>
      </vt:variant>
      <vt:variant>
        <vt:i4>0</vt:i4>
      </vt:variant>
      <vt:variant>
        <vt:i4>5</vt:i4>
      </vt:variant>
      <vt:variant>
        <vt:lpwstr/>
      </vt:variant>
      <vt:variant>
        <vt:lpwstr>_Toc238120996</vt:lpwstr>
      </vt:variant>
      <vt:variant>
        <vt:i4>1835057</vt:i4>
      </vt:variant>
      <vt:variant>
        <vt:i4>104</vt:i4>
      </vt:variant>
      <vt:variant>
        <vt:i4>0</vt:i4>
      </vt:variant>
      <vt:variant>
        <vt:i4>5</vt:i4>
      </vt:variant>
      <vt:variant>
        <vt:lpwstr/>
      </vt:variant>
      <vt:variant>
        <vt:lpwstr>_Toc238120994</vt:lpwstr>
      </vt:variant>
      <vt:variant>
        <vt:i4>1835057</vt:i4>
      </vt:variant>
      <vt:variant>
        <vt:i4>98</vt:i4>
      </vt:variant>
      <vt:variant>
        <vt:i4>0</vt:i4>
      </vt:variant>
      <vt:variant>
        <vt:i4>5</vt:i4>
      </vt:variant>
      <vt:variant>
        <vt:lpwstr/>
      </vt:variant>
      <vt:variant>
        <vt:lpwstr>_Toc238120993</vt:lpwstr>
      </vt:variant>
      <vt:variant>
        <vt:i4>1835057</vt:i4>
      </vt:variant>
      <vt:variant>
        <vt:i4>92</vt:i4>
      </vt:variant>
      <vt:variant>
        <vt:i4>0</vt:i4>
      </vt:variant>
      <vt:variant>
        <vt:i4>5</vt:i4>
      </vt:variant>
      <vt:variant>
        <vt:lpwstr/>
      </vt:variant>
      <vt:variant>
        <vt:lpwstr>_Toc238120992</vt:lpwstr>
      </vt:variant>
      <vt:variant>
        <vt:i4>1835057</vt:i4>
      </vt:variant>
      <vt:variant>
        <vt:i4>86</vt:i4>
      </vt:variant>
      <vt:variant>
        <vt:i4>0</vt:i4>
      </vt:variant>
      <vt:variant>
        <vt:i4>5</vt:i4>
      </vt:variant>
      <vt:variant>
        <vt:lpwstr/>
      </vt:variant>
      <vt:variant>
        <vt:lpwstr>_Toc238120991</vt:lpwstr>
      </vt:variant>
      <vt:variant>
        <vt:i4>1835057</vt:i4>
      </vt:variant>
      <vt:variant>
        <vt:i4>80</vt:i4>
      </vt:variant>
      <vt:variant>
        <vt:i4>0</vt:i4>
      </vt:variant>
      <vt:variant>
        <vt:i4>5</vt:i4>
      </vt:variant>
      <vt:variant>
        <vt:lpwstr/>
      </vt:variant>
      <vt:variant>
        <vt:lpwstr>_Toc238120990</vt:lpwstr>
      </vt:variant>
      <vt:variant>
        <vt:i4>1900593</vt:i4>
      </vt:variant>
      <vt:variant>
        <vt:i4>74</vt:i4>
      </vt:variant>
      <vt:variant>
        <vt:i4>0</vt:i4>
      </vt:variant>
      <vt:variant>
        <vt:i4>5</vt:i4>
      </vt:variant>
      <vt:variant>
        <vt:lpwstr/>
      </vt:variant>
      <vt:variant>
        <vt:lpwstr>_Toc238120989</vt:lpwstr>
      </vt:variant>
      <vt:variant>
        <vt:i4>1900593</vt:i4>
      </vt:variant>
      <vt:variant>
        <vt:i4>68</vt:i4>
      </vt:variant>
      <vt:variant>
        <vt:i4>0</vt:i4>
      </vt:variant>
      <vt:variant>
        <vt:i4>5</vt:i4>
      </vt:variant>
      <vt:variant>
        <vt:lpwstr/>
      </vt:variant>
      <vt:variant>
        <vt:lpwstr>_Toc238120988</vt:lpwstr>
      </vt:variant>
      <vt:variant>
        <vt:i4>1900593</vt:i4>
      </vt:variant>
      <vt:variant>
        <vt:i4>62</vt:i4>
      </vt:variant>
      <vt:variant>
        <vt:i4>0</vt:i4>
      </vt:variant>
      <vt:variant>
        <vt:i4>5</vt:i4>
      </vt:variant>
      <vt:variant>
        <vt:lpwstr/>
      </vt:variant>
      <vt:variant>
        <vt:lpwstr>_Toc238120987</vt:lpwstr>
      </vt:variant>
      <vt:variant>
        <vt:i4>1900593</vt:i4>
      </vt:variant>
      <vt:variant>
        <vt:i4>56</vt:i4>
      </vt:variant>
      <vt:variant>
        <vt:i4>0</vt:i4>
      </vt:variant>
      <vt:variant>
        <vt:i4>5</vt:i4>
      </vt:variant>
      <vt:variant>
        <vt:lpwstr/>
      </vt:variant>
      <vt:variant>
        <vt:lpwstr>_Toc238120986</vt:lpwstr>
      </vt:variant>
      <vt:variant>
        <vt:i4>1900593</vt:i4>
      </vt:variant>
      <vt:variant>
        <vt:i4>50</vt:i4>
      </vt:variant>
      <vt:variant>
        <vt:i4>0</vt:i4>
      </vt:variant>
      <vt:variant>
        <vt:i4>5</vt:i4>
      </vt:variant>
      <vt:variant>
        <vt:lpwstr/>
      </vt:variant>
      <vt:variant>
        <vt:lpwstr>_Toc238120985</vt:lpwstr>
      </vt:variant>
      <vt:variant>
        <vt:i4>1900593</vt:i4>
      </vt:variant>
      <vt:variant>
        <vt:i4>44</vt:i4>
      </vt:variant>
      <vt:variant>
        <vt:i4>0</vt:i4>
      </vt:variant>
      <vt:variant>
        <vt:i4>5</vt:i4>
      </vt:variant>
      <vt:variant>
        <vt:lpwstr/>
      </vt:variant>
      <vt:variant>
        <vt:lpwstr>_Toc238120984</vt:lpwstr>
      </vt:variant>
      <vt:variant>
        <vt:i4>1900593</vt:i4>
      </vt:variant>
      <vt:variant>
        <vt:i4>38</vt:i4>
      </vt:variant>
      <vt:variant>
        <vt:i4>0</vt:i4>
      </vt:variant>
      <vt:variant>
        <vt:i4>5</vt:i4>
      </vt:variant>
      <vt:variant>
        <vt:lpwstr/>
      </vt:variant>
      <vt:variant>
        <vt:lpwstr>_Toc238120983</vt:lpwstr>
      </vt:variant>
      <vt:variant>
        <vt:i4>1900593</vt:i4>
      </vt:variant>
      <vt:variant>
        <vt:i4>32</vt:i4>
      </vt:variant>
      <vt:variant>
        <vt:i4>0</vt:i4>
      </vt:variant>
      <vt:variant>
        <vt:i4>5</vt:i4>
      </vt:variant>
      <vt:variant>
        <vt:lpwstr/>
      </vt:variant>
      <vt:variant>
        <vt:lpwstr>_Toc238120982</vt:lpwstr>
      </vt:variant>
      <vt:variant>
        <vt:i4>1900593</vt:i4>
      </vt:variant>
      <vt:variant>
        <vt:i4>26</vt:i4>
      </vt:variant>
      <vt:variant>
        <vt:i4>0</vt:i4>
      </vt:variant>
      <vt:variant>
        <vt:i4>5</vt:i4>
      </vt:variant>
      <vt:variant>
        <vt:lpwstr/>
      </vt:variant>
      <vt:variant>
        <vt:lpwstr>_Toc238120981</vt:lpwstr>
      </vt:variant>
      <vt:variant>
        <vt:i4>1900593</vt:i4>
      </vt:variant>
      <vt:variant>
        <vt:i4>20</vt:i4>
      </vt:variant>
      <vt:variant>
        <vt:i4>0</vt:i4>
      </vt:variant>
      <vt:variant>
        <vt:i4>5</vt:i4>
      </vt:variant>
      <vt:variant>
        <vt:lpwstr/>
      </vt:variant>
      <vt:variant>
        <vt:lpwstr>_Toc238120980</vt:lpwstr>
      </vt:variant>
      <vt:variant>
        <vt:i4>1179697</vt:i4>
      </vt:variant>
      <vt:variant>
        <vt:i4>14</vt:i4>
      </vt:variant>
      <vt:variant>
        <vt:i4>0</vt:i4>
      </vt:variant>
      <vt:variant>
        <vt:i4>5</vt:i4>
      </vt:variant>
      <vt:variant>
        <vt:lpwstr/>
      </vt:variant>
      <vt:variant>
        <vt:lpwstr>_Toc238120979</vt:lpwstr>
      </vt:variant>
      <vt:variant>
        <vt:i4>1179697</vt:i4>
      </vt:variant>
      <vt:variant>
        <vt:i4>8</vt:i4>
      </vt:variant>
      <vt:variant>
        <vt:i4>0</vt:i4>
      </vt:variant>
      <vt:variant>
        <vt:i4>5</vt:i4>
      </vt:variant>
      <vt:variant>
        <vt:lpwstr/>
      </vt:variant>
      <vt:variant>
        <vt:lpwstr>_Toc238120978</vt:lpwstr>
      </vt:variant>
      <vt:variant>
        <vt:i4>1179697</vt:i4>
      </vt:variant>
      <vt:variant>
        <vt:i4>2</vt:i4>
      </vt:variant>
      <vt:variant>
        <vt:i4>0</vt:i4>
      </vt:variant>
      <vt:variant>
        <vt:i4>5</vt:i4>
      </vt:variant>
      <vt:variant>
        <vt:lpwstr/>
      </vt:variant>
      <vt:variant>
        <vt:lpwstr>_Toc238120977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Оюунтүлхүүр Болдоо</dc:creator>
  <cp:keywords/>
  <dc:description/>
  <cp:lastModifiedBy>Д.Балжинням</cp:lastModifiedBy>
  <cp:revision>768</cp:revision>
  <cp:lastPrinted>2026-08-20T06:47:00Z</cp:lastPrinted>
  <dcterms:created xsi:type="dcterms:W3CDTF">2026-08-19T19:50:00Z</dcterms:created>
  <dcterms:modified xsi:type="dcterms:W3CDTF">2026-08-20T07:02:00Z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y fmtid="{D5CDD505-2E9C-101B-9397-08002B2CF9AE}" pid="3" name="MediaServiceImageTags">
    <vt:lpwstr/>
  </property>
  <property fmtid="{D5CDD505-2E9C-101B-9397-08002B2CF9AE}" pid="4" name="GrammarlyDocumentId">
    <vt:lpwstr>d2f44341-3391-41bf-8fee-cf94ad534dd4</vt:lpwstr>
  </property>
</Properties>
</file>