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1288" w14:textId="7E5AAC22" w:rsidR="00107F2B" w:rsidRPr="0062678F" w:rsidRDefault="00511F91" w:rsidP="0055669A">
      <w:pPr>
        <w:spacing w:after="0" w:line="276" w:lineRule="auto"/>
        <w:jc w:val="center"/>
        <w:rPr>
          <w:rFonts w:ascii="Times New Roman" w:eastAsia="Arial" w:hAnsi="Times New Roman" w:cs="Times New Roman"/>
          <w:b/>
          <w:bCs/>
          <w:color w:val="002060"/>
          <w:sz w:val="28"/>
          <w:szCs w:val="28"/>
          <w:lang w:val="mn-MN"/>
        </w:rPr>
      </w:pPr>
      <w:r w:rsidRPr="0062678F">
        <w:rPr>
          <w:rFonts w:ascii="Times New Roman" w:eastAsia="Arial" w:hAnsi="Times New Roman" w:cs="Times New Roman"/>
          <w:b/>
          <w:bCs/>
          <w:color w:val="002060"/>
          <w:sz w:val="28"/>
          <w:szCs w:val="28"/>
          <w:lang w:val="mn-MN"/>
        </w:rPr>
        <w:t>НИЙГМИЙН ДААТГАЛЫН</w:t>
      </w:r>
      <w:r w:rsidR="00107F2B" w:rsidRPr="0062678F">
        <w:rPr>
          <w:rFonts w:ascii="Times New Roman" w:eastAsia="Arial" w:hAnsi="Times New Roman" w:cs="Times New Roman"/>
          <w:b/>
          <w:bCs/>
          <w:color w:val="002060"/>
          <w:sz w:val="28"/>
          <w:szCs w:val="28"/>
          <w:lang w:val="mn-MN"/>
        </w:rPr>
        <w:t xml:space="preserve"> САНГИЙН</w:t>
      </w:r>
    </w:p>
    <w:p w14:paraId="41FC9990" w14:textId="77777777" w:rsidR="00107F2B" w:rsidRPr="0062678F" w:rsidRDefault="00107F2B" w:rsidP="0055669A">
      <w:pPr>
        <w:spacing w:after="0" w:line="276" w:lineRule="auto"/>
        <w:jc w:val="center"/>
        <w:rPr>
          <w:rFonts w:ascii="Times New Roman" w:eastAsia="Arial" w:hAnsi="Times New Roman" w:cs="Times New Roman"/>
          <w:b/>
          <w:bCs/>
          <w:color w:val="002060"/>
          <w:sz w:val="28"/>
          <w:szCs w:val="28"/>
          <w:lang w:val="mn-MN"/>
        </w:rPr>
      </w:pPr>
      <w:r w:rsidRPr="0062678F">
        <w:rPr>
          <w:rFonts w:ascii="Times New Roman" w:eastAsia="Arial" w:hAnsi="Times New Roman" w:cs="Times New Roman"/>
          <w:b/>
          <w:bCs/>
          <w:color w:val="002060"/>
          <w:sz w:val="28"/>
          <w:szCs w:val="28"/>
          <w:lang w:val="mn-MN"/>
        </w:rPr>
        <w:t xml:space="preserve">2027 ОНЫ ТӨСВИЙН ТУХАЙ ХУУЛИЙН </w:t>
      </w:r>
      <w:r w:rsidRPr="0062678F">
        <w:rPr>
          <w:rFonts w:ascii="Times New Roman" w:hAnsi="Times New Roman" w:cs="Times New Roman"/>
          <w:color w:val="002060"/>
          <w:lang w:val="mn-MN"/>
        </w:rPr>
        <w:br/>
      </w:r>
      <w:r w:rsidRPr="0062678F">
        <w:rPr>
          <w:rFonts w:ascii="Times New Roman" w:eastAsia="Arial" w:hAnsi="Times New Roman" w:cs="Times New Roman"/>
          <w:b/>
          <w:bCs/>
          <w:color w:val="002060"/>
          <w:sz w:val="28"/>
          <w:szCs w:val="28"/>
          <w:lang w:val="mn-MN"/>
        </w:rPr>
        <w:t>ТӨСЛИЙН ТОВЧ ТАНИЛЦУУЛГА</w:t>
      </w:r>
    </w:p>
    <w:p w14:paraId="2B151B85" w14:textId="77777777" w:rsidR="00C46ADC" w:rsidRPr="0062678F" w:rsidRDefault="00C46ADC" w:rsidP="0055669A">
      <w:pPr>
        <w:spacing w:after="0" w:line="276" w:lineRule="auto"/>
        <w:ind w:firstLine="567"/>
        <w:jc w:val="both"/>
        <w:rPr>
          <w:rStyle w:val="eop"/>
          <w:rFonts w:ascii="Times New Roman" w:eastAsia="Arial" w:hAnsi="Times New Roman" w:cs="Times New Roman"/>
          <w:color w:val="000000" w:themeColor="text1"/>
          <w:sz w:val="24"/>
          <w:szCs w:val="24"/>
          <w:lang w:val="mn-MN"/>
        </w:rPr>
      </w:pPr>
    </w:p>
    <w:p w14:paraId="39E0F09D" w14:textId="6CE512F4" w:rsidR="001254AF" w:rsidRPr="0062678F" w:rsidRDefault="001254AF" w:rsidP="0055669A">
      <w:pPr>
        <w:spacing w:after="0" w:line="276" w:lineRule="auto"/>
        <w:ind w:firstLine="567"/>
        <w:jc w:val="both"/>
        <w:rPr>
          <w:rFonts w:ascii="Times New Roman" w:hAnsi="Times New Roman" w:cs="Times New Roman"/>
          <w:color w:val="000000" w:themeColor="text1"/>
          <w:sz w:val="24"/>
          <w:szCs w:val="24"/>
          <w:lang w:val="mn-MN"/>
        </w:rPr>
      </w:pPr>
      <w:r w:rsidRPr="0062678F">
        <w:rPr>
          <w:rStyle w:val="eop"/>
          <w:rFonts w:ascii="Times New Roman" w:eastAsia="Arial" w:hAnsi="Times New Roman" w:cs="Times New Roman"/>
          <w:color w:val="000000" w:themeColor="text1"/>
          <w:sz w:val="24"/>
          <w:szCs w:val="24"/>
          <w:lang w:val="mn-MN"/>
        </w:rPr>
        <w:t xml:space="preserve">Нийгмийн даатгалын сангийн </w:t>
      </w:r>
      <w:r w:rsidRPr="0062678F">
        <w:rPr>
          <w:rFonts w:ascii="Times New Roman" w:hAnsi="Times New Roman" w:cs="Times New Roman"/>
          <w:color w:val="000000" w:themeColor="text1"/>
          <w:sz w:val="24"/>
          <w:szCs w:val="24"/>
          <w:lang w:val="mn-MN"/>
        </w:rPr>
        <w:t xml:space="preserve">2027 оны төсвийн тухай хуулийн төсөл нь 2 бүлэг, 7 зүйлтэй бөгөөд нэгдүгээр бүлэгт </w:t>
      </w:r>
      <w:r w:rsidRPr="0062678F">
        <w:rPr>
          <w:rStyle w:val="eop"/>
          <w:rFonts w:ascii="Times New Roman" w:eastAsia="Arial" w:hAnsi="Times New Roman" w:cs="Times New Roman"/>
          <w:color w:val="000000" w:themeColor="text1"/>
          <w:sz w:val="24"/>
          <w:szCs w:val="24"/>
          <w:lang w:val="mn-MN"/>
        </w:rPr>
        <w:t xml:space="preserve">Нийгмийн даатгалын сангийн </w:t>
      </w:r>
      <w:r w:rsidRPr="0062678F">
        <w:rPr>
          <w:rFonts w:ascii="Times New Roman" w:hAnsi="Times New Roman" w:cs="Times New Roman"/>
          <w:color w:val="000000" w:themeColor="text1"/>
          <w:sz w:val="24"/>
          <w:szCs w:val="24"/>
          <w:lang w:val="mn-MN"/>
        </w:rPr>
        <w:t xml:space="preserve">хуулийн зорилтыг тусгасан бол хоёрдугаар бүлэгт </w:t>
      </w:r>
      <w:r w:rsidRPr="0062678F">
        <w:rPr>
          <w:rStyle w:val="eop"/>
          <w:rFonts w:ascii="Times New Roman" w:eastAsia="Arial" w:hAnsi="Times New Roman" w:cs="Times New Roman"/>
          <w:color w:val="000000" w:themeColor="text1"/>
          <w:sz w:val="24"/>
          <w:szCs w:val="24"/>
          <w:lang w:val="mn-MN"/>
        </w:rPr>
        <w:t xml:space="preserve">Нийгмийн даатгалын сангийн </w:t>
      </w:r>
      <w:r w:rsidRPr="0062678F">
        <w:rPr>
          <w:rFonts w:ascii="Times New Roman" w:hAnsi="Times New Roman" w:cs="Times New Roman"/>
          <w:color w:val="000000" w:themeColor="text1"/>
          <w:sz w:val="24"/>
          <w:szCs w:val="24"/>
          <w:lang w:val="mn-MN"/>
        </w:rPr>
        <w:t>2027 оны төвлөрүүлэх орлогын хэмжээ, зарцуулах зарлагын хэмжээ, эргэн төлөх төлбөрийн хэмжээг тус тус тусгасан.</w:t>
      </w:r>
    </w:p>
    <w:p w14:paraId="7B24C242" w14:textId="77777777" w:rsidR="0055669A" w:rsidRPr="0062678F" w:rsidRDefault="0055669A" w:rsidP="0055669A">
      <w:pPr>
        <w:spacing w:after="0" w:line="276" w:lineRule="auto"/>
        <w:ind w:firstLine="567"/>
        <w:jc w:val="both"/>
        <w:rPr>
          <w:rFonts w:ascii="Times New Roman" w:hAnsi="Times New Roman" w:cs="Times New Roman"/>
          <w:color w:val="000000" w:themeColor="text1"/>
          <w:sz w:val="24"/>
          <w:szCs w:val="24"/>
          <w:lang w:val="mn-MN"/>
        </w:rPr>
      </w:pPr>
    </w:p>
    <w:p w14:paraId="010FC7A2" w14:textId="468F64D8" w:rsidR="00E13429" w:rsidRPr="0062678F" w:rsidRDefault="00611CDB" w:rsidP="0055669A">
      <w:pPr>
        <w:pStyle w:val="paragraph"/>
        <w:spacing w:beforeAutospacing="0" w:after="0" w:afterAutospacing="0" w:line="276" w:lineRule="auto"/>
        <w:ind w:firstLine="567"/>
        <w:jc w:val="both"/>
        <w:textAlignment w:val="baseline"/>
        <w:rPr>
          <w:color w:val="000000" w:themeColor="text1"/>
          <w:lang w:val="mn-MN"/>
        </w:rPr>
      </w:pPr>
      <w:r w:rsidRPr="0062678F">
        <w:rPr>
          <w:color w:val="000000" w:themeColor="text1"/>
          <w:lang w:val="mn-MN"/>
        </w:rPr>
        <w:t xml:space="preserve">Монгол Улсын Их Хурал 2026 оны 7 дугаар сарын 2-ны өдөр Нийгмийн даатгалын сангаас олгох тэтгэврийн тухай хуульд нэмэлт, өөрчлөлт оруулах тухай хуулийг баталснаар олон давхаргат буюу 1/суурь тэтгэвэр, 2/тэтгэврийн даатгалын сангаас олгох тэтгэвэр, 3/хувийн нэмэлт тэтгэвэр гэсэн гурван давхаргат тэтгэврийн тогтолцоонд шилжих эрх зүйн үндэс бүрдсэн. </w:t>
      </w:r>
    </w:p>
    <w:p w14:paraId="68EE40E8" w14:textId="77777777" w:rsidR="0055669A" w:rsidRPr="0062678F" w:rsidRDefault="0055669A" w:rsidP="0055669A">
      <w:pPr>
        <w:pStyle w:val="paragraph"/>
        <w:spacing w:beforeAutospacing="0" w:after="0" w:afterAutospacing="0" w:line="276" w:lineRule="auto"/>
        <w:ind w:firstLine="567"/>
        <w:jc w:val="both"/>
        <w:textAlignment w:val="baseline"/>
        <w:rPr>
          <w:color w:val="000000" w:themeColor="text1"/>
          <w:lang w:val="mn-MN"/>
        </w:rPr>
      </w:pPr>
    </w:p>
    <w:p w14:paraId="07DA765B" w14:textId="4D1D88A4" w:rsidR="001A78AA" w:rsidRPr="0062678F" w:rsidRDefault="001A78AA" w:rsidP="0055669A">
      <w:pPr>
        <w:pStyle w:val="paragraph"/>
        <w:spacing w:beforeAutospacing="0" w:after="0" w:afterAutospacing="0" w:line="276" w:lineRule="auto"/>
        <w:ind w:firstLine="567"/>
        <w:jc w:val="both"/>
        <w:rPr>
          <w:rFonts w:eastAsia="Arial"/>
          <w:lang w:val="mn-MN"/>
        </w:rPr>
      </w:pPr>
      <w:r w:rsidRPr="0062678F">
        <w:rPr>
          <w:rFonts w:eastAsia="Arial"/>
          <w:noProof/>
          <w:lang w:val="mn-MN"/>
        </w:rPr>
        <w:t>Олон давхаргат тэтгэврийн тогтолцоонд шилжсэнтэй холбогдуулан 2026 оны 11 дүгээр сараас эхлэн хөдөлмөрийн чадвар алдсаны, тэжээгчээ алдсаны болон 10-аас доошгүй жил шимтгэл төлсөн өндөр настнуудад эрэгтэй 60, эмэгтэй 55 нас ажилласан жилтэй нь уялдуулан суурь тэтгэвэр олгож эхлэх бөгөөд уг арга хэмжээг 2027 онд үргэлжлүүлэн хэрэгжүүлнэ</w:t>
      </w:r>
      <w:r w:rsidRPr="0062678F">
        <w:rPr>
          <w:rFonts w:eastAsia="Arial"/>
          <w:lang w:val="mn-MN"/>
        </w:rPr>
        <w:t>.</w:t>
      </w:r>
    </w:p>
    <w:p w14:paraId="196F0B68" w14:textId="77777777" w:rsidR="0055669A" w:rsidRPr="0062678F" w:rsidRDefault="0055669A" w:rsidP="0055669A">
      <w:pPr>
        <w:pStyle w:val="paragraph"/>
        <w:spacing w:beforeAutospacing="0" w:after="0" w:afterAutospacing="0" w:line="276" w:lineRule="auto"/>
        <w:ind w:firstLine="567"/>
        <w:jc w:val="both"/>
        <w:rPr>
          <w:rFonts w:eastAsia="Arial"/>
          <w:lang w:val="mn-MN"/>
        </w:rPr>
      </w:pPr>
    </w:p>
    <w:p w14:paraId="5B9F9600" w14:textId="21CFF702" w:rsidR="00E845EB" w:rsidRPr="0062678F" w:rsidRDefault="00E845EB" w:rsidP="0055669A">
      <w:pPr>
        <w:pStyle w:val="paragraph"/>
        <w:spacing w:beforeAutospacing="0" w:after="0" w:afterAutospacing="0" w:line="276" w:lineRule="auto"/>
        <w:ind w:firstLine="567"/>
        <w:jc w:val="both"/>
        <w:rPr>
          <w:rFonts w:eastAsia="Arial"/>
          <w:noProof/>
          <w:lang w:val="mn-MN"/>
        </w:rPr>
      </w:pPr>
      <w:r w:rsidRPr="0062678F">
        <w:rPr>
          <w:rFonts w:eastAsia="Arial"/>
          <w:noProof/>
          <w:lang w:val="mn-MN"/>
        </w:rPr>
        <w:t xml:space="preserve">Мөн багц хуулийн </w:t>
      </w:r>
      <w:r w:rsidR="0023339E" w:rsidRPr="0062678F">
        <w:rPr>
          <w:rFonts w:eastAsia="Arial"/>
          <w:noProof/>
          <w:lang w:val="mn-MN"/>
        </w:rPr>
        <w:t xml:space="preserve">шинэчлэлийн хүрээнд даатгуулагчийн сайн дураар хуримтлуулсан тэтгэврийн даатгалын шимтгэлийн 1.0 хувьд улсын төсвөөс 50 хувийн урамшууллыг 120 хүртэл сарын хугацаанд олгох зардлыг төсвийн төсөлд тусгасан. </w:t>
      </w:r>
    </w:p>
    <w:p w14:paraId="4E9EC7DD" w14:textId="77777777" w:rsidR="0055669A" w:rsidRPr="0062678F" w:rsidRDefault="0055669A" w:rsidP="0055669A">
      <w:pPr>
        <w:pStyle w:val="paragraph"/>
        <w:spacing w:beforeAutospacing="0" w:after="0" w:afterAutospacing="0" w:line="276" w:lineRule="auto"/>
        <w:ind w:firstLine="567"/>
        <w:jc w:val="both"/>
        <w:rPr>
          <w:rFonts w:eastAsia="Arial"/>
          <w:noProof/>
          <w:lang w:val="mn-MN"/>
        </w:rPr>
      </w:pPr>
    </w:p>
    <w:p w14:paraId="6EC0F8E9" w14:textId="0216F7CB" w:rsidR="4214B9B3" w:rsidRPr="0062678F" w:rsidRDefault="4214B9B3" w:rsidP="054229FE">
      <w:pPr>
        <w:spacing w:after="0" w:line="276" w:lineRule="auto"/>
        <w:ind w:firstLine="567"/>
        <w:jc w:val="both"/>
        <w:rPr>
          <w:lang w:val="mn-MN"/>
        </w:rPr>
      </w:pPr>
      <w:r w:rsidRPr="0062678F">
        <w:rPr>
          <w:rFonts w:ascii="Times New Roman" w:eastAsia="Times New Roman" w:hAnsi="Times New Roman" w:cs="Times New Roman"/>
          <w:noProof/>
          <w:sz w:val="24"/>
          <w:szCs w:val="24"/>
          <w:lang w:val="mn-MN"/>
        </w:rPr>
        <w:t xml:space="preserve">Дээрх багц хуулийн шинэчлэлээс гадна хүчин төгөлдөр мөрдөгдөж байгаа хуульд заасан </w:t>
      </w:r>
      <w:r w:rsidRPr="0062678F">
        <w:rPr>
          <w:rFonts w:ascii="Times New Roman" w:eastAsia="Times New Roman" w:hAnsi="Times New Roman" w:cs="Times New Roman"/>
          <w:noProof/>
          <w:color w:val="000000" w:themeColor="text1"/>
          <w:sz w:val="24"/>
          <w:szCs w:val="24"/>
          <w:lang w:val="mn-MN"/>
        </w:rPr>
        <w:t xml:space="preserve">тэтгэвэр авагчдын бодит орлогыг инфляцаас хамгаалах зохицуулалт болох тэтгэврийг жил бүр инфляцын түвшинтэй уялдуулан нэмэгдүүлэх, </w:t>
      </w:r>
      <w:r w:rsidRPr="0062678F">
        <w:rPr>
          <w:rFonts w:ascii="Times New Roman" w:eastAsia="Times New Roman" w:hAnsi="Times New Roman" w:cs="Times New Roman"/>
          <w:noProof/>
          <w:sz w:val="24"/>
          <w:szCs w:val="24"/>
          <w:lang w:val="mn-MN"/>
        </w:rPr>
        <w:t xml:space="preserve">Нийгмийн даатгалын ерөнхий хуульд заасан </w:t>
      </w:r>
      <w:r w:rsidRPr="0062678F">
        <w:rPr>
          <w:rFonts w:ascii="Times New Roman" w:eastAsia="Times New Roman" w:hAnsi="Times New Roman" w:cs="Times New Roman"/>
          <w:noProof/>
          <w:color w:val="000000" w:themeColor="text1"/>
          <w:sz w:val="24"/>
          <w:szCs w:val="24"/>
          <w:lang w:val="mn-MN"/>
        </w:rPr>
        <w:t xml:space="preserve"> тэтгэвэр тогтооход баримтлах итгэлцүүрийг улсын дундаж цалин хөлс, инфляцын түвшинтэй уялдуулан тогтоох, тэтгэвэр тогтоох сарын цалин хөлс, түүнтэй адилтгах орлогын дээд хэмжээг өөрчлөхөд шаардагдах зардлыг төсвийн төсөлд тусгасан.</w:t>
      </w:r>
    </w:p>
    <w:p w14:paraId="7A2BFC4D" w14:textId="5E1D93D8" w:rsidR="054229FE" w:rsidRPr="0062678F" w:rsidRDefault="054229FE" w:rsidP="054229FE">
      <w:pPr>
        <w:pStyle w:val="paragraph"/>
        <w:spacing w:beforeAutospacing="0" w:after="0" w:afterAutospacing="0" w:line="276" w:lineRule="auto"/>
        <w:ind w:firstLine="567"/>
        <w:jc w:val="both"/>
        <w:rPr>
          <w:rFonts w:eastAsia="Arial"/>
          <w:noProof/>
          <w:lang w:val="mn-MN"/>
        </w:rPr>
      </w:pPr>
    </w:p>
    <w:p w14:paraId="08AEA145" w14:textId="7DA4E79E" w:rsidR="0004727F" w:rsidRPr="0062678F" w:rsidRDefault="0004727F" w:rsidP="0055669A">
      <w:pPr>
        <w:spacing w:after="0" w:line="276" w:lineRule="auto"/>
        <w:ind w:firstLine="567"/>
        <w:jc w:val="both"/>
        <w:rPr>
          <w:rFonts w:ascii="Times New Roman" w:hAnsi="Times New Roman" w:cs="Times New Roman"/>
          <w:sz w:val="24"/>
          <w:szCs w:val="24"/>
          <w:lang w:val="mn-MN"/>
        </w:rPr>
      </w:pPr>
      <w:r w:rsidRPr="0062678F">
        <w:rPr>
          <w:rStyle w:val="eop"/>
          <w:rFonts w:asciiTheme="majorBidi" w:eastAsia="Arial" w:hAnsiTheme="majorBidi" w:cstheme="majorBidi"/>
          <w:color w:val="000000" w:themeColor="text1"/>
          <w:sz w:val="24"/>
          <w:szCs w:val="24"/>
          <w:lang w:val="mn-MN"/>
        </w:rPr>
        <w:t xml:space="preserve">Дээр дурдсан багц арга хэмжээг хэрэгжүүлснээр тэтгэврийн тогтолцооны олон давхаргат бүтэц тодорхой болж, суурь тэтгэвэр, тэтгэврийн даатгалын сангаас олгох тэтгэвэр, хувийн нэмэлт тэтгэврийн уялдаа хангагдаж, даатгуулагчийн олон жил хөдөлмөрлөж, тасралтгүй шимтгэл төлөхийг урамшуулах, тэтгэвэр тогтоох цалин хөлсний тооцооллыг илүү бодитой болгох, тэтгэврийн сангийн урт хугацааны санхүүгийн тогтвортой байдлыг хангах, ахмад настны орлогын баталгааг нэмэгдүүлнэ. Ингэснээр нийт ахмад настны дундаж тэтгэврийн хэмжээ </w:t>
      </w:r>
      <w:r w:rsidR="4AAABBFE" w:rsidRPr="0062678F">
        <w:rPr>
          <w:rStyle w:val="eop"/>
          <w:rFonts w:asciiTheme="majorBidi" w:eastAsia="Arial" w:hAnsiTheme="majorBidi" w:cstheme="majorBidi"/>
          <w:color w:val="000000" w:themeColor="text1"/>
          <w:sz w:val="24"/>
          <w:szCs w:val="24"/>
          <w:lang w:val="mn-MN"/>
        </w:rPr>
        <w:t>380</w:t>
      </w:r>
      <w:r w:rsidRPr="0062678F">
        <w:rPr>
          <w:rStyle w:val="eop"/>
          <w:rFonts w:asciiTheme="majorBidi" w:eastAsia="Arial" w:hAnsiTheme="majorBidi" w:cstheme="majorBidi"/>
          <w:color w:val="000000" w:themeColor="text1"/>
          <w:sz w:val="24"/>
          <w:szCs w:val="24"/>
          <w:lang w:val="mn-MN"/>
        </w:rPr>
        <w:t>.</w:t>
      </w:r>
      <w:r w:rsidR="24FC2987" w:rsidRPr="0062678F">
        <w:rPr>
          <w:rStyle w:val="eop"/>
          <w:rFonts w:asciiTheme="majorBidi" w:eastAsia="Arial" w:hAnsiTheme="majorBidi" w:cstheme="majorBidi"/>
          <w:color w:val="000000" w:themeColor="text1"/>
          <w:sz w:val="24"/>
          <w:szCs w:val="24"/>
          <w:lang w:val="mn-MN"/>
        </w:rPr>
        <w:t>3</w:t>
      </w:r>
      <w:r w:rsidRPr="0062678F">
        <w:rPr>
          <w:rStyle w:val="eop"/>
          <w:rFonts w:asciiTheme="majorBidi" w:eastAsia="Arial" w:hAnsiTheme="majorBidi" w:cstheme="majorBidi"/>
          <w:color w:val="000000" w:themeColor="text1"/>
          <w:sz w:val="24"/>
          <w:szCs w:val="24"/>
          <w:lang w:val="mn-MN"/>
        </w:rPr>
        <w:t xml:space="preserve"> мянган төгрөгөөр нэмэгдэж, </w:t>
      </w:r>
      <w:r w:rsidR="008437BB" w:rsidRPr="0062678F">
        <w:rPr>
          <w:rStyle w:val="eop"/>
          <w:rFonts w:asciiTheme="majorBidi" w:eastAsia="Arial" w:hAnsiTheme="majorBidi" w:cstheme="majorBidi"/>
          <w:color w:val="000000" w:themeColor="text1"/>
          <w:sz w:val="24"/>
          <w:szCs w:val="24"/>
          <w:lang w:val="mn-MN"/>
        </w:rPr>
        <w:t>1</w:t>
      </w:r>
      <w:r w:rsidRPr="0062678F">
        <w:rPr>
          <w:rStyle w:val="eop"/>
          <w:rFonts w:asciiTheme="majorBidi" w:eastAsia="Arial" w:hAnsiTheme="majorBidi" w:cstheme="majorBidi"/>
          <w:color w:val="000000" w:themeColor="text1"/>
          <w:sz w:val="24"/>
          <w:szCs w:val="24"/>
          <w:lang w:val="mn-MN"/>
        </w:rPr>
        <w:t>,</w:t>
      </w:r>
      <w:r w:rsidR="2BCAD114" w:rsidRPr="0062678F">
        <w:rPr>
          <w:rStyle w:val="eop"/>
          <w:rFonts w:asciiTheme="majorBidi" w:eastAsia="Arial" w:hAnsiTheme="majorBidi" w:cstheme="majorBidi"/>
          <w:color w:val="000000" w:themeColor="text1"/>
          <w:sz w:val="24"/>
          <w:szCs w:val="24"/>
          <w:lang w:val="mn-MN"/>
        </w:rPr>
        <w:t>335</w:t>
      </w:r>
      <w:r w:rsidRPr="0062678F">
        <w:rPr>
          <w:rStyle w:val="eop"/>
          <w:rFonts w:asciiTheme="majorBidi" w:eastAsia="Arial" w:hAnsiTheme="majorBidi" w:cstheme="majorBidi"/>
          <w:color w:val="000000" w:themeColor="text1"/>
          <w:sz w:val="24"/>
          <w:szCs w:val="24"/>
          <w:lang w:val="mn-MN"/>
        </w:rPr>
        <w:t>.</w:t>
      </w:r>
      <w:r w:rsidR="0D2284BD" w:rsidRPr="0062678F">
        <w:rPr>
          <w:rStyle w:val="eop"/>
          <w:rFonts w:asciiTheme="majorBidi" w:eastAsia="Arial" w:hAnsiTheme="majorBidi" w:cstheme="majorBidi"/>
          <w:color w:val="000000" w:themeColor="text1"/>
          <w:sz w:val="24"/>
          <w:szCs w:val="24"/>
          <w:lang w:val="mn-MN"/>
        </w:rPr>
        <w:t>4</w:t>
      </w:r>
      <w:r w:rsidRPr="0062678F">
        <w:rPr>
          <w:rStyle w:val="eop"/>
          <w:rFonts w:asciiTheme="majorBidi" w:eastAsia="Arial" w:hAnsiTheme="majorBidi" w:cstheme="majorBidi"/>
          <w:color w:val="000000" w:themeColor="text1"/>
          <w:sz w:val="24"/>
          <w:szCs w:val="24"/>
          <w:lang w:val="mn-MN"/>
        </w:rPr>
        <w:t xml:space="preserve"> мянган төгрөгт хүрнэ.</w:t>
      </w:r>
    </w:p>
    <w:p w14:paraId="53E02C7D" w14:textId="77777777" w:rsidR="00511F91" w:rsidRPr="0062678F" w:rsidRDefault="00511F91" w:rsidP="0055669A">
      <w:pPr>
        <w:pStyle w:val="paragraph"/>
        <w:spacing w:beforeAutospacing="0" w:after="0" w:afterAutospacing="0" w:line="276" w:lineRule="auto"/>
        <w:ind w:firstLine="567"/>
        <w:jc w:val="both"/>
        <w:rPr>
          <w:rFonts w:eastAsia="Arial"/>
          <w:lang w:val="mn-MN"/>
        </w:rPr>
      </w:pPr>
    </w:p>
    <w:p w14:paraId="556D0954" w14:textId="12105DED" w:rsidR="00C844A1" w:rsidRPr="0062678F" w:rsidRDefault="00107F2B" w:rsidP="0055669A">
      <w:pPr>
        <w:spacing w:after="0" w:line="276" w:lineRule="auto"/>
        <w:jc w:val="center"/>
        <w:rPr>
          <w:rFonts w:ascii="Times New Roman" w:eastAsia="Arial" w:hAnsi="Times New Roman" w:cs="Times New Roman"/>
          <w:color w:val="002060"/>
          <w:lang w:val="mn-MN"/>
        </w:rPr>
      </w:pPr>
      <w:r w:rsidRPr="0062678F">
        <w:rPr>
          <w:rFonts w:ascii="Times New Roman" w:eastAsia="Arial" w:hAnsi="Times New Roman" w:cs="Times New Roman"/>
          <w:color w:val="002060"/>
          <w:sz w:val="24"/>
          <w:szCs w:val="24"/>
          <w:lang w:val="mn-MN"/>
        </w:rPr>
        <w:t>---o0o---</w:t>
      </w:r>
    </w:p>
    <w:sectPr w:rsidR="00C844A1" w:rsidRPr="0062678F" w:rsidSect="0017281A">
      <w:headerReference w:type="default" r:id="rId9"/>
      <w:pgSz w:w="11906" w:h="16838" w:code="9"/>
      <w:pgMar w:top="117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0070F" w14:textId="77777777" w:rsidR="00F8635B" w:rsidRDefault="00F8635B" w:rsidP="00072D0F">
      <w:pPr>
        <w:spacing w:after="0" w:line="240" w:lineRule="auto"/>
      </w:pPr>
      <w:r>
        <w:separator/>
      </w:r>
    </w:p>
  </w:endnote>
  <w:endnote w:type="continuationSeparator" w:id="0">
    <w:p w14:paraId="5AA7F9DB" w14:textId="77777777" w:rsidR="00F8635B" w:rsidRDefault="00F8635B" w:rsidP="00072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0647" w14:textId="77777777" w:rsidR="00F8635B" w:rsidRDefault="00F8635B" w:rsidP="00072D0F">
      <w:pPr>
        <w:spacing w:after="0" w:line="240" w:lineRule="auto"/>
      </w:pPr>
      <w:r>
        <w:separator/>
      </w:r>
    </w:p>
  </w:footnote>
  <w:footnote w:type="continuationSeparator" w:id="0">
    <w:p w14:paraId="5D68CDE1" w14:textId="77777777" w:rsidR="00F8635B" w:rsidRDefault="00F8635B" w:rsidP="00072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34C6" w14:textId="2438F88B" w:rsidR="00107F2B" w:rsidRPr="00277C05" w:rsidRDefault="00251409" w:rsidP="00072D0F">
    <w:pPr>
      <w:pStyle w:val="Header"/>
      <w:ind w:right="90"/>
      <w:jc w:val="right"/>
      <w:rPr>
        <w:rFonts w:ascii="Times New Roman" w:hAnsi="Times New Roman" w:cs="Times New Roman"/>
        <w:i/>
        <w:iCs/>
        <w:sz w:val="18"/>
        <w:szCs w:val="18"/>
      </w:rPr>
    </w:pPr>
    <w:r w:rsidRPr="0055384F">
      <w:rPr>
        <w:rFonts w:ascii="Times New Roman" w:hAnsi="Times New Roman" w:cs="Times New Roman"/>
        <w:i/>
        <w:iCs/>
        <w:noProof/>
        <w:sz w:val="18"/>
        <w:szCs w:val="18"/>
      </w:rPr>
      <mc:AlternateContent>
        <mc:Choice Requires="wps">
          <w:drawing>
            <wp:anchor distT="0" distB="0" distL="114300" distR="114300" simplePos="0" relativeHeight="251658241" behindDoc="0" locked="0" layoutInCell="1" allowOverlap="1" wp14:anchorId="3F03EE70" wp14:editId="14DF056C">
              <wp:simplePos x="0" y="0"/>
              <wp:positionH relativeFrom="column">
                <wp:posOffset>6028615</wp:posOffset>
              </wp:positionH>
              <wp:positionV relativeFrom="margin">
                <wp:posOffset>-1009650</wp:posOffset>
              </wp:positionV>
              <wp:extent cx="0" cy="10799445"/>
              <wp:effectExtent l="0" t="0" r="38100" b="20955"/>
              <wp:wrapNone/>
              <wp:docPr id="561907275" name="Straight Connector 8">
                <a:extLst xmlns:a="http://schemas.openxmlformats.org/drawingml/2006/main">
                  <a:ext uri="{FF2B5EF4-FFF2-40B4-BE49-F238E27FC236}">
                    <a16:creationId xmlns:a16="http://schemas.microsoft.com/office/drawing/2014/main" id="{B099700F-BCF6-4E2C-B8C6-01280F8E129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2060"/>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262A6" id="Straight Connector 8"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74.7pt,-79.5pt" to="474.7pt,7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" strokecolor="#002060" strokeweight=".5pt">
              <v:stroke joinstyle="miter"/>
              <o:lock v:ext="edit" shapetype="f"/>
              <w10:wrap anchory="margin"/>
            </v:line>
          </w:pict>
        </mc:Fallback>
      </mc:AlternateContent>
    </w:r>
    <w:r w:rsidRPr="0055384F">
      <w:rPr>
        <w:rFonts w:ascii="Times New Roman" w:hAnsi="Times New Roman" w:cs="Times New Roman"/>
        <w:i/>
        <w:iCs/>
        <w:noProof/>
        <w:sz w:val="18"/>
        <w:szCs w:val="18"/>
      </w:rPr>
      <mc:AlternateContent>
        <mc:Choice Requires="wps">
          <w:drawing>
            <wp:anchor distT="0" distB="0" distL="114300" distR="114300" simplePos="0" relativeHeight="251658240" behindDoc="1" locked="0" layoutInCell="1" allowOverlap="1" wp14:anchorId="4ADFC5B1" wp14:editId="05AFFFC1">
              <wp:simplePos x="0" y="0"/>
              <wp:positionH relativeFrom="column">
                <wp:posOffset>1852654</wp:posOffset>
              </wp:positionH>
              <wp:positionV relativeFrom="paragraph">
                <wp:posOffset>-53340</wp:posOffset>
              </wp:positionV>
              <wp:extent cx="4989609" cy="219075"/>
              <wp:effectExtent l="38100" t="38100" r="59055" b="104775"/>
              <wp:wrapNone/>
              <wp:docPr id="516108397" name="Rectangle 45">
                <a:extLst xmlns:a="http://schemas.openxmlformats.org/drawingml/2006/main">
                  <a:ext uri="{FF2B5EF4-FFF2-40B4-BE49-F238E27FC236}">
                    <a16:creationId xmlns:a16="http://schemas.microsoft.com/office/drawing/2014/main" id="{D2C95582-E9FE-4B83-8924-1E799D81A1DE}"/>
                  </a:ext>
                </a:extLst>
              </wp:docPr>
              <wp:cNvGraphicFramePr/>
              <a:graphic xmlns:a="http://schemas.openxmlformats.org/drawingml/2006/main">
                <a:graphicData uri="http://schemas.microsoft.com/office/word/2010/wordprocessingShape">
                  <wps:wsp>
                    <wps:cNvSpPr/>
                    <wps:spPr>
                      <a:xfrm>
                        <a:off x="0" y="0"/>
                        <a:ext cx="4989609"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316718" id="Rectangle 45" o:spid="_x0000_s1026" style="position:absolute;margin-left:145.9pt;margin-top:-4.2pt;width:392.9pt;height:17.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" fillcolor="#002060" stroked="f" strokeweight="1pt">
              <v:shadow on="t" color="black" opacity="26214f" origin="-.5,-.5" offset=".74836mm,.74836mm"/>
            </v:rect>
          </w:pict>
        </mc:Fallback>
      </mc:AlternateContent>
    </w:r>
    <w:r w:rsidRPr="0055384F">
      <w:rPr>
        <w:rFonts w:ascii="Times New Roman" w:hAnsi="Times New Roman" w:cs="Times New Roman"/>
        <w:i/>
        <w:iCs/>
        <w:noProof/>
        <w:sz w:val="18"/>
        <w:szCs w:val="18"/>
      </w:rPr>
      <mc:AlternateContent>
        <mc:Choice Requires="wps">
          <w:drawing>
            <wp:anchor distT="0" distB="0" distL="114300" distR="114300" simplePos="0" relativeHeight="251658242" behindDoc="0" locked="0" layoutInCell="1" allowOverlap="1" wp14:anchorId="4BF34A88" wp14:editId="4F7F1ED1">
              <wp:simplePos x="0" y="0"/>
              <wp:positionH relativeFrom="column">
                <wp:posOffset>1476375</wp:posOffset>
              </wp:positionH>
              <wp:positionV relativeFrom="paragraph">
                <wp:posOffset>-57150</wp:posOffset>
              </wp:positionV>
              <wp:extent cx="5399405" cy="0"/>
              <wp:effectExtent l="0" t="0" r="0" b="0"/>
              <wp:wrapNone/>
              <wp:docPr id="815099602" name="Straight Connector 44">
                <a:extLst xmlns:a="http://schemas.openxmlformats.org/drawingml/2006/main">
                  <a:ext uri="{FF2B5EF4-FFF2-40B4-BE49-F238E27FC236}">
                    <a16:creationId xmlns:a16="http://schemas.microsoft.com/office/drawing/2014/main" id="{D4272476-CFDC-46BB-97C2-B619BAE72D93}"/>
                  </a:ext>
                </a:extLst>
              </wp:docPr>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81C94" id="Straight Connector 4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5pt,-4.5pt" to="54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" strokecolor="#002060" strokeweight=".5pt">
              <v:stroke joinstyle="miter"/>
            </v:line>
          </w:pict>
        </mc:Fallback>
      </mc:AlternateContent>
    </w:r>
    <w:r w:rsidR="00107F2B">
      <w:rPr>
        <w:rFonts w:ascii="Times New Roman" w:hAnsi="Times New Roman" w:cs="Times New Roman"/>
        <w:i/>
        <w:iCs/>
        <w:color w:val="FFFFFF" w:themeColor="background1"/>
        <w:sz w:val="18"/>
        <w:szCs w:val="18"/>
        <w:lang w:val="mn-MN"/>
      </w:rPr>
      <w:t xml:space="preserve"> </w:t>
    </w:r>
    <w:r w:rsidR="00072D0F">
      <w:rPr>
        <w:rFonts w:ascii="Times New Roman" w:hAnsi="Times New Roman" w:cs="Times New Roman"/>
        <w:i/>
        <w:iCs/>
        <w:color w:val="FFFFFF" w:themeColor="background1"/>
        <w:sz w:val="18"/>
        <w:szCs w:val="18"/>
        <w:lang w:val="mn-MN"/>
      </w:rPr>
      <w:t xml:space="preserve"> НИЙГМИЙН ДААТГАЛЫН </w:t>
    </w:r>
    <w:r w:rsidR="00107F2B">
      <w:rPr>
        <w:rFonts w:ascii="Times New Roman" w:hAnsi="Times New Roman" w:cs="Times New Roman"/>
        <w:i/>
        <w:iCs/>
        <w:color w:val="FFFFFF" w:themeColor="background1"/>
        <w:sz w:val="18"/>
        <w:szCs w:val="18"/>
        <w:lang w:val="mn-MN"/>
      </w:rPr>
      <w:t xml:space="preserve">САНГИЙН ТӨСВИЙН ТӨСӨЛ – </w:t>
    </w:r>
    <w:r w:rsidR="00107F2B" w:rsidRPr="0055384F">
      <w:rPr>
        <w:rFonts w:ascii="Times New Roman" w:hAnsi="Times New Roman" w:cs="Times New Roman"/>
        <w:i/>
        <w:iCs/>
        <w:color w:val="FFFFFF" w:themeColor="background1"/>
        <w:sz w:val="18"/>
        <w:szCs w:val="18"/>
        <w:lang w:val="mn-MN"/>
      </w:rPr>
      <w:t>202</w:t>
    </w:r>
    <w:r w:rsidR="00107F2B">
      <w:rPr>
        <w:rFonts w:ascii="Times New Roman" w:hAnsi="Times New Roman" w:cs="Times New Roman"/>
        <w:i/>
        <w:iCs/>
        <w:color w:val="FFFFFF" w:themeColor="background1"/>
        <w:sz w:val="18"/>
        <w:szCs w:val="18"/>
        <w:lang w:val="mn-MN"/>
      </w:rPr>
      <w:t>7</w:t>
    </w:r>
  </w:p>
  <w:p w14:paraId="7965771A" w14:textId="77777777" w:rsidR="00107F2B" w:rsidRPr="00F0299F" w:rsidRDefault="00107F2B" w:rsidP="00D31979">
    <w:pPr>
      <w:pStyle w:val="Header"/>
      <w:rPr>
        <w:rFonts w:ascii="Times New Roman" w:hAnsi="Times New Roman"/>
        <w:lang w:val="mn-MN"/>
      </w:rPr>
    </w:pPr>
  </w:p>
  <w:p w14:paraId="44972538" w14:textId="77777777" w:rsidR="00107F2B" w:rsidRDefault="00107F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2B"/>
    <w:rsid w:val="00025110"/>
    <w:rsid w:val="00032D11"/>
    <w:rsid w:val="00035D3E"/>
    <w:rsid w:val="0004727F"/>
    <w:rsid w:val="00072D0F"/>
    <w:rsid w:val="00076553"/>
    <w:rsid w:val="000810C5"/>
    <w:rsid w:val="00090651"/>
    <w:rsid w:val="00090C13"/>
    <w:rsid w:val="00092AB7"/>
    <w:rsid w:val="000D0786"/>
    <w:rsid w:val="000E73FE"/>
    <w:rsid w:val="00107F2B"/>
    <w:rsid w:val="001254AF"/>
    <w:rsid w:val="00152CBE"/>
    <w:rsid w:val="0017281A"/>
    <w:rsid w:val="001A78AA"/>
    <w:rsid w:val="001C6527"/>
    <w:rsid w:val="001E24C1"/>
    <w:rsid w:val="001E4B0E"/>
    <w:rsid w:val="001F412E"/>
    <w:rsid w:val="002158C4"/>
    <w:rsid w:val="002238F0"/>
    <w:rsid w:val="0023339E"/>
    <w:rsid w:val="00251409"/>
    <w:rsid w:val="002757FB"/>
    <w:rsid w:val="00291CD9"/>
    <w:rsid w:val="00295487"/>
    <w:rsid w:val="002B6E70"/>
    <w:rsid w:val="002D1387"/>
    <w:rsid w:val="002D4DAB"/>
    <w:rsid w:val="003463E1"/>
    <w:rsid w:val="00357722"/>
    <w:rsid w:val="00362ACD"/>
    <w:rsid w:val="00367506"/>
    <w:rsid w:val="00393689"/>
    <w:rsid w:val="003B5914"/>
    <w:rsid w:val="003E4C37"/>
    <w:rsid w:val="003F7BA5"/>
    <w:rsid w:val="00406BBD"/>
    <w:rsid w:val="004532A4"/>
    <w:rsid w:val="004854B6"/>
    <w:rsid w:val="00497D4A"/>
    <w:rsid w:val="004A3716"/>
    <w:rsid w:val="004A72B2"/>
    <w:rsid w:val="004F734E"/>
    <w:rsid w:val="00511F91"/>
    <w:rsid w:val="005163DD"/>
    <w:rsid w:val="00521154"/>
    <w:rsid w:val="0055669A"/>
    <w:rsid w:val="005712B6"/>
    <w:rsid w:val="005861E1"/>
    <w:rsid w:val="0059061D"/>
    <w:rsid w:val="005E2D1B"/>
    <w:rsid w:val="00600065"/>
    <w:rsid w:val="00611CDB"/>
    <w:rsid w:val="0062678F"/>
    <w:rsid w:val="00655C79"/>
    <w:rsid w:val="00655D1E"/>
    <w:rsid w:val="00686EF8"/>
    <w:rsid w:val="006E3E34"/>
    <w:rsid w:val="00711B47"/>
    <w:rsid w:val="007156AC"/>
    <w:rsid w:val="00733978"/>
    <w:rsid w:val="007478AF"/>
    <w:rsid w:val="00791D9E"/>
    <w:rsid w:val="007B1A9F"/>
    <w:rsid w:val="007D2C3B"/>
    <w:rsid w:val="007D5080"/>
    <w:rsid w:val="007E5084"/>
    <w:rsid w:val="00804116"/>
    <w:rsid w:val="008437BB"/>
    <w:rsid w:val="008C761E"/>
    <w:rsid w:val="008C7C7D"/>
    <w:rsid w:val="008D4111"/>
    <w:rsid w:val="008F71B8"/>
    <w:rsid w:val="008F7F45"/>
    <w:rsid w:val="0093549E"/>
    <w:rsid w:val="009771B0"/>
    <w:rsid w:val="0099601F"/>
    <w:rsid w:val="009E52B5"/>
    <w:rsid w:val="00A042D9"/>
    <w:rsid w:val="00A15B91"/>
    <w:rsid w:val="00A56534"/>
    <w:rsid w:val="00A61C49"/>
    <w:rsid w:val="00B10A83"/>
    <w:rsid w:val="00B52340"/>
    <w:rsid w:val="00B81F24"/>
    <w:rsid w:val="00BA65A3"/>
    <w:rsid w:val="00BE0060"/>
    <w:rsid w:val="00BE0BCD"/>
    <w:rsid w:val="00BF7BD7"/>
    <w:rsid w:val="00C00AAB"/>
    <w:rsid w:val="00C04201"/>
    <w:rsid w:val="00C24B50"/>
    <w:rsid w:val="00C46ADC"/>
    <w:rsid w:val="00C54605"/>
    <w:rsid w:val="00C75103"/>
    <w:rsid w:val="00C844A1"/>
    <w:rsid w:val="00C937D0"/>
    <w:rsid w:val="00CB2E3D"/>
    <w:rsid w:val="00CD3201"/>
    <w:rsid w:val="00CE5C14"/>
    <w:rsid w:val="00CF58AA"/>
    <w:rsid w:val="00D31979"/>
    <w:rsid w:val="00D67D7F"/>
    <w:rsid w:val="00DC53BE"/>
    <w:rsid w:val="00DD7A17"/>
    <w:rsid w:val="00DE0B7A"/>
    <w:rsid w:val="00E13429"/>
    <w:rsid w:val="00E4215E"/>
    <w:rsid w:val="00E457B3"/>
    <w:rsid w:val="00E672C5"/>
    <w:rsid w:val="00E845EB"/>
    <w:rsid w:val="00E9090D"/>
    <w:rsid w:val="00ED6C2E"/>
    <w:rsid w:val="00F06116"/>
    <w:rsid w:val="00F26837"/>
    <w:rsid w:val="00F30F6D"/>
    <w:rsid w:val="00F320B8"/>
    <w:rsid w:val="00F326BB"/>
    <w:rsid w:val="00F4290C"/>
    <w:rsid w:val="00F436EB"/>
    <w:rsid w:val="00F824E7"/>
    <w:rsid w:val="00F8635B"/>
    <w:rsid w:val="00FD3558"/>
    <w:rsid w:val="00FE26A5"/>
    <w:rsid w:val="00FE699B"/>
    <w:rsid w:val="00FF6EF2"/>
    <w:rsid w:val="054229FE"/>
    <w:rsid w:val="0D2284BD"/>
    <w:rsid w:val="24FC2987"/>
    <w:rsid w:val="2BCAD114"/>
    <w:rsid w:val="38292D14"/>
    <w:rsid w:val="3B75399B"/>
    <w:rsid w:val="4214B9B3"/>
    <w:rsid w:val="440913EC"/>
    <w:rsid w:val="48DEC0F2"/>
    <w:rsid w:val="4AAABBFE"/>
    <w:rsid w:val="5F6F1737"/>
    <w:rsid w:val="72976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40E2"/>
  <w15:chartTrackingRefBased/>
  <w15:docId w15:val="{C1643F9E-F2DE-4A99-90BA-BBE538B6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2B"/>
    <w:pPr>
      <w:spacing w:line="259" w:lineRule="auto"/>
    </w:pPr>
    <w:rPr>
      <w:kern w:val="0"/>
      <w:sz w:val="22"/>
      <w:szCs w:val="22"/>
      <w14:ligatures w14:val="none"/>
    </w:rPr>
  </w:style>
  <w:style w:type="paragraph" w:styleId="Heading1">
    <w:name w:val="heading 1"/>
    <w:basedOn w:val="Normal"/>
    <w:next w:val="Normal"/>
    <w:link w:val="Heading1Char"/>
    <w:uiPriority w:val="9"/>
    <w:qFormat/>
    <w:rsid w:val="00107F2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7F2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7F2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7F2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07F2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07F2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07F2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07F2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07F2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F2B"/>
    <w:rPr>
      <w:rFonts w:eastAsiaTheme="majorEastAsia" w:cstheme="majorBidi"/>
      <w:color w:val="272727" w:themeColor="text1" w:themeTint="D8"/>
    </w:rPr>
  </w:style>
  <w:style w:type="paragraph" w:styleId="Title">
    <w:name w:val="Title"/>
    <w:basedOn w:val="Normal"/>
    <w:next w:val="Normal"/>
    <w:link w:val="TitleChar"/>
    <w:uiPriority w:val="10"/>
    <w:qFormat/>
    <w:rsid w:val="00107F2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7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F2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7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F2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07F2B"/>
    <w:rPr>
      <w:i/>
      <w:iCs/>
      <w:color w:val="404040" w:themeColor="text1" w:themeTint="BF"/>
    </w:rPr>
  </w:style>
  <w:style w:type="paragraph" w:styleId="ListParagraph">
    <w:name w:val="List Paragraph"/>
    <w:basedOn w:val="Normal"/>
    <w:uiPriority w:val="34"/>
    <w:qFormat/>
    <w:rsid w:val="00107F2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07F2B"/>
    <w:rPr>
      <w:i/>
      <w:iCs/>
      <w:color w:val="0F4761" w:themeColor="accent1" w:themeShade="BF"/>
    </w:rPr>
  </w:style>
  <w:style w:type="paragraph" w:styleId="IntenseQuote">
    <w:name w:val="Intense Quote"/>
    <w:basedOn w:val="Normal"/>
    <w:next w:val="Normal"/>
    <w:link w:val="IntenseQuoteChar"/>
    <w:uiPriority w:val="30"/>
    <w:qFormat/>
    <w:rsid w:val="00107F2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07F2B"/>
    <w:rPr>
      <w:i/>
      <w:iCs/>
      <w:color w:val="0F4761" w:themeColor="accent1" w:themeShade="BF"/>
    </w:rPr>
  </w:style>
  <w:style w:type="character" w:styleId="IntenseReference">
    <w:name w:val="Intense Reference"/>
    <w:basedOn w:val="DefaultParagraphFont"/>
    <w:uiPriority w:val="32"/>
    <w:qFormat/>
    <w:rsid w:val="00107F2B"/>
    <w:rPr>
      <w:b/>
      <w:bCs/>
      <w:smallCaps/>
      <w:color w:val="0F4761" w:themeColor="accent1" w:themeShade="BF"/>
      <w:spacing w:val="5"/>
    </w:rPr>
  </w:style>
  <w:style w:type="paragraph" w:customStyle="1" w:styleId="paragraph">
    <w:name w:val="paragraph"/>
    <w:basedOn w:val="Normal"/>
    <w:qFormat/>
    <w:rsid w:val="00107F2B"/>
    <w:pPr>
      <w:spacing w:beforeAutospacing="1"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07F2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7F2B"/>
    <w:rPr>
      <w:kern w:val="0"/>
      <w:sz w:val="22"/>
      <w:szCs w:val="22"/>
      <w14:ligatures w14:val="none"/>
    </w:rPr>
  </w:style>
  <w:style w:type="paragraph" w:styleId="Footer">
    <w:name w:val="footer"/>
    <w:basedOn w:val="Normal"/>
    <w:link w:val="FooterChar"/>
    <w:uiPriority w:val="99"/>
    <w:unhideWhenUsed/>
    <w:rsid w:val="00072D0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72D0F"/>
    <w:rPr>
      <w:kern w:val="0"/>
      <w:sz w:val="22"/>
      <w:szCs w:val="22"/>
      <w14:ligatures w14:val="none"/>
    </w:rPr>
  </w:style>
  <w:style w:type="character" w:customStyle="1" w:styleId="eop">
    <w:name w:val="eop"/>
    <w:basedOn w:val="DefaultParagraphFont"/>
    <w:rsid w:val="000E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EACA3-FFBE-4C1B-B5F2-C51D186B4B5D}">
  <ds:schemaRefs>
    <ds:schemaRef ds:uri="http://schemas.microsoft.com/sharepoint/v3/contenttype/forms"/>
  </ds:schemaRefs>
</ds:datastoreItem>
</file>

<file path=customXml/itemProps2.xml><?xml version="1.0" encoding="utf-8"?>
<ds:datastoreItem xmlns:ds="http://schemas.openxmlformats.org/officeDocument/2006/customXml" ds:itemID="{7585BD3E-EB3D-4761-8AFF-6A5CDAB07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06562F-C038-4CD0-8DAD-B6ADED3801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Баттөр Бямбадорж</cp:lastModifiedBy>
  <cp:revision>16</cp:revision>
  <dcterms:created xsi:type="dcterms:W3CDTF">2026-08-27T02:58:00Z</dcterms:created>
  <dcterms:modified xsi:type="dcterms:W3CDTF">2026-08-31T06:07:00Z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GrammarlyDocumentId">
    <vt:lpwstr>0173ce29-9ba5-4627-93f0-3acfbf8d3f43</vt:lpwstr>
  </property>
</Properties>
</file>