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6AEFCB" w14:textId="39FFA68B" w:rsidR="00A640AC" w:rsidRPr="0063530A" w:rsidRDefault="00A640AC" w:rsidP="0063530A">
      <w:pPr>
        <w:spacing w:after="288"/>
        <w:jc w:val="right"/>
        <w:rPr>
          <w:rFonts w:eastAsia="Arial" w:cs="Arial"/>
          <w:color w:val="000000"/>
          <w:u w:val="single"/>
        </w:rPr>
      </w:pPr>
      <w:r w:rsidRPr="004D04AD">
        <w:rPr>
          <w:rFonts w:eastAsia="Arial" w:cs="Arial"/>
          <w:color w:val="000000"/>
          <w:u w:val="single"/>
        </w:rPr>
        <w:t>Төсөл</w:t>
      </w:r>
    </w:p>
    <w:p w14:paraId="6F95755E" w14:textId="43AC4607" w:rsidR="00A640AC" w:rsidRPr="004D04AD" w:rsidRDefault="00A640AC" w:rsidP="0063530A">
      <w:pPr>
        <w:spacing w:after="288"/>
        <w:jc w:val="center"/>
        <w:rPr>
          <w:rFonts w:eastAsia="Times New Roman" w:cs="Arial"/>
          <w:b/>
          <w:bCs/>
        </w:rPr>
      </w:pPr>
      <w:r w:rsidRPr="004D04AD">
        <w:rPr>
          <w:rFonts w:eastAsia="Times New Roman" w:cs="Arial"/>
          <w:b/>
          <w:bCs/>
        </w:rPr>
        <w:t>МОНГОЛ УЛСЫН ХУУЛЬ</w:t>
      </w:r>
    </w:p>
    <w:p w14:paraId="53C47EB3" w14:textId="0B702DF2" w:rsidR="00A640AC" w:rsidRPr="004D04AD" w:rsidRDefault="00A640AC" w:rsidP="0063530A">
      <w:pPr>
        <w:pStyle w:val="paragraph"/>
        <w:spacing w:before="0" w:beforeAutospacing="0" w:after="0" w:afterAutospacing="0" w:line="276" w:lineRule="auto"/>
        <w:jc w:val="both"/>
        <w:textAlignment w:val="baseline"/>
        <w:rPr>
          <w:rFonts w:ascii="Arial" w:hAnsi="Arial" w:cs="Arial"/>
          <w:lang w:val="mn-MN"/>
        </w:rPr>
      </w:pPr>
      <w:r w:rsidRPr="004D04AD">
        <w:rPr>
          <w:rStyle w:val="normaltextrun"/>
          <w:rFonts w:ascii="Arial" w:eastAsiaTheme="majorEastAsia" w:hAnsi="Arial" w:cs="Arial"/>
          <w:lang w:val="mn-MN"/>
        </w:rPr>
        <w:t>2026 оны ... дугаар</w:t>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t xml:space="preserve">               </w:t>
      </w:r>
      <w:r w:rsidR="0063530A">
        <w:rPr>
          <w:rStyle w:val="tabchar"/>
          <w:rFonts w:ascii="Arial" w:eastAsiaTheme="majorEastAsia" w:hAnsi="Arial" w:cs="Arial"/>
          <w:lang w:val="mn-MN"/>
        </w:rPr>
        <w:t xml:space="preserve">     </w:t>
      </w:r>
      <w:r w:rsidRPr="004D04AD">
        <w:rPr>
          <w:rStyle w:val="normaltextrun"/>
          <w:rFonts w:ascii="Arial" w:eastAsiaTheme="majorEastAsia" w:hAnsi="Arial" w:cs="Arial"/>
          <w:lang w:val="mn-MN"/>
        </w:rPr>
        <w:t>Улаанбаатар</w:t>
      </w:r>
    </w:p>
    <w:p w14:paraId="5E2D3D76" w14:textId="702F196F" w:rsidR="0063530A" w:rsidRDefault="00A640AC" w:rsidP="0063530A">
      <w:pPr>
        <w:pStyle w:val="paragraph"/>
        <w:spacing w:before="0" w:beforeAutospacing="0" w:after="0" w:afterAutospacing="0" w:line="276" w:lineRule="auto"/>
        <w:jc w:val="both"/>
        <w:textAlignment w:val="baseline"/>
        <w:rPr>
          <w:rStyle w:val="normaltextrun"/>
          <w:rFonts w:ascii="Arial" w:eastAsiaTheme="majorEastAsia" w:hAnsi="Arial" w:cs="Arial"/>
          <w:lang w:val="mn-MN"/>
        </w:rPr>
      </w:pPr>
      <w:r w:rsidRPr="004D04AD">
        <w:rPr>
          <w:rStyle w:val="normaltextrun"/>
          <w:rFonts w:ascii="Arial" w:eastAsiaTheme="majorEastAsia" w:hAnsi="Arial" w:cs="Arial"/>
          <w:lang w:val="mn-MN"/>
        </w:rPr>
        <w:t xml:space="preserve">сарын ...-ний өдөр </w:t>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r>
      <w:r w:rsidRPr="004D04AD">
        <w:rPr>
          <w:rStyle w:val="tabchar"/>
          <w:rFonts w:ascii="Arial" w:eastAsiaTheme="majorEastAsia" w:hAnsi="Arial" w:cs="Arial"/>
          <w:lang w:val="mn-MN"/>
        </w:rPr>
        <w:tab/>
        <w:t xml:space="preserve">   </w:t>
      </w:r>
      <w:r w:rsidRPr="004D04AD">
        <w:rPr>
          <w:rStyle w:val="tabchar"/>
          <w:rFonts w:ascii="Arial" w:eastAsiaTheme="majorEastAsia" w:hAnsi="Arial" w:cs="Arial"/>
          <w:lang w:val="mn-MN"/>
        </w:rPr>
        <w:tab/>
        <w:t xml:space="preserve">   </w:t>
      </w:r>
      <w:r w:rsidR="009921A9">
        <w:rPr>
          <w:rStyle w:val="tabchar"/>
          <w:rFonts w:ascii="Arial" w:eastAsiaTheme="majorEastAsia" w:hAnsi="Arial" w:cs="Arial"/>
          <w:lang w:val="mn-MN"/>
        </w:rPr>
        <w:t xml:space="preserve"> </w:t>
      </w:r>
      <w:r w:rsidR="0063530A">
        <w:rPr>
          <w:rStyle w:val="tabchar"/>
          <w:rFonts w:ascii="Arial" w:eastAsiaTheme="majorEastAsia" w:hAnsi="Arial" w:cs="Arial"/>
          <w:lang w:val="mn-MN"/>
        </w:rPr>
        <w:t xml:space="preserve">  </w:t>
      </w:r>
      <w:r w:rsidRPr="004D04AD">
        <w:rPr>
          <w:rStyle w:val="tabchar"/>
          <w:rFonts w:ascii="Arial" w:eastAsiaTheme="majorEastAsia" w:hAnsi="Arial" w:cs="Arial"/>
          <w:lang w:val="mn-MN"/>
        </w:rPr>
        <w:t xml:space="preserve"> </w:t>
      </w:r>
      <w:r w:rsidRPr="004D04AD">
        <w:rPr>
          <w:rStyle w:val="normaltextrun"/>
          <w:rFonts w:ascii="Arial" w:eastAsiaTheme="majorEastAsia" w:hAnsi="Arial" w:cs="Arial"/>
          <w:lang w:val="mn-MN"/>
        </w:rPr>
        <w:t>хот</w:t>
      </w:r>
      <w:bookmarkStart w:id="0" w:name="_Toc238823187"/>
    </w:p>
    <w:p w14:paraId="48F5B166" w14:textId="77777777" w:rsidR="0063530A" w:rsidRDefault="0063530A" w:rsidP="0063530A">
      <w:pPr>
        <w:pStyle w:val="paragraph"/>
        <w:spacing w:before="0" w:beforeAutospacing="0" w:after="0" w:afterAutospacing="0" w:line="276" w:lineRule="auto"/>
        <w:ind w:right="-90"/>
        <w:jc w:val="both"/>
        <w:textAlignment w:val="baseline"/>
        <w:rPr>
          <w:rFonts w:ascii="Arial" w:hAnsi="Arial" w:cs="Arial"/>
          <w:lang w:val="mn-MN"/>
        </w:rPr>
      </w:pPr>
    </w:p>
    <w:p w14:paraId="10F1BE3D" w14:textId="77777777" w:rsidR="009921A9" w:rsidRPr="0063530A" w:rsidRDefault="009921A9" w:rsidP="0063530A">
      <w:pPr>
        <w:pStyle w:val="paragraph"/>
        <w:spacing w:before="0" w:beforeAutospacing="0" w:after="0" w:afterAutospacing="0" w:line="276" w:lineRule="auto"/>
        <w:ind w:right="-90"/>
        <w:jc w:val="both"/>
        <w:textAlignment w:val="baseline"/>
        <w:rPr>
          <w:rFonts w:ascii="Arial" w:hAnsi="Arial" w:cs="Arial"/>
          <w:lang w:val="mn-MN"/>
        </w:rPr>
      </w:pPr>
    </w:p>
    <w:p w14:paraId="53C0890E" w14:textId="77777777" w:rsidR="009921A9" w:rsidRPr="009921A9" w:rsidRDefault="00A640AC" w:rsidP="009921A9">
      <w:pPr>
        <w:spacing w:afterLines="0" w:after="0" w:line="240" w:lineRule="auto"/>
        <w:jc w:val="center"/>
        <w:rPr>
          <w:b/>
          <w:bCs/>
        </w:rPr>
      </w:pPr>
      <w:r w:rsidRPr="009921A9">
        <w:rPr>
          <w:b/>
          <w:bCs/>
        </w:rPr>
        <w:t>ТӨСВИЙН ТОГТВОРТОЙ БАЙДЛЫН ТУХАЙ ХУУЛЬД</w:t>
      </w:r>
    </w:p>
    <w:p w14:paraId="25EA416E" w14:textId="488C91C2" w:rsidR="00A640AC" w:rsidRPr="009921A9" w:rsidRDefault="00A640AC" w:rsidP="009921A9">
      <w:pPr>
        <w:spacing w:afterLines="0" w:after="0" w:line="240" w:lineRule="auto"/>
        <w:jc w:val="center"/>
        <w:rPr>
          <w:b/>
          <w:bCs/>
        </w:rPr>
      </w:pPr>
      <w:r w:rsidRPr="009921A9">
        <w:rPr>
          <w:b/>
          <w:bCs/>
        </w:rPr>
        <w:t xml:space="preserve"> НЭМЭЛТ ОРУУЛАХ</w:t>
      </w:r>
      <w:r w:rsidR="0063530A" w:rsidRPr="009921A9">
        <w:rPr>
          <w:b/>
          <w:bCs/>
        </w:rPr>
        <w:t xml:space="preserve"> </w:t>
      </w:r>
      <w:r w:rsidRPr="009921A9">
        <w:rPr>
          <w:b/>
          <w:bCs/>
        </w:rPr>
        <w:t>ТУХАЙ</w:t>
      </w:r>
      <w:bookmarkEnd w:id="0"/>
    </w:p>
    <w:p w14:paraId="26DCED2F" w14:textId="77777777" w:rsidR="00A640AC" w:rsidRPr="004D04AD" w:rsidRDefault="00A640AC" w:rsidP="00A640AC">
      <w:pPr>
        <w:spacing w:after="288"/>
        <w:jc w:val="center"/>
        <w:rPr>
          <w:rFonts w:eastAsia="Times New Roman" w:cs="Arial"/>
          <w:b/>
          <w:bCs/>
        </w:rPr>
      </w:pPr>
    </w:p>
    <w:p w14:paraId="0483DDD9" w14:textId="77777777" w:rsidR="00A640AC" w:rsidRPr="004D04AD" w:rsidRDefault="00A640AC" w:rsidP="009921A9">
      <w:pPr>
        <w:spacing w:afterLines="50" w:line="240" w:lineRule="auto"/>
        <w:ind w:firstLine="720"/>
        <w:contextualSpacing/>
        <w:rPr>
          <w:rFonts w:eastAsia="Times New Roman" w:cs="Arial"/>
          <w:noProof/>
        </w:rPr>
      </w:pPr>
      <w:r w:rsidRPr="004D04AD">
        <w:rPr>
          <w:rFonts w:eastAsia="Times New Roman" w:cs="Arial"/>
          <w:b/>
          <w:bCs/>
          <w:noProof/>
        </w:rPr>
        <w:t>1 дүгээр зүйл.</w:t>
      </w:r>
      <w:r>
        <w:rPr>
          <w:rFonts w:eastAsia="Times New Roman" w:cs="Arial"/>
          <w:noProof/>
        </w:rPr>
        <w:t>Төсвийн тогтвортой байдлын тухай хуулийн 7 дугаар зүйлд доор дурдсан агуулгатай 7.9 дэх хэсэг нэмсүгэй</w:t>
      </w:r>
      <w:r w:rsidRPr="004D04AD">
        <w:rPr>
          <w:rFonts w:eastAsia="Times New Roman" w:cs="Arial"/>
          <w:noProof/>
        </w:rPr>
        <w:t>:</w:t>
      </w:r>
    </w:p>
    <w:p w14:paraId="51E28308" w14:textId="77777777" w:rsidR="00A640AC" w:rsidRPr="00AE151F" w:rsidRDefault="00A640AC" w:rsidP="009921A9">
      <w:pPr>
        <w:spacing w:afterLines="50" w:line="240" w:lineRule="auto"/>
        <w:ind w:firstLine="720"/>
        <w:contextualSpacing/>
        <w:rPr>
          <w:rFonts w:eastAsia="Times New Roman" w:cs="Arial"/>
          <w:noProof/>
        </w:rPr>
      </w:pPr>
    </w:p>
    <w:p w14:paraId="79C9A265" w14:textId="77777777" w:rsidR="00A640AC" w:rsidRDefault="00A640AC" w:rsidP="009921A9">
      <w:pPr>
        <w:spacing w:afterLines="0" w:after="0" w:line="240" w:lineRule="auto"/>
        <w:ind w:firstLine="720"/>
        <w:rPr>
          <w:rFonts w:cs="Arial"/>
          <w:noProof/>
          <w:color w:val="000000"/>
        </w:rPr>
      </w:pPr>
      <w:r w:rsidRPr="00AE151F">
        <w:rPr>
          <w:rFonts w:cs="Arial"/>
          <w:noProof/>
        </w:rPr>
        <w:t>“7.9.Дунд хугацааны төсвийн хүрээний мэдэгдэл батлагдсанаас хойш уг мэдэгдлийг боловсруулахад тооцох боломжгүй нөхцөлөөс шалтгаалан ногдол ашгийн орлого</w:t>
      </w:r>
      <w:r w:rsidRPr="00AE151F">
        <w:rPr>
          <w:rFonts w:cs="Arial"/>
        </w:rPr>
        <w:t>, орон нутгийн үнэт цаас, урьд оны үлдэгдлээс хамаарсан эх үүсвэр</w:t>
      </w:r>
      <w:r w:rsidRPr="00AE151F">
        <w:rPr>
          <w:rFonts w:cs="Arial"/>
          <w:noProof/>
        </w:rPr>
        <w:t xml:space="preserve"> нэмэгдсэнтэй холбоотойгоор нэгдсэн төсвийн тэнцвэржүүлсэн орлого уг мэдэгдэлд тусгасан доод хэмжээнээс нэмэгдэхээр бол тухайн ногдол ашгийн орлого, эх үүсвэрээс шалтгаалсан нэмэгдлийн хэмжээгээр энэ хуулийн 12.1.4-т заасан нэгдсэн төсвийн нийт зарлагын дээд хэмжээг нэмэгдүүлэн </w:t>
      </w:r>
      <w:r w:rsidRPr="00121480">
        <w:rPr>
          <w:rFonts w:cs="Arial"/>
          <w:noProof/>
          <w:color w:val="000000"/>
        </w:rPr>
        <w:t>тооцож</w:t>
      </w:r>
      <w:r>
        <w:rPr>
          <w:rFonts w:cs="Arial"/>
          <w:noProof/>
          <w:color w:val="000000"/>
        </w:rPr>
        <w:t xml:space="preserve">, </w:t>
      </w:r>
      <w:r w:rsidRPr="00121480">
        <w:rPr>
          <w:rFonts w:cs="Arial"/>
          <w:noProof/>
          <w:color w:val="000000"/>
        </w:rPr>
        <w:t>болно. Энэ тохиолдолд уг нэмэгдлийн хэмжээнд энэ хуулийн 6</w:t>
      </w:r>
      <w:r>
        <w:rPr>
          <w:rFonts w:cs="Arial"/>
          <w:noProof/>
          <w:color w:val="000000"/>
        </w:rPr>
        <w:t xml:space="preserve"> дугаар зүйлд</w:t>
      </w:r>
      <w:r w:rsidRPr="00121480">
        <w:rPr>
          <w:rFonts w:cs="Arial"/>
          <w:noProof/>
          <w:color w:val="000000"/>
        </w:rPr>
        <w:t xml:space="preserve"> заасан төсвийн тусгай шаардлага хамаарахгүй.”</w:t>
      </w:r>
    </w:p>
    <w:p w14:paraId="66FD4FEF" w14:textId="77777777" w:rsidR="009921A9" w:rsidRDefault="009921A9" w:rsidP="009921A9">
      <w:pPr>
        <w:spacing w:afterLines="0" w:after="0" w:line="240" w:lineRule="auto"/>
        <w:ind w:firstLine="720"/>
        <w:contextualSpacing/>
        <w:rPr>
          <w:rFonts w:eastAsia="Times New Roman" w:cs="Arial"/>
          <w:b/>
          <w:bCs/>
          <w:noProof/>
        </w:rPr>
      </w:pPr>
    </w:p>
    <w:p w14:paraId="7897AECE" w14:textId="683F7F23" w:rsidR="00A640AC" w:rsidRDefault="00A640AC" w:rsidP="009921A9">
      <w:pPr>
        <w:spacing w:afterLines="0" w:after="0" w:line="240" w:lineRule="auto"/>
        <w:ind w:firstLine="720"/>
        <w:contextualSpacing/>
        <w:rPr>
          <w:rFonts w:cs="Arial"/>
          <w:noProof/>
          <w:color w:val="000000"/>
        </w:rPr>
      </w:pPr>
      <w:r w:rsidRPr="004D04AD">
        <w:rPr>
          <w:rFonts w:eastAsia="Times New Roman" w:cs="Arial"/>
          <w:b/>
          <w:bCs/>
          <w:noProof/>
        </w:rPr>
        <w:t>2 дугаар зүйл.</w:t>
      </w:r>
      <w:r w:rsidRPr="00121480">
        <w:rPr>
          <w:rFonts w:cs="Arial"/>
          <w:noProof/>
          <w:color w:val="000000"/>
        </w:rPr>
        <w:t xml:space="preserve">Энэ хуулийг </w:t>
      </w:r>
      <w:r>
        <w:rPr>
          <w:rFonts w:cs="Arial"/>
          <w:noProof/>
          <w:color w:val="000000"/>
        </w:rPr>
        <w:t>2028 оны 01 дүгээр сарын 01-ний өдрийг хүртэлх хугацаанд дагаж мөрдөнө.</w:t>
      </w:r>
    </w:p>
    <w:p w14:paraId="6E1A02AE" w14:textId="77777777" w:rsidR="00A640AC" w:rsidRPr="004D04AD" w:rsidRDefault="00A640AC" w:rsidP="009921A9">
      <w:pPr>
        <w:spacing w:afterLines="0" w:after="0" w:line="240" w:lineRule="auto"/>
        <w:ind w:firstLine="720"/>
        <w:contextualSpacing/>
        <w:rPr>
          <w:rFonts w:eastAsia="Times New Roman" w:cs="Arial"/>
          <w:noProof/>
        </w:rPr>
      </w:pPr>
    </w:p>
    <w:p w14:paraId="76E5B223" w14:textId="77777777" w:rsidR="00A640AC" w:rsidRPr="004D04AD" w:rsidRDefault="00A640AC" w:rsidP="009921A9">
      <w:pPr>
        <w:spacing w:afterLines="50" w:line="240" w:lineRule="auto"/>
        <w:ind w:firstLine="720"/>
        <w:rPr>
          <w:rFonts w:eastAsia="Times New Roman" w:cs="Arial"/>
          <w:noProof/>
        </w:rPr>
      </w:pPr>
    </w:p>
    <w:p w14:paraId="64EFDC54" w14:textId="77777777" w:rsidR="00A640AC" w:rsidRPr="004D04AD" w:rsidRDefault="00A640AC" w:rsidP="009921A9">
      <w:pPr>
        <w:spacing w:afterLines="50" w:line="240" w:lineRule="auto"/>
        <w:ind w:firstLine="720"/>
        <w:jc w:val="center"/>
        <w:rPr>
          <w:rFonts w:eastAsia="Calibri" w:cs="Arial"/>
          <w:noProof/>
        </w:rPr>
      </w:pPr>
    </w:p>
    <w:p w14:paraId="60E466D8" w14:textId="77777777" w:rsidR="00A640AC" w:rsidRPr="004D04AD" w:rsidRDefault="00A640AC" w:rsidP="009921A9">
      <w:pPr>
        <w:spacing w:afterLines="50" w:line="240" w:lineRule="auto"/>
        <w:ind w:firstLine="720"/>
        <w:jc w:val="center"/>
        <w:rPr>
          <w:rFonts w:eastAsia="Calibri" w:cs="Arial"/>
          <w:noProof/>
        </w:rPr>
      </w:pPr>
    </w:p>
    <w:p w14:paraId="354A4EA0" w14:textId="77777777" w:rsidR="00A640AC" w:rsidRPr="004D04AD" w:rsidRDefault="00A640AC" w:rsidP="009921A9">
      <w:pPr>
        <w:spacing w:afterLines="50" w:line="240" w:lineRule="auto"/>
        <w:ind w:firstLine="720"/>
        <w:jc w:val="center"/>
        <w:rPr>
          <w:rFonts w:cs="Arial"/>
        </w:rPr>
      </w:pPr>
      <w:r w:rsidRPr="004D04AD">
        <w:rPr>
          <w:rFonts w:eastAsia="Calibri" w:cs="Arial"/>
          <w:noProof/>
        </w:rPr>
        <w:t>Гарын үсэг</w:t>
      </w:r>
    </w:p>
    <w:p w14:paraId="5386FDC4" w14:textId="26050708" w:rsidR="009921A9" w:rsidRDefault="009921A9">
      <w:pPr>
        <w:spacing w:afterLines="0" w:after="160" w:line="278" w:lineRule="auto"/>
        <w:jc w:val="left"/>
        <w:rPr>
          <w:rFonts w:cs="Arial"/>
          <w:b/>
          <w:bCs/>
        </w:rPr>
      </w:pPr>
      <w:r>
        <w:rPr>
          <w:rFonts w:cs="Arial"/>
          <w:b/>
          <w:bCs/>
        </w:rPr>
        <w:br w:type="page"/>
      </w:r>
    </w:p>
    <w:p w14:paraId="474D56A8" w14:textId="77777777" w:rsidR="009921A9" w:rsidRDefault="009921A9" w:rsidP="00A640AC">
      <w:pPr>
        <w:spacing w:after="288"/>
        <w:jc w:val="center"/>
        <w:rPr>
          <w:rFonts w:cs="Arial"/>
          <w:b/>
          <w:bCs/>
        </w:rPr>
      </w:pPr>
    </w:p>
    <w:p w14:paraId="3FCAC4C5" w14:textId="4AE4D1B1" w:rsidR="00A640AC" w:rsidRPr="00A640AC" w:rsidRDefault="00A640AC" w:rsidP="00A640AC">
      <w:pPr>
        <w:spacing w:after="288"/>
        <w:jc w:val="center"/>
        <w:rPr>
          <w:rFonts w:cs="Arial"/>
          <w:b/>
          <w:bCs/>
        </w:rPr>
      </w:pPr>
      <w:r w:rsidRPr="00A640AC">
        <w:rPr>
          <w:rFonts w:cs="Arial"/>
          <w:b/>
          <w:bCs/>
        </w:rPr>
        <w:t>МОНГОЛ УЛСЫН ЗАСГИЙН ГАЗАР</w:t>
      </w:r>
    </w:p>
    <w:p w14:paraId="60EB99FF" w14:textId="77777777" w:rsidR="00A640AC" w:rsidRPr="00A640AC" w:rsidRDefault="00A640AC" w:rsidP="00A640AC">
      <w:pPr>
        <w:spacing w:after="288"/>
        <w:jc w:val="center"/>
        <w:rPr>
          <w:rFonts w:cs="Arial"/>
          <w:b/>
          <w:bCs/>
        </w:rPr>
      </w:pPr>
    </w:p>
    <w:p w14:paraId="497FC312" w14:textId="77777777" w:rsidR="00A640AC" w:rsidRPr="00A640AC" w:rsidRDefault="00A640AC" w:rsidP="00A640AC">
      <w:pPr>
        <w:spacing w:after="288"/>
        <w:jc w:val="center"/>
        <w:rPr>
          <w:rFonts w:cs="Arial"/>
          <w:b/>
          <w:bCs/>
        </w:rPr>
      </w:pPr>
    </w:p>
    <w:p w14:paraId="456B77E9" w14:textId="77777777" w:rsidR="00A640AC" w:rsidRPr="00A640AC" w:rsidRDefault="00A640AC" w:rsidP="00A640AC">
      <w:pPr>
        <w:spacing w:after="288"/>
        <w:jc w:val="center"/>
        <w:rPr>
          <w:rFonts w:cs="Arial"/>
          <w:b/>
          <w:bCs/>
        </w:rPr>
      </w:pPr>
    </w:p>
    <w:p w14:paraId="46E3EE7A" w14:textId="77777777" w:rsidR="00A640AC" w:rsidRPr="00A640AC" w:rsidRDefault="00A640AC" w:rsidP="00A640AC">
      <w:pPr>
        <w:spacing w:after="288"/>
        <w:jc w:val="center"/>
        <w:rPr>
          <w:rFonts w:cs="Arial"/>
          <w:b/>
          <w:sz w:val="32"/>
          <w:szCs w:val="32"/>
          <w:lang w:eastAsia="ja-JP"/>
        </w:rPr>
      </w:pPr>
      <w:r w:rsidRPr="00A640AC">
        <w:rPr>
          <w:rFonts w:cs="Arial"/>
          <w:b/>
          <w:sz w:val="32"/>
          <w:szCs w:val="32"/>
        </w:rPr>
        <w:t xml:space="preserve">ТӨСВИЙН ТОГТВОРТОЙ БАЙДЛЫН ТУХАЙ ХУУЛЬД НЭМЭЛТ, ӨӨРЧЛӨЛТ ОРУУЛАХ ТУХАЙ ХУУЛИЙН ТӨСЛИЙН ДЭЛГЭРЭНГҮЙ ТАНИЛЦУУЛГА </w:t>
      </w:r>
    </w:p>
    <w:p w14:paraId="31408714" w14:textId="77777777" w:rsidR="00A640AC" w:rsidRPr="00A640AC" w:rsidRDefault="00A640AC" w:rsidP="00A640AC">
      <w:pPr>
        <w:spacing w:after="288"/>
        <w:jc w:val="center"/>
        <w:rPr>
          <w:rFonts w:cs="Arial"/>
          <w:b/>
          <w:bCs/>
        </w:rPr>
      </w:pPr>
      <w:r w:rsidRPr="00A640AC">
        <w:rPr>
          <w:rFonts w:cs="Arial"/>
          <w:b/>
          <w:bCs/>
          <w:noProof/>
        </w:rPr>
        <w:drawing>
          <wp:anchor distT="0" distB="0" distL="114300" distR="114300" simplePos="0" relativeHeight="251659264" behindDoc="0" locked="0" layoutInCell="1" allowOverlap="1" wp14:anchorId="4C415E26" wp14:editId="02C5A9EE">
            <wp:simplePos x="0" y="0"/>
            <wp:positionH relativeFrom="margin">
              <wp:posOffset>1818005</wp:posOffset>
            </wp:positionH>
            <wp:positionV relativeFrom="margin">
              <wp:posOffset>3226568</wp:posOffset>
            </wp:positionV>
            <wp:extent cx="2095500" cy="2327438"/>
            <wp:effectExtent l="0" t="0" r="0" b="0"/>
            <wp:wrapSquare wrapText="bothSides"/>
            <wp:docPr id="1262479214" name="Graphic 2">
              <a:extLst xmlns:a="http://schemas.openxmlformats.org/drawingml/2006/main">
                <a:ext uri="{FF2B5EF4-FFF2-40B4-BE49-F238E27FC236}">
                  <a16:creationId xmlns:a16="http://schemas.microsoft.com/office/drawing/2014/main" id="{4BEB38FD-7E47-4188-9B8F-B302B7BD6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4">
                      <a:extLst>
                        <a:ext uri="{96DAC541-7B7A-43D3-8B79-37D633B846F1}">
                          <asvg:svgBlip xmlns:asvg="http://schemas.microsoft.com/office/drawing/2016/SVG/main" r:embed="rId5"/>
                        </a:ext>
                      </a:extLst>
                    </a:blip>
                    <a:stretch>
                      <a:fillRect/>
                    </a:stretch>
                  </pic:blipFill>
                  <pic:spPr>
                    <a:xfrm>
                      <a:off x="0" y="0"/>
                      <a:ext cx="2095500" cy="2327438"/>
                    </a:xfrm>
                    <a:prstGeom prst="rect">
                      <a:avLst/>
                    </a:prstGeom>
                  </pic:spPr>
                </pic:pic>
              </a:graphicData>
            </a:graphic>
          </wp:anchor>
        </w:drawing>
      </w:r>
    </w:p>
    <w:p w14:paraId="138ACC0E" w14:textId="77777777" w:rsidR="00A640AC" w:rsidRPr="00A640AC" w:rsidRDefault="00A640AC" w:rsidP="00A640AC">
      <w:pPr>
        <w:spacing w:after="288"/>
        <w:jc w:val="center"/>
        <w:rPr>
          <w:rFonts w:cs="Arial"/>
          <w:b/>
          <w:bCs/>
        </w:rPr>
      </w:pPr>
    </w:p>
    <w:p w14:paraId="4EC2FAFE" w14:textId="77777777" w:rsidR="00A640AC" w:rsidRPr="00A640AC" w:rsidRDefault="00A640AC" w:rsidP="00A640AC">
      <w:pPr>
        <w:spacing w:after="288"/>
        <w:jc w:val="center"/>
        <w:rPr>
          <w:rFonts w:cs="Arial"/>
          <w:b/>
          <w:bCs/>
        </w:rPr>
      </w:pPr>
    </w:p>
    <w:p w14:paraId="2923CE2C" w14:textId="77777777" w:rsidR="00A640AC" w:rsidRPr="00A640AC" w:rsidRDefault="00A640AC" w:rsidP="00A640AC">
      <w:pPr>
        <w:spacing w:after="288"/>
        <w:jc w:val="center"/>
        <w:rPr>
          <w:rFonts w:cs="Arial"/>
          <w:b/>
          <w:bCs/>
        </w:rPr>
      </w:pPr>
    </w:p>
    <w:p w14:paraId="5DA9370A" w14:textId="77777777" w:rsidR="00A640AC" w:rsidRPr="00A640AC" w:rsidRDefault="00A640AC" w:rsidP="00A640AC">
      <w:pPr>
        <w:spacing w:after="288"/>
        <w:jc w:val="center"/>
        <w:rPr>
          <w:rFonts w:cs="Arial"/>
          <w:b/>
          <w:bCs/>
        </w:rPr>
      </w:pPr>
    </w:p>
    <w:p w14:paraId="3FB1584B" w14:textId="77777777" w:rsidR="00A640AC" w:rsidRPr="00A640AC" w:rsidRDefault="00A640AC" w:rsidP="00A640AC">
      <w:pPr>
        <w:spacing w:after="288"/>
        <w:jc w:val="center"/>
        <w:rPr>
          <w:rFonts w:cs="Arial"/>
          <w:b/>
        </w:rPr>
      </w:pPr>
    </w:p>
    <w:p w14:paraId="11951109" w14:textId="77777777" w:rsidR="00A640AC" w:rsidRPr="00A640AC" w:rsidRDefault="00A640AC" w:rsidP="00A640AC">
      <w:pPr>
        <w:spacing w:after="288"/>
        <w:jc w:val="center"/>
        <w:rPr>
          <w:rFonts w:cs="Arial"/>
          <w:b/>
          <w:bCs/>
        </w:rPr>
      </w:pPr>
    </w:p>
    <w:p w14:paraId="1EBB4D4E" w14:textId="77777777" w:rsidR="00A640AC" w:rsidRPr="00A640AC" w:rsidRDefault="00A640AC" w:rsidP="00A640AC">
      <w:pPr>
        <w:spacing w:after="288"/>
        <w:jc w:val="center"/>
        <w:rPr>
          <w:rFonts w:cs="Arial"/>
          <w:b/>
          <w:bCs/>
        </w:rPr>
      </w:pPr>
    </w:p>
    <w:p w14:paraId="1291644F" w14:textId="77777777" w:rsidR="00A640AC" w:rsidRPr="00A640AC" w:rsidRDefault="00A640AC" w:rsidP="00A640AC">
      <w:pPr>
        <w:spacing w:after="288"/>
        <w:jc w:val="center"/>
        <w:rPr>
          <w:rFonts w:cs="Arial"/>
          <w:b/>
          <w:bCs/>
        </w:rPr>
      </w:pPr>
    </w:p>
    <w:p w14:paraId="6EC1DC4D" w14:textId="77777777" w:rsidR="00A640AC" w:rsidRPr="00A640AC" w:rsidRDefault="00A640AC" w:rsidP="00A640AC">
      <w:pPr>
        <w:spacing w:after="288"/>
        <w:jc w:val="center"/>
        <w:rPr>
          <w:rFonts w:cs="Arial"/>
          <w:b/>
          <w:bCs/>
        </w:rPr>
      </w:pPr>
    </w:p>
    <w:p w14:paraId="1E2D5941" w14:textId="77777777" w:rsidR="00A640AC" w:rsidRPr="00A640AC" w:rsidRDefault="00A640AC" w:rsidP="00A640AC">
      <w:pPr>
        <w:spacing w:after="288"/>
        <w:jc w:val="center"/>
        <w:rPr>
          <w:rFonts w:cs="Arial"/>
          <w:b/>
          <w:bCs/>
        </w:rPr>
      </w:pPr>
    </w:p>
    <w:p w14:paraId="4CC5E004" w14:textId="77777777" w:rsidR="00A640AC" w:rsidRPr="00A640AC" w:rsidRDefault="00A640AC" w:rsidP="00A640AC">
      <w:pPr>
        <w:spacing w:after="288"/>
        <w:rPr>
          <w:rFonts w:cs="Arial"/>
          <w:b/>
          <w:bCs/>
        </w:rPr>
      </w:pPr>
    </w:p>
    <w:p w14:paraId="5E2FC547" w14:textId="77777777" w:rsidR="00A640AC" w:rsidRPr="00A640AC" w:rsidRDefault="00A640AC" w:rsidP="00A640AC">
      <w:pPr>
        <w:spacing w:after="288"/>
        <w:rPr>
          <w:rFonts w:cs="Arial"/>
          <w:b/>
          <w:bCs/>
        </w:rPr>
      </w:pPr>
    </w:p>
    <w:p w14:paraId="69B02E1A" w14:textId="77777777" w:rsidR="00A640AC" w:rsidRPr="00A640AC" w:rsidRDefault="00A640AC" w:rsidP="00A640AC">
      <w:pPr>
        <w:spacing w:after="288"/>
        <w:jc w:val="center"/>
        <w:rPr>
          <w:rFonts w:cs="Arial"/>
          <w:b/>
          <w:bCs/>
        </w:rPr>
      </w:pPr>
      <w:r w:rsidRPr="00A640AC">
        <w:rPr>
          <w:rFonts w:cs="Arial"/>
          <w:b/>
          <w:bCs/>
        </w:rPr>
        <w:t>УЛААНБААТАР ХОТ</w:t>
      </w:r>
    </w:p>
    <w:p w14:paraId="26E57835" w14:textId="77777777" w:rsidR="00A640AC" w:rsidRPr="00A640AC" w:rsidRDefault="00A640AC" w:rsidP="00A640AC">
      <w:pPr>
        <w:spacing w:after="288"/>
        <w:jc w:val="center"/>
        <w:rPr>
          <w:rFonts w:cs="Arial"/>
          <w:b/>
          <w:bCs/>
        </w:rPr>
      </w:pPr>
      <w:r w:rsidRPr="00A640AC">
        <w:rPr>
          <w:rFonts w:cs="Arial"/>
          <w:b/>
          <w:bCs/>
        </w:rPr>
        <w:t>2026 ОН</w:t>
      </w:r>
    </w:p>
    <w:p w14:paraId="0FFE32B7" w14:textId="77777777" w:rsidR="00F538E9" w:rsidRDefault="00F538E9">
      <w:pPr>
        <w:spacing w:after="288"/>
        <w:rPr>
          <w:rFonts w:cs="Arial"/>
        </w:rPr>
      </w:pPr>
    </w:p>
    <w:p w14:paraId="232EFB2A" w14:textId="77777777" w:rsidR="00A640AC" w:rsidRDefault="00A640AC" w:rsidP="00A640AC">
      <w:pPr>
        <w:spacing w:after="288"/>
      </w:pPr>
    </w:p>
    <w:p w14:paraId="5CA4372E" w14:textId="77777777" w:rsidR="00A640AC" w:rsidRPr="00AC4351" w:rsidRDefault="00A640AC" w:rsidP="00A640AC">
      <w:pPr>
        <w:spacing w:after="288"/>
        <w:jc w:val="center"/>
        <w:rPr>
          <w:rFonts w:cs="Arial"/>
          <w:b/>
          <w:bCs/>
        </w:rPr>
      </w:pPr>
      <w:r>
        <w:rPr>
          <w:rFonts w:cs="Arial"/>
          <w:b/>
          <w:bCs/>
        </w:rPr>
        <w:lastRenderedPageBreak/>
        <w:t>ТАНИЛЦУУЛГА</w:t>
      </w:r>
    </w:p>
    <w:p w14:paraId="7BCA12E7" w14:textId="77777777" w:rsidR="00A640AC" w:rsidRDefault="00A640AC" w:rsidP="00807C9E">
      <w:pPr>
        <w:spacing w:afterLines="0" w:after="0" w:line="240" w:lineRule="auto"/>
        <w:ind w:firstLine="720"/>
        <w:rPr>
          <w:rFonts w:cs="Arial"/>
        </w:rPr>
      </w:pPr>
      <w:r w:rsidRPr="00E85F0E">
        <w:rPr>
          <w:rFonts w:cs="Arial"/>
        </w:rPr>
        <w:t>Төсвийн тогтвортой байдлыг хангах, төсвийн төлөвлөлтийг бодит орлого, эх үүсвэртэй уялдуулах, төсвийн жил эхлэхээс өмнө урьдчилан тооцох боломжгүй байсан нэмэлт эх үүсвэрийг төсөвт зохистойгоор тусгах зорилгоор Төсвийн тогтвортой байдлын тухай хуульд нэмэлт оруулах тухай хуулийн төсөл боловсрууллаа.</w:t>
      </w:r>
    </w:p>
    <w:p w14:paraId="06793608" w14:textId="77777777" w:rsidR="00807C9E" w:rsidRDefault="00807C9E" w:rsidP="00807C9E">
      <w:pPr>
        <w:spacing w:afterLines="0" w:after="0" w:line="240" w:lineRule="auto"/>
        <w:ind w:firstLine="720"/>
        <w:rPr>
          <w:rFonts w:cs="Arial"/>
        </w:rPr>
      </w:pPr>
    </w:p>
    <w:p w14:paraId="61684F44" w14:textId="2D0A7D64" w:rsidR="00A640AC" w:rsidRPr="00E85F0E" w:rsidRDefault="00A640AC" w:rsidP="00807C9E">
      <w:pPr>
        <w:spacing w:afterLines="0" w:after="0" w:line="240" w:lineRule="auto"/>
        <w:ind w:firstLine="720"/>
        <w:rPr>
          <w:rFonts w:cs="Arial"/>
        </w:rPr>
      </w:pPr>
      <w:r w:rsidRPr="00E85F0E">
        <w:rPr>
          <w:rFonts w:cs="Arial"/>
        </w:rPr>
        <w:t>Төсвийн хүрээний мэдэгдлийг батлах үед тухайн төсвийн жилийн урьд оны төсвийн үлдэгдлийн эцсийн хэмжээ тодорхой болоогүй байдаг. Гэтэл төсвийн жилийн явцад урьд оны төсвийн үлдэгдэл бодитоор бий болж, түүнийг төсвийн зарцуулалтад ашиглах шаардлага үүсдэг. Иймд төсвийн хүрээний мэдэгдэл батлагдсаны дараа урьд оны төсвийн үлдэгдлийн хэмжээгээр нэмэлт эх үүсвэр бий болсон тохиолдолд уг эх үүсвэрийг төсвийн тогтвортой байдлын тусгай шаардлагыг зөрчихгүйгээр төсөвт тусгах эрх зүйн зохицуулалт шаардлагатай байна.</w:t>
      </w:r>
    </w:p>
    <w:p w14:paraId="59306DF9" w14:textId="77777777" w:rsidR="00807C9E" w:rsidRDefault="00807C9E" w:rsidP="00807C9E">
      <w:pPr>
        <w:spacing w:afterLines="0" w:after="0" w:line="240" w:lineRule="auto"/>
        <w:ind w:firstLine="720"/>
        <w:rPr>
          <w:rFonts w:cs="Arial"/>
        </w:rPr>
      </w:pPr>
    </w:p>
    <w:p w14:paraId="79B5C1CF" w14:textId="22ECCE7A" w:rsidR="00A640AC" w:rsidRPr="00E85F0E" w:rsidRDefault="00A640AC" w:rsidP="00807C9E">
      <w:pPr>
        <w:spacing w:afterLines="0" w:after="0" w:line="240" w:lineRule="auto"/>
        <w:ind w:firstLine="720"/>
        <w:rPr>
          <w:rFonts w:cs="Arial"/>
        </w:rPr>
      </w:pPr>
      <w:r w:rsidRPr="00E85F0E">
        <w:rPr>
          <w:rFonts w:cs="Arial"/>
        </w:rPr>
        <w:t xml:space="preserve">Төрийн болон орон нутгийн өмчит компанийн засаглалын тухай хууль </w:t>
      </w:r>
      <w:r w:rsidR="00807C9E">
        <w:rPr>
          <w:rFonts w:cs="Arial"/>
        </w:rPr>
        <w:t xml:space="preserve">         </w:t>
      </w:r>
      <w:r w:rsidRPr="00E85F0E">
        <w:rPr>
          <w:rFonts w:cs="Arial"/>
        </w:rPr>
        <w:t>2027 оноос хэрэгжиж эхлэх бөгөөд уг хуулийн дагуу арилжааны зорилго бүхий төрийн өмчит компани цэвэр ашгийнхаа 30-аас доошгүй хувийг ногдол ашиг хэлбэрээр хуваарилах зохицуулалт хэрэгжинэ. Түүнчлэн Монгол Улсын 2026 оны төсвийн тухай хуульд өөрчлөлт оруулах тухай хуулийн төсөлтэй хамт Үндэсний баялгийн сангийн тухай хуульд нэмэлт, өөрчлөлт оруулах хуулийн төслийг өргөн мэдүүлсэнтэй холбогдуулан уул уурхайн салбарт үйл ажиллагаа явуулж буй төрийн өмчит хуулийн этгээдээс улсын төсөвт төвлөрүүлэх ногдол ашгийн хэмжээг нэмэгдүүлэх эрх зүйн боломж бүрдэх юм.</w:t>
      </w:r>
    </w:p>
    <w:p w14:paraId="0BF76AA9" w14:textId="77777777" w:rsidR="00807C9E" w:rsidRDefault="00807C9E" w:rsidP="00807C9E">
      <w:pPr>
        <w:spacing w:afterLines="0" w:after="0" w:line="240" w:lineRule="auto"/>
        <w:ind w:firstLine="720"/>
        <w:rPr>
          <w:rFonts w:cs="Arial"/>
        </w:rPr>
      </w:pPr>
    </w:p>
    <w:p w14:paraId="4CD927CC" w14:textId="31F7D6C7" w:rsidR="00A640AC" w:rsidRPr="00E85F0E" w:rsidRDefault="00A640AC" w:rsidP="00807C9E">
      <w:pPr>
        <w:spacing w:afterLines="0" w:after="0" w:line="240" w:lineRule="auto"/>
        <w:ind w:firstLine="720"/>
        <w:rPr>
          <w:rFonts w:cs="Arial"/>
        </w:rPr>
      </w:pPr>
      <w:r w:rsidRPr="00E85F0E">
        <w:rPr>
          <w:rFonts w:cs="Arial"/>
        </w:rPr>
        <w:t>Үүний үр дүнд 2027 онд төсөвт 3,494.7 тэрбум төгрөгийн ногдол ашгийн орлого төвлөрүүлэхээр төлөвлөж байгаа бөгөөд үүнээс 748.8 тэрбум төгрөгийг Хуримтлалын санд, 162.6 тэрбум төгрөгийг орон нутгийн төсөвт, 3,334.7 тэрбум төгрөгийг улсын төсөвт тус тус төвлөрүүлэхээр байна.</w:t>
      </w:r>
    </w:p>
    <w:p w14:paraId="057AD9B1" w14:textId="77777777" w:rsidR="00807C9E" w:rsidRDefault="00807C9E" w:rsidP="00807C9E">
      <w:pPr>
        <w:spacing w:afterLines="0" w:after="0" w:line="240" w:lineRule="auto"/>
        <w:ind w:firstLine="720"/>
        <w:rPr>
          <w:rFonts w:cs="Arial"/>
        </w:rPr>
      </w:pPr>
    </w:p>
    <w:p w14:paraId="41D891DA" w14:textId="6D3791B3" w:rsidR="00A640AC" w:rsidRPr="00E85F0E" w:rsidRDefault="00A640AC" w:rsidP="00807C9E">
      <w:pPr>
        <w:spacing w:afterLines="0" w:after="0" w:line="240" w:lineRule="auto"/>
        <w:ind w:firstLine="720"/>
        <w:rPr>
          <w:rFonts w:cs="Arial"/>
        </w:rPr>
      </w:pPr>
      <w:r w:rsidRPr="00E85F0E">
        <w:rPr>
          <w:rFonts w:cs="Arial"/>
        </w:rPr>
        <w:t xml:space="preserve">Энэ хүрээнд Төсвийн тогтвортой байдлын тухай хуулийн 7 дугаар зүйлд </w:t>
      </w:r>
      <w:r w:rsidR="00807C9E">
        <w:rPr>
          <w:rFonts w:cs="Arial"/>
        </w:rPr>
        <w:t xml:space="preserve">        </w:t>
      </w:r>
      <w:r w:rsidRPr="00E85F0E">
        <w:rPr>
          <w:rFonts w:cs="Arial"/>
        </w:rPr>
        <w:t xml:space="preserve">7.9 дэх хэсгийг нэмэхээр тусгаж, Дунд хугацааны төсвийн хүрээний мэдэгдэл батлагдсанаас хойш уг мэдэгдлийг боловсруулахад тооцох боломжгүй нөхцөлөөс шалтгаалан бий болсон ногдол ашгийн орлого, </w:t>
      </w:r>
      <w:r>
        <w:rPr>
          <w:rFonts w:cs="Arial"/>
        </w:rPr>
        <w:t xml:space="preserve">орон нутгийн үнэт цаас, урьд оны үлдэгдлээс хамаарсан </w:t>
      </w:r>
      <w:r w:rsidRPr="00E85F0E">
        <w:rPr>
          <w:rFonts w:cs="Arial"/>
        </w:rPr>
        <w:t>эх үүсвэрээс шалтгаалсан нэмэгдлийн хэмжээгээр нэгдсэн төсвийн нийт зарлагын дээд хэмжээг нэмэгдүүлэн тооцох боломжийг бүрдүүлж байна. Ийнхүү нэмэгдүүлсэн хэмжээ нь Төсвийн тогтвортой байдлын тухай хуулийн 6 дугаар зүйлд заасан төсвийн тусгай шаардлагад хамаарахгүй байхаар зохицуулж байгаа нь шинээр бий болсон бодит орлогын эх үүсвэртэй уялдуулан төсвийн зарлагын дээд хязгаарыг зохистойгоор нэмэгдүүлэх эрх зүйн үндэслэл болно.</w:t>
      </w:r>
    </w:p>
    <w:p w14:paraId="560BFA82" w14:textId="77777777" w:rsidR="00807C9E" w:rsidRDefault="00807C9E" w:rsidP="00807C9E">
      <w:pPr>
        <w:spacing w:afterLines="0" w:after="0" w:line="240" w:lineRule="auto"/>
        <w:ind w:firstLine="720"/>
        <w:rPr>
          <w:rFonts w:cs="Arial"/>
        </w:rPr>
      </w:pPr>
    </w:p>
    <w:p w14:paraId="2C6042BF" w14:textId="07DD7631" w:rsidR="00A640AC" w:rsidRDefault="00A640AC" w:rsidP="00807C9E">
      <w:pPr>
        <w:spacing w:afterLines="0" w:after="0" w:line="240" w:lineRule="auto"/>
        <w:ind w:firstLine="720"/>
        <w:rPr>
          <w:rFonts w:cs="Arial"/>
        </w:rPr>
      </w:pPr>
      <w:r w:rsidRPr="00E85F0E">
        <w:rPr>
          <w:rFonts w:cs="Arial"/>
        </w:rPr>
        <w:t>Ингэснээр төрийн өмчит компанийн ашгийг төсөвт төвлөрүүлэх, Үндэсний баялгийн сангийн хуримтлалыг нэмэгдүүлэхийн зэрэгцээ нэмэлтээр бий болсон орлогыг төсвийн бодлогын зорилттой уялдуулан үр ашигтай зарцуулах боломж бүрдэх юм.</w:t>
      </w:r>
    </w:p>
    <w:p w14:paraId="32A44379" w14:textId="77777777" w:rsidR="00807C9E" w:rsidRDefault="00807C9E" w:rsidP="00807C9E">
      <w:pPr>
        <w:spacing w:afterLines="0" w:after="0" w:line="240" w:lineRule="auto"/>
        <w:ind w:firstLine="720"/>
        <w:rPr>
          <w:rFonts w:cs="Arial"/>
        </w:rPr>
      </w:pPr>
    </w:p>
    <w:p w14:paraId="1ABBA894" w14:textId="77777777" w:rsidR="00807C9E" w:rsidRDefault="00807C9E" w:rsidP="00807C9E">
      <w:pPr>
        <w:spacing w:afterLines="0" w:after="0" w:line="240" w:lineRule="auto"/>
        <w:ind w:firstLine="720"/>
        <w:rPr>
          <w:rFonts w:cs="Arial"/>
        </w:rPr>
      </w:pPr>
    </w:p>
    <w:p w14:paraId="13CAD189" w14:textId="74E05554" w:rsidR="00807C9E" w:rsidRDefault="00807C9E" w:rsidP="00807C9E">
      <w:pPr>
        <w:spacing w:afterLines="0" w:after="0" w:line="240" w:lineRule="auto"/>
        <w:ind w:firstLine="720"/>
        <w:jc w:val="center"/>
        <w:rPr>
          <w:rFonts w:cs="Arial"/>
        </w:rPr>
      </w:pPr>
      <w:r>
        <w:rPr>
          <w:rFonts w:cs="Arial"/>
        </w:rPr>
        <w:t>---оОо---</w:t>
      </w:r>
    </w:p>
    <w:sectPr w:rsidR="00807C9E" w:rsidSect="009921A9">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AC"/>
    <w:rsid w:val="0000222C"/>
    <w:rsid w:val="000034B7"/>
    <w:rsid w:val="00003ABD"/>
    <w:rsid w:val="00013D37"/>
    <w:rsid w:val="000259DD"/>
    <w:rsid w:val="000363EA"/>
    <w:rsid w:val="00037F9F"/>
    <w:rsid w:val="000434AE"/>
    <w:rsid w:val="00044E77"/>
    <w:rsid w:val="000452B5"/>
    <w:rsid w:val="00055716"/>
    <w:rsid w:val="00064AA3"/>
    <w:rsid w:val="00065F1C"/>
    <w:rsid w:val="0006610F"/>
    <w:rsid w:val="00076764"/>
    <w:rsid w:val="00077586"/>
    <w:rsid w:val="000A34F0"/>
    <w:rsid w:val="000A670E"/>
    <w:rsid w:val="000B0D06"/>
    <w:rsid w:val="000B28E5"/>
    <w:rsid w:val="000C1F3D"/>
    <w:rsid w:val="000C4A5D"/>
    <w:rsid w:val="000D55A5"/>
    <w:rsid w:val="000E1FD5"/>
    <w:rsid w:val="000E3269"/>
    <w:rsid w:val="000E32E8"/>
    <w:rsid w:val="000F687C"/>
    <w:rsid w:val="001029FF"/>
    <w:rsid w:val="00103EA7"/>
    <w:rsid w:val="001050E0"/>
    <w:rsid w:val="00111D4E"/>
    <w:rsid w:val="00120B33"/>
    <w:rsid w:val="0013575E"/>
    <w:rsid w:val="00146E68"/>
    <w:rsid w:val="00151B32"/>
    <w:rsid w:val="001637FD"/>
    <w:rsid w:val="00170300"/>
    <w:rsid w:val="00172B4D"/>
    <w:rsid w:val="0018188D"/>
    <w:rsid w:val="0019761A"/>
    <w:rsid w:val="001B0860"/>
    <w:rsid w:val="001B398F"/>
    <w:rsid w:val="001C40E3"/>
    <w:rsid w:val="001D2CE8"/>
    <w:rsid w:val="001E10EC"/>
    <w:rsid w:val="001F6B29"/>
    <w:rsid w:val="0020093D"/>
    <w:rsid w:val="00201016"/>
    <w:rsid w:val="00202C9D"/>
    <w:rsid w:val="00207C75"/>
    <w:rsid w:val="002118A1"/>
    <w:rsid w:val="00212915"/>
    <w:rsid w:val="00221295"/>
    <w:rsid w:val="00227D63"/>
    <w:rsid w:val="002562F8"/>
    <w:rsid w:val="00260707"/>
    <w:rsid w:val="00261E77"/>
    <w:rsid w:val="002658AB"/>
    <w:rsid w:val="00291564"/>
    <w:rsid w:val="0029271E"/>
    <w:rsid w:val="002967A2"/>
    <w:rsid w:val="002A0C7B"/>
    <w:rsid w:val="002A197D"/>
    <w:rsid w:val="002A60B4"/>
    <w:rsid w:val="002B0F38"/>
    <w:rsid w:val="002C3696"/>
    <w:rsid w:val="002D1DEE"/>
    <w:rsid w:val="002D424E"/>
    <w:rsid w:val="002E2BAB"/>
    <w:rsid w:val="002E2F5B"/>
    <w:rsid w:val="002F6A0F"/>
    <w:rsid w:val="00306598"/>
    <w:rsid w:val="00311899"/>
    <w:rsid w:val="0031379F"/>
    <w:rsid w:val="00314181"/>
    <w:rsid w:val="003143B3"/>
    <w:rsid w:val="003238A0"/>
    <w:rsid w:val="00323992"/>
    <w:rsid w:val="003301BF"/>
    <w:rsid w:val="00364858"/>
    <w:rsid w:val="00374C4D"/>
    <w:rsid w:val="00377007"/>
    <w:rsid w:val="003771F4"/>
    <w:rsid w:val="00394930"/>
    <w:rsid w:val="003A1D56"/>
    <w:rsid w:val="003A369E"/>
    <w:rsid w:val="003A525C"/>
    <w:rsid w:val="003A5974"/>
    <w:rsid w:val="003B4CCB"/>
    <w:rsid w:val="003B7638"/>
    <w:rsid w:val="003E5C23"/>
    <w:rsid w:val="003F0831"/>
    <w:rsid w:val="003F4E76"/>
    <w:rsid w:val="003F5086"/>
    <w:rsid w:val="003F5A6E"/>
    <w:rsid w:val="004008FA"/>
    <w:rsid w:val="00403D5E"/>
    <w:rsid w:val="004178F3"/>
    <w:rsid w:val="004233FC"/>
    <w:rsid w:val="00430ACF"/>
    <w:rsid w:val="0046474E"/>
    <w:rsid w:val="00467C36"/>
    <w:rsid w:val="00472FB0"/>
    <w:rsid w:val="00492681"/>
    <w:rsid w:val="004A6178"/>
    <w:rsid w:val="004A681F"/>
    <w:rsid w:val="004A6EE6"/>
    <w:rsid w:val="004C11ED"/>
    <w:rsid w:val="004C22C2"/>
    <w:rsid w:val="004D07FB"/>
    <w:rsid w:val="004F5FE9"/>
    <w:rsid w:val="004F7916"/>
    <w:rsid w:val="005028D3"/>
    <w:rsid w:val="00505A23"/>
    <w:rsid w:val="005113C6"/>
    <w:rsid w:val="005140F3"/>
    <w:rsid w:val="00523C0C"/>
    <w:rsid w:val="0052731C"/>
    <w:rsid w:val="005303F6"/>
    <w:rsid w:val="005329A0"/>
    <w:rsid w:val="00543296"/>
    <w:rsid w:val="00545B93"/>
    <w:rsid w:val="00556777"/>
    <w:rsid w:val="00576C6F"/>
    <w:rsid w:val="005837A2"/>
    <w:rsid w:val="00586186"/>
    <w:rsid w:val="005A3BA4"/>
    <w:rsid w:val="005A5FC2"/>
    <w:rsid w:val="005B65CE"/>
    <w:rsid w:val="005B7436"/>
    <w:rsid w:val="005C1E87"/>
    <w:rsid w:val="005D4153"/>
    <w:rsid w:val="005D5D67"/>
    <w:rsid w:val="005D63D9"/>
    <w:rsid w:val="005F3FA6"/>
    <w:rsid w:val="005F6C00"/>
    <w:rsid w:val="00603C1E"/>
    <w:rsid w:val="00603DDC"/>
    <w:rsid w:val="00603EDD"/>
    <w:rsid w:val="00605221"/>
    <w:rsid w:val="006166B8"/>
    <w:rsid w:val="00623187"/>
    <w:rsid w:val="00633430"/>
    <w:rsid w:val="006338EA"/>
    <w:rsid w:val="0063530A"/>
    <w:rsid w:val="006405BE"/>
    <w:rsid w:val="00640CFA"/>
    <w:rsid w:val="00646B5E"/>
    <w:rsid w:val="00646CAE"/>
    <w:rsid w:val="00653419"/>
    <w:rsid w:val="00653E50"/>
    <w:rsid w:val="00653F39"/>
    <w:rsid w:val="006578E8"/>
    <w:rsid w:val="00663EA2"/>
    <w:rsid w:val="00673DA1"/>
    <w:rsid w:val="0067635D"/>
    <w:rsid w:val="00697F48"/>
    <w:rsid w:val="006C7AE1"/>
    <w:rsid w:val="006D7B9A"/>
    <w:rsid w:val="006E3416"/>
    <w:rsid w:val="006F6F8A"/>
    <w:rsid w:val="00701056"/>
    <w:rsid w:val="00702B66"/>
    <w:rsid w:val="0071528C"/>
    <w:rsid w:val="007239AA"/>
    <w:rsid w:val="007400D6"/>
    <w:rsid w:val="00741F32"/>
    <w:rsid w:val="00761C8D"/>
    <w:rsid w:val="00770B49"/>
    <w:rsid w:val="00772553"/>
    <w:rsid w:val="007728D9"/>
    <w:rsid w:val="007740A1"/>
    <w:rsid w:val="007753F4"/>
    <w:rsid w:val="00776DA1"/>
    <w:rsid w:val="00781785"/>
    <w:rsid w:val="007B524C"/>
    <w:rsid w:val="007C6E14"/>
    <w:rsid w:val="007D349C"/>
    <w:rsid w:val="007D4807"/>
    <w:rsid w:val="007D6410"/>
    <w:rsid w:val="007E2835"/>
    <w:rsid w:val="007E3D8E"/>
    <w:rsid w:val="007F2BB7"/>
    <w:rsid w:val="00804D4B"/>
    <w:rsid w:val="00804EAA"/>
    <w:rsid w:val="00807C9E"/>
    <w:rsid w:val="008143AB"/>
    <w:rsid w:val="00816062"/>
    <w:rsid w:val="0083025D"/>
    <w:rsid w:val="00831912"/>
    <w:rsid w:val="008449C4"/>
    <w:rsid w:val="00844E4D"/>
    <w:rsid w:val="008468A9"/>
    <w:rsid w:val="0085519A"/>
    <w:rsid w:val="00862C56"/>
    <w:rsid w:val="00872E71"/>
    <w:rsid w:val="00893498"/>
    <w:rsid w:val="008E37D3"/>
    <w:rsid w:val="008E4826"/>
    <w:rsid w:val="008E4B60"/>
    <w:rsid w:val="008E5EA6"/>
    <w:rsid w:val="008F1CBA"/>
    <w:rsid w:val="008F1EA0"/>
    <w:rsid w:val="00900E43"/>
    <w:rsid w:val="00916F43"/>
    <w:rsid w:val="0092157A"/>
    <w:rsid w:val="009231E3"/>
    <w:rsid w:val="00923D9A"/>
    <w:rsid w:val="00926253"/>
    <w:rsid w:val="00931EAF"/>
    <w:rsid w:val="00935D37"/>
    <w:rsid w:val="00940F19"/>
    <w:rsid w:val="00942A21"/>
    <w:rsid w:val="009515B1"/>
    <w:rsid w:val="009576A6"/>
    <w:rsid w:val="00963E03"/>
    <w:rsid w:val="0096784C"/>
    <w:rsid w:val="009703B1"/>
    <w:rsid w:val="00970463"/>
    <w:rsid w:val="00970537"/>
    <w:rsid w:val="0097405E"/>
    <w:rsid w:val="00974877"/>
    <w:rsid w:val="009830B1"/>
    <w:rsid w:val="00986059"/>
    <w:rsid w:val="00986825"/>
    <w:rsid w:val="009870A8"/>
    <w:rsid w:val="009921A9"/>
    <w:rsid w:val="00996A42"/>
    <w:rsid w:val="009A676D"/>
    <w:rsid w:val="009D13AC"/>
    <w:rsid w:val="009E4C0F"/>
    <w:rsid w:val="009E5545"/>
    <w:rsid w:val="009F6E53"/>
    <w:rsid w:val="00A01123"/>
    <w:rsid w:val="00A11339"/>
    <w:rsid w:val="00A15339"/>
    <w:rsid w:val="00A17FF4"/>
    <w:rsid w:val="00A4728A"/>
    <w:rsid w:val="00A53CB3"/>
    <w:rsid w:val="00A5460D"/>
    <w:rsid w:val="00A640AC"/>
    <w:rsid w:val="00A652CA"/>
    <w:rsid w:val="00A673A9"/>
    <w:rsid w:val="00A72C3C"/>
    <w:rsid w:val="00A75A1E"/>
    <w:rsid w:val="00A81324"/>
    <w:rsid w:val="00A840ED"/>
    <w:rsid w:val="00AA5DF9"/>
    <w:rsid w:val="00AB261B"/>
    <w:rsid w:val="00AC606F"/>
    <w:rsid w:val="00AD2353"/>
    <w:rsid w:val="00AE25B3"/>
    <w:rsid w:val="00AF4434"/>
    <w:rsid w:val="00AF7B62"/>
    <w:rsid w:val="00B11EAD"/>
    <w:rsid w:val="00B36B15"/>
    <w:rsid w:val="00B37174"/>
    <w:rsid w:val="00B43A3C"/>
    <w:rsid w:val="00B44974"/>
    <w:rsid w:val="00B51890"/>
    <w:rsid w:val="00B550B0"/>
    <w:rsid w:val="00B5524A"/>
    <w:rsid w:val="00B6106A"/>
    <w:rsid w:val="00B70BCD"/>
    <w:rsid w:val="00B77B9E"/>
    <w:rsid w:val="00B87B2A"/>
    <w:rsid w:val="00B923A2"/>
    <w:rsid w:val="00B96BC1"/>
    <w:rsid w:val="00BA0AB5"/>
    <w:rsid w:val="00BB1C63"/>
    <w:rsid w:val="00BC446B"/>
    <w:rsid w:val="00C01170"/>
    <w:rsid w:val="00C21739"/>
    <w:rsid w:val="00C36B40"/>
    <w:rsid w:val="00C403F5"/>
    <w:rsid w:val="00C46043"/>
    <w:rsid w:val="00C522F0"/>
    <w:rsid w:val="00C61A77"/>
    <w:rsid w:val="00C64C7C"/>
    <w:rsid w:val="00C653C4"/>
    <w:rsid w:val="00C802F4"/>
    <w:rsid w:val="00CA31BF"/>
    <w:rsid w:val="00CA6F77"/>
    <w:rsid w:val="00CB51A4"/>
    <w:rsid w:val="00CB74C1"/>
    <w:rsid w:val="00CC22BC"/>
    <w:rsid w:val="00CC2CB2"/>
    <w:rsid w:val="00CE3717"/>
    <w:rsid w:val="00CE7284"/>
    <w:rsid w:val="00CF6977"/>
    <w:rsid w:val="00D01CF9"/>
    <w:rsid w:val="00D10AEF"/>
    <w:rsid w:val="00D12D53"/>
    <w:rsid w:val="00D207E2"/>
    <w:rsid w:val="00D3276A"/>
    <w:rsid w:val="00D47CAA"/>
    <w:rsid w:val="00D50902"/>
    <w:rsid w:val="00D5458B"/>
    <w:rsid w:val="00D5690D"/>
    <w:rsid w:val="00D6137A"/>
    <w:rsid w:val="00D65FCD"/>
    <w:rsid w:val="00D6637F"/>
    <w:rsid w:val="00D70E38"/>
    <w:rsid w:val="00D71047"/>
    <w:rsid w:val="00D81D11"/>
    <w:rsid w:val="00D9032D"/>
    <w:rsid w:val="00D972AE"/>
    <w:rsid w:val="00DB65E8"/>
    <w:rsid w:val="00DC49CD"/>
    <w:rsid w:val="00DC4AF5"/>
    <w:rsid w:val="00DD2634"/>
    <w:rsid w:val="00DD4EDC"/>
    <w:rsid w:val="00DE7EE4"/>
    <w:rsid w:val="00DF0BED"/>
    <w:rsid w:val="00DF1776"/>
    <w:rsid w:val="00DF1FFA"/>
    <w:rsid w:val="00E00FE8"/>
    <w:rsid w:val="00E01DE2"/>
    <w:rsid w:val="00E052E4"/>
    <w:rsid w:val="00E07555"/>
    <w:rsid w:val="00E1206B"/>
    <w:rsid w:val="00E16941"/>
    <w:rsid w:val="00E22853"/>
    <w:rsid w:val="00E23EB2"/>
    <w:rsid w:val="00E261C0"/>
    <w:rsid w:val="00E34BE3"/>
    <w:rsid w:val="00E3799E"/>
    <w:rsid w:val="00E56586"/>
    <w:rsid w:val="00E61456"/>
    <w:rsid w:val="00E6376A"/>
    <w:rsid w:val="00E7140B"/>
    <w:rsid w:val="00E7382D"/>
    <w:rsid w:val="00E7488B"/>
    <w:rsid w:val="00E7723B"/>
    <w:rsid w:val="00E824C5"/>
    <w:rsid w:val="00E862E7"/>
    <w:rsid w:val="00E93EAD"/>
    <w:rsid w:val="00E97929"/>
    <w:rsid w:val="00EA25D8"/>
    <w:rsid w:val="00EB0A31"/>
    <w:rsid w:val="00EB1B36"/>
    <w:rsid w:val="00EC6CD7"/>
    <w:rsid w:val="00ED5F7F"/>
    <w:rsid w:val="00ED71BA"/>
    <w:rsid w:val="00ED7987"/>
    <w:rsid w:val="00EE383E"/>
    <w:rsid w:val="00EE793A"/>
    <w:rsid w:val="00F12718"/>
    <w:rsid w:val="00F23EC5"/>
    <w:rsid w:val="00F40C80"/>
    <w:rsid w:val="00F411BD"/>
    <w:rsid w:val="00F43656"/>
    <w:rsid w:val="00F45C00"/>
    <w:rsid w:val="00F52C49"/>
    <w:rsid w:val="00F538E9"/>
    <w:rsid w:val="00F5706E"/>
    <w:rsid w:val="00F75643"/>
    <w:rsid w:val="00F76F81"/>
    <w:rsid w:val="00F87C10"/>
    <w:rsid w:val="00F96535"/>
    <w:rsid w:val="00F96CA7"/>
    <w:rsid w:val="00FA453C"/>
    <w:rsid w:val="00FA6A2D"/>
    <w:rsid w:val="00FB3A2F"/>
    <w:rsid w:val="00FC261C"/>
    <w:rsid w:val="00FC427D"/>
    <w:rsid w:val="00FD60DE"/>
    <w:rsid w:val="00FD7D99"/>
    <w:rsid w:val="00FE212C"/>
    <w:rsid w:val="00FE30E1"/>
    <w:rsid w:val="00FE3E69"/>
    <w:rsid w:val="00FE47A2"/>
    <w:rsid w:val="00FF356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AA1A"/>
  <w15:chartTrackingRefBased/>
  <w15:docId w15:val="{6BDC03CD-6576-413A-AE95-9BCA32F6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AC"/>
    <w:pPr>
      <w:spacing w:afterLines="120" w:after="120" w:line="259" w:lineRule="auto"/>
      <w:jc w:val="both"/>
    </w:pPr>
    <w:rPr>
      <w:rFonts w:ascii="Arial" w:eastAsia="MS Mincho" w:hAnsi="Arial"/>
      <w:szCs w:val="22"/>
      <w:lang w:val="mn-MN"/>
    </w:rPr>
  </w:style>
  <w:style w:type="paragraph" w:styleId="Heading1">
    <w:name w:val="heading 1"/>
    <w:basedOn w:val="Normal"/>
    <w:next w:val="Normal"/>
    <w:link w:val="Heading1Char"/>
    <w:uiPriority w:val="9"/>
    <w:qFormat/>
    <w:rsid w:val="00A640AC"/>
    <w:pPr>
      <w:keepNext/>
      <w:keepLines/>
      <w:spacing w:before="360" w:afterLines="0" w:after="80" w:line="278" w:lineRule="auto"/>
      <w:jc w:val="left"/>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unhideWhenUsed/>
    <w:qFormat/>
    <w:rsid w:val="00A640AC"/>
    <w:pPr>
      <w:keepNext/>
      <w:keepLines/>
      <w:spacing w:before="160" w:afterLines="0" w:after="80" w:line="278" w:lineRule="auto"/>
      <w:jc w:val="left"/>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A640AC"/>
    <w:pPr>
      <w:keepNext/>
      <w:keepLines/>
      <w:spacing w:before="160" w:afterLines="0" w:after="80" w:line="278" w:lineRule="auto"/>
      <w:jc w:val="left"/>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A640AC"/>
    <w:pPr>
      <w:keepNext/>
      <w:keepLines/>
      <w:spacing w:before="80" w:afterLines="0" w:after="40" w:line="278" w:lineRule="auto"/>
      <w:jc w:val="left"/>
      <w:outlineLvl w:val="3"/>
    </w:pPr>
    <w:rPr>
      <w:rFonts w:asciiTheme="minorHAnsi" w:eastAsiaTheme="majorEastAsia" w:hAnsiTheme="minorHAnsi" w:cstheme="majorBidi"/>
      <w:i/>
      <w:iCs/>
      <w:color w:val="0F4761" w:themeColor="accent1" w:themeShade="BF"/>
      <w:szCs w:val="24"/>
      <w:lang w:val="en-US"/>
    </w:rPr>
  </w:style>
  <w:style w:type="paragraph" w:styleId="Heading5">
    <w:name w:val="heading 5"/>
    <w:basedOn w:val="Normal"/>
    <w:next w:val="Normal"/>
    <w:link w:val="Heading5Char"/>
    <w:uiPriority w:val="9"/>
    <w:semiHidden/>
    <w:unhideWhenUsed/>
    <w:qFormat/>
    <w:rsid w:val="00A640AC"/>
    <w:pPr>
      <w:keepNext/>
      <w:keepLines/>
      <w:spacing w:before="80" w:afterLines="0" w:after="40" w:line="278" w:lineRule="auto"/>
      <w:jc w:val="left"/>
      <w:outlineLvl w:val="4"/>
    </w:pPr>
    <w:rPr>
      <w:rFonts w:asciiTheme="minorHAnsi" w:eastAsiaTheme="majorEastAsia" w:hAnsiTheme="minorHAnsi" w:cstheme="majorBidi"/>
      <w:color w:val="0F4761" w:themeColor="accent1" w:themeShade="BF"/>
      <w:szCs w:val="24"/>
      <w:lang w:val="en-US"/>
    </w:rPr>
  </w:style>
  <w:style w:type="paragraph" w:styleId="Heading6">
    <w:name w:val="heading 6"/>
    <w:basedOn w:val="Normal"/>
    <w:next w:val="Normal"/>
    <w:link w:val="Heading6Char"/>
    <w:uiPriority w:val="9"/>
    <w:semiHidden/>
    <w:unhideWhenUsed/>
    <w:qFormat/>
    <w:rsid w:val="00A640AC"/>
    <w:pPr>
      <w:keepNext/>
      <w:keepLines/>
      <w:spacing w:before="40" w:afterLines="0" w:after="0" w:line="278" w:lineRule="auto"/>
      <w:jc w:val="left"/>
      <w:outlineLvl w:val="5"/>
    </w:pPr>
    <w:rPr>
      <w:rFonts w:asciiTheme="minorHAnsi" w:eastAsiaTheme="majorEastAsia" w:hAnsiTheme="minorHAnsi" w:cstheme="majorBidi"/>
      <w:i/>
      <w:iCs/>
      <w:color w:val="595959" w:themeColor="text1" w:themeTint="A6"/>
      <w:szCs w:val="24"/>
      <w:lang w:val="en-US"/>
    </w:rPr>
  </w:style>
  <w:style w:type="paragraph" w:styleId="Heading7">
    <w:name w:val="heading 7"/>
    <w:basedOn w:val="Normal"/>
    <w:next w:val="Normal"/>
    <w:link w:val="Heading7Char"/>
    <w:uiPriority w:val="9"/>
    <w:semiHidden/>
    <w:unhideWhenUsed/>
    <w:qFormat/>
    <w:rsid w:val="00A640AC"/>
    <w:pPr>
      <w:keepNext/>
      <w:keepLines/>
      <w:spacing w:before="40" w:afterLines="0" w:after="0" w:line="278" w:lineRule="auto"/>
      <w:jc w:val="left"/>
      <w:outlineLvl w:val="6"/>
    </w:pPr>
    <w:rPr>
      <w:rFonts w:asciiTheme="minorHAnsi" w:eastAsiaTheme="majorEastAsia" w:hAnsiTheme="minorHAnsi" w:cstheme="majorBidi"/>
      <w:color w:val="595959" w:themeColor="text1" w:themeTint="A6"/>
      <w:szCs w:val="24"/>
      <w:lang w:val="en-US"/>
    </w:rPr>
  </w:style>
  <w:style w:type="paragraph" w:styleId="Heading8">
    <w:name w:val="heading 8"/>
    <w:basedOn w:val="Normal"/>
    <w:next w:val="Normal"/>
    <w:link w:val="Heading8Char"/>
    <w:uiPriority w:val="9"/>
    <w:semiHidden/>
    <w:unhideWhenUsed/>
    <w:qFormat/>
    <w:rsid w:val="00A640AC"/>
    <w:pPr>
      <w:keepNext/>
      <w:keepLines/>
      <w:spacing w:afterLines="0" w:after="0" w:line="278" w:lineRule="auto"/>
      <w:jc w:val="left"/>
      <w:outlineLvl w:val="7"/>
    </w:pPr>
    <w:rPr>
      <w:rFonts w:asciiTheme="minorHAnsi" w:eastAsiaTheme="majorEastAsia" w:hAnsiTheme="minorHAnsi" w:cstheme="majorBidi"/>
      <w:i/>
      <w:iCs/>
      <w:color w:val="272727" w:themeColor="text1" w:themeTint="D8"/>
      <w:szCs w:val="24"/>
      <w:lang w:val="en-US"/>
    </w:rPr>
  </w:style>
  <w:style w:type="paragraph" w:styleId="Heading9">
    <w:name w:val="heading 9"/>
    <w:basedOn w:val="Normal"/>
    <w:next w:val="Normal"/>
    <w:link w:val="Heading9Char"/>
    <w:uiPriority w:val="9"/>
    <w:semiHidden/>
    <w:unhideWhenUsed/>
    <w:qFormat/>
    <w:rsid w:val="00A640AC"/>
    <w:pPr>
      <w:keepNext/>
      <w:keepLines/>
      <w:spacing w:afterLines="0" w:after="0" w:line="278" w:lineRule="auto"/>
      <w:jc w:val="left"/>
      <w:outlineLvl w:val="8"/>
    </w:pPr>
    <w:rPr>
      <w:rFonts w:asciiTheme="minorHAnsi" w:eastAsiaTheme="majorEastAsia" w:hAnsiTheme="minorHAnsi" w:cstheme="majorBidi"/>
      <w:color w:val="272727" w:themeColor="text1" w:themeTint="D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40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0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0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0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0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0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0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0AC"/>
    <w:rPr>
      <w:rFonts w:eastAsiaTheme="majorEastAsia" w:cstheme="majorBidi"/>
      <w:color w:val="272727" w:themeColor="text1" w:themeTint="D8"/>
    </w:rPr>
  </w:style>
  <w:style w:type="paragraph" w:styleId="Title">
    <w:name w:val="Title"/>
    <w:basedOn w:val="Normal"/>
    <w:next w:val="Normal"/>
    <w:link w:val="TitleChar"/>
    <w:uiPriority w:val="10"/>
    <w:qFormat/>
    <w:rsid w:val="00A640AC"/>
    <w:pPr>
      <w:spacing w:afterLines="0" w:after="8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64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0AC"/>
    <w:pPr>
      <w:numPr>
        <w:ilvl w:val="1"/>
      </w:numPr>
      <w:spacing w:afterLines="0" w:after="160" w:line="278" w:lineRule="auto"/>
      <w:jc w:val="left"/>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640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0AC"/>
    <w:pPr>
      <w:spacing w:before="160" w:afterLines="0" w:after="160" w:line="278" w:lineRule="auto"/>
      <w:jc w:val="center"/>
    </w:pPr>
    <w:rPr>
      <w:rFonts w:asciiTheme="minorHAnsi" w:eastAsiaTheme="minorHAnsi" w:hAnsiTheme="minorHAnsi"/>
      <w:i/>
      <w:iCs/>
      <w:color w:val="404040" w:themeColor="text1" w:themeTint="BF"/>
      <w:szCs w:val="24"/>
      <w:lang w:val="en-US"/>
    </w:rPr>
  </w:style>
  <w:style w:type="character" w:customStyle="1" w:styleId="QuoteChar">
    <w:name w:val="Quote Char"/>
    <w:basedOn w:val="DefaultParagraphFont"/>
    <w:link w:val="Quote"/>
    <w:uiPriority w:val="29"/>
    <w:rsid w:val="00A640AC"/>
    <w:rPr>
      <w:i/>
      <w:iCs/>
      <w:color w:val="404040" w:themeColor="text1" w:themeTint="BF"/>
    </w:rPr>
  </w:style>
  <w:style w:type="paragraph" w:styleId="ListParagraph">
    <w:name w:val="List Paragraph"/>
    <w:basedOn w:val="Normal"/>
    <w:uiPriority w:val="34"/>
    <w:qFormat/>
    <w:rsid w:val="00A640AC"/>
    <w:pPr>
      <w:spacing w:afterLines="0" w:after="160" w:line="278" w:lineRule="auto"/>
      <w:ind w:left="720"/>
      <w:contextualSpacing/>
      <w:jc w:val="left"/>
    </w:pPr>
    <w:rPr>
      <w:rFonts w:asciiTheme="minorHAnsi" w:eastAsiaTheme="minorHAnsi" w:hAnsiTheme="minorHAnsi"/>
      <w:szCs w:val="24"/>
      <w:lang w:val="en-US"/>
    </w:rPr>
  </w:style>
  <w:style w:type="character" w:styleId="IntenseEmphasis">
    <w:name w:val="Intense Emphasis"/>
    <w:basedOn w:val="DefaultParagraphFont"/>
    <w:uiPriority w:val="21"/>
    <w:qFormat/>
    <w:rsid w:val="00A640AC"/>
    <w:rPr>
      <w:i/>
      <w:iCs/>
      <w:color w:val="0F4761" w:themeColor="accent1" w:themeShade="BF"/>
    </w:rPr>
  </w:style>
  <w:style w:type="paragraph" w:styleId="IntenseQuote">
    <w:name w:val="Intense Quote"/>
    <w:basedOn w:val="Normal"/>
    <w:next w:val="Normal"/>
    <w:link w:val="IntenseQuoteChar"/>
    <w:uiPriority w:val="30"/>
    <w:qFormat/>
    <w:rsid w:val="00A640AC"/>
    <w:pPr>
      <w:pBdr>
        <w:top w:val="single" w:sz="4" w:space="10" w:color="0F4761" w:themeColor="accent1" w:themeShade="BF"/>
        <w:bottom w:val="single" w:sz="4" w:space="10" w:color="0F4761" w:themeColor="accent1" w:themeShade="BF"/>
      </w:pBdr>
      <w:spacing w:before="360" w:afterLines="0" w:after="360" w:line="278" w:lineRule="auto"/>
      <w:ind w:left="864" w:right="864"/>
      <w:jc w:val="center"/>
    </w:pPr>
    <w:rPr>
      <w:rFonts w:asciiTheme="minorHAnsi" w:eastAsiaTheme="minorHAnsi" w:hAnsiTheme="minorHAnsi"/>
      <w:i/>
      <w:iCs/>
      <w:color w:val="0F4761" w:themeColor="accent1" w:themeShade="BF"/>
      <w:szCs w:val="24"/>
      <w:lang w:val="en-US"/>
    </w:rPr>
  </w:style>
  <w:style w:type="character" w:customStyle="1" w:styleId="IntenseQuoteChar">
    <w:name w:val="Intense Quote Char"/>
    <w:basedOn w:val="DefaultParagraphFont"/>
    <w:link w:val="IntenseQuote"/>
    <w:uiPriority w:val="30"/>
    <w:rsid w:val="00A640AC"/>
    <w:rPr>
      <w:i/>
      <w:iCs/>
      <w:color w:val="0F4761" w:themeColor="accent1" w:themeShade="BF"/>
    </w:rPr>
  </w:style>
  <w:style w:type="character" w:styleId="IntenseReference">
    <w:name w:val="Intense Reference"/>
    <w:basedOn w:val="DefaultParagraphFont"/>
    <w:uiPriority w:val="32"/>
    <w:qFormat/>
    <w:rsid w:val="00A640AC"/>
    <w:rPr>
      <w:b/>
      <w:bCs/>
      <w:smallCaps/>
      <w:color w:val="0F4761" w:themeColor="accent1" w:themeShade="BF"/>
      <w:spacing w:val="5"/>
    </w:rPr>
  </w:style>
  <w:style w:type="paragraph" w:customStyle="1" w:styleId="paragraph">
    <w:name w:val="paragraph"/>
    <w:basedOn w:val="Normal"/>
    <w:qFormat/>
    <w:rsid w:val="00A640AC"/>
    <w:pPr>
      <w:spacing w:before="100" w:beforeAutospacing="1" w:afterLines="0" w:after="100" w:afterAutospacing="1" w:line="240" w:lineRule="auto"/>
      <w:jc w:val="left"/>
    </w:pPr>
    <w:rPr>
      <w:rFonts w:ascii="Times New Roman" w:eastAsia="Times New Roman" w:hAnsi="Times New Roman" w:cs="Times New Roman"/>
      <w:kern w:val="0"/>
      <w:szCs w:val="24"/>
      <w:lang w:val="en-US" w:eastAsia="zh-CN"/>
      <w14:ligatures w14:val="none"/>
    </w:rPr>
  </w:style>
  <w:style w:type="character" w:customStyle="1" w:styleId="normaltextrun">
    <w:name w:val="normaltextrun"/>
    <w:basedOn w:val="DefaultParagraphFont"/>
    <w:rsid w:val="00A640AC"/>
  </w:style>
  <w:style w:type="character" w:customStyle="1" w:styleId="tabchar">
    <w:name w:val="tabchar"/>
    <w:basedOn w:val="DefaultParagraphFont"/>
    <w:rsid w:val="00A64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Пүрэвдэлгэр Батжаргал</dc:creator>
  <cp:keywords/>
  <dc:description/>
  <cp:lastModifiedBy>Macintosh</cp:lastModifiedBy>
  <cp:revision>2</cp:revision>
  <dcterms:created xsi:type="dcterms:W3CDTF">2026-09-01T02:25:00Z</dcterms:created>
  <dcterms:modified xsi:type="dcterms:W3CDTF">2026-09-01T02:25:00Z</dcterms:modified>
</cp:coreProperties>
</file>