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6EB0D" w14:textId="77777777" w:rsidR="005C44C3" w:rsidRPr="00B76325" w:rsidRDefault="005C44C3" w:rsidP="005C44C3">
      <w:pPr>
        <w:spacing w:after="0"/>
        <w:jc w:val="center"/>
        <w:rPr>
          <w:rFonts w:ascii="Arial" w:hAnsi="Arial" w:cs="Arial"/>
          <w:b/>
          <w:bCs/>
          <w:noProof/>
          <w:color w:val="000000" w:themeColor="text1"/>
          <w:sz w:val="22"/>
          <w:szCs w:val="22"/>
          <w:lang w:val="mn-MN"/>
        </w:rPr>
      </w:pPr>
      <w:r w:rsidRPr="00B76325">
        <w:rPr>
          <w:rFonts w:ascii="Arial" w:hAnsi="Arial" w:cs="Arial"/>
          <w:b/>
          <w:bCs/>
          <w:noProof/>
          <w:color w:val="000000" w:themeColor="text1"/>
          <w:sz w:val="22"/>
          <w:szCs w:val="22"/>
          <w:lang w:val="mn-MN"/>
        </w:rPr>
        <w:t>ИРГЭНИЙ ХЭРЭГ ШҮҮХЭД ХЯНАН ШИЙДВЭРЛЭХ ТУХАЙ ХУУЛЬД НЭМЭЛТ ӨӨРЧЛӨЛТ ОРУУЛАХ</w:t>
      </w:r>
    </w:p>
    <w:p w14:paraId="0BF40726" w14:textId="77777777" w:rsidR="005C44C3" w:rsidRPr="00B76325" w:rsidRDefault="005C44C3" w:rsidP="005C44C3">
      <w:pPr>
        <w:jc w:val="center"/>
        <w:rPr>
          <w:rFonts w:ascii="Arial" w:hAnsi="Arial" w:cs="Arial"/>
          <w:b/>
          <w:bCs/>
          <w:noProof/>
          <w:color w:val="000000" w:themeColor="text1"/>
          <w:sz w:val="22"/>
          <w:szCs w:val="22"/>
          <w:lang w:val="mn-MN"/>
        </w:rPr>
      </w:pPr>
      <w:r w:rsidRPr="00B76325">
        <w:rPr>
          <w:rFonts w:ascii="Arial" w:hAnsi="Arial" w:cs="Arial"/>
          <w:b/>
          <w:bCs/>
          <w:noProof/>
          <w:color w:val="000000" w:themeColor="text1"/>
          <w:sz w:val="22"/>
          <w:szCs w:val="22"/>
          <w:lang w:val="mn-MN"/>
        </w:rPr>
        <w:t xml:space="preserve">ТУХАЙ ХУУЛИЙН ТӨСӨЛД </w:t>
      </w:r>
      <w:r>
        <w:rPr>
          <w:rFonts w:ascii="Arial" w:hAnsi="Arial" w:cs="Arial"/>
          <w:b/>
          <w:bCs/>
          <w:caps/>
          <w:noProof/>
          <w:color w:val="000000" w:themeColor="text1"/>
          <w:sz w:val="22"/>
          <w:szCs w:val="22"/>
          <w:lang w:val="mn-MN"/>
        </w:rPr>
        <w:t>ОЛОН НИЙТЭЭ</w:t>
      </w:r>
      <w:r w:rsidRPr="00B76325">
        <w:rPr>
          <w:rFonts w:ascii="Arial" w:hAnsi="Arial" w:cs="Arial"/>
          <w:b/>
          <w:bCs/>
          <w:caps/>
          <w:noProof/>
          <w:color w:val="000000" w:themeColor="text1"/>
          <w:sz w:val="22"/>
          <w:szCs w:val="22"/>
          <w:lang w:val="mn-MN"/>
        </w:rPr>
        <w:t>с ирүүлсэн саналын товЬЁОГ</w:t>
      </w:r>
    </w:p>
    <w:tbl>
      <w:tblPr>
        <w:tblStyle w:val="TableGrid"/>
        <w:tblW w:w="13315" w:type="dxa"/>
        <w:tblInd w:w="5" w:type="dxa"/>
        <w:tblLook w:val="04A0" w:firstRow="1" w:lastRow="0" w:firstColumn="1" w:lastColumn="0" w:noHBand="0" w:noVBand="1"/>
      </w:tblPr>
      <w:tblGrid>
        <w:gridCol w:w="523"/>
        <w:gridCol w:w="2098"/>
        <w:gridCol w:w="5231"/>
        <w:gridCol w:w="1655"/>
        <w:gridCol w:w="3808"/>
      </w:tblGrid>
      <w:tr w:rsidR="005C44C3" w:rsidRPr="00B76325" w14:paraId="4F085206" w14:textId="77777777" w:rsidTr="00B50C12">
        <w:trPr>
          <w:trHeight w:val="626"/>
        </w:trPr>
        <w:tc>
          <w:tcPr>
            <w:tcW w:w="523" w:type="dxa"/>
          </w:tcPr>
          <w:p w14:paraId="2BC303D7" w14:textId="77777777" w:rsidR="005C44C3" w:rsidRPr="00B76325" w:rsidRDefault="005C44C3" w:rsidP="005C44C3">
            <w:pPr>
              <w:jc w:val="center"/>
              <w:rPr>
                <w:rFonts w:ascii="Arial" w:hAnsi="Arial" w:cs="Arial"/>
                <w:b/>
                <w:bCs/>
                <w:noProof/>
                <w:color w:val="000000" w:themeColor="text1"/>
                <w:sz w:val="22"/>
                <w:szCs w:val="22"/>
                <w:lang w:val="mn-MN"/>
              </w:rPr>
            </w:pPr>
            <w:r w:rsidRPr="00B76325">
              <w:rPr>
                <w:rFonts w:ascii="Arial" w:hAnsi="Arial" w:cs="Arial"/>
                <w:b/>
                <w:bCs/>
                <w:noProof/>
                <w:color w:val="000000" w:themeColor="text1"/>
                <w:sz w:val="22"/>
                <w:szCs w:val="22"/>
                <w:lang w:val="mn-MN"/>
              </w:rPr>
              <w:t>№</w:t>
            </w:r>
          </w:p>
        </w:tc>
        <w:tc>
          <w:tcPr>
            <w:tcW w:w="2098" w:type="dxa"/>
          </w:tcPr>
          <w:p w14:paraId="73770A12" w14:textId="77777777" w:rsidR="005C44C3" w:rsidRPr="00B76325" w:rsidRDefault="005C44C3" w:rsidP="005C44C3">
            <w:pPr>
              <w:jc w:val="center"/>
              <w:rPr>
                <w:rFonts w:ascii="Arial" w:hAnsi="Arial" w:cs="Arial"/>
                <w:b/>
                <w:bCs/>
                <w:noProof/>
                <w:color w:val="000000" w:themeColor="text1"/>
                <w:sz w:val="22"/>
                <w:szCs w:val="22"/>
                <w:lang w:val="mn-MN"/>
              </w:rPr>
            </w:pPr>
            <w:r w:rsidRPr="00B76325">
              <w:rPr>
                <w:rFonts w:ascii="Arial" w:hAnsi="Arial" w:cs="Arial"/>
                <w:b/>
                <w:bCs/>
                <w:noProof/>
                <w:color w:val="000000" w:themeColor="text1"/>
                <w:sz w:val="22"/>
                <w:szCs w:val="22"/>
                <w:lang w:val="mn-MN"/>
              </w:rPr>
              <w:t>Санал ирүүлсэн</w:t>
            </w:r>
          </w:p>
        </w:tc>
        <w:tc>
          <w:tcPr>
            <w:tcW w:w="5231" w:type="dxa"/>
          </w:tcPr>
          <w:p w14:paraId="38CA52DE" w14:textId="77777777" w:rsidR="005C44C3" w:rsidRPr="00B76325" w:rsidRDefault="005C44C3" w:rsidP="005C44C3">
            <w:pPr>
              <w:jc w:val="center"/>
              <w:rPr>
                <w:rFonts w:ascii="Arial" w:hAnsi="Arial" w:cs="Arial"/>
                <w:b/>
                <w:bCs/>
                <w:noProof/>
                <w:color w:val="000000" w:themeColor="text1"/>
                <w:sz w:val="22"/>
                <w:szCs w:val="22"/>
                <w:lang w:val="mn-MN"/>
              </w:rPr>
            </w:pPr>
            <w:r w:rsidRPr="00B76325">
              <w:rPr>
                <w:rFonts w:ascii="Arial" w:hAnsi="Arial" w:cs="Arial"/>
                <w:b/>
                <w:bCs/>
                <w:noProof/>
                <w:color w:val="000000" w:themeColor="text1"/>
                <w:sz w:val="22"/>
                <w:szCs w:val="22"/>
                <w:lang w:val="mn-MN"/>
              </w:rPr>
              <w:t>Саналын утга</w:t>
            </w:r>
          </w:p>
        </w:tc>
        <w:tc>
          <w:tcPr>
            <w:tcW w:w="1655" w:type="dxa"/>
          </w:tcPr>
          <w:p w14:paraId="44D9F214" w14:textId="77777777" w:rsidR="005C44C3" w:rsidRPr="00B76325" w:rsidRDefault="005C44C3" w:rsidP="005C44C3">
            <w:pPr>
              <w:jc w:val="center"/>
              <w:rPr>
                <w:rFonts w:ascii="Arial" w:hAnsi="Arial" w:cs="Arial"/>
                <w:b/>
                <w:bCs/>
                <w:noProof/>
                <w:color w:val="000000" w:themeColor="text1"/>
                <w:sz w:val="22"/>
                <w:szCs w:val="22"/>
                <w:lang w:val="mn-MN"/>
              </w:rPr>
            </w:pPr>
            <w:r w:rsidRPr="00B76325">
              <w:rPr>
                <w:rFonts w:ascii="Arial" w:hAnsi="Arial" w:cs="Arial"/>
                <w:b/>
                <w:bCs/>
                <w:noProof/>
                <w:color w:val="000000" w:themeColor="text1"/>
                <w:sz w:val="22"/>
                <w:szCs w:val="22"/>
                <w:lang w:val="mn-MN"/>
              </w:rPr>
              <w:t>Тусгасан эсэх</w:t>
            </w:r>
          </w:p>
        </w:tc>
        <w:tc>
          <w:tcPr>
            <w:tcW w:w="3808" w:type="dxa"/>
          </w:tcPr>
          <w:p w14:paraId="7828C486" w14:textId="77777777" w:rsidR="005C44C3" w:rsidRPr="00B76325" w:rsidRDefault="005C44C3" w:rsidP="005C44C3">
            <w:pPr>
              <w:jc w:val="center"/>
              <w:rPr>
                <w:rFonts w:ascii="Arial" w:hAnsi="Arial" w:cs="Arial"/>
                <w:b/>
                <w:bCs/>
                <w:noProof/>
                <w:color w:val="000000" w:themeColor="text1"/>
                <w:sz w:val="22"/>
                <w:szCs w:val="22"/>
                <w:lang w:val="mn-MN"/>
              </w:rPr>
            </w:pPr>
            <w:r w:rsidRPr="00B76325">
              <w:rPr>
                <w:rFonts w:ascii="Arial" w:hAnsi="Arial" w:cs="Arial"/>
                <w:b/>
                <w:bCs/>
                <w:noProof/>
                <w:color w:val="000000" w:themeColor="text1"/>
                <w:sz w:val="22"/>
                <w:szCs w:val="22"/>
                <w:lang w:val="mn-MN"/>
              </w:rPr>
              <w:t>Саналыг тусгасан байдал</w:t>
            </w:r>
          </w:p>
        </w:tc>
      </w:tr>
      <w:tr w:rsidR="00B50C12" w:rsidRPr="00B76325" w14:paraId="26AC2B1F" w14:textId="77777777" w:rsidTr="00B50C12">
        <w:trPr>
          <w:trHeight w:val="1950"/>
        </w:trPr>
        <w:tc>
          <w:tcPr>
            <w:tcW w:w="523" w:type="dxa"/>
            <w:vMerge w:val="restart"/>
          </w:tcPr>
          <w:p w14:paraId="0D3F8813" w14:textId="77777777" w:rsidR="00B50C12" w:rsidRPr="00B76325" w:rsidRDefault="00B50C12" w:rsidP="00B50C12">
            <w:pPr>
              <w:pStyle w:val="ListParagraph"/>
              <w:numPr>
                <w:ilvl w:val="0"/>
                <w:numId w:val="1"/>
              </w:numPr>
              <w:jc w:val="both"/>
              <w:rPr>
                <w:rFonts w:ascii="Arial" w:hAnsi="Arial" w:cs="Arial"/>
                <w:b/>
                <w:bCs/>
                <w:color w:val="000000" w:themeColor="text1"/>
                <w:sz w:val="22"/>
                <w:szCs w:val="22"/>
                <w:lang w:val="mn-MN"/>
              </w:rPr>
            </w:pPr>
          </w:p>
        </w:tc>
        <w:tc>
          <w:tcPr>
            <w:tcW w:w="2098" w:type="dxa"/>
            <w:vMerge w:val="restart"/>
          </w:tcPr>
          <w:p w14:paraId="5953F6D9" w14:textId="77777777" w:rsidR="00B50C12" w:rsidRPr="00B76325" w:rsidRDefault="00B50C12" w:rsidP="00B50C12">
            <w:pPr>
              <w:jc w:val="center"/>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Скайтел ХХК</w:t>
            </w:r>
          </w:p>
          <w:p w14:paraId="0531DAA5" w14:textId="77777777" w:rsidR="00B50C12" w:rsidRPr="00B76325" w:rsidRDefault="00B50C12" w:rsidP="00B50C12">
            <w:pPr>
              <w:jc w:val="center"/>
              <w:rPr>
                <w:rFonts w:ascii="Arial" w:hAnsi="Arial" w:cs="Arial"/>
                <w:noProof/>
                <w:color w:val="000000" w:themeColor="text1"/>
                <w:sz w:val="22"/>
                <w:szCs w:val="22"/>
                <w:lang w:val="mn-MN"/>
              </w:rPr>
            </w:pPr>
          </w:p>
          <w:p w14:paraId="649DB06D" w14:textId="77777777" w:rsidR="00B50C12" w:rsidRPr="00B76325" w:rsidRDefault="00B50C12" w:rsidP="00B50C12">
            <w:pPr>
              <w:jc w:val="center"/>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 xml:space="preserve">2026.03.09 </w:t>
            </w:r>
          </w:p>
          <w:p w14:paraId="10862030" w14:textId="77777777" w:rsidR="00B50C12" w:rsidRPr="00B76325" w:rsidRDefault="00B50C12" w:rsidP="00B50C12">
            <w:pPr>
              <w:jc w:val="center"/>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26/2694</w:t>
            </w:r>
          </w:p>
          <w:p w14:paraId="048D9C12" w14:textId="77777777" w:rsidR="00B50C12" w:rsidRPr="00B76325" w:rsidRDefault="00B50C12" w:rsidP="00B50C12">
            <w:pPr>
              <w:jc w:val="center"/>
              <w:rPr>
                <w:rFonts w:ascii="Arial" w:hAnsi="Arial" w:cs="Arial"/>
                <w:noProof/>
                <w:color w:val="000000" w:themeColor="text1"/>
                <w:sz w:val="22"/>
                <w:szCs w:val="22"/>
                <w:lang w:val="mn-MN"/>
              </w:rPr>
            </w:pPr>
          </w:p>
        </w:tc>
        <w:tc>
          <w:tcPr>
            <w:tcW w:w="5231" w:type="dxa"/>
          </w:tcPr>
          <w:p w14:paraId="47A90EB8"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1.“20.1.4 энэ хуулийн 75</w:t>
            </w:r>
            <w:r w:rsidRPr="00B76325">
              <w:rPr>
                <w:rFonts w:ascii="Arial" w:hAnsi="Arial" w:cs="Arial"/>
                <w:noProof/>
                <w:color w:val="000000" w:themeColor="text1"/>
                <w:sz w:val="22"/>
                <w:szCs w:val="22"/>
                <w:vertAlign w:val="superscript"/>
                <w:lang w:val="mn-MN"/>
              </w:rPr>
              <w:t>7</w:t>
            </w:r>
            <w:r w:rsidRPr="00B76325">
              <w:rPr>
                <w:rFonts w:ascii="Arial" w:hAnsi="Arial" w:cs="Arial"/>
                <w:noProof/>
                <w:color w:val="000000" w:themeColor="text1"/>
                <w:sz w:val="22"/>
                <w:szCs w:val="22"/>
                <w:lang w:val="mn-MN"/>
              </w:rPr>
              <w:t>.1 заасан үндэслэл тогтоогдсон бол” гэснийг хасах саналтай.</w:t>
            </w:r>
          </w:p>
          <w:p w14:paraId="3BA67AD1" w14:textId="77777777" w:rsidR="00B50C12" w:rsidRPr="00B76325" w:rsidRDefault="00B50C12" w:rsidP="00B50C12">
            <w:pPr>
              <w:jc w:val="both"/>
              <w:rPr>
                <w:rFonts w:ascii="Arial" w:hAnsi="Arial" w:cs="Arial"/>
                <w:noProof/>
                <w:color w:val="000000" w:themeColor="text1"/>
                <w:sz w:val="22"/>
                <w:szCs w:val="22"/>
                <w:lang w:val="mn-MN"/>
              </w:rPr>
            </w:pPr>
          </w:p>
          <w:p w14:paraId="7CC272D2"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Шүүх хэрэг үүсгэхээсээ өмнө харьяалал, үндэслэлийг (75</w:t>
            </w:r>
            <w:r w:rsidRPr="00B76325">
              <w:rPr>
                <w:rFonts w:ascii="Arial" w:hAnsi="Arial" w:cs="Arial"/>
                <w:noProof/>
                <w:color w:val="000000" w:themeColor="text1"/>
                <w:sz w:val="22"/>
                <w:szCs w:val="22"/>
                <w:vertAlign w:val="superscript"/>
                <w:lang w:val="mn-MN"/>
              </w:rPr>
              <w:t>7</w:t>
            </w:r>
            <w:r w:rsidRPr="00B76325">
              <w:rPr>
                <w:rFonts w:ascii="Arial" w:hAnsi="Arial" w:cs="Arial"/>
                <w:noProof/>
                <w:color w:val="000000" w:themeColor="text1"/>
                <w:sz w:val="22"/>
                <w:szCs w:val="22"/>
                <w:lang w:val="mn-MN"/>
              </w:rPr>
              <w:t xml:space="preserve">.1) бүрэн тогтоох ёстой бөгөөд ажиллагаа эхэлсний дараа хэргийг өөр шүүхэд шилжүүлэх нь оролцогчдын эрхийг дордуулж, хугацаа алдуулж байна. </w:t>
            </w:r>
          </w:p>
          <w:p w14:paraId="4ABBECC2" w14:textId="77777777" w:rsidR="00B50C12" w:rsidRPr="00B76325" w:rsidRDefault="00B50C12" w:rsidP="00B50C12">
            <w:pPr>
              <w:jc w:val="both"/>
              <w:rPr>
                <w:rFonts w:ascii="Arial" w:hAnsi="Arial" w:cs="Arial"/>
                <w:noProof/>
                <w:color w:val="000000" w:themeColor="text1"/>
                <w:sz w:val="22"/>
                <w:szCs w:val="22"/>
                <w:lang w:val="mn-MN"/>
              </w:rPr>
            </w:pPr>
          </w:p>
          <w:p w14:paraId="767FD60E" w14:textId="77777777" w:rsidR="00EC2107"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 xml:space="preserve">Ердийн шүүхэд хэрэг хянан шийдвэрлэх явцад нэхэмжлэлийн үнийн дүн буурч, тусгай журмын босгонд (13.2 саяас доош) хүрсэн тохиолдолд хэргийг хэрэгсэхгүй болгож, тусгай ажиллагааны шүүхэд харьяалуулахаар шийдвэрлэж буй практик нь иргэдэд ихээхэн чирэгдэлтэй байна. </w:t>
            </w:r>
          </w:p>
          <w:p w14:paraId="3FCFC46D" w14:textId="77777777" w:rsidR="00EC2107" w:rsidRDefault="00EC2107" w:rsidP="00B50C12">
            <w:pPr>
              <w:jc w:val="both"/>
              <w:rPr>
                <w:rFonts w:ascii="Arial" w:hAnsi="Arial" w:cs="Arial"/>
                <w:noProof/>
                <w:color w:val="000000" w:themeColor="text1"/>
                <w:sz w:val="22"/>
                <w:szCs w:val="22"/>
                <w:lang w:val="mn-MN"/>
              </w:rPr>
            </w:pPr>
          </w:p>
          <w:p w14:paraId="26769BBB" w14:textId="2143C455"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Иймд ердийн шүүх нэгэнт хэрэг үүсгэсэн бол үнийн дүн багассан эсэхээс үл хамааран тухайн маргааныг ердийн шүүх өөрөө эцэслэн шийдвэрлэдэг байхаар зохицуулах нь зүйтэй гэж үзэж байна.</w:t>
            </w:r>
          </w:p>
        </w:tc>
        <w:tc>
          <w:tcPr>
            <w:tcW w:w="1655" w:type="dxa"/>
          </w:tcPr>
          <w:p w14:paraId="2F4112D3" w14:textId="6CA529C6" w:rsidR="00B50C12" w:rsidRPr="00B76325" w:rsidRDefault="00B50C12" w:rsidP="00B50C12">
            <w:pPr>
              <w:jc w:val="both"/>
              <w:rPr>
                <w:rFonts w:ascii="Arial" w:hAnsi="Arial" w:cs="Arial"/>
                <w:noProof/>
                <w:color w:val="000000" w:themeColor="text1"/>
                <w:sz w:val="22"/>
                <w:szCs w:val="22"/>
                <w:lang w:val="mn-MN"/>
              </w:rPr>
            </w:pPr>
            <w:r>
              <w:rPr>
                <w:rFonts w:ascii="Arial" w:hAnsi="Arial" w:cs="Arial"/>
                <w:noProof/>
                <w:color w:val="000000" w:themeColor="text1"/>
                <w:sz w:val="22"/>
                <w:szCs w:val="22"/>
                <w:lang w:val="mn-MN"/>
              </w:rPr>
              <w:t xml:space="preserve">Саналыг </w:t>
            </w:r>
            <w:r w:rsidR="00CF000D">
              <w:rPr>
                <w:rFonts w:ascii="Arial" w:hAnsi="Arial" w:cs="Arial"/>
                <w:noProof/>
                <w:color w:val="000000" w:themeColor="text1"/>
                <w:sz w:val="22"/>
                <w:szCs w:val="22"/>
                <w:lang w:val="mn-MN"/>
              </w:rPr>
              <w:t xml:space="preserve">тусгах шаардлагагүй болно. </w:t>
            </w:r>
          </w:p>
        </w:tc>
        <w:tc>
          <w:tcPr>
            <w:tcW w:w="3808" w:type="dxa"/>
          </w:tcPr>
          <w:p w14:paraId="4FB11D96" w14:textId="77777777" w:rsidR="00B50C12" w:rsidRDefault="00CF000D" w:rsidP="00B50C12">
            <w:pPr>
              <w:jc w:val="both"/>
              <w:rPr>
                <w:rFonts w:ascii="Arial" w:hAnsi="Arial" w:cs="Arial"/>
                <w:noProof/>
                <w:color w:val="000000" w:themeColor="text1"/>
                <w:sz w:val="22"/>
                <w:szCs w:val="22"/>
                <w:lang w:val="mn-MN"/>
              </w:rPr>
            </w:pPr>
            <w:r>
              <w:rPr>
                <w:rFonts w:ascii="Arial" w:hAnsi="Arial" w:cs="Arial"/>
                <w:noProof/>
                <w:color w:val="000000" w:themeColor="text1"/>
                <w:sz w:val="22"/>
                <w:szCs w:val="22"/>
                <w:lang w:val="mn-MN"/>
              </w:rPr>
              <w:t xml:space="preserve">Хэргийг харьяалал зөрчсөн бол одоогоор хэрэгсэхгүй болгож, дахин шүүхдэхэд хүргэж байгааг засч, харьяаллын дагуу өөр шүүхэд шилжүүлэх зохицуулалтыг бий болгосон. </w:t>
            </w:r>
          </w:p>
          <w:p w14:paraId="301312B2" w14:textId="77777777" w:rsidR="00CF000D" w:rsidRDefault="00CF000D" w:rsidP="00B50C12">
            <w:pPr>
              <w:jc w:val="both"/>
              <w:rPr>
                <w:rFonts w:ascii="Arial" w:hAnsi="Arial" w:cs="Arial"/>
                <w:noProof/>
                <w:color w:val="000000" w:themeColor="text1"/>
                <w:sz w:val="22"/>
                <w:szCs w:val="22"/>
                <w:lang w:val="mn-MN"/>
              </w:rPr>
            </w:pPr>
          </w:p>
          <w:p w14:paraId="6E7C03D6" w14:textId="34023AAB" w:rsidR="00CF000D" w:rsidRPr="00B76325" w:rsidRDefault="00CF000D" w:rsidP="00B50C12">
            <w:pPr>
              <w:jc w:val="both"/>
              <w:rPr>
                <w:rFonts w:ascii="Arial" w:hAnsi="Arial" w:cs="Arial"/>
                <w:noProof/>
                <w:color w:val="000000" w:themeColor="text1"/>
                <w:sz w:val="22"/>
                <w:szCs w:val="22"/>
                <w:lang w:val="mn-MN"/>
              </w:rPr>
            </w:pPr>
            <w:r>
              <w:rPr>
                <w:rFonts w:ascii="Arial" w:hAnsi="Arial" w:cs="Arial"/>
                <w:noProof/>
                <w:color w:val="000000" w:themeColor="text1"/>
                <w:sz w:val="22"/>
                <w:szCs w:val="22"/>
                <w:lang w:val="mn-MN"/>
              </w:rPr>
              <w:t xml:space="preserve">Түүнчлэн дагаж мөрдөх журмын тухай хуулийн төслөөр өмнө үүсгэсэн хэрэг, хүлээн авсан нэхэмжлэлд шинээр тогтоосон тогтмол үнийн дүн хамаарахгүй байхаар тусгасан. </w:t>
            </w:r>
          </w:p>
        </w:tc>
      </w:tr>
      <w:tr w:rsidR="00B50C12" w:rsidRPr="00B76325" w14:paraId="3DCB26A6" w14:textId="77777777" w:rsidTr="00413EF3">
        <w:trPr>
          <w:trHeight w:val="20"/>
        </w:trPr>
        <w:tc>
          <w:tcPr>
            <w:tcW w:w="523" w:type="dxa"/>
            <w:vMerge/>
          </w:tcPr>
          <w:p w14:paraId="35FEF9D6" w14:textId="77777777" w:rsidR="00B50C12" w:rsidRPr="00B76325" w:rsidRDefault="00B50C12" w:rsidP="00B50C12">
            <w:pPr>
              <w:pStyle w:val="ListParagraph"/>
              <w:numPr>
                <w:ilvl w:val="0"/>
                <w:numId w:val="1"/>
              </w:numPr>
              <w:jc w:val="both"/>
              <w:rPr>
                <w:rFonts w:ascii="Arial" w:hAnsi="Arial" w:cs="Arial"/>
                <w:b/>
                <w:bCs/>
                <w:color w:val="000000" w:themeColor="text1"/>
                <w:sz w:val="22"/>
                <w:szCs w:val="22"/>
                <w:lang w:val="mn-MN"/>
              </w:rPr>
            </w:pPr>
          </w:p>
        </w:tc>
        <w:tc>
          <w:tcPr>
            <w:tcW w:w="2098" w:type="dxa"/>
            <w:vMerge/>
          </w:tcPr>
          <w:p w14:paraId="11C35BB7" w14:textId="77777777" w:rsidR="00B50C12" w:rsidRPr="00B76325" w:rsidRDefault="00B50C12" w:rsidP="00B50C12">
            <w:pPr>
              <w:jc w:val="center"/>
              <w:rPr>
                <w:rFonts w:ascii="Arial" w:hAnsi="Arial" w:cs="Arial"/>
                <w:noProof/>
                <w:color w:val="000000" w:themeColor="text1"/>
                <w:sz w:val="22"/>
                <w:szCs w:val="22"/>
                <w:lang w:val="mn-MN"/>
              </w:rPr>
            </w:pPr>
          </w:p>
        </w:tc>
        <w:tc>
          <w:tcPr>
            <w:tcW w:w="5231" w:type="dxa"/>
          </w:tcPr>
          <w:p w14:paraId="0EA22E36"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2.“75</w:t>
            </w:r>
            <w:r w:rsidRPr="00B76325">
              <w:rPr>
                <w:rFonts w:ascii="Arial" w:hAnsi="Arial" w:cs="Arial"/>
                <w:noProof/>
                <w:color w:val="000000" w:themeColor="text1"/>
                <w:sz w:val="22"/>
                <w:szCs w:val="22"/>
                <w:vertAlign w:val="superscript"/>
                <w:lang w:val="mn-MN"/>
              </w:rPr>
              <w:t>1</w:t>
            </w:r>
            <w:r w:rsidRPr="00B76325">
              <w:rPr>
                <w:rFonts w:ascii="Arial" w:hAnsi="Arial" w:cs="Arial"/>
                <w:noProof/>
                <w:color w:val="000000" w:themeColor="text1"/>
                <w:sz w:val="22"/>
                <w:szCs w:val="22"/>
                <w:lang w:val="mn-MN"/>
              </w:rPr>
              <w:t xml:space="preserve">.1.5. үндсэн үүргийн гүйцэтгэлийг барьцааны зүйлээс хангуулах.” гэх зохицуулалтыг дэмжихгүй. Өмнөх зохицуулалтыг хэвээр үлдээх саналтай байна. </w:t>
            </w:r>
          </w:p>
          <w:p w14:paraId="7ED37FF7" w14:textId="77777777" w:rsidR="00B50C12" w:rsidRPr="00B76325" w:rsidRDefault="00B50C12" w:rsidP="00B50C12">
            <w:pPr>
              <w:jc w:val="both"/>
              <w:rPr>
                <w:rFonts w:ascii="Arial" w:hAnsi="Arial" w:cs="Arial"/>
                <w:noProof/>
                <w:color w:val="000000" w:themeColor="text1"/>
                <w:sz w:val="22"/>
                <w:szCs w:val="22"/>
                <w:lang w:val="mn-MN"/>
              </w:rPr>
            </w:pPr>
          </w:p>
          <w:p w14:paraId="12E12955"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Хуулийн 75</w:t>
            </w:r>
            <w:r w:rsidRPr="00B76325">
              <w:rPr>
                <w:rFonts w:ascii="Arial" w:hAnsi="Arial" w:cs="Arial"/>
                <w:noProof/>
                <w:color w:val="000000" w:themeColor="text1"/>
                <w:sz w:val="22"/>
                <w:szCs w:val="22"/>
                <w:vertAlign w:val="superscript"/>
                <w:lang w:val="mn-MN"/>
              </w:rPr>
              <w:t>1</w:t>
            </w:r>
            <w:r w:rsidRPr="00B76325">
              <w:rPr>
                <w:rFonts w:ascii="Arial" w:hAnsi="Arial" w:cs="Arial"/>
                <w:noProof/>
                <w:color w:val="000000" w:themeColor="text1"/>
                <w:sz w:val="22"/>
                <w:szCs w:val="22"/>
                <w:lang w:val="mn-MN"/>
              </w:rPr>
              <w:t>.2.2.энэ хуулийн 75</w:t>
            </w:r>
            <w:r w:rsidRPr="00B76325">
              <w:rPr>
                <w:rFonts w:ascii="Arial" w:hAnsi="Arial" w:cs="Arial"/>
                <w:noProof/>
                <w:color w:val="000000" w:themeColor="text1"/>
                <w:sz w:val="22"/>
                <w:szCs w:val="22"/>
                <w:vertAlign w:val="superscript"/>
                <w:lang w:val="mn-MN"/>
              </w:rPr>
              <w:t>1</w:t>
            </w:r>
            <w:r w:rsidRPr="00B76325">
              <w:rPr>
                <w:rFonts w:ascii="Arial" w:hAnsi="Arial" w:cs="Arial"/>
                <w:noProof/>
                <w:color w:val="000000" w:themeColor="text1"/>
                <w:sz w:val="22"/>
                <w:szCs w:val="22"/>
                <w:lang w:val="mn-MN"/>
              </w:rPr>
              <w:t xml:space="preserve">.1.1-д зааснаар гэрээний үүргийн гүйцэтгэлийг барьцааны зүйлээс хангуулах нэхэмжлэлийг үнийн дүнгээс үл хамаарах шүүх тусгайлсан журмаар хянан шийдвэрлэх нь зөв. Хэргийн ачаалалтай холбон тайлбарлаж, тухайн процессыг ердийн буюу </w:t>
            </w:r>
            <w:r w:rsidRPr="00B76325">
              <w:rPr>
                <w:rFonts w:ascii="Arial" w:hAnsi="Arial" w:cs="Arial"/>
                <w:noProof/>
                <w:color w:val="000000" w:themeColor="text1"/>
                <w:sz w:val="22"/>
                <w:szCs w:val="22"/>
                <w:lang w:val="mn-MN"/>
              </w:rPr>
              <w:lastRenderedPageBreak/>
              <w:t>удааширсан процессын дагуу шийдвэрлэх нь хэргийн оролцогчийн эрх зүйн байдлыг дордуулсан зохицуулалт болсон.</w:t>
            </w:r>
          </w:p>
        </w:tc>
        <w:tc>
          <w:tcPr>
            <w:tcW w:w="1655" w:type="dxa"/>
          </w:tcPr>
          <w:p w14:paraId="62FB6C6E"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lastRenderedPageBreak/>
              <w:t>Саналыг тусгасан</w:t>
            </w:r>
            <w:r>
              <w:rPr>
                <w:rFonts w:ascii="Arial" w:hAnsi="Arial" w:cs="Arial"/>
                <w:noProof/>
                <w:color w:val="000000" w:themeColor="text1"/>
                <w:sz w:val="22"/>
                <w:szCs w:val="22"/>
                <w:lang w:val="mn-MN"/>
              </w:rPr>
              <w:t xml:space="preserve"> болно.</w:t>
            </w:r>
          </w:p>
        </w:tc>
        <w:tc>
          <w:tcPr>
            <w:tcW w:w="3808" w:type="dxa"/>
          </w:tcPr>
          <w:p w14:paraId="627BADE5" w14:textId="77777777" w:rsidR="00B50C12" w:rsidRPr="00B76325" w:rsidRDefault="00B50C12" w:rsidP="00B50C12">
            <w:pPr>
              <w:jc w:val="both"/>
              <w:rPr>
                <w:rFonts w:ascii="Arial" w:hAnsi="Arial" w:cs="Arial"/>
                <w:noProof/>
                <w:color w:val="000000" w:themeColor="text1"/>
                <w:sz w:val="22"/>
                <w:szCs w:val="22"/>
                <w:lang w:val="mn-MN"/>
              </w:rPr>
            </w:pPr>
          </w:p>
        </w:tc>
      </w:tr>
      <w:tr w:rsidR="00B50C12" w:rsidRPr="00B76325" w14:paraId="3F87B463" w14:textId="77777777" w:rsidTr="005C44C3">
        <w:tc>
          <w:tcPr>
            <w:tcW w:w="523" w:type="dxa"/>
            <w:vMerge/>
          </w:tcPr>
          <w:p w14:paraId="35967CD5" w14:textId="77777777" w:rsidR="00B50C12" w:rsidRPr="00B76325" w:rsidRDefault="00B50C12" w:rsidP="00B50C12">
            <w:pPr>
              <w:pStyle w:val="ListParagraph"/>
              <w:numPr>
                <w:ilvl w:val="0"/>
                <w:numId w:val="1"/>
              </w:numPr>
              <w:jc w:val="both"/>
              <w:rPr>
                <w:rFonts w:ascii="Arial" w:hAnsi="Arial" w:cs="Arial"/>
                <w:b/>
                <w:bCs/>
                <w:color w:val="000000" w:themeColor="text1"/>
                <w:sz w:val="22"/>
                <w:szCs w:val="22"/>
                <w:lang w:val="mn-MN"/>
              </w:rPr>
            </w:pPr>
          </w:p>
        </w:tc>
        <w:tc>
          <w:tcPr>
            <w:tcW w:w="2098" w:type="dxa"/>
            <w:vMerge/>
          </w:tcPr>
          <w:p w14:paraId="693FB8A4" w14:textId="77777777" w:rsidR="00B50C12" w:rsidRPr="00B76325" w:rsidRDefault="00B50C12" w:rsidP="00B50C12">
            <w:pPr>
              <w:jc w:val="center"/>
              <w:rPr>
                <w:rFonts w:ascii="Arial" w:hAnsi="Arial" w:cs="Arial"/>
                <w:noProof/>
                <w:color w:val="000000" w:themeColor="text1"/>
                <w:sz w:val="22"/>
                <w:szCs w:val="22"/>
                <w:lang w:val="mn-MN"/>
              </w:rPr>
            </w:pPr>
          </w:p>
        </w:tc>
        <w:tc>
          <w:tcPr>
            <w:tcW w:w="5231" w:type="dxa"/>
          </w:tcPr>
          <w:p w14:paraId="4C9B4D6F"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3.5/75</w:t>
            </w:r>
            <w:r w:rsidRPr="00B76325">
              <w:rPr>
                <w:rFonts w:ascii="Arial" w:hAnsi="Arial" w:cs="Arial"/>
                <w:noProof/>
                <w:color w:val="000000" w:themeColor="text1"/>
                <w:sz w:val="22"/>
                <w:szCs w:val="22"/>
                <w:vertAlign w:val="superscript"/>
                <w:lang w:val="mn-MN"/>
              </w:rPr>
              <w:t>4</w:t>
            </w:r>
            <w:r w:rsidRPr="00B76325">
              <w:rPr>
                <w:rFonts w:ascii="Arial" w:hAnsi="Arial" w:cs="Arial"/>
                <w:noProof/>
                <w:color w:val="000000" w:themeColor="text1"/>
                <w:sz w:val="22"/>
                <w:szCs w:val="22"/>
                <w:lang w:val="mn-MN"/>
              </w:rPr>
              <w:t xml:space="preserve"> дүгээр зүйлийн 75</w:t>
            </w:r>
            <w:r w:rsidRPr="00B76325">
              <w:rPr>
                <w:rFonts w:ascii="Arial" w:hAnsi="Arial" w:cs="Arial"/>
                <w:noProof/>
                <w:color w:val="000000" w:themeColor="text1"/>
                <w:sz w:val="22"/>
                <w:szCs w:val="22"/>
                <w:vertAlign w:val="superscript"/>
                <w:lang w:val="mn-MN"/>
              </w:rPr>
              <w:t>4</w:t>
            </w:r>
            <w:r w:rsidRPr="00B76325">
              <w:rPr>
                <w:rFonts w:ascii="Arial" w:hAnsi="Arial" w:cs="Arial"/>
                <w:noProof/>
                <w:color w:val="000000" w:themeColor="text1"/>
                <w:sz w:val="22"/>
                <w:szCs w:val="22"/>
                <w:lang w:val="mn-MN"/>
              </w:rPr>
              <w:t>.6 дахь хэсэг: 75</w:t>
            </w:r>
            <w:r w:rsidRPr="00B76325">
              <w:rPr>
                <w:rFonts w:ascii="Arial" w:hAnsi="Arial" w:cs="Arial"/>
                <w:noProof/>
                <w:color w:val="000000" w:themeColor="text1"/>
                <w:sz w:val="22"/>
                <w:szCs w:val="22"/>
                <w:vertAlign w:val="superscript"/>
                <w:lang w:val="mn-MN"/>
              </w:rPr>
              <w:t>4</w:t>
            </w:r>
            <w:r w:rsidRPr="00B76325">
              <w:rPr>
                <w:rFonts w:ascii="Arial" w:hAnsi="Arial" w:cs="Arial"/>
                <w:noProof/>
                <w:color w:val="000000" w:themeColor="text1"/>
                <w:sz w:val="22"/>
                <w:szCs w:val="22"/>
                <w:lang w:val="mn-MN"/>
              </w:rPr>
              <w:t>.6-д Финтек зээлийн бүтээгдэхүүний талаарх нэхэмжлэлийн хувьд ялгаж байгаа нь учир дутагдалтай. Тусгайлсан журмаар шийдвэрлүүлэхээр харьяалуулсан бүхий л маргааны хувьд зарлан мэдэгдэх дээрх хувилбарыг хэрэгжүүлэх боломжтой байдлаар хуульчлах саналтай.</w:t>
            </w:r>
          </w:p>
        </w:tc>
        <w:tc>
          <w:tcPr>
            <w:tcW w:w="1655" w:type="dxa"/>
          </w:tcPr>
          <w:p w14:paraId="7CF67DB4"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Саналыг тусгасан</w:t>
            </w:r>
            <w:r>
              <w:rPr>
                <w:rFonts w:ascii="Arial" w:hAnsi="Arial" w:cs="Arial"/>
                <w:noProof/>
                <w:color w:val="000000" w:themeColor="text1"/>
                <w:sz w:val="22"/>
                <w:szCs w:val="22"/>
                <w:lang w:val="mn-MN"/>
              </w:rPr>
              <w:t xml:space="preserve"> болно.</w:t>
            </w:r>
          </w:p>
        </w:tc>
        <w:tc>
          <w:tcPr>
            <w:tcW w:w="3808" w:type="dxa"/>
          </w:tcPr>
          <w:p w14:paraId="17414F30"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Хуулийн төслөөс Финтек зээлийн гэрээтэй холбоотой тусгайлсан зохицуулалтыг хассан болно.</w:t>
            </w:r>
          </w:p>
        </w:tc>
      </w:tr>
      <w:tr w:rsidR="00B50C12" w:rsidRPr="00B76325" w14:paraId="1ABDD9C4" w14:textId="77777777" w:rsidTr="005C44C3">
        <w:tc>
          <w:tcPr>
            <w:tcW w:w="523" w:type="dxa"/>
            <w:vMerge/>
          </w:tcPr>
          <w:p w14:paraId="54200C89" w14:textId="77777777" w:rsidR="00B50C12" w:rsidRPr="00B76325" w:rsidRDefault="00B50C12" w:rsidP="00B50C12">
            <w:pPr>
              <w:pStyle w:val="ListParagraph"/>
              <w:numPr>
                <w:ilvl w:val="0"/>
                <w:numId w:val="1"/>
              </w:numPr>
              <w:jc w:val="both"/>
              <w:rPr>
                <w:rFonts w:ascii="Arial" w:hAnsi="Arial" w:cs="Arial"/>
                <w:b/>
                <w:bCs/>
                <w:color w:val="000000" w:themeColor="text1"/>
                <w:sz w:val="22"/>
                <w:szCs w:val="22"/>
                <w:lang w:val="mn-MN"/>
              </w:rPr>
            </w:pPr>
          </w:p>
        </w:tc>
        <w:tc>
          <w:tcPr>
            <w:tcW w:w="2098" w:type="dxa"/>
            <w:vMerge/>
          </w:tcPr>
          <w:p w14:paraId="6C8DC40D" w14:textId="77777777" w:rsidR="00B50C12" w:rsidRPr="00B76325" w:rsidRDefault="00B50C12" w:rsidP="00B50C12">
            <w:pPr>
              <w:jc w:val="center"/>
              <w:rPr>
                <w:rFonts w:ascii="Arial" w:hAnsi="Arial" w:cs="Arial"/>
                <w:noProof/>
                <w:color w:val="000000" w:themeColor="text1"/>
                <w:sz w:val="22"/>
                <w:szCs w:val="22"/>
                <w:lang w:val="mn-MN"/>
              </w:rPr>
            </w:pPr>
          </w:p>
        </w:tc>
        <w:tc>
          <w:tcPr>
            <w:tcW w:w="5231" w:type="dxa"/>
          </w:tcPr>
          <w:p w14:paraId="15A71039"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4.3 дугаар зүйл.Иргэний хэрэг шүүхэд хянан шийдвэрлэх тухай хуулийн 75</w:t>
            </w:r>
            <w:r w:rsidRPr="00B76325">
              <w:rPr>
                <w:rFonts w:ascii="Arial" w:hAnsi="Arial" w:cs="Arial"/>
                <w:noProof/>
                <w:color w:val="000000" w:themeColor="text1"/>
                <w:sz w:val="22"/>
                <w:szCs w:val="22"/>
                <w:vertAlign w:val="superscript"/>
                <w:lang w:val="mn-MN"/>
              </w:rPr>
              <w:t>1</w:t>
            </w:r>
            <w:r w:rsidRPr="00B76325">
              <w:rPr>
                <w:rFonts w:ascii="Arial" w:hAnsi="Arial" w:cs="Arial"/>
                <w:noProof/>
                <w:color w:val="000000" w:themeColor="text1"/>
                <w:sz w:val="22"/>
                <w:szCs w:val="22"/>
                <w:lang w:val="mn-MN"/>
              </w:rPr>
              <w:t xml:space="preserve"> дүгээр зүйлийн 75</w:t>
            </w:r>
            <w:r w:rsidRPr="00B76325">
              <w:rPr>
                <w:rFonts w:ascii="Arial" w:hAnsi="Arial" w:cs="Arial"/>
                <w:noProof/>
                <w:color w:val="000000" w:themeColor="text1"/>
                <w:sz w:val="22"/>
                <w:szCs w:val="22"/>
                <w:vertAlign w:val="superscript"/>
                <w:lang w:val="mn-MN"/>
              </w:rPr>
              <w:t>1</w:t>
            </w:r>
            <w:r w:rsidRPr="00B76325">
              <w:rPr>
                <w:rFonts w:ascii="Arial" w:hAnsi="Arial" w:cs="Arial"/>
                <w:noProof/>
                <w:color w:val="000000" w:themeColor="text1"/>
                <w:sz w:val="22"/>
                <w:szCs w:val="22"/>
                <w:lang w:val="mn-MN"/>
              </w:rPr>
              <w:t>.1 дэх хэсгийн “Нэг сарын хөдөлмөрийн хөлсний доод хэмжээг 20 дахин нэмэгдүүлснээс” гэснийг “Арван таван сая найман зуун дөчин мянган төгрөгөөс” гэж заасныг дэмжихгүй. Өмнөх зохицуулалтыг хэвээр үлдээх.</w:t>
            </w:r>
          </w:p>
          <w:p w14:paraId="45262AF5" w14:textId="77777777" w:rsidR="00B50C12" w:rsidRPr="00B76325" w:rsidRDefault="00B50C12" w:rsidP="00B50C12">
            <w:pPr>
              <w:jc w:val="both"/>
              <w:rPr>
                <w:rFonts w:ascii="Arial" w:hAnsi="Arial" w:cs="Arial"/>
                <w:noProof/>
                <w:color w:val="000000" w:themeColor="text1"/>
                <w:sz w:val="22"/>
                <w:szCs w:val="22"/>
                <w:lang w:val="mn-MN"/>
              </w:rPr>
            </w:pPr>
          </w:p>
          <w:p w14:paraId="644AC115"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Хуулийн төсөлд 15,840,000 гэдгийг хэрхэн тооцоолсон нь тодорхойгүй байна. Гадаад орнуудын жишигт нийцүүлсэн гэж байх боловч Европын холбоо, Англи, Япон, Солонгос, ХБНГУ гэсэн өндөр хөгжилтэй орнуудын жишээ татсан буюу Монгол улсаас нийгэм, эдийн засгийн өсөлт, хүн амаараа эрс ялгаатай. Уг үнийн дүн 2 жилийн дараах инфляцын түвшин, ДНБ-н өсөлттэй энэ дүн хэрхэн уялдах нь тодорхойгүй. Мөн үнийн дүнг 15,840,000 болгосноор шүүхийн ачаалал хэрхэн буурах талаар судалгаа байхгүй, иймд хөдөлмөрийн хөлсний доод хэмжээтэй уялдуулах нь уян хатан гэж үзэж байна.</w:t>
            </w:r>
          </w:p>
        </w:tc>
        <w:tc>
          <w:tcPr>
            <w:tcW w:w="1655" w:type="dxa"/>
          </w:tcPr>
          <w:p w14:paraId="22DE38CB" w14:textId="77777777" w:rsidR="00B50C12" w:rsidRPr="00B76325" w:rsidRDefault="00B50C12" w:rsidP="00B50C12">
            <w:pPr>
              <w:jc w:val="both"/>
              <w:rPr>
                <w:rFonts w:ascii="Arial" w:hAnsi="Arial" w:cs="Arial"/>
                <w:noProof/>
                <w:color w:val="000000" w:themeColor="text1"/>
                <w:sz w:val="22"/>
                <w:szCs w:val="22"/>
                <w:lang w:val="mn-MN"/>
              </w:rPr>
            </w:pPr>
            <w:r>
              <w:rPr>
                <w:rFonts w:ascii="Arial" w:hAnsi="Arial" w:cs="Arial"/>
                <w:noProof/>
                <w:color w:val="000000" w:themeColor="text1"/>
                <w:sz w:val="22"/>
                <w:szCs w:val="22"/>
                <w:lang w:val="mn-MN"/>
              </w:rPr>
              <w:t>Саналыг т</w:t>
            </w:r>
            <w:r w:rsidRPr="00B76325">
              <w:rPr>
                <w:rFonts w:ascii="Arial" w:hAnsi="Arial" w:cs="Arial"/>
                <w:noProof/>
                <w:color w:val="000000" w:themeColor="text1"/>
                <w:sz w:val="22"/>
                <w:szCs w:val="22"/>
                <w:lang w:val="mn-MN"/>
              </w:rPr>
              <w:t>усгаагүй</w:t>
            </w:r>
            <w:r>
              <w:rPr>
                <w:rFonts w:ascii="Arial" w:hAnsi="Arial" w:cs="Arial"/>
                <w:noProof/>
                <w:color w:val="000000" w:themeColor="text1"/>
                <w:sz w:val="22"/>
                <w:szCs w:val="22"/>
                <w:lang w:val="mn-MN"/>
              </w:rPr>
              <w:t xml:space="preserve"> болно.</w:t>
            </w:r>
          </w:p>
        </w:tc>
        <w:tc>
          <w:tcPr>
            <w:tcW w:w="3808" w:type="dxa"/>
          </w:tcPr>
          <w:p w14:paraId="42358861"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Хуулийн төслийн үзэл баримтлалтай нийцэхгүй байх тул саналыг тусгаагүй болно.</w:t>
            </w:r>
          </w:p>
        </w:tc>
      </w:tr>
      <w:tr w:rsidR="00B50C12" w:rsidRPr="00B76325" w14:paraId="0BC2236E" w14:textId="77777777" w:rsidTr="00B50C12">
        <w:tc>
          <w:tcPr>
            <w:tcW w:w="523" w:type="dxa"/>
            <w:vMerge/>
          </w:tcPr>
          <w:p w14:paraId="0057F698" w14:textId="77777777" w:rsidR="00B50C12" w:rsidRPr="00B76325" w:rsidRDefault="00B50C12" w:rsidP="00B50C12">
            <w:pPr>
              <w:pStyle w:val="ListParagraph"/>
              <w:numPr>
                <w:ilvl w:val="0"/>
                <w:numId w:val="1"/>
              </w:numPr>
              <w:jc w:val="both"/>
              <w:rPr>
                <w:rFonts w:ascii="Arial" w:hAnsi="Arial" w:cs="Arial"/>
                <w:b/>
                <w:bCs/>
                <w:color w:val="000000" w:themeColor="text1"/>
                <w:sz w:val="22"/>
                <w:szCs w:val="22"/>
                <w:lang w:val="mn-MN"/>
              </w:rPr>
            </w:pPr>
          </w:p>
        </w:tc>
        <w:tc>
          <w:tcPr>
            <w:tcW w:w="2098" w:type="dxa"/>
            <w:vMerge/>
          </w:tcPr>
          <w:p w14:paraId="499BD626" w14:textId="77777777" w:rsidR="00B50C12" w:rsidRPr="00B76325" w:rsidRDefault="00B50C12" w:rsidP="00B50C12">
            <w:pPr>
              <w:jc w:val="center"/>
              <w:rPr>
                <w:rFonts w:ascii="Arial" w:hAnsi="Arial" w:cs="Arial"/>
                <w:noProof/>
                <w:color w:val="000000" w:themeColor="text1"/>
                <w:sz w:val="22"/>
                <w:szCs w:val="22"/>
                <w:lang w:val="mn-MN"/>
              </w:rPr>
            </w:pPr>
          </w:p>
        </w:tc>
        <w:tc>
          <w:tcPr>
            <w:tcW w:w="5231" w:type="dxa"/>
          </w:tcPr>
          <w:p w14:paraId="7A733ABB" w14:textId="00D1D088"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5.75</w:t>
            </w:r>
            <w:r w:rsidRPr="00B76325">
              <w:rPr>
                <w:rFonts w:ascii="Arial" w:hAnsi="Arial" w:cs="Arial"/>
                <w:noProof/>
                <w:color w:val="000000" w:themeColor="text1"/>
                <w:sz w:val="22"/>
                <w:szCs w:val="22"/>
                <w:vertAlign w:val="superscript"/>
                <w:lang w:val="mn-MN"/>
              </w:rPr>
              <w:t>7</w:t>
            </w:r>
            <w:r w:rsidRPr="00B76325">
              <w:rPr>
                <w:rFonts w:ascii="Arial" w:hAnsi="Arial" w:cs="Arial"/>
                <w:noProof/>
                <w:color w:val="000000" w:themeColor="text1"/>
                <w:sz w:val="22"/>
                <w:szCs w:val="22"/>
                <w:lang w:val="mn-MN"/>
              </w:rPr>
              <w:t xml:space="preserve"> дугаар зүйлийн 75</w:t>
            </w:r>
            <w:r w:rsidRPr="00B76325">
              <w:rPr>
                <w:rFonts w:ascii="Arial" w:hAnsi="Arial" w:cs="Arial"/>
                <w:noProof/>
                <w:color w:val="000000" w:themeColor="text1"/>
                <w:sz w:val="22"/>
                <w:szCs w:val="22"/>
                <w:vertAlign w:val="superscript"/>
                <w:lang w:val="mn-MN"/>
              </w:rPr>
              <w:t>7</w:t>
            </w:r>
            <w:r w:rsidRPr="00B76325">
              <w:rPr>
                <w:rFonts w:ascii="Arial" w:hAnsi="Arial" w:cs="Arial"/>
                <w:noProof/>
                <w:color w:val="000000" w:themeColor="text1"/>
                <w:sz w:val="22"/>
                <w:szCs w:val="22"/>
                <w:lang w:val="mn-MN"/>
              </w:rPr>
              <w:t>.3 дахь хэсгийн “байна.” гэснийг “байх боловч шилжүүлсэн хэргийг  хүлээн авсан шүүх шаардлагатай гэж үзвэл товыг өөрчлөн тогтоож болно. Тов өөрчилсөн шүүгчийн захирамжид гомдол гаргахгүй” гэснийг дэмжихгүй. Өмнөх зохицуулалтыг хэвээр үлдээх.</w:t>
            </w:r>
          </w:p>
          <w:p w14:paraId="31A118BD" w14:textId="77777777" w:rsidR="00B50C12" w:rsidRPr="00B76325" w:rsidRDefault="00B50C12" w:rsidP="00B50C12">
            <w:pPr>
              <w:jc w:val="both"/>
              <w:rPr>
                <w:rFonts w:ascii="Arial" w:hAnsi="Arial" w:cs="Arial"/>
                <w:noProof/>
                <w:color w:val="000000" w:themeColor="text1"/>
                <w:sz w:val="22"/>
                <w:szCs w:val="22"/>
                <w:lang w:val="mn-MN"/>
              </w:rPr>
            </w:pPr>
          </w:p>
          <w:p w14:paraId="0C3EC76E" w14:textId="20AF5162"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Шүүхээс нэгэнт тогтоосон товыг дахин шүүгч өөрийн үзэмжээр өөрчлөн тогтоох эрхтэй байх шаардлагагүй</w:t>
            </w:r>
            <w:r w:rsidR="00EC2107">
              <w:rPr>
                <w:rFonts w:ascii="Arial" w:hAnsi="Arial" w:cs="Arial"/>
                <w:noProof/>
                <w:color w:val="000000" w:themeColor="text1"/>
                <w:sz w:val="22"/>
                <w:szCs w:val="22"/>
                <w:lang w:val="mn-MN"/>
              </w:rPr>
              <w:t>.</w:t>
            </w:r>
          </w:p>
        </w:tc>
        <w:tc>
          <w:tcPr>
            <w:tcW w:w="1655" w:type="dxa"/>
          </w:tcPr>
          <w:p w14:paraId="5F758659" w14:textId="77777777" w:rsidR="00B50C12" w:rsidRPr="00B76325" w:rsidRDefault="00B50C12" w:rsidP="00B50C12">
            <w:pPr>
              <w:jc w:val="both"/>
              <w:rPr>
                <w:rFonts w:ascii="Arial" w:hAnsi="Arial" w:cs="Arial"/>
                <w:noProof/>
                <w:color w:val="000000" w:themeColor="text1"/>
                <w:sz w:val="22"/>
                <w:szCs w:val="22"/>
                <w:lang w:val="mn-MN"/>
              </w:rPr>
            </w:pPr>
            <w:r>
              <w:rPr>
                <w:rFonts w:ascii="Arial" w:hAnsi="Arial" w:cs="Arial"/>
                <w:noProof/>
                <w:color w:val="000000" w:themeColor="text1"/>
                <w:sz w:val="22"/>
                <w:szCs w:val="22"/>
                <w:lang w:val="mn-MN"/>
              </w:rPr>
              <w:lastRenderedPageBreak/>
              <w:t>Саналыг тусгаагүй болно.</w:t>
            </w:r>
          </w:p>
        </w:tc>
        <w:tc>
          <w:tcPr>
            <w:tcW w:w="3808" w:type="dxa"/>
          </w:tcPr>
          <w:p w14:paraId="3AAFF7CC" w14:textId="27F00657" w:rsidR="00B50C12" w:rsidRPr="00B76325" w:rsidRDefault="00EC2107" w:rsidP="00B50C12">
            <w:pPr>
              <w:jc w:val="both"/>
              <w:rPr>
                <w:rFonts w:ascii="Arial" w:hAnsi="Arial" w:cs="Arial"/>
                <w:noProof/>
                <w:color w:val="000000" w:themeColor="text1"/>
                <w:sz w:val="22"/>
                <w:szCs w:val="22"/>
                <w:lang w:val="mn-MN"/>
              </w:rPr>
            </w:pPr>
            <w:r>
              <w:rPr>
                <w:rFonts w:ascii="Arial" w:hAnsi="Arial" w:cs="Arial"/>
                <w:noProof/>
                <w:color w:val="000000" w:themeColor="text1"/>
                <w:sz w:val="22"/>
                <w:szCs w:val="22"/>
                <w:lang w:val="mn-MN"/>
              </w:rPr>
              <w:t>Саналын үндэслэл тодорхой бус гэх шалтгаанаар тусгаагүй болно.</w:t>
            </w:r>
          </w:p>
        </w:tc>
      </w:tr>
      <w:tr w:rsidR="00B50C12" w:rsidRPr="00B76325" w14:paraId="290FF21F" w14:textId="77777777" w:rsidTr="00B50C12">
        <w:tc>
          <w:tcPr>
            <w:tcW w:w="523" w:type="dxa"/>
            <w:vMerge/>
          </w:tcPr>
          <w:p w14:paraId="31D5F007" w14:textId="77777777" w:rsidR="00B50C12" w:rsidRPr="00B76325" w:rsidRDefault="00B50C12" w:rsidP="00B50C12">
            <w:pPr>
              <w:pStyle w:val="ListParagraph"/>
              <w:numPr>
                <w:ilvl w:val="0"/>
                <w:numId w:val="1"/>
              </w:numPr>
              <w:jc w:val="both"/>
              <w:rPr>
                <w:rFonts w:ascii="Arial" w:hAnsi="Arial" w:cs="Arial"/>
                <w:b/>
                <w:bCs/>
                <w:color w:val="000000" w:themeColor="text1"/>
                <w:sz w:val="22"/>
                <w:szCs w:val="22"/>
                <w:lang w:val="mn-MN"/>
              </w:rPr>
            </w:pPr>
          </w:p>
        </w:tc>
        <w:tc>
          <w:tcPr>
            <w:tcW w:w="2098" w:type="dxa"/>
            <w:vMerge/>
          </w:tcPr>
          <w:p w14:paraId="776617CD" w14:textId="77777777" w:rsidR="00B50C12" w:rsidRPr="00B76325" w:rsidRDefault="00B50C12" w:rsidP="00B50C12">
            <w:pPr>
              <w:jc w:val="center"/>
              <w:rPr>
                <w:rFonts w:ascii="Arial" w:hAnsi="Arial" w:cs="Arial"/>
                <w:noProof/>
                <w:color w:val="000000" w:themeColor="text1"/>
                <w:sz w:val="22"/>
                <w:szCs w:val="22"/>
                <w:lang w:val="mn-MN"/>
              </w:rPr>
            </w:pPr>
          </w:p>
        </w:tc>
        <w:tc>
          <w:tcPr>
            <w:tcW w:w="5231" w:type="dxa"/>
          </w:tcPr>
          <w:p w14:paraId="22AC1CD1"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6.5 дугаар зүйл. “Иргэний хэрэг шүүхэд хянан шийдвэрлэх тухай хуулийн 75</w:t>
            </w:r>
            <w:r w:rsidRPr="00B76325">
              <w:rPr>
                <w:rFonts w:ascii="Arial" w:hAnsi="Arial" w:cs="Arial"/>
                <w:noProof/>
                <w:color w:val="000000" w:themeColor="text1"/>
                <w:sz w:val="22"/>
                <w:szCs w:val="22"/>
                <w:vertAlign w:val="superscript"/>
                <w:lang w:val="mn-MN"/>
              </w:rPr>
              <w:t>1</w:t>
            </w:r>
            <w:r w:rsidRPr="00B76325">
              <w:rPr>
                <w:rFonts w:ascii="Arial" w:hAnsi="Arial" w:cs="Arial"/>
                <w:noProof/>
                <w:color w:val="000000" w:themeColor="text1"/>
                <w:sz w:val="22"/>
                <w:szCs w:val="22"/>
                <w:lang w:val="mn-MN"/>
              </w:rPr>
              <w:t xml:space="preserve"> дүгээр зүйлийн 75</w:t>
            </w:r>
            <w:r w:rsidRPr="00B76325">
              <w:rPr>
                <w:rFonts w:ascii="Arial" w:hAnsi="Arial" w:cs="Arial"/>
                <w:noProof/>
                <w:color w:val="000000" w:themeColor="text1"/>
                <w:sz w:val="22"/>
                <w:szCs w:val="22"/>
                <w:vertAlign w:val="superscript"/>
                <w:lang w:val="mn-MN"/>
              </w:rPr>
              <w:t>1</w:t>
            </w:r>
            <w:r w:rsidRPr="00B76325">
              <w:rPr>
                <w:rFonts w:ascii="Arial" w:hAnsi="Arial" w:cs="Arial"/>
                <w:noProof/>
                <w:color w:val="000000" w:themeColor="text1"/>
                <w:sz w:val="22"/>
                <w:szCs w:val="22"/>
                <w:lang w:val="mn-MN"/>
              </w:rPr>
              <w:t>.1.3, 75</w:t>
            </w:r>
            <w:r w:rsidRPr="00B76325">
              <w:rPr>
                <w:rFonts w:ascii="Arial" w:hAnsi="Arial" w:cs="Arial"/>
                <w:noProof/>
                <w:color w:val="000000" w:themeColor="text1"/>
                <w:sz w:val="22"/>
                <w:szCs w:val="22"/>
                <w:vertAlign w:val="superscript"/>
                <w:lang w:val="mn-MN"/>
              </w:rPr>
              <w:t>1</w:t>
            </w:r>
            <w:r w:rsidRPr="00B76325">
              <w:rPr>
                <w:rFonts w:ascii="Arial" w:hAnsi="Arial" w:cs="Arial"/>
                <w:noProof/>
                <w:color w:val="000000" w:themeColor="text1"/>
                <w:sz w:val="22"/>
                <w:szCs w:val="22"/>
                <w:lang w:val="mn-MN"/>
              </w:rPr>
              <w:t>.2.2 дахь заалт, 75</w:t>
            </w:r>
            <w:r w:rsidRPr="00B76325">
              <w:rPr>
                <w:rFonts w:ascii="Arial" w:hAnsi="Arial" w:cs="Arial"/>
                <w:noProof/>
                <w:color w:val="000000" w:themeColor="text1"/>
                <w:sz w:val="22"/>
                <w:szCs w:val="22"/>
                <w:vertAlign w:val="superscript"/>
                <w:lang w:val="mn-MN"/>
              </w:rPr>
              <w:t>7</w:t>
            </w:r>
            <w:r w:rsidRPr="00B76325">
              <w:rPr>
                <w:rFonts w:ascii="Arial" w:hAnsi="Arial" w:cs="Arial"/>
                <w:noProof/>
                <w:color w:val="000000" w:themeColor="text1"/>
                <w:sz w:val="22"/>
                <w:szCs w:val="22"/>
                <w:lang w:val="mn-MN"/>
              </w:rPr>
              <w:t xml:space="preserve"> дугаар зүйлийн 75</w:t>
            </w:r>
            <w:r w:rsidRPr="00B76325">
              <w:rPr>
                <w:rFonts w:ascii="Arial" w:hAnsi="Arial" w:cs="Arial"/>
                <w:noProof/>
                <w:color w:val="000000" w:themeColor="text1"/>
                <w:sz w:val="22"/>
                <w:szCs w:val="22"/>
                <w:vertAlign w:val="superscript"/>
                <w:lang w:val="mn-MN"/>
              </w:rPr>
              <w:t>7</w:t>
            </w:r>
            <w:r w:rsidRPr="00B76325">
              <w:rPr>
                <w:rFonts w:ascii="Arial" w:hAnsi="Arial" w:cs="Arial"/>
                <w:noProof/>
                <w:color w:val="000000" w:themeColor="text1"/>
                <w:sz w:val="22"/>
                <w:szCs w:val="22"/>
                <w:lang w:val="mn-MN"/>
              </w:rPr>
              <w:t xml:space="preserve">.2 дахь хэсгийг тус тус хүчингүй болсонд тооцсугай.” гэснийг дэмжихгүй. </w:t>
            </w:r>
          </w:p>
          <w:p w14:paraId="3FDA55D1" w14:textId="77777777" w:rsidR="00B50C12" w:rsidRPr="00B76325" w:rsidRDefault="00B50C12" w:rsidP="00B50C12">
            <w:pPr>
              <w:jc w:val="both"/>
              <w:rPr>
                <w:rFonts w:ascii="Arial" w:hAnsi="Arial" w:cs="Arial"/>
                <w:noProof/>
                <w:color w:val="000000" w:themeColor="text1"/>
                <w:sz w:val="22"/>
                <w:szCs w:val="22"/>
                <w:lang w:val="mn-MN"/>
              </w:rPr>
            </w:pPr>
          </w:p>
          <w:p w14:paraId="361B0F3D" w14:textId="77777777" w:rsidR="00B50C12" w:rsidRPr="00B76325" w:rsidRDefault="00B50C12" w:rsidP="00B50C12">
            <w:pPr>
              <w:tabs>
                <w:tab w:val="left" w:pos="1551"/>
              </w:tabs>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Хуулийн 75</w:t>
            </w:r>
            <w:r w:rsidRPr="00B76325">
              <w:rPr>
                <w:rFonts w:ascii="Arial" w:hAnsi="Arial" w:cs="Arial"/>
                <w:noProof/>
                <w:color w:val="000000" w:themeColor="text1"/>
                <w:sz w:val="22"/>
                <w:szCs w:val="22"/>
                <w:vertAlign w:val="superscript"/>
                <w:lang w:val="mn-MN"/>
              </w:rPr>
              <w:t>1</w:t>
            </w:r>
            <w:r w:rsidRPr="00B76325">
              <w:rPr>
                <w:rFonts w:ascii="Arial" w:hAnsi="Arial" w:cs="Arial"/>
                <w:noProof/>
                <w:color w:val="000000" w:themeColor="text1"/>
                <w:sz w:val="22"/>
                <w:szCs w:val="22"/>
                <w:lang w:val="mn-MN"/>
              </w:rPr>
              <w:t xml:space="preserve"> дүгээр зүйлийн 75</w:t>
            </w:r>
            <w:r w:rsidRPr="00B76325">
              <w:rPr>
                <w:rFonts w:ascii="Arial" w:hAnsi="Arial" w:cs="Arial"/>
                <w:noProof/>
                <w:color w:val="000000" w:themeColor="text1"/>
                <w:sz w:val="22"/>
                <w:szCs w:val="22"/>
                <w:vertAlign w:val="superscript"/>
                <w:lang w:val="mn-MN"/>
              </w:rPr>
              <w:t>1</w:t>
            </w:r>
            <w:r w:rsidRPr="00B76325">
              <w:rPr>
                <w:rFonts w:ascii="Arial" w:hAnsi="Arial" w:cs="Arial"/>
                <w:noProof/>
                <w:color w:val="000000" w:themeColor="text1"/>
                <w:sz w:val="22"/>
                <w:szCs w:val="22"/>
                <w:lang w:val="mn-MN"/>
              </w:rPr>
              <w:t>.1.3 дахь хэсэгт “Хөдөлмөрийн гэрээний дагуу цалин хөлс гаргуулах” нэхэмжлэлийг тусгайлсан журмаар шуурхай шийдвэрлэх нь ААН болон иргэний хөдөлмөрлөх эрхийг хангахад чухал ач холбогдол зохицуулалт, тухайн маргаан удаашрах нь хэргийн оролцогч талуудын хэн алинд хохиролтой.</w:t>
            </w:r>
          </w:p>
        </w:tc>
        <w:tc>
          <w:tcPr>
            <w:tcW w:w="1655" w:type="dxa"/>
          </w:tcPr>
          <w:p w14:paraId="4724689B" w14:textId="77777777" w:rsidR="00B50C12" w:rsidRPr="00B76325" w:rsidRDefault="00B50C12" w:rsidP="00B50C12">
            <w:pPr>
              <w:jc w:val="both"/>
              <w:rPr>
                <w:rFonts w:ascii="Arial" w:hAnsi="Arial" w:cs="Arial"/>
                <w:noProof/>
                <w:color w:val="000000" w:themeColor="text1"/>
                <w:sz w:val="22"/>
                <w:szCs w:val="22"/>
                <w:lang w:val="mn-MN"/>
              </w:rPr>
            </w:pPr>
            <w:r>
              <w:rPr>
                <w:rFonts w:ascii="Arial" w:hAnsi="Arial" w:cs="Arial"/>
                <w:noProof/>
                <w:color w:val="000000" w:themeColor="text1"/>
                <w:sz w:val="22"/>
                <w:szCs w:val="22"/>
                <w:lang w:val="mn-MN"/>
              </w:rPr>
              <w:t>Саналыг тусгаагүй болно.</w:t>
            </w:r>
          </w:p>
        </w:tc>
        <w:tc>
          <w:tcPr>
            <w:tcW w:w="3808" w:type="dxa"/>
          </w:tcPr>
          <w:p w14:paraId="5ACDED28"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Хуулийн төслийн үзэл баримтлалтай нийцэхгүй байх тул саналыг тусгаагүй болно.</w:t>
            </w:r>
            <w:r>
              <w:rPr>
                <w:rFonts w:ascii="Arial" w:hAnsi="Arial" w:cs="Arial"/>
                <w:noProof/>
                <w:color w:val="000000" w:themeColor="text1"/>
                <w:sz w:val="22"/>
                <w:szCs w:val="22"/>
                <w:lang w:val="mn-MN"/>
              </w:rPr>
              <w:t xml:space="preserve"> </w:t>
            </w:r>
            <w:r w:rsidRPr="00B50C12">
              <w:rPr>
                <w:rFonts w:ascii="Arial" w:hAnsi="Arial" w:cs="Arial"/>
                <w:noProof/>
                <w:color w:val="000000" w:themeColor="text1"/>
                <w:sz w:val="22"/>
                <w:szCs w:val="22"/>
                <w:lang w:val="mn-MN"/>
              </w:rPr>
              <w:t>Тодруулбал,</w:t>
            </w:r>
            <w:r w:rsidRPr="00B50C12">
              <w:rPr>
                <w:rFonts w:ascii="Arial" w:hAnsi="Arial" w:cs="Arial"/>
                <w:color w:val="000000" w:themeColor="text1"/>
                <w:lang w:val="mn-MN" w:eastAsia="zh-CN" w:bidi="mn-Mong-CN"/>
              </w:rPr>
              <w:t xml:space="preserve"> хөдөлмөрийн гэрээний дагуу цалин хөлс гаргуулах маргаан нь </w:t>
            </w:r>
            <w:r w:rsidRPr="00B50C12">
              <w:rPr>
                <w:rFonts w:ascii="Arial" w:hAnsi="Arial" w:cs="Arial"/>
                <w:color w:val="000000" w:themeColor="text1"/>
                <w:lang w:val="mn-MN"/>
              </w:rPr>
              <w:t xml:space="preserve">тусгайлсан журмаар хянан шийдвэрлэх ажиллагааны онцлогт нийцэхгүй байх тул хялбар ажиллагааны шүүхийн хэргийн харьяаллаас хасах нь зүйтэй байна. Мөн </w:t>
            </w:r>
            <w:r w:rsidRPr="00B76325">
              <w:rPr>
                <w:rFonts w:ascii="Arial" w:hAnsi="Arial" w:cs="Arial"/>
                <w:noProof/>
                <w:color w:val="000000" w:themeColor="text1"/>
                <w:sz w:val="22"/>
                <w:szCs w:val="22"/>
                <w:lang w:val="mn-MN"/>
              </w:rPr>
              <w:t>Иргэний хэрэг шүүхэд хянан шийдвэрлэх тухай хуулийн 75</w:t>
            </w:r>
            <w:r w:rsidRPr="00B76325">
              <w:rPr>
                <w:rFonts w:ascii="Arial" w:hAnsi="Arial" w:cs="Arial"/>
                <w:noProof/>
                <w:color w:val="000000" w:themeColor="text1"/>
                <w:sz w:val="22"/>
                <w:szCs w:val="22"/>
                <w:vertAlign w:val="superscript"/>
                <w:lang w:val="mn-MN"/>
              </w:rPr>
              <w:t>1</w:t>
            </w:r>
            <w:r w:rsidRPr="00B76325">
              <w:rPr>
                <w:rFonts w:ascii="Arial" w:hAnsi="Arial" w:cs="Arial"/>
                <w:noProof/>
                <w:color w:val="000000" w:themeColor="text1"/>
                <w:sz w:val="22"/>
                <w:szCs w:val="22"/>
                <w:lang w:val="mn-MN"/>
              </w:rPr>
              <w:t>.2.2 гэсэн заалтыг 75</w:t>
            </w:r>
            <w:r w:rsidRPr="00B76325">
              <w:rPr>
                <w:rFonts w:ascii="Arial" w:hAnsi="Arial" w:cs="Arial"/>
                <w:noProof/>
                <w:color w:val="000000" w:themeColor="text1"/>
                <w:sz w:val="22"/>
                <w:szCs w:val="22"/>
                <w:vertAlign w:val="superscript"/>
                <w:lang w:val="mn-MN"/>
              </w:rPr>
              <w:t>1</w:t>
            </w:r>
            <w:r w:rsidRPr="00B76325">
              <w:rPr>
                <w:rFonts w:ascii="Arial" w:hAnsi="Arial" w:cs="Arial"/>
                <w:noProof/>
                <w:color w:val="000000" w:themeColor="text1"/>
                <w:sz w:val="22"/>
                <w:szCs w:val="22"/>
                <w:lang w:val="mn-MN"/>
              </w:rPr>
              <w:t>.1 дотор 75</w:t>
            </w:r>
            <w:r w:rsidRPr="00B76325">
              <w:rPr>
                <w:rFonts w:ascii="Arial" w:hAnsi="Arial" w:cs="Arial"/>
                <w:noProof/>
                <w:color w:val="000000" w:themeColor="text1"/>
                <w:sz w:val="22"/>
                <w:szCs w:val="22"/>
                <w:vertAlign w:val="superscript"/>
                <w:lang w:val="mn-MN"/>
              </w:rPr>
              <w:t>1</w:t>
            </w:r>
            <w:r w:rsidRPr="00B76325">
              <w:rPr>
                <w:rFonts w:ascii="Arial" w:hAnsi="Arial" w:cs="Arial"/>
                <w:noProof/>
                <w:color w:val="000000" w:themeColor="text1"/>
                <w:sz w:val="22"/>
                <w:szCs w:val="22"/>
                <w:lang w:val="mn-MN"/>
              </w:rPr>
              <w:t>,1.5 гэж дугаарлан нэм</w:t>
            </w:r>
            <w:r>
              <w:rPr>
                <w:rFonts w:ascii="Arial" w:hAnsi="Arial" w:cs="Arial"/>
                <w:noProof/>
                <w:color w:val="000000" w:themeColor="text1"/>
                <w:sz w:val="22"/>
                <w:szCs w:val="22"/>
                <w:lang w:val="mn-MN"/>
              </w:rPr>
              <w:t xml:space="preserve">сэн. </w:t>
            </w:r>
          </w:p>
        </w:tc>
      </w:tr>
      <w:tr w:rsidR="00B50C12" w:rsidRPr="00B76325" w14:paraId="0BA94C12" w14:textId="77777777" w:rsidTr="00B50C12">
        <w:tc>
          <w:tcPr>
            <w:tcW w:w="523" w:type="dxa"/>
            <w:vMerge/>
          </w:tcPr>
          <w:p w14:paraId="63C859E3" w14:textId="77777777" w:rsidR="00B50C12" w:rsidRPr="00B76325" w:rsidRDefault="00B50C12" w:rsidP="00B50C12">
            <w:pPr>
              <w:pStyle w:val="ListParagraph"/>
              <w:numPr>
                <w:ilvl w:val="0"/>
                <w:numId w:val="1"/>
              </w:numPr>
              <w:jc w:val="both"/>
              <w:rPr>
                <w:rFonts w:ascii="Arial" w:hAnsi="Arial" w:cs="Arial"/>
                <w:b/>
                <w:bCs/>
                <w:color w:val="000000" w:themeColor="text1"/>
                <w:sz w:val="22"/>
                <w:szCs w:val="22"/>
                <w:lang w:val="mn-MN"/>
              </w:rPr>
            </w:pPr>
          </w:p>
        </w:tc>
        <w:tc>
          <w:tcPr>
            <w:tcW w:w="2098" w:type="dxa"/>
            <w:vMerge/>
          </w:tcPr>
          <w:p w14:paraId="182D5660" w14:textId="77777777" w:rsidR="00B50C12" w:rsidRPr="00B76325" w:rsidRDefault="00B50C12" w:rsidP="00B50C12">
            <w:pPr>
              <w:jc w:val="center"/>
              <w:rPr>
                <w:rFonts w:ascii="Arial" w:hAnsi="Arial" w:cs="Arial"/>
                <w:noProof/>
                <w:color w:val="000000" w:themeColor="text1"/>
                <w:sz w:val="22"/>
                <w:szCs w:val="22"/>
                <w:lang w:val="mn-MN"/>
              </w:rPr>
            </w:pPr>
          </w:p>
        </w:tc>
        <w:tc>
          <w:tcPr>
            <w:tcW w:w="5231" w:type="dxa"/>
          </w:tcPr>
          <w:p w14:paraId="1E574C7C" w14:textId="77777777" w:rsidR="00B50C12" w:rsidRPr="00B76325" w:rsidRDefault="00B50C12" w:rsidP="00B50C12">
            <w:pPr>
              <w:tabs>
                <w:tab w:val="left" w:pos="1551"/>
              </w:tabs>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 xml:space="preserve">7.Бусдын эд хөрөнгө, эрүүл мэндэд гэм хор учруулсны улмаас мөнгөн хөрөнгө гаргуулах нэхэмжлэлийн үнийн дүн “Нэг сарын хөдөлмөрийн хөлсний доод хэмжээг 20 дахин нэмэгдүүлснээс доош” тохиолдолд тусгай ажиллагааны шүүх шийдвэрлэж байх нь зөв. Харин шинжээчийн дүгнэлт гаргуулах тохиолдолд хэрэг хянан шийдвэрлэх ажиллагааг түдгэлзүүлэх байдлаар шийдвэрлэх саналтай байна. </w:t>
            </w:r>
          </w:p>
        </w:tc>
        <w:tc>
          <w:tcPr>
            <w:tcW w:w="1655" w:type="dxa"/>
          </w:tcPr>
          <w:p w14:paraId="161DFFF3" w14:textId="51075AD9" w:rsidR="00B50C12" w:rsidRPr="00B76325" w:rsidRDefault="00CF000D" w:rsidP="00B50C12">
            <w:pPr>
              <w:jc w:val="both"/>
              <w:rPr>
                <w:rFonts w:ascii="Arial" w:hAnsi="Arial" w:cs="Arial"/>
                <w:noProof/>
                <w:color w:val="000000" w:themeColor="text1"/>
                <w:sz w:val="22"/>
                <w:szCs w:val="22"/>
                <w:lang w:val="mn-MN"/>
              </w:rPr>
            </w:pPr>
            <w:r>
              <w:rPr>
                <w:rFonts w:ascii="Arial" w:hAnsi="Arial" w:cs="Arial"/>
                <w:noProof/>
                <w:color w:val="000000" w:themeColor="text1"/>
                <w:sz w:val="22"/>
                <w:szCs w:val="22"/>
                <w:lang w:val="mn-MN"/>
              </w:rPr>
              <w:t xml:space="preserve">Саналыг тусгасан. </w:t>
            </w:r>
          </w:p>
        </w:tc>
        <w:tc>
          <w:tcPr>
            <w:tcW w:w="3808" w:type="dxa"/>
          </w:tcPr>
          <w:p w14:paraId="17F0CB05" w14:textId="77777777" w:rsidR="00B50C12" w:rsidRPr="00B76325" w:rsidRDefault="00B50C12" w:rsidP="00B50C12">
            <w:pPr>
              <w:jc w:val="both"/>
              <w:rPr>
                <w:rFonts w:ascii="Arial" w:hAnsi="Arial" w:cs="Arial"/>
                <w:noProof/>
                <w:color w:val="000000" w:themeColor="text1"/>
                <w:sz w:val="22"/>
                <w:szCs w:val="22"/>
                <w:lang w:val="mn-MN"/>
              </w:rPr>
            </w:pPr>
          </w:p>
        </w:tc>
      </w:tr>
      <w:tr w:rsidR="00B50C12" w:rsidRPr="00B76325" w14:paraId="1480EEFF" w14:textId="77777777" w:rsidTr="005C44C3">
        <w:tc>
          <w:tcPr>
            <w:tcW w:w="523" w:type="dxa"/>
            <w:vMerge w:val="restart"/>
          </w:tcPr>
          <w:p w14:paraId="78D80C6D" w14:textId="77777777" w:rsidR="00B50C12" w:rsidRPr="00B76325" w:rsidRDefault="00B50C12" w:rsidP="00B50C12">
            <w:pPr>
              <w:pStyle w:val="ListParagraph"/>
              <w:numPr>
                <w:ilvl w:val="0"/>
                <w:numId w:val="1"/>
              </w:numPr>
              <w:jc w:val="both"/>
              <w:rPr>
                <w:rFonts w:ascii="Arial" w:hAnsi="Arial" w:cs="Arial"/>
                <w:b/>
                <w:bCs/>
                <w:color w:val="000000" w:themeColor="text1"/>
                <w:sz w:val="22"/>
                <w:szCs w:val="22"/>
                <w:lang w:val="mn-MN"/>
              </w:rPr>
            </w:pPr>
          </w:p>
        </w:tc>
        <w:tc>
          <w:tcPr>
            <w:tcW w:w="2098" w:type="dxa"/>
            <w:vMerge w:val="restart"/>
          </w:tcPr>
          <w:p w14:paraId="1361B327" w14:textId="77777777" w:rsidR="00B50C12" w:rsidRPr="00B76325" w:rsidRDefault="00B50C12" w:rsidP="00B50C12">
            <w:pPr>
              <w:jc w:val="center"/>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“Монголын санхүүгийн технологийн холбоо” ГҮТББ</w:t>
            </w:r>
          </w:p>
          <w:p w14:paraId="262294E5" w14:textId="77777777" w:rsidR="00B50C12" w:rsidRPr="00B76325" w:rsidRDefault="00B50C12" w:rsidP="00B50C12">
            <w:pPr>
              <w:jc w:val="center"/>
              <w:rPr>
                <w:rFonts w:ascii="Arial" w:hAnsi="Arial" w:cs="Arial"/>
                <w:noProof/>
                <w:color w:val="000000" w:themeColor="text1"/>
                <w:sz w:val="22"/>
                <w:szCs w:val="22"/>
                <w:lang w:val="mn-MN"/>
              </w:rPr>
            </w:pPr>
          </w:p>
          <w:p w14:paraId="17B6D1BC" w14:textId="77777777" w:rsidR="00B50C12" w:rsidRPr="00B76325" w:rsidRDefault="00B50C12" w:rsidP="00B50C12">
            <w:pPr>
              <w:jc w:val="center"/>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 xml:space="preserve">2026.03.25 </w:t>
            </w:r>
          </w:p>
          <w:p w14:paraId="5B98EA25" w14:textId="77777777" w:rsidR="00B50C12" w:rsidRPr="00B76325" w:rsidRDefault="00B50C12" w:rsidP="00B50C12">
            <w:pPr>
              <w:jc w:val="center"/>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26/09</w:t>
            </w:r>
          </w:p>
        </w:tc>
        <w:tc>
          <w:tcPr>
            <w:tcW w:w="5231" w:type="dxa"/>
          </w:tcPr>
          <w:p w14:paraId="145B66E9" w14:textId="77777777" w:rsidR="00B50C12" w:rsidRPr="00B76325" w:rsidRDefault="00B50C12" w:rsidP="00B50C12">
            <w:pPr>
              <w:tabs>
                <w:tab w:val="left" w:pos="1551"/>
              </w:tabs>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1.Хуулийн төслийн 75</w:t>
            </w:r>
            <w:r w:rsidRPr="00B76325">
              <w:rPr>
                <w:rFonts w:ascii="Arial" w:hAnsi="Arial" w:cs="Arial"/>
                <w:noProof/>
                <w:color w:val="000000" w:themeColor="text1"/>
                <w:sz w:val="22"/>
                <w:szCs w:val="22"/>
                <w:vertAlign w:val="superscript"/>
                <w:lang w:val="mn-MN"/>
              </w:rPr>
              <w:t>4</w:t>
            </w:r>
            <w:r w:rsidRPr="00B76325">
              <w:rPr>
                <w:rFonts w:ascii="Arial" w:hAnsi="Arial" w:cs="Arial"/>
                <w:noProof/>
                <w:color w:val="000000" w:themeColor="text1"/>
                <w:sz w:val="22"/>
                <w:szCs w:val="22"/>
                <w:lang w:val="mn-MN"/>
              </w:rPr>
              <w:t xml:space="preserve">.6 дугаар зүйлд Финтек зээл гэх ойлголтыг хууль хэрэглээний хувьд тодорхой болгох саналтай байна. Финтек нь технологийн шийдлээр санхүүгийн үйлчилгээг үзүүлэх ойлголт бөгөөд тодорхойлсон хэм хэмжээний акт байхгүй тул хууль хэрэглээний хувьд тодорхой бус байна. </w:t>
            </w:r>
          </w:p>
        </w:tc>
        <w:tc>
          <w:tcPr>
            <w:tcW w:w="1655" w:type="dxa"/>
          </w:tcPr>
          <w:p w14:paraId="1187A77A"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Саналыг тусгасан</w:t>
            </w:r>
            <w:r>
              <w:rPr>
                <w:rFonts w:ascii="Arial" w:hAnsi="Arial" w:cs="Arial"/>
                <w:noProof/>
                <w:color w:val="000000" w:themeColor="text1"/>
                <w:sz w:val="22"/>
                <w:szCs w:val="22"/>
                <w:lang w:val="mn-MN"/>
              </w:rPr>
              <w:t xml:space="preserve"> болно.</w:t>
            </w:r>
          </w:p>
        </w:tc>
        <w:tc>
          <w:tcPr>
            <w:tcW w:w="3808" w:type="dxa"/>
          </w:tcPr>
          <w:p w14:paraId="1C30BAF4"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Хуулийн төслөөс Финтек зээлийн гэрээтэй холбоотой тусгайлсан зохицуулалтыг хассан болно.</w:t>
            </w:r>
          </w:p>
        </w:tc>
      </w:tr>
      <w:tr w:rsidR="00B50C12" w:rsidRPr="00B76325" w14:paraId="1EDF849B" w14:textId="77777777" w:rsidTr="005C44C3">
        <w:tc>
          <w:tcPr>
            <w:tcW w:w="523" w:type="dxa"/>
            <w:vMerge/>
          </w:tcPr>
          <w:p w14:paraId="315D63A3" w14:textId="77777777" w:rsidR="00B50C12" w:rsidRPr="00B76325" w:rsidRDefault="00B50C12" w:rsidP="00B50C12">
            <w:pPr>
              <w:pStyle w:val="ListParagraph"/>
              <w:numPr>
                <w:ilvl w:val="0"/>
                <w:numId w:val="1"/>
              </w:numPr>
              <w:jc w:val="both"/>
              <w:rPr>
                <w:rFonts w:ascii="Arial" w:hAnsi="Arial" w:cs="Arial"/>
                <w:b/>
                <w:bCs/>
                <w:color w:val="000000" w:themeColor="text1"/>
                <w:sz w:val="22"/>
                <w:szCs w:val="22"/>
                <w:lang w:val="mn-MN"/>
              </w:rPr>
            </w:pPr>
          </w:p>
        </w:tc>
        <w:tc>
          <w:tcPr>
            <w:tcW w:w="2098" w:type="dxa"/>
            <w:vMerge/>
          </w:tcPr>
          <w:p w14:paraId="66C42420" w14:textId="77777777" w:rsidR="00B50C12" w:rsidRPr="00B76325" w:rsidRDefault="00B50C12" w:rsidP="00B50C12">
            <w:pPr>
              <w:jc w:val="center"/>
              <w:rPr>
                <w:rFonts w:ascii="Arial" w:hAnsi="Arial" w:cs="Arial"/>
                <w:noProof/>
                <w:color w:val="000000" w:themeColor="text1"/>
                <w:sz w:val="22"/>
                <w:szCs w:val="22"/>
                <w:lang w:val="mn-MN"/>
              </w:rPr>
            </w:pPr>
          </w:p>
        </w:tc>
        <w:tc>
          <w:tcPr>
            <w:tcW w:w="5231" w:type="dxa"/>
          </w:tcPr>
          <w:p w14:paraId="0DAADD82" w14:textId="77777777" w:rsidR="00B50C12" w:rsidRPr="00B76325" w:rsidRDefault="00B50C12" w:rsidP="00B50C12">
            <w:pPr>
              <w:tabs>
                <w:tab w:val="left" w:pos="1551"/>
              </w:tabs>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 xml:space="preserve">2.Тус зүйлд тусгайлсан журмаар хэрэг хянан шийдвэрлэх ажиллагааг хөдөлмөрийн хөлсний доод хэмжээгээр тодорхойлон тухайлсан журам тогтоосон хэдий ч үүн дотроо финтек зээлийн процесс гэж дахин журам тогтоож байгаа нь үндэслэлгүй байна. Энэ талаар хуулийн үзэл баримтлалд тусгаагүй байсан. </w:t>
            </w:r>
          </w:p>
        </w:tc>
        <w:tc>
          <w:tcPr>
            <w:tcW w:w="1655" w:type="dxa"/>
          </w:tcPr>
          <w:p w14:paraId="6F007DB2"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Саналыг тусгасан</w:t>
            </w:r>
            <w:r>
              <w:rPr>
                <w:rFonts w:ascii="Arial" w:hAnsi="Arial" w:cs="Arial"/>
                <w:noProof/>
                <w:color w:val="000000" w:themeColor="text1"/>
                <w:sz w:val="22"/>
                <w:szCs w:val="22"/>
                <w:lang w:val="mn-MN"/>
              </w:rPr>
              <w:t xml:space="preserve"> болно.</w:t>
            </w:r>
          </w:p>
        </w:tc>
        <w:tc>
          <w:tcPr>
            <w:tcW w:w="3808" w:type="dxa"/>
          </w:tcPr>
          <w:p w14:paraId="00E2FBB8"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Хуулийн төслөөс Финтек зээлийн гэрээтэй холбоотой тусгайлсан зохицуулалтыг хассан болно.</w:t>
            </w:r>
          </w:p>
        </w:tc>
      </w:tr>
      <w:tr w:rsidR="00B50C12" w:rsidRPr="00B76325" w14:paraId="5D7ED835" w14:textId="77777777" w:rsidTr="005C44C3">
        <w:tc>
          <w:tcPr>
            <w:tcW w:w="523" w:type="dxa"/>
            <w:vMerge/>
          </w:tcPr>
          <w:p w14:paraId="7FEF0213" w14:textId="77777777" w:rsidR="00B50C12" w:rsidRPr="00B76325" w:rsidRDefault="00B50C12" w:rsidP="00B50C12">
            <w:pPr>
              <w:pStyle w:val="ListParagraph"/>
              <w:numPr>
                <w:ilvl w:val="0"/>
                <w:numId w:val="1"/>
              </w:numPr>
              <w:jc w:val="both"/>
              <w:rPr>
                <w:rFonts w:ascii="Arial" w:hAnsi="Arial" w:cs="Arial"/>
                <w:b/>
                <w:bCs/>
                <w:color w:val="000000" w:themeColor="text1"/>
                <w:sz w:val="22"/>
                <w:szCs w:val="22"/>
                <w:lang w:val="mn-MN"/>
              </w:rPr>
            </w:pPr>
          </w:p>
        </w:tc>
        <w:tc>
          <w:tcPr>
            <w:tcW w:w="2098" w:type="dxa"/>
            <w:vMerge/>
          </w:tcPr>
          <w:p w14:paraId="0F2FA175" w14:textId="77777777" w:rsidR="00B50C12" w:rsidRPr="00B76325" w:rsidRDefault="00B50C12" w:rsidP="00B50C12">
            <w:pPr>
              <w:jc w:val="center"/>
              <w:rPr>
                <w:rFonts w:ascii="Arial" w:hAnsi="Arial" w:cs="Arial"/>
                <w:noProof/>
                <w:color w:val="000000" w:themeColor="text1"/>
                <w:sz w:val="22"/>
                <w:szCs w:val="22"/>
                <w:lang w:val="mn-MN"/>
              </w:rPr>
            </w:pPr>
          </w:p>
        </w:tc>
        <w:tc>
          <w:tcPr>
            <w:tcW w:w="5231" w:type="dxa"/>
          </w:tcPr>
          <w:p w14:paraId="3151BBD4" w14:textId="77777777" w:rsidR="00B50C12" w:rsidRPr="00B76325" w:rsidRDefault="00B50C12" w:rsidP="00B50C12">
            <w:pPr>
              <w:tabs>
                <w:tab w:val="left" w:pos="1551"/>
              </w:tabs>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 xml:space="preserve">3.Хуулийн төслийн 20.10 дугаар зүйл нь ИХШХШтХ-аар зохицуулах агуулга байгаа бөгөөд агуулгын хувьд мөн хууль зүйн үндэслэлгүй байх тул хасах саналтай байна. </w:t>
            </w:r>
          </w:p>
        </w:tc>
        <w:tc>
          <w:tcPr>
            <w:tcW w:w="1655" w:type="dxa"/>
          </w:tcPr>
          <w:p w14:paraId="279F81F1"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Саналыг хэсэгчлэн тусгасан</w:t>
            </w:r>
            <w:r>
              <w:rPr>
                <w:rFonts w:ascii="Arial" w:hAnsi="Arial" w:cs="Arial"/>
                <w:noProof/>
                <w:color w:val="000000" w:themeColor="text1"/>
                <w:sz w:val="22"/>
                <w:szCs w:val="22"/>
                <w:lang w:val="mn-MN"/>
              </w:rPr>
              <w:t>.</w:t>
            </w:r>
          </w:p>
        </w:tc>
        <w:tc>
          <w:tcPr>
            <w:tcW w:w="3808" w:type="dxa"/>
          </w:tcPr>
          <w:p w14:paraId="2D48D0CB" w14:textId="77777777" w:rsidR="00B50C12" w:rsidRPr="00B76325" w:rsidRDefault="00B50C12" w:rsidP="00B50C12">
            <w:pPr>
              <w:jc w:val="both"/>
              <w:rPr>
                <w:rFonts w:ascii="Arial" w:eastAsia="Arial" w:hAnsi="Arial" w:cs="Arial"/>
                <w:bCs/>
                <w:noProof/>
                <w:color w:val="000000" w:themeColor="text1"/>
                <w:sz w:val="22"/>
                <w:szCs w:val="22"/>
                <w:lang w:val="af-ZA"/>
              </w:rPr>
            </w:pPr>
            <w:r w:rsidRPr="00CF000D">
              <w:rPr>
                <w:rFonts w:ascii="Arial" w:hAnsi="Arial" w:cs="Arial"/>
                <w:color w:val="000000" w:themeColor="text1"/>
                <w:sz w:val="22"/>
                <w:szCs w:val="22"/>
                <w:lang w:val="mn-MN"/>
              </w:rPr>
              <w:t>Дагалдуулан боловсруулсан Банк, эрх бүхий хуулийн этгээдийн мөнгөн хадгаламж, Мөнгөн хөрөнгийн шилжүүлэг, зээлийн үйл ажиллагааны тухай хуульд нэмэлт оруулах тухай хуулийн төслийн</w:t>
            </w:r>
            <w:r w:rsidRPr="00B76325">
              <w:rPr>
                <w:rFonts w:ascii="Arial" w:hAnsi="Arial" w:cs="Arial"/>
                <w:noProof/>
                <w:color w:val="000000" w:themeColor="text1"/>
                <w:sz w:val="22"/>
                <w:szCs w:val="22"/>
                <w:lang w:val="mn-MN"/>
              </w:rPr>
              <w:t xml:space="preserve"> </w:t>
            </w:r>
            <w:r w:rsidRPr="00CF000D">
              <w:rPr>
                <w:rFonts w:ascii="Arial" w:hAnsi="Arial" w:cs="Arial"/>
                <w:color w:val="000000" w:themeColor="text1"/>
                <w:sz w:val="22"/>
                <w:szCs w:val="22"/>
                <w:lang w:val="mn-MN"/>
              </w:rPr>
              <w:t xml:space="preserve">1 дүгээр зүйлд заасан 20.10 дэх хэсгийг  </w:t>
            </w:r>
            <w:r w:rsidRPr="00B76325">
              <w:rPr>
                <w:rFonts w:ascii="Arial" w:hAnsi="Arial" w:cs="Arial"/>
                <w:noProof/>
                <w:color w:val="000000" w:themeColor="text1"/>
                <w:sz w:val="22"/>
                <w:szCs w:val="22"/>
                <w:lang w:val="mn-MN"/>
              </w:rPr>
              <w:t>“</w:t>
            </w:r>
            <w:r w:rsidRPr="00CF000D">
              <w:rPr>
                <w:rFonts w:ascii="Arial" w:hAnsi="Arial" w:cs="Arial"/>
                <w:color w:val="000000" w:themeColor="text1"/>
                <w:sz w:val="22"/>
                <w:szCs w:val="22"/>
                <w:lang w:val="mn-MN"/>
              </w:rPr>
              <w:t>Харин “</w:t>
            </w:r>
            <w:r w:rsidRPr="00B76325">
              <w:rPr>
                <w:rFonts w:ascii="Arial" w:eastAsia="Arial" w:hAnsi="Arial" w:cs="Arial"/>
                <w:bCs/>
                <w:noProof/>
                <w:color w:val="000000" w:themeColor="text1"/>
                <w:sz w:val="22"/>
                <w:szCs w:val="22"/>
                <w:lang w:val="af-ZA"/>
              </w:rPr>
              <w:t>20.10.Зээлдүүлэгч нь цахим хэлбэрээр байгуулах зээлийн гэрээтэй холбоотой нэхэмжлэлийг шүүхэд гаргах тохиолдолд энэ хуулийн 20.9-д заасан баталгаажуулалтын баримтыг шүүхэд нотлох баримтаар ирүүлэх үүрэгтэй.”</w:t>
            </w:r>
            <w:r w:rsidRPr="00CF000D">
              <w:rPr>
                <w:rFonts w:ascii="Arial" w:hAnsi="Arial" w:cs="Arial"/>
                <w:color w:val="000000" w:themeColor="text1"/>
                <w:sz w:val="22"/>
                <w:szCs w:val="22"/>
                <w:lang w:val="mn-MN"/>
              </w:rPr>
              <w:t xml:space="preserve"> гэж өөрчлөн найруулсан болно.</w:t>
            </w:r>
          </w:p>
        </w:tc>
      </w:tr>
      <w:tr w:rsidR="00B50C12" w:rsidRPr="00B76325" w14:paraId="6D257C93" w14:textId="77777777" w:rsidTr="005C44C3">
        <w:tc>
          <w:tcPr>
            <w:tcW w:w="523" w:type="dxa"/>
            <w:vMerge/>
          </w:tcPr>
          <w:p w14:paraId="663948A3" w14:textId="77777777" w:rsidR="00B50C12" w:rsidRPr="00B76325" w:rsidRDefault="00B50C12" w:rsidP="00B50C12">
            <w:pPr>
              <w:pStyle w:val="ListParagraph"/>
              <w:numPr>
                <w:ilvl w:val="0"/>
                <w:numId w:val="1"/>
              </w:numPr>
              <w:jc w:val="both"/>
              <w:rPr>
                <w:rFonts w:ascii="Arial" w:hAnsi="Arial" w:cs="Arial"/>
                <w:b/>
                <w:bCs/>
                <w:color w:val="000000" w:themeColor="text1"/>
                <w:sz w:val="22"/>
                <w:szCs w:val="22"/>
                <w:lang w:val="mn-MN"/>
              </w:rPr>
            </w:pPr>
          </w:p>
        </w:tc>
        <w:tc>
          <w:tcPr>
            <w:tcW w:w="2098" w:type="dxa"/>
            <w:vMerge/>
          </w:tcPr>
          <w:p w14:paraId="3EA477D2" w14:textId="77777777" w:rsidR="00B50C12" w:rsidRPr="00B76325" w:rsidRDefault="00B50C12" w:rsidP="00B50C12">
            <w:pPr>
              <w:jc w:val="center"/>
              <w:rPr>
                <w:rFonts w:ascii="Arial" w:hAnsi="Arial" w:cs="Arial"/>
                <w:noProof/>
                <w:color w:val="000000" w:themeColor="text1"/>
                <w:sz w:val="22"/>
                <w:szCs w:val="22"/>
                <w:lang w:val="mn-MN"/>
              </w:rPr>
            </w:pPr>
          </w:p>
        </w:tc>
        <w:tc>
          <w:tcPr>
            <w:tcW w:w="5231" w:type="dxa"/>
          </w:tcPr>
          <w:p w14:paraId="46958EA0" w14:textId="77777777" w:rsidR="00B50C12" w:rsidRPr="00B76325" w:rsidRDefault="00B50C12" w:rsidP="00B50C12">
            <w:pPr>
              <w:tabs>
                <w:tab w:val="left" w:pos="1551"/>
              </w:tabs>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4.Хаягийн баталгаажуулалтын баримт гэдэгт яг ямар баталгаажуулалтыг ойлгож байгаа нь тодорхойгүй байна. Тодруулбал, “</w:t>
            </w:r>
            <w:r w:rsidRPr="00CF000D">
              <w:rPr>
                <w:rFonts w:ascii="Arial" w:hAnsi="Arial" w:cs="Arial"/>
                <w:noProof/>
                <w:color w:val="000000" w:themeColor="text1"/>
                <w:sz w:val="22"/>
                <w:szCs w:val="22"/>
                <w:lang w:val="mn-MN" w:bidi="mn-Mong-MN"/>
              </w:rPr>
              <w:t>OTP</w:t>
            </w:r>
            <w:r w:rsidRPr="00B76325">
              <w:rPr>
                <w:rFonts w:ascii="Arial" w:hAnsi="Arial" w:cs="Arial"/>
                <w:noProof/>
                <w:color w:val="000000" w:themeColor="text1"/>
                <w:sz w:val="22"/>
                <w:szCs w:val="22"/>
                <w:lang w:val="mn-MN"/>
              </w:rPr>
              <w:t xml:space="preserve">”-ээр баталгаажуулсан баталгаажуулалт, эсхүл өөр баталгаажуулалтыг шаардаж байгаа эсэх нь тодорхойгүй байна. </w:t>
            </w:r>
          </w:p>
          <w:p w14:paraId="728D7A12" w14:textId="77777777" w:rsidR="00B50C12" w:rsidRPr="00B76325" w:rsidRDefault="00B50C12" w:rsidP="00B50C12">
            <w:pPr>
              <w:tabs>
                <w:tab w:val="left" w:pos="1551"/>
              </w:tabs>
              <w:jc w:val="both"/>
              <w:rPr>
                <w:rFonts w:ascii="Arial" w:hAnsi="Arial" w:cs="Arial"/>
                <w:noProof/>
                <w:color w:val="000000" w:themeColor="text1"/>
                <w:sz w:val="22"/>
                <w:szCs w:val="22"/>
                <w:lang w:val="mn-MN"/>
              </w:rPr>
            </w:pPr>
          </w:p>
          <w:p w14:paraId="3890FE99" w14:textId="77777777" w:rsidR="00B50C12" w:rsidRPr="00B76325" w:rsidRDefault="00B50C12" w:rsidP="00B50C12">
            <w:pPr>
              <w:tabs>
                <w:tab w:val="left" w:pos="1551"/>
              </w:tabs>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 xml:space="preserve">Хувийн аж ахуйн нэгжийн хувьд үйлчлүүлэгч, харилцагчийн ирүүлж буй хүчин төгөлдөр иргэний үнэмлэх болон шаардлагатай тохиолдолд оршин суугаа газрын тодорхойлолтоос өөрөөр нотлох баримт бүрдүүлэх эрх хэмжээ байхгүй, боломжгүй бөгөөд хуулиар олгогдоогүй эрх үндэслэн, </w:t>
            </w:r>
            <w:r w:rsidRPr="00B76325">
              <w:rPr>
                <w:rFonts w:ascii="Arial" w:hAnsi="Arial" w:cs="Arial"/>
                <w:noProof/>
                <w:color w:val="000000" w:themeColor="text1"/>
                <w:sz w:val="22"/>
                <w:szCs w:val="22"/>
                <w:lang w:val="mn-MN"/>
              </w:rPr>
              <w:lastRenderedPageBreak/>
              <w:t xml:space="preserve">нэхэмжлэл гаргах эрхийг хязгаарлаж байгаа нь үндэслэлгүй байна. </w:t>
            </w:r>
          </w:p>
        </w:tc>
        <w:tc>
          <w:tcPr>
            <w:tcW w:w="1655" w:type="dxa"/>
          </w:tcPr>
          <w:p w14:paraId="2D840960"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lastRenderedPageBreak/>
              <w:t>Саналыг тусгасан</w:t>
            </w:r>
            <w:r>
              <w:rPr>
                <w:rFonts w:ascii="Arial" w:hAnsi="Arial" w:cs="Arial"/>
                <w:noProof/>
                <w:color w:val="000000" w:themeColor="text1"/>
                <w:sz w:val="22"/>
                <w:szCs w:val="22"/>
                <w:lang w:val="mn-MN"/>
              </w:rPr>
              <w:t xml:space="preserve"> болно.</w:t>
            </w:r>
          </w:p>
        </w:tc>
        <w:tc>
          <w:tcPr>
            <w:tcW w:w="3808" w:type="dxa"/>
          </w:tcPr>
          <w:p w14:paraId="3D6880E4" w14:textId="77777777" w:rsidR="00B50C12" w:rsidRPr="00B76325" w:rsidRDefault="00B50C12" w:rsidP="00B50C12">
            <w:pPr>
              <w:jc w:val="both"/>
              <w:rPr>
                <w:rFonts w:ascii="Arial" w:hAnsi="Arial" w:cs="Arial"/>
                <w:noProof/>
                <w:color w:val="000000" w:themeColor="text1"/>
                <w:sz w:val="22"/>
                <w:szCs w:val="22"/>
                <w:lang w:val="mn-MN"/>
              </w:rPr>
            </w:pPr>
            <w:r w:rsidRPr="00CF000D">
              <w:rPr>
                <w:rFonts w:ascii="Arial" w:hAnsi="Arial" w:cs="Arial"/>
                <w:color w:val="000000" w:themeColor="text1"/>
                <w:sz w:val="22"/>
                <w:szCs w:val="22"/>
                <w:lang w:val="mn-MN"/>
              </w:rPr>
              <w:t>Дагалдуулан боловсруулсан Банк, эрх бүхий хуулийн этгээдийн мөнгөн хадгаламж, Мөнгөн хөрөнгийн шилжүүлэг, зээлийн үйл ажиллагааны тухай хуульд нэмэлт оруулах тухай хуулийн төслөөс</w:t>
            </w:r>
            <w:r w:rsidRPr="00B76325">
              <w:rPr>
                <w:rFonts w:ascii="Arial" w:hAnsi="Arial" w:cs="Arial"/>
                <w:noProof/>
                <w:color w:val="000000" w:themeColor="text1"/>
                <w:sz w:val="22"/>
                <w:szCs w:val="22"/>
                <w:lang w:val="mn-MN"/>
              </w:rPr>
              <w:t xml:space="preserve"> “хаягийн баталгаажуулалтын баримт” гэх зохицуулалтыг хассан болно.</w:t>
            </w:r>
            <w:r w:rsidRPr="00CF000D">
              <w:rPr>
                <w:rFonts w:ascii="Arial" w:hAnsi="Arial" w:cs="Arial"/>
                <w:color w:val="000000" w:themeColor="text1"/>
                <w:sz w:val="22"/>
                <w:szCs w:val="22"/>
                <w:lang w:val="mn-MN"/>
              </w:rPr>
              <w:t xml:space="preserve"> Харин 1 дүгээр зүйлд заасан 20.9 дэх хэсгийг  “</w:t>
            </w:r>
            <w:r w:rsidRPr="00B76325">
              <w:rPr>
                <w:rFonts w:ascii="Arial" w:eastAsia="Arial" w:hAnsi="Arial" w:cs="Arial"/>
                <w:bCs/>
                <w:noProof/>
                <w:color w:val="000000" w:themeColor="text1"/>
                <w:sz w:val="22"/>
                <w:szCs w:val="22"/>
                <w:lang w:val="af-ZA"/>
              </w:rPr>
              <w:t xml:space="preserve">20.9.Зээлдүүлэгч нь зээлдэгч өөрөө мөн болохыг нь болон зээлдэгчийн хувийн цахим шуудангийн хаягийг баталгаажуулсны үндсэн дээр </w:t>
            </w:r>
            <w:r w:rsidRPr="00B76325">
              <w:rPr>
                <w:rFonts w:ascii="Arial" w:eastAsia="Arial" w:hAnsi="Arial" w:cs="Arial"/>
                <w:bCs/>
                <w:noProof/>
                <w:color w:val="000000" w:themeColor="text1"/>
                <w:sz w:val="22"/>
                <w:szCs w:val="22"/>
                <w:lang w:val="af-ZA"/>
              </w:rPr>
              <w:lastRenderedPageBreak/>
              <w:t>цахим хэлбэрээр зээлийн гэрээ байгуулна.</w:t>
            </w:r>
            <w:r w:rsidRPr="00CF000D">
              <w:rPr>
                <w:rFonts w:ascii="Arial" w:hAnsi="Arial" w:cs="Arial"/>
                <w:color w:val="000000" w:themeColor="text1"/>
                <w:sz w:val="22"/>
                <w:szCs w:val="22"/>
                <w:lang w:val="mn-MN"/>
              </w:rPr>
              <w:t>” гэж өөрчлөн найруулсан болно.</w:t>
            </w:r>
          </w:p>
        </w:tc>
      </w:tr>
      <w:tr w:rsidR="00B50C12" w:rsidRPr="00B76325" w14:paraId="219F8B01" w14:textId="77777777" w:rsidTr="005C44C3">
        <w:tc>
          <w:tcPr>
            <w:tcW w:w="523" w:type="dxa"/>
            <w:vMerge/>
          </w:tcPr>
          <w:p w14:paraId="5228F3C2" w14:textId="77777777" w:rsidR="00B50C12" w:rsidRPr="00B76325" w:rsidRDefault="00B50C12" w:rsidP="00B50C12">
            <w:pPr>
              <w:pStyle w:val="ListParagraph"/>
              <w:numPr>
                <w:ilvl w:val="0"/>
                <w:numId w:val="1"/>
              </w:numPr>
              <w:jc w:val="both"/>
              <w:rPr>
                <w:rFonts w:ascii="Arial" w:hAnsi="Arial" w:cs="Arial"/>
                <w:b/>
                <w:bCs/>
                <w:color w:val="000000" w:themeColor="text1"/>
                <w:sz w:val="22"/>
                <w:szCs w:val="22"/>
                <w:lang w:val="mn-MN"/>
              </w:rPr>
            </w:pPr>
          </w:p>
        </w:tc>
        <w:tc>
          <w:tcPr>
            <w:tcW w:w="2098" w:type="dxa"/>
            <w:vMerge/>
          </w:tcPr>
          <w:p w14:paraId="081C4A19" w14:textId="77777777" w:rsidR="00B50C12" w:rsidRPr="00B76325" w:rsidRDefault="00B50C12" w:rsidP="00B50C12">
            <w:pPr>
              <w:jc w:val="center"/>
              <w:rPr>
                <w:rFonts w:ascii="Arial" w:hAnsi="Arial" w:cs="Arial"/>
                <w:noProof/>
                <w:color w:val="000000" w:themeColor="text1"/>
                <w:sz w:val="22"/>
                <w:szCs w:val="22"/>
                <w:lang w:val="mn-MN"/>
              </w:rPr>
            </w:pPr>
          </w:p>
        </w:tc>
        <w:tc>
          <w:tcPr>
            <w:tcW w:w="5231" w:type="dxa"/>
          </w:tcPr>
          <w:p w14:paraId="405354C8" w14:textId="77777777" w:rsidR="00B50C12" w:rsidRPr="00B76325" w:rsidRDefault="00B50C12" w:rsidP="00B50C12">
            <w:pPr>
              <w:tabs>
                <w:tab w:val="left" w:pos="1551"/>
              </w:tabs>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 xml:space="preserve">5.Финтек зээлийн нэхэмжлэлийн хувьд нэмэлт шаардлага тавьж байгаа нь цахимжилт, тус салбарын хөгжлөөс хойш татсан заалт болсон байна. </w:t>
            </w:r>
          </w:p>
        </w:tc>
        <w:tc>
          <w:tcPr>
            <w:tcW w:w="1655" w:type="dxa"/>
          </w:tcPr>
          <w:p w14:paraId="57E8633B"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Саналыг тусгасан</w:t>
            </w:r>
            <w:r>
              <w:rPr>
                <w:rFonts w:ascii="Arial" w:hAnsi="Arial" w:cs="Arial"/>
                <w:noProof/>
                <w:color w:val="000000" w:themeColor="text1"/>
                <w:sz w:val="22"/>
                <w:szCs w:val="22"/>
                <w:lang w:val="mn-MN"/>
              </w:rPr>
              <w:t xml:space="preserve"> болно.</w:t>
            </w:r>
          </w:p>
        </w:tc>
        <w:tc>
          <w:tcPr>
            <w:tcW w:w="3808" w:type="dxa"/>
          </w:tcPr>
          <w:p w14:paraId="0933C1D4"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Хуулийн төслөөс Финтек зээлийн гэрээтэй холбоотой тусгайлсан зохицуулалтыг хассан болно.</w:t>
            </w:r>
          </w:p>
        </w:tc>
      </w:tr>
      <w:tr w:rsidR="00B50C12" w:rsidRPr="00B76325" w14:paraId="17AB246E" w14:textId="77777777" w:rsidTr="005C44C3">
        <w:tc>
          <w:tcPr>
            <w:tcW w:w="523" w:type="dxa"/>
            <w:vMerge w:val="restart"/>
          </w:tcPr>
          <w:p w14:paraId="00A4668E" w14:textId="77777777" w:rsidR="00B50C12" w:rsidRPr="00B76325" w:rsidRDefault="00B50C12" w:rsidP="00B50C12">
            <w:pPr>
              <w:pStyle w:val="ListParagraph"/>
              <w:numPr>
                <w:ilvl w:val="0"/>
                <w:numId w:val="1"/>
              </w:numPr>
              <w:jc w:val="both"/>
              <w:rPr>
                <w:rFonts w:ascii="Arial" w:hAnsi="Arial" w:cs="Arial"/>
                <w:b/>
                <w:bCs/>
                <w:color w:val="000000" w:themeColor="text1"/>
                <w:sz w:val="22"/>
                <w:szCs w:val="22"/>
                <w:lang w:val="mn-MN"/>
              </w:rPr>
            </w:pPr>
          </w:p>
        </w:tc>
        <w:tc>
          <w:tcPr>
            <w:tcW w:w="2098" w:type="dxa"/>
            <w:vMerge w:val="restart"/>
          </w:tcPr>
          <w:p w14:paraId="3DFF0A1C" w14:textId="77777777" w:rsidR="00B50C12" w:rsidRPr="00B76325" w:rsidRDefault="00B50C12" w:rsidP="00B50C12">
            <w:pPr>
              <w:jc w:val="center"/>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Иргэн Хүүбаяр</w:t>
            </w:r>
          </w:p>
          <w:p w14:paraId="7C33BAAC" w14:textId="77777777" w:rsidR="00B50C12" w:rsidRPr="00B76325" w:rsidRDefault="00B50C12" w:rsidP="00B50C12">
            <w:pPr>
              <w:jc w:val="center"/>
              <w:rPr>
                <w:rFonts w:ascii="Arial" w:hAnsi="Arial" w:cs="Arial"/>
                <w:noProof/>
                <w:color w:val="000000" w:themeColor="text1"/>
                <w:sz w:val="22"/>
                <w:szCs w:val="22"/>
                <w:lang w:val="mn-MN"/>
              </w:rPr>
            </w:pPr>
          </w:p>
          <w:p w14:paraId="678D505E" w14:textId="77777777" w:rsidR="00B50C12" w:rsidRPr="00B76325" w:rsidRDefault="00B50C12" w:rsidP="00B50C12">
            <w:pPr>
              <w:jc w:val="center"/>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2026.02.28</w:t>
            </w:r>
          </w:p>
        </w:tc>
        <w:tc>
          <w:tcPr>
            <w:tcW w:w="5231" w:type="dxa"/>
          </w:tcPr>
          <w:p w14:paraId="335117F7"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 xml:space="preserve">1.Дагалдах хуулийн төсөлд байх Банк, эрх бүхий хуулийн этгээдийн мөнгөн хадгаламж, мөнгөн хөрөнгийн шилжүүлэг, зээлийн үйл ажиллагааны тухай хуулийн “20.9. Зээлдүүлэгч нь зээлдэгчийн оршин суугаа хаяг болон хувийн болон үндэсний цахим шуудангийн хаягийг баталгаажуулсны үндсэн дээр финтек зээлийн гэрээ байгуулна.” гэсний хувийн болон үндэсний цахим шуудангийн хаягийг баталгаажуулна гэж яаг ямар ажиллагааг хэлэх вэ? Маш тодорхой бус байна. Аль алиныг нь заавал байхыг шаардах уу, эсхүл аль нэг нь үү, мөн үндэсний цахим шуудан гэж яг юуг хэлээд байгаа вэ? үндэсний цахим шуудангүй хүн байвал яах вэ? </w:t>
            </w:r>
          </w:p>
        </w:tc>
        <w:tc>
          <w:tcPr>
            <w:tcW w:w="1655" w:type="dxa"/>
          </w:tcPr>
          <w:p w14:paraId="49113533"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Саналыг тусгаагүй</w:t>
            </w:r>
            <w:r>
              <w:rPr>
                <w:rFonts w:ascii="Arial" w:hAnsi="Arial" w:cs="Arial"/>
                <w:noProof/>
                <w:color w:val="000000" w:themeColor="text1"/>
                <w:sz w:val="22"/>
                <w:szCs w:val="22"/>
                <w:lang w:val="mn-MN"/>
              </w:rPr>
              <w:t xml:space="preserve"> болно.</w:t>
            </w:r>
          </w:p>
        </w:tc>
        <w:tc>
          <w:tcPr>
            <w:tcW w:w="3808" w:type="dxa"/>
          </w:tcPr>
          <w:p w14:paraId="3432B088" w14:textId="77777777" w:rsidR="00B50C12" w:rsidRPr="00B76325" w:rsidRDefault="00B50C12" w:rsidP="00B50C12">
            <w:pPr>
              <w:jc w:val="both"/>
              <w:rPr>
                <w:rFonts w:ascii="Arial" w:hAnsi="Arial" w:cs="Arial"/>
                <w:noProof/>
                <w:color w:val="000000" w:themeColor="text1"/>
                <w:sz w:val="22"/>
                <w:szCs w:val="22"/>
                <w:lang w:val="mn-MN"/>
              </w:rPr>
            </w:pPr>
            <w:r w:rsidRPr="00CF000D">
              <w:rPr>
                <w:rFonts w:ascii="Arial" w:hAnsi="Arial" w:cs="Arial"/>
                <w:color w:val="000000" w:themeColor="text1"/>
                <w:sz w:val="22"/>
                <w:szCs w:val="22"/>
                <w:lang w:val="mn-MN"/>
              </w:rPr>
              <w:t>Дагалдуулан боловсруулсан Банк, эрх бүхий хуулийн этгээдийн мөнгөн хадгаламж, Мөнгөн хөрөнгийн шилжүүлэг, зээлийн үйл ажиллагааны тухай хуульд нэмэлт оруулах тухай хуулийн төслөөс</w:t>
            </w:r>
            <w:r w:rsidRPr="00B76325">
              <w:rPr>
                <w:rFonts w:ascii="Arial" w:hAnsi="Arial" w:cs="Arial"/>
                <w:noProof/>
                <w:color w:val="000000" w:themeColor="text1"/>
                <w:sz w:val="22"/>
                <w:szCs w:val="22"/>
                <w:lang w:val="mn-MN"/>
              </w:rPr>
              <w:t xml:space="preserve"> “хаягийн баталгаажуулалтын баримт” гэх зохицуулалтыг хассан болно.</w:t>
            </w:r>
            <w:r w:rsidRPr="00CF000D">
              <w:rPr>
                <w:rFonts w:ascii="Arial" w:hAnsi="Arial" w:cs="Arial"/>
                <w:color w:val="000000" w:themeColor="text1"/>
                <w:sz w:val="22"/>
                <w:szCs w:val="22"/>
                <w:lang w:val="mn-MN"/>
              </w:rPr>
              <w:t xml:space="preserve"> Харин 1 дүгээр зүйлд заасан 20.9 дэх хэсгийг  “</w:t>
            </w:r>
            <w:r w:rsidRPr="00B76325">
              <w:rPr>
                <w:rFonts w:ascii="Arial" w:eastAsia="Arial" w:hAnsi="Arial" w:cs="Arial"/>
                <w:bCs/>
                <w:noProof/>
                <w:color w:val="000000" w:themeColor="text1"/>
                <w:sz w:val="22"/>
                <w:szCs w:val="22"/>
                <w:lang w:val="af-ZA"/>
              </w:rPr>
              <w:t>20.9.Зээлдүүлэгч нь зээлдэгч өөрөө мөн болохыг нь болон зээлдэгчийн хувийн цахим шуудангийн хаягийг баталгаажуулсны үндсэн дээр цахим хэлбэрээр зээлийн гэрээ байгуулна.</w:t>
            </w:r>
            <w:r w:rsidRPr="00CF000D">
              <w:rPr>
                <w:rFonts w:ascii="Arial" w:hAnsi="Arial" w:cs="Arial"/>
                <w:color w:val="000000" w:themeColor="text1"/>
                <w:sz w:val="22"/>
                <w:szCs w:val="22"/>
                <w:lang w:val="mn-MN"/>
              </w:rPr>
              <w:t>” гэж өөрчлөн найруулсан болно.</w:t>
            </w:r>
          </w:p>
        </w:tc>
      </w:tr>
      <w:tr w:rsidR="00B50C12" w:rsidRPr="00B76325" w14:paraId="0FFDC821" w14:textId="77777777" w:rsidTr="005C44C3">
        <w:tc>
          <w:tcPr>
            <w:tcW w:w="523" w:type="dxa"/>
            <w:vMerge/>
          </w:tcPr>
          <w:p w14:paraId="1BA14D54" w14:textId="77777777" w:rsidR="00B50C12" w:rsidRPr="00B76325" w:rsidRDefault="00B50C12" w:rsidP="00B50C12">
            <w:pPr>
              <w:pStyle w:val="ListParagraph"/>
              <w:numPr>
                <w:ilvl w:val="0"/>
                <w:numId w:val="1"/>
              </w:numPr>
              <w:jc w:val="both"/>
              <w:rPr>
                <w:rFonts w:ascii="Arial" w:hAnsi="Arial" w:cs="Arial"/>
                <w:b/>
                <w:bCs/>
                <w:color w:val="000000" w:themeColor="text1"/>
                <w:sz w:val="22"/>
                <w:szCs w:val="22"/>
                <w:lang w:val="mn-MN"/>
              </w:rPr>
            </w:pPr>
          </w:p>
        </w:tc>
        <w:tc>
          <w:tcPr>
            <w:tcW w:w="2098" w:type="dxa"/>
            <w:vMerge/>
          </w:tcPr>
          <w:p w14:paraId="1620604B" w14:textId="77777777" w:rsidR="00B50C12" w:rsidRPr="00B76325" w:rsidRDefault="00B50C12" w:rsidP="00B50C12">
            <w:pPr>
              <w:jc w:val="center"/>
              <w:rPr>
                <w:rFonts w:ascii="Arial" w:hAnsi="Arial" w:cs="Arial"/>
                <w:noProof/>
                <w:color w:val="000000" w:themeColor="text1"/>
                <w:sz w:val="22"/>
                <w:szCs w:val="22"/>
                <w:lang w:val="mn-MN"/>
              </w:rPr>
            </w:pPr>
          </w:p>
        </w:tc>
        <w:tc>
          <w:tcPr>
            <w:tcW w:w="5231" w:type="dxa"/>
          </w:tcPr>
          <w:p w14:paraId="731AC960"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 xml:space="preserve">2.Хуулийн төслийн 20.10 дахь заалтыг (хаягийн баталгаажуулалтын баримт ирүүлээгүй бол нэхэмжлэлийг хүлээн авахаас татгалзах) бүхэлд нь дэмжихгүй байна. </w:t>
            </w:r>
          </w:p>
          <w:p w14:paraId="65AC678D" w14:textId="77777777" w:rsidR="00B50C12" w:rsidRPr="00B76325" w:rsidRDefault="00B50C12" w:rsidP="00B50C12">
            <w:pPr>
              <w:jc w:val="both"/>
              <w:rPr>
                <w:rFonts w:ascii="Arial" w:hAnsi="Arial" w:cs="Arial"/>
                <w:noProof/>
                <w:color w:val="000000" w:themeColor="text1"/>
                <w:sz w:val="22"/>
                <w:szCs w:val="22"/>
                <w:lang w:val="mn-MN"/>
              </w:rPr>
            </w:pPr>
          </w:p>
          <w:p w14:paraId="220D79D8"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 xml:space="preserve">Энэ нь иргэн, хуулийн этгээдийн Үндсэн хуулиар олгогдсон шүүхэд мэдүүлэх, маргах, шаардах эрхийг шууд хааж буй хэлбэр юм. Шүүхийн ачааллыг шалтгаан болгон хүний суурь эрхийг хязгаарлаж болохгүй. </w:t>
            </w:r>
          </w:p>
          <w:p w14:paraId="7A082357" w14:textId="77777777" w:rsidR="00B50C12" w:rsidRPr="00B76325" w:rsidRDefault="00B50C12" w:rsidP="00B50C12">
            <w:pPr>
              <w:jc w:val="both"/>
              <w:rPr>
                <w:rFonts w:ascii="Arial" w:hAnsi="Arial" w:cs="Arial"/>
                <w:noProof/>
                <w:color w:val="000000" w:themeColor="text1"/>
                <w:sz w:val="22"/>
                <w:szCs w:val="22"/>
                <w:lang w:val="mn-MN"/>
              </w:rPr>
            </w:pPr>
          </w:p>
          <w:p w14:paraId="2540B293"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lastRenderedPageBreak/>
              <w:t xml:space="preserve">Улс орны цахимжих бодлоготой зөрчилдөж, төр болон шүүхийн байгууллага “цаасан баримт” шаардсан хуучинсаг хандлагаа хадгалж байна. </w:t>
            </w:r>
          </w:p>
          <w:p w14:paraId="3E0F6F85" w14:textId="77777777" w:rsidR="00B50C12" w:rsidRPr="00B76325" w:rsidRDefault="00B50C12" w:rsidP="00B50C12">
            <w:pPr>
              <w:jc w:val="both"/>
              <w:rPr>
                <w:rFonts w:ascii="Arial" w:hAnsi="Arial" w:cs="Arial"/>
                <w:noProof/>
                <w:color w:val="000000" w:themeColor="text1"/>
                <w:sz w:val="22"/>
                <w:szCs w:val="22"/>
                <w:lang w:val="mn-MN"/>
              </w:rPr>
            </w:pPr>
          </w:p>
          <w:p w14:paraId="71360B0B"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 xml:space="preserve">Төр зөвхөн зээлдэгчийн эрхийг харж, зээлдүүлэгчийн эрх ашгийг орхигдуулж байна. Шүүхийн ажиллагааны удаашрал, шүүгч нарын ур чадваргүй байдлаас болж зээлдүүлэгчид цаг хугацаа, эд хөрөнгийн ихээхэн хохирол амсдаг. </w:t>
            </w:r>
          </w:p>
          <w:p w14:paraId="41529B02" w14:textId="77777777" w:rsidR="00B50C12" w:rsidRPr="00B76325" w:rsidRDefault="00B50C12" w:rsidP="00B50C12">
            <w:pPr>
              <w:jc w:val="both"/>
              <w:rPr>
                <w:rFonts w:ascii="Arial" w:hAnsi="Arial" w:cs="Arial"/>
                <w:noProof/>
                <w:color w:val="000000" w:themeColor="text1"/>
                <w:sz w:val="22"/>
                <w:szCs w:val="22"/>
                <w:lang w:val="mn-MN"/>
              </w:rPr>
            </w:pPr>
          </w:p>
          <w:p w14:paraId="191178DD"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 xml:space="preserve">Иргэдийн зээл эргэн төлөх ухамсар, сахилга бат сул байгаа үед шаардах эрхийг нь хуулиар хаах нь мэргэжлийн зээлдүүлэгч болон шүүхийн хооронд зөрчил үүсгэх, шударга бус байдлыг өөхшүүлэх сөрөг үр дагавартай. </w:t>
            </w:r>
          </w:p>
          <w:p w14:paraId="4E5687A8" w14:textId="77777777" w:rsidR="00B50C12" w:rsidRPr="00B76325" w:rsidRDefault="00B50C12" w:rsidP="00B50C12">
            <w:pPr>
              <w:jc w:val="both"/>
              <w:rPr>
                <w:rFonts w:ascii="Arial" w:hAnsi="Arial" w:cs="Arial"/>
                <w:noProof/>
                <w:color w:val="000000" w:themeColor="text1"/>
                <w:sz w:val="22"/>
                <w:szCs w:val="22"/>
                <w:lang w:val="mn-MN"/>
              </w:rPr>
            </w:pPr>
          </w:p>
          <w:p w14:paraId="689F1BE9"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Иймд уг заалт нь бодит амьдралд нийцэхгүй, зээлдүүлэгчийн хууль ёсны эрх ашгийг ноцтой хөндсөн зохицуулалт гэж үзэж байна.</w:t>
            </w:r>
          </w:p>
        </w:tc>
        <w:tc>
          <w:tcPr>
            <w:tcW w:w="1655" w:type="dxa"/>
          </w:tcPr>
          <w:p w14:paraId="3AFE985B"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lastRenderedPageBreak/>
              <w:t>Саналыг тусгаагүй</w:t>
            </w:r>
            <w:r>
              <w:rPr>
                <w:rFonts w:ascii="Arial" w:hAnsi="Arial" w:cs="Arial"/>
                <w:noProof/>
                <w:color w:val="000000" w:themeColor="text1"/>
                <w:sz w:val="22"/>
                <w:szCs w:val="22"/>
                <w:lang w:val="mn-MN"/>
              </w:rPr>
              <w:t xml:space="preserve"> болно.</w:t>
            </w:r>
          </w:p>
        </w:tc>
        <w:tc>
          <w:tcPr>
            <w:tcW w:w="3808" w:type="dxa"/>
          </w:tcPr>
          <w:p w14:paraId="5427A550" w14:textId="77777777" w:rsidR="00B50C12" w:rsidRPr="00B76325" w:rsidRDefault="00B50C12" w:rsidP="00B50C12">
            <w:pPr>
              <w:jc w:val="both"/>
              <w:rPr>
                <w:rFonts w:ascii="Arial" w:hAnsi="Arial" w:cs="Arial"/>
                <w:noProof/>
                <w:color w:val="000000" w:themeColor="text1"/>
                <w:sz w:val="22"/>
                <w:szCs w:val="22"/>
                <w:lang w:val="mn-MN"/>
              </w:rPr>
            </w:pPr>
            <w:r w:rsidRPr="00CF000D">
              <w:rPr>
                <w:rFonts w:ascii="Arial" w:hAnsi="Arial" w:cs="Arial"/>
                <w:color w:val="000000" w:themeColor="text1"/>
                <w:sz w:val="22"/>
                <w:szCs w:val="22"/>
                <w:lang w:val="mn-MN"/>
              </w:rPr>
              <w:t>Дагалдуулан боловсруулсан Банк, эрх бүхий хуулийн этгээдийн мөнгөн хадгаламж, Мөнгөн хөрөнгийн шилжүүлэг, зээлийн үйл ажиллагааны тухай хуульд нэмэлт оруулах тухай хуулийн төслийн</w:t>
            </w:r>
            <w:r w:rsidRPr="00B76325">
              <w:rPr>
                <w:rFonts w:ascii="Arial" w:hAnsi="Arial" w:cs="Arial"/>
                <w:noProof/>
                <w:color w:val="000000" w:themeColor="text1"/>
                <w:sz w:val="22"/>
                <w:szCs w:val="22"/>
                <w:lang w:val="mn-MN"/>
              </w:rPr>
              <w:t xml:space="preserve"> </w:t>
            </w:r>
            <w:r w:rsidRPr="00CF000D">
              <w:rPr>
                <w:rFonts w:ascii="Arial" w:hAnsi="Arial" w:cs="Arial"/>
                <w:color w:val="000000" w:themeColor="text1"/>
                <w:sz w:val="22"/>
                <w:szCs w:val="22"/>
                <w:lang w:val="mn-MN"/>
              </w:rPr>
              <w:t xml:space="preserve">1 дүгээр зүйлд заасан 20.10 дэх хэсгийг  </w:t>
            </w:r>
            <w:r w:rsidRPr="00B76325">
              <w:rPr>
                <w:rFonts w:ascii="Arial" w:hAnsi="Arial" w:cs="Arial"/>
                <w:noProof/>
                <w:color w:val="000000" w:themeColor="text1"/>
                <w:sz w:val="22"/>
                <w:szCs w:val="22"/>
                <w:lang w:val="mn-MN"/>
              </w:rPr>
              <w:t>“</w:t>
            </w:r>
            <w:r w:rsidRPr="00CF000D">
              <w:rPr>
                <w:rFonts w:ascii="Arial" w:hAnsi="Arial" w:cs="Arial"/>
                <w:color w:val="000000" w:themeColor="text1"/>
                <w:sz w:val="22"/>
                <w:szCs w:val="22"/>
                <w:lang w:val="mn-MN"/>
              </w:rPr>
              <w:t>Харин “</w:t>
            </w:r>
            <w:r w:rsidRPr="00B76325">
              <w:rPr>
                <w:rFonts w:ascii="Arial" w:eastAsia="Arial" w:hAnsi="Arial" w:cs="Arial"/>
                <w:bCs/>
                <w:noProof/>
                <w:color w:val="000000" w:themeColor="text1"/>
                <w:sz w:val="22"/>
                <w:szCs w:val="22"/>
                <w:lang w:val="af-ZA"/>
              </w:rPr>
              <w:t xml:space="preserve">20.10.Зээлдүүлэгч нь цахим хэлбэрээр байгуулах зээлийн гэрээтэй холбоотой нэхэмжлэлийг шүүхэд гаргах тохиолдолд энэ хуулийн 20.9-д заасан баталгаажуулалтын </w:t>
            </w:r>
            <w:r w:rsidRPr="00B76325">
              <w:rPr>
                <w:rFonts w:ascii="Arial" w:eastAsia="Arial" w:hAnsi="Arial" w:cs="Arial"/>
                <w:bCs/>
                <w:noProof/>
                <w:color w:val="000000" w:themeColor="text1"/>
                <w:sz w:val="22"/>
                <w:szCs w:val="22"/>
                <w:lang w:val="af-ZA"/>
              </w:rPr>
              <w:lastRenderedPageBreak/>
              <w:t>баримтыг шүүхэд нотлох баримтаар ирүүлэх үүрэгтэй.”</w:t>
            </w:r>
            <w:r w:rsidRPr="00CF000D">
              <w:rPr>
                <w:rFonts w:ascii="Arial" w:hAnsi="Arial" w:cs="Arial"/>
                <w:color w:val="000000" w:themeColor="text1"/>
                <w:sz w:val="22"/>
                <w:szCs w:val="22"/>
                <w:lang w:val="mn-MN"/>
              </w:rPr>
              <w:t xml:space="preserve"> гэж өөрчлөн найруулсан болно.</w:t>
            </w:r>
          </w:p>
        </w:tc>
      </w:tr>
      <w:tr w:rsidR="00B50C12" w:rsidRPr="00B76325" w14:paraId="4CFC7FFC" w14:textId="77777777" w:rsidTr="00B50C12">
        <w:tc>
          <w:tcPr>
            <w:tcW w:w="523" w:type="dxa"/>
            <w:vMerge w:val="restart"/>
          </w:tcPr>
          <w:p w14:paraId="15F35A34" w14:textId="77777777" w:rsidR="00B50C12" w:rsidRPr="00B76325" w:rsidRDefault="00B50C12" w:rsidP="00B50C12">
            <w:pPr>
              <w:pStyle w:val="ListParagraph"/>
              <w:numPr>
                <w:ilvl w:val="0"/>
                <w:numId w:val="1"/>
              </w:numPr>
              <w:jc w:val="both"/>
              <w:rPr>
                <w:rFonts w:ascii="Arial" w:hAnsi="Arial" w:cs="Arial"/>
                <w:b/>
                <w:bCs/>
                <w:color w:val="000000" w:themeColor="text1"/>
                <w:sz w:val="22"/>
                <w:szCs w:val="22"/>
                <w:lang w:val="mn-MN"/>
              </w:rPr>
            </w:pPr>
          </w:p>
        </w:tc>
        <w:tc>
          <w:tcPr>
            <w:tcW w:w="2098" w:type="dxa"/>
            <w:vMerge w:val="restart"/>
          </w:tcPr>
          <w:p w14:paraId="33D849EB" w14:textId="77777777" w:rsidR="00B50C12" w:rsidRPr="00B76325" w:rsidRDefault="00B50C12" w:rsidP="00B50C12">
            <w:pPr>
              <w:jc w:val="center"/>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Иргэн Г.Энхцэцэг</w:t>
            </w:r>
          </w:p>
          <w:p w14:paraId="0B988BB9" w14:textId="77777777" w:rsidR="00B50C12" w:rsidRPr="00B76325" w:rsidRDefault="00B50C12" w:rsidP="00B50C12">
            <w:pPr>
              <w:jc w:val="center"/>
              <w:rPr>
                <w:rFonts w:ascii="Arial" w:hAnsi="Arial" w:cs="Arial"/>
                <w:noProof/>
                <w:color w:val="000000" w:themeColor="text1"/>
                <w:sz w:val="22"/>
                <w:szCs w:val="22"/>
                <w:lang w:val="mn-MN"/>
              </w:rPr>
            </w:pPr>
          </w:p>
          <w:p w14:paraId="7634F964" w14:textId="77777777" w:rsidR="00B50C12" w:rsidRPr="00B76325" w:rsidRDefault="00B50C12" w:rsidP="00B50C12">
            <w:pPr>
              <w:jc w:val="center"/>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2026.02.27</w:t>
            </w:r>
          </w:p>
        </w:tc>
        <w:tc>
          <w:tcPr>
            <w:tcW w:w="5231" w:type="dxa"/>
          </w:tcPr>
          <w:p w14:paraId="69507294"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1.75</w:t>
            </w:r>
            <w:r w:rsidRPr="00B76325">
              <w:rPr>
                <w:rFonts w:ascii="Arial" w:hAnsi="Arial" w:cs="Arial"/>
                <w:noProof/>
                <w:color w:val="000000" w:themeColor="text1"/>
                <w:sz w:val="22"/>
                <w:szCs w:val="22"/>
                <w:vertAlign w:val="superscript"/>
                <w:lang w:val="mn-MN"/>
              </w:rPr>
              <w:t>1</w:t>
            </w:r>
            <w:r w:rsidRPr="00B76325">
              <w:rPr>
                <w:rFonts w:ascii="Arial" w:hAnsi="Arial" w:cs="Arial"/>
                <w:noProof/>
                <w:color w:val="000000" w:themeColor="text1"/>
                <w:sz w:val="22"/>
                <w:szCs w:val="22"/>
                <w:lang w:val="mn-MN"/>
              </w:rPr>
              <w:t>.6 заалтын найруулгыг дор дурдсанаар засах саналтай: 75</w:t>
            </w:r>
            <w:r w:rsidRPr="00B76325">
              <w:rPr>
                <w:rFonts w:ascii="Arial" w:hAnsi="Arial" w:cs="Arial"/>
                <w:noProof/>
                <w:color w:val="000000" w:themeColor="text1"/>
                <w:sz w:val="22"/>
                <w:szCs w:val="22"/>
                <w:vertAlign w:val="superscript"/>
                <w:lang w:val="mn-MN"/>
              </w:rPr>
              <w:t>1</w:t>
            </w:r>
            <w:r w:rsidRPr="00B76325">
              <w:rPr>
                <w:rFonts w:ascii="Arial" w:hAnsi="Arial" w:cs="Arial"/>
                <w:noProof/>
                <w:color w:val="000000" w:themeColor="text1"/>
                <w:sz w:val="22"/>
                <w:szCs w:val="22"/>
                <w:lang w:val="mn-MN"/>
              </w:rPr>
              <w:t>.6. Нэхэмжлэлийн шаардлага нь энэ хуулийн 75</w:t>
            </w:r>
            <w:r w:rsidRPr="00B76325">
              <w:rPr>
                <w:rFonts w:ascii="Arial" w:hAnsi="Arial" w:cs="Arial"/>
                <w:noProof/>
                <w:color w:val="000000" w:themeColor="text1"/>
                <w:sz w:val="22"/>
                <w:szCs w:val="22"/>
                <w:vertAlign w:val="superscript"/>
                <w:lang w:val="mn-MN"/>
              </w:rPr>
              <w:t>1</w:t>
            </w:r>
            <w:r w:rsidRPr="00B76325">
              <w:rPr>
                <w:rFonts w:ascii="Arial" w:hAnsi="Arial" w:cs="Arial"/>
                <w:noProof/>
                <w:color w:val="000000" w:themeColor="text1"/>
                <w:sz w:val="22"/>
                <w:szCs w:val="22"/>
                <w:lang w:val="mn-MN"/>
              </w:rPr>
              <w:t xml:space="preserve">.1-д заасан гэрээний үндэслэлд хамаарах тохиолдолд хариуцагч гэрээнээс татгалзсан, эсхүл хэлцэл хүчин төгөлдөр бус гэж маргасан нь тус хэргийг тусгайлсан журмаар хянан шийдвэрлэхэд саад болохгүй. </w:t>
            </w:r>
          </w:p>
        </w:tc>
        <w:tc>
          <w:tcPr>
            <w:tcW w:w="1655" w:type="dxa"/>
          </w:tcPr>
          <w:p w14:paraId="4E487E58" w14:textId="4B76F7A1" w:rsidR="00B50C12" w:rsidRPr="00B76325" w:rsidRDefault="00CF000D" w:rsidP="00B50C12">
            <w:pPr>
              <w:jc w:val="both"/>
              <w:rPr>
                <w:rFonts w:ascii="Arial" w:hAnsi="Arial" w:cs="Arial"/>
                <w:noProof/>
                <w:color w:val="000000" w:themeColor="text1"/>
                <w:sz w:val="22"/>
                <w:szCs w:val="22"/>
                <w:lang w:val="mn-MN"/>
              </w:rPr>
            </w:pPr>
            <w:r>
              <w:rPr>
                <w:rFonts w:ascii="Arial" w:hAnsi="Arial" w:cs="Arial"/>
                <w:noProof/>
                <w:color w:val="000000" w:themeColor="text1"/>
                <w:sz w:val="22"/>
                <w:szCs w:val="22"/>
                <w:lang w:val="mn-MN"/>
              </w:rPr>
              <w:t xml:space="preserve">Саналыг тусгасан. </w:t>
            </w:r>
          </w:p>
        </w:tc>
        <w:tc>
          <w:tcPr>
            <w:tcW w:w="3808" w:type="dxa"/>
          </w:tcPr>
          <w:p w14:paraId="4E23C2FF" w14:textId="77777777" w:rsidR="00B50C12" w:rsidRPr="00B76325" w:rsidRDefault="00B50C12" w:rsidP="00B50C12">
            <w:pPr>
              <w:jc w:val="both"/>
              <w:rPr>
                <w:rFonts w:ascii="Arial" w:hAnsi="Arial" w:cs="Arial"/>
                <w:noProof/>
                <w:color w:val="000000" w:themeColor="text1"/>
                <w:sz w:val="22"/>
                <w:szCs w:val="22"/>
                <w:lang w:val="mn-MN"/>
              </w:rPr>
            </w:pPr>
          </w:p>
        </w:tc>
      </w:tr>
      <w:tr w:rsidR="00B50C12" w:rsidRPr="00B76325" w14:paraId="3B0898B0" w14:textId="77777777" w:rsidTr="00B50C12">
        <w:tc>
          <w:tcPr>
            <w:tcW w:w="523" w:type="dxa"/>
            <w:vMerge/>
          </w:tcPr>
          <w:p w14:paraId="0DC6CE1A" w14:textId="77777777" w:rsidR="00B50C12" w:rsidRPr="00B76325" w:rsidRDefault="00B50C12" w:rsidP="00B50C12">
            <w:pPr>
              <w:pStyle w:val="ListParagraph"/>
              <w:numPr>
                <w:ilvl w:val="0"/>
                <w:numId w:val="1"/>
              </w:numPr>
              <w:jc w:val="both"/>
              <w:rPr>
                <w:rFonts w:ascii="Arial" w:hAnsi="Arial" w:cs="Arial"/>
                <w:b/>
                <w:bCs/>
                <w:color w:val="000000" w:themeColor="text1"/>
                <w:sz w:val="22"/>
                <w:szCs w:val="22"/>
                <w:lang w:val="mn-MN"/>
              </w:rPr>
            </w:pPr>
          </w:p>
        </w:tc>
        <w:tc>
          <w:tcPr>
            <w:tcW w:w="2098" w:type="dxa"/>
            <w:vMerge/>
          </w:tcPr>
          <w:p w14:paraId="1EDD6FF9" w14:textId="77777777" w:rsidR="00B50C12" w:rsidRPr="00B76325" w:rsidRDefault="00B50C12" w:rsidP="00B50C12">
            <w:pPr>
              <w:jc w:val="center"/>
              <w:rPr>
                <w:rFonts w:ascii="Arial" w:hAnsi="Arial" w:cs="Arial"/>
                <w:noProof/>
                <w:color w:val="000000" w:themeColor="text1"/>
                <w:sz w:val="22"/>
                <w:szCs w:val="22"/>
                <w:lang w:val="mn-MN"/>
              </w:rPr>
            </w:pPr>
          </w:p>
        </w:tc>
        <w:tc>
          <w:tcPr>
            <w:tcW w:w="5231" w:type="dxa"/>
          </w:tcPr>
          <w:p w14:paraId="301D6399"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2.75</w:t>
            </w:r>
            <w:r w:rsidRPr="00B76325">
              <w:rPr>
                <w:rFonts w:ascii="Arial" w:hAnsi="Arial" w:cs="Arial"/>
                <w:noProof/>
                <w:color w:val="000000" w:themeColor="text1"/>
                <w:sz w:val="22"/>
                <w:szCs w:val="22"/>
                <w:vertAlign w:val="superscript"/>
                <w:lang w:val="mn-MN"/>
              </w:rPr>
              <w:t>1</w:t>
            </w:r>
            <w:r w:rsidRPr="00B76325">
              <w:rPr>
                <w:rFonts w:ascii="Arial" w:hAnsi="Arial" w:cs="Arial"/>
                <w:noProof/>
                <w:color w:val="000000" w:themeColor="text1"/>
                <w:sz w:val="22"/>
                <w:szCs w:val="22"/>
                <w:lang w:val="mn-MN"/>
              </w:rPr>
              <w:t>.1.2.-т хяналтын журмаар гомдол гаргахгүй гэснийг дэмжихгүй, өмнөх заалтыг хэвээр үлдээх саналтай.</w:t>
            </w:r>
          </w:p>
        </w:tc>
        <w:tc>
          <w:tcPr>
            <w:tcW w:w="1655" w:type="dxa"/>
          </w:tcPr>
          <w:p w14:paraId="7282AAA3" w14:textId="77777777" w:rsidR="00B50C12" w:rsidRPr="00B76325" w:rsidRDefault="00B50C12" w:rsidP="00B50C12">
            <w:pPr>
              <w:jc w:val="both"/>
              <w:rPr>
                <w:rFonts w:ascii="Arial" w:hAnsi="Arial" w:cs="Arial"/>
                <w:noProof/>
                <w:color w:val="000000" w:themeColor="text1"/>
                <w:sz w:val="22"/>
                <w:szCs w:val="22"/>
                <w:lang w:val="mn-MN"/>
              </w:rPr>
            </w:pPr>
            <w:r>
              <w:rPr>
                <w:rFonts w:ascii="Arial" w:hAnsi="Arial" w:cs="Arial"/>
                <w:noProof/>
                <w:color w:val="000000" w:themeColor="text1"/>
                <w:sz w:val="22"/>
                <w:szCs w:val="22"/>
                <w:lang w:val="mn-MN"/>
              </w:rPr>
              <w:t>Саналыг тусгаагүй болно.</w:t>
            </w:r>
          </w:p>
        </w:tc>
        <w:tc>
          <w:tcPr>
            <w:tcW w:w="3808" w:type="dxa"/>
          </w:tcPr>
          <w:p w14:paraId="19D9290D" w14:textId="3A5CEB5D" w:rsidR="00B50C12" w:rsidRPr="00B76325" w:rsidRDefault="00CF000D" w:rsidP="00B50C12">
            <w:pPr>
              <w:jc w:val="both"/>
              <w:rPr>
                <w:rFonts w:ascii="Arial" w:hAnsi="Arial" w:cs="Arial"/>
                <w:noProof/>
                <w:color w:val="000000" w:themeColor="text1"/>
                <w:sz w:val="22"/>
                <w:szCs w:val="22"/>
                <w:lang w:val="mn-MN"/>
              </w:rPr>
            </w:pPr>
            <w:r>
              <w:rPr>
                <w:rFonts w:ascii="Arial" w:hAnsi="Arial" w:cs="Arial"/>
                <w:noProof/>
                <w:color w:val="000000" w:themeColor="text1"/>
                <w:sz w:val="22"/>
                <w:szCs w:val="22"/>
                <w:lang w:val="mn-MN"/>
              </w:rPr>
              <w:t xml:space="preserve">Одоогийн зохицуулалт ч хяналтын шатны гомдол гаргахыг зөвшөөрөөгүй болно. </w:t>
            </w:r>
          </w:p>
        </w:tc>
      </w:tr>
      <w:tr w:rsidR="00B50C12" w:rsidRPr="00B76325" w14:paraId="76E9EB1B" w14:textId="77777777" w:rsidTr="00B50C12">
        <w:tc>
          <w:tcPr>
            <w:tcW w:w="523" w:type="dxa"/>
            <w:vMerge w:val="restart"/>
          </w:tcPr>
          <w:p w14:paraId="53D65DEB" w14:textId="77777777" w:rsidR="00B50C12" w:rsidRPr="00B76325" w:rsidRDefault="00B50C12" w:rsidP="00B50C12">
            <w:pPr>
              <w:pStyle w:val="ListParagraph"/>
              <w:numPr>
                <w:ilvl w:val="0"/>
                <w:numId w:val="1"/>
              </w:numPr>
              <w:jc w:val="both"/>
              <w:rPr>
                <w:rFonts w:ascii="Arial" w:hAnsi="Arial" w:cs="Arial"/>
                <w:b/>
                <w:bCs/>
                <w:color w:val="000000" w:themeColor="text1"/>
                <w:sz w:val="22"/>
                <w:szCs w:val="22"/>
                <w:lang w:val="mn-MN"/>
              </w:rPr>
            </w:pPr>
          </w:p>
        </w:tc>
        <w:tc>
          <w:tcPr>
            <w:tcW w:w="2098" w:type="dxa"/>
            <w:vMerge w:val="restart"/>
          </w:tcPr>
          <w:p w14:paraId="61DDF33C" w14:textId="77777777" w:rsidR="00B50C12" w:rsidRPr="00B76325" w:rsidRDefault="00B50C12" w:rsidP="00B50C12">
            <w:pPr>
              <w:jc w:val="center"/>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Иргэн Ц.Галбадрах</w:t>
            </w:r>
          </w:p>
          <w:p w14:paraId="1AC93019" w14:textId="77777777" w:rsidR="00B50C12" w:rsidRPr="00B76325" w:rsidRDefault="00B50C12" w:rsidP="00B50C12">
            <w:pPr>
              <w:jc w:val="center"/>
              <w:rPr>
                <w:rFonts w:ascii="Arial" w:hAnsi="Arial" w:cs="Arial"/>
                <w:noProof/>
                <w:color w:val="000000" w:themeColor="text1"/>
                <w:sz w:val="22"/>
                <w:szCs w:val="22"/>
                <w:lang w:val="mn-MN"/>
              </w:rPr>
            </w:pPr>
          </w:p>
          <w:p w14:paraId="3346E6C1" w14:textId="77777777" w:rsidR="00B50C12" w:rsidRPr="00B76325" w:rsidRDefault="00B50C12" w:rsidP="00B50C12">
            <w:pPr>
              <w:jc w:val="center"/>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2026.02.27</w:t>
            </w:r>
          </w:p>
        </w:tc>
        <w:tc>
          <w:tcPr>
            <w:tcW w:w="5231" w:type="dxa"/>
          </w:tcPr>
          <w:p w14:paraId="420F5261" w14:textId="77777777"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Хялбар ажиллагааны шүүхийн шийдвэр, магадлалд хяналтын журмаар гомдол гаргах эрхийг нээх.</w:t>
            </w:r>
          </w:p>
        </w:tc>
        <w:tc>
          <w:tcPr>
            <w:tcW w:w="1655" w:type="dxa"/>
          </w:tcPr>
          <w:p w14:paraId="60D82C07" w14:textId="77777777" w:rsidR="00B50C12" w:rsidRPr="00B76325" w:rsidRDefault="00B50C12" w:rsidP="00B50C12">
            <w:pPr>
              <w:jc w:val="both"/>
              <w:rPr>
                <w:rFonts w:ascii="Arial" w:hAnsi="Arial" w:cs="Arial"/>
                <w:noProof/>
                <w:color w:val="000000" w:themeColor="text1"/>
                <w:sz w:val="22"/>
                <w:szCs w:val="22"/>
                <w:lang w:val="mn-MN"/>
              </w:rPr>
            </w:pPr>
            <w:r>
              <w:rPr>
                <w:rFonts w:ascii="Arial" w:hAnsi="Arial" w:cs="Arial"/>
                <w:noProof/>
                <w:color w:val="000000" w:themeColor="text1"/>
                <w:sz w:val="22"/>
                <w:szCs w:val="22"/>
                <w:lang w:val="mn-MN"/>
              </w:rPr>
              <w:t>Саналыг тусгаагүй болно.</w:t>
            </w:r>
          </w:p>
        </w:tc>
        <w:tc>
          <w:tcPr>
            <w:tcW w:w="3808" w:type="dxa"/>
          </w:tcPr>
          <w:p w14:paraId="601DEBBF" w14:textId="30CA210C" w:rsidR="00B50C12" w:rsidRPr="00B76325" w:rsidRDefault="00CF000D" w:rsidP="00B50C12">
            <w:pPr>
              <w:jc w:val="both"/>
              <w:rPr>
                <w:rFonts w:ascii="Arial" w:hAnsi="Arial" w:cs="Arial"/>
                <w:noProof/>
                <w:color w:val="000000" w:themeColor="text1"/>
                <w:sz w:val="22"/>
                <w:szCs w:val="22"/>
                <w:lang w:val="mn-MN"/>
              </w:rPr>
            </w:pPr>
            <w:r>
              <w:rPr>
                <w:rFonts w:ascii="Arial" w:hAnsi="Arial" w:cs="Arial"/>
                <w:noProof/>
                <w:color w:val="000000" w:themeColor="text1"/>
                <w:sz w:val="22"/>
                <w:szCs w:val="22"/>
                <w:lang w:val="mn-MN"/>
              </w:rPr>
              <w:t>Одоогийн зохицуулалт ч хяналтын шатны гомдол гаргахыг зөвшөөрөөгүй болно.</w:t>
            </w:r>
          </w:p>
        </w:tc>
      </w:tr>
      <w:tr w:rsidR="00B50C12" w:rsidRPr="00B76325" w14:paraId="0C291B93" w14:textId="77777777" w:rsidTr="00B50C12">
        <w:tc>
          <w:tcPr>
            <w:tcW w:w="523" w:type="dxa"/>
            <w:vMerge/>
          </w:tcPr>
          <w:p w14:paraId="06ED5A28" w14:textId="77777777" w:rsidR="00B50C12" w:rsidRPr="00B76325" w:rsidRDefault="00B50C12" w:rsidP="00B50C12">
            <w:pPr>
              <w:pStyle w:val="ListParagraph"/>
              <w:numPr>
                <w:ilvl w:val="0"/>
                <w:numId w:val="1"/>
              </w:numPr>
              <w:jc w:val="both"/>
              <w:rPr>
                <w:rFonts w:ascii="Arial" w:hAnsi="Arial" w:cs="Arial"/>
                <w:b/>
                <w:bCs/>
                <w:color w:val="000000" w:themeColor="text1"/>
                <w:sz w:val="22"/>
                <w:szCs w:val="22"/>
                <w:lang w:val="mn-MN"/>
              </w:rPr>
            </w:pPr>
          </w:p>
        </w:tc>
        <w:tc>
          <w:tcPr>
            <w:tcW w:w="2098" w:type="dxa"/>
            <w:vMerge/>
          </w:tcPr>
          <w:p w14:paraId="5AA86102" w14:textId="77777777" w:rsidR="00B50C12" w:rsidRPr="00B76325" w:rsidRDefault="00B50C12" w:rsidP="00B50C12">
            <w:pPr>
              <w:jc w:val="center"/>
              <w:rPr>
                <w:rFonts w:ascii="Arial" w:hAnsi="Arial" w:cs="Arial"/>
                <w:noProof/>
                <w:color w:val="000000" w:themeColor="text1"/>
                <w:sz w:val="22"/>
                <w:szCs w:val="22"/>
                <w:lang w:val="mn-MN"/>
              </w:rPr>
            </w:pPr>
          </w:p>
        </w:tc>
        <w:tc>
          <w:tcPr>
            <w:tcW w:w="5231" w:type="dxa"/>
          </w:tcPr>
          <w:p w14:paraId="089E7793" w14:textId="521ABC43" w:rsidR="00B50C12" w:rsidRPr="00B76325" w:rsidRDefault="00B50C12" w:rsidP="00B50C12">
            <w:pPr>
              <w:jc w:val="both"/>
              <w:rPr>
                <w:rFonts w:ascii="Arial" w:hAnsi="Arial" w:cs="Arial"/>
                <w:noProof/>
                <w:color w:val="000000" w:themeColor="text1"/>
                <w:sz w:val="22"/>
                <w:szCs w:val="22"/>
                <w:lang w:val="mn-MN"/>
              </w:rPr>
            </w:pPr>
            <w:r w:rsidRPr="00B76325">
              <w:rPr>
                <w:rFonts w:ascii="Arial" w:hAnsi="Arial" w:cs="Arial"/>
                <w:noProof/>
                <w:color w:val="000000" w:themeColor="text1"/>
                <w:sz w:val="22"/>
                <w:szCs w:val="22"/>
                <w:lang w:val="mn-MN"/>
              </w:rPr>
              <w:t>Маргааны төрлөөс үл хамаарч мөнгөн дүнгээр хялбар ажиллагааны шүүхийн хар</w:t>
            </w:r>
            <w:r w:rsidR="00413EF3">
              <w:rPr>
                <w:rFonts w:ascii="Arial" w:hAnsi="Arial" w:cs="Arial"/>
                <w:noProof/>
                <w:color w:val="000000" w:themeColor="text1"/>
                <w:sz w:val="22"/>
                <w:szCs w:val="22"/>
                <w:lang w:val="mn-MN"/>
              </w:rPr>
              <w:t>ь</w:t>
            </w:r>
            <w:r w:rsidRPr="00B76325">
              <w:rPr>
                <w:rFonts w:ascii="Arial" w:hAnsi="Arial" w:cs="Arial"/>
                <w:noProof/>
                <w:color w:val="000000" w:themeColor="text1"/>
                <w:sz w:val="22"/>
                <w:szCs w:val="22"/>
                <w:lang w:val="mn-MN"/>
              </w:rPr>
              <w:t>яалал тогтоох.</w:t>
            </w:r>
          </w:p>
        </w:tc>
        <w:tc>
          <w:tcPr>
            <w:tcW w:w="1655" w:type="dxa"/>
          </w:tcPr>
          <w:p w14:paraId="425E00D1" w14:textId="77777777" w:rsidR="00B50C12" w:rsidRPr="00B76325" w:rsidRDefault="00B50C12" w:rsidP="00B50C12">
            <w:pPr>
              <w:jc w:val="both"/>
              <w:rPr>
                <w:rFonts w:ascii="Arial" w:hAnsi="Arial" w:cs="Arial"/>
                <w:noProof/>
                <w:color w:val="000000" w:themeColor="text1"/>
                <w:sz w:val="22"/>
                <w:szCs w:val="22"/>
                <w:lang w:val="mn-MN"/>
              </w:rPr>
            </w:pPr>
            <w:r>
              <w:rPr>
                <w:rFonts w:ascii="Arial" w:hAnsi="Arial" w:cs="Arial"/>
                <w:noProof/>
                <w:color w:val="000000" w:themeColor="text1"/>
                <w:sz w:val="22"/>
                <w:szCs w:val="22"/>
                <w:lang w:val="mn-MN"/>
              </w:rPr>
              <w:t>Саналыг тусгаагүй болно.</w:t>
            </w:r>
          </w:p>
        </w:tc>
        <w:tc>
          <w:tcPr>
            <w:tcW w:w="3808" w:type="dxa"/>
          </w:tcPr>
          <w:p w14:paraId="2B523788" w14:textId="7ACB993D" w:rsidR="00B50C12" w:rsidRPr="00B76325" w:rsidRDefault="00CF000D" w:rsidP="00B50C12">
            <w:pPr>
              <w:jc w:val="both"/>
              <w:rPr>
                <w:rFonts w:ascii="Arial" w:hAnsi="Arial" w:cs="Arial"/>
                <w:noProof/>
                <w:color w:val="000000" w:themeColor="text1"/>
                <w:sz w:val="22"/>
                <w:szCs w:val="22"/>
                <w:lang w:val="mn-MN"/>
              </w:rPr>
            </w:pPr>
            <w:r>
              <w:rPr>
                <w:rFonts w:ascii="Arial" w:hAnsi="Arial" w:cs="Arial"/>
                <w:noProof/>
                <w:color w:val="000000" w:themeColor="text1"/>
                <w:sz w:val="22"/>
                <w:szCs w:val="22"/>
                <w:lang w:val="mn-MN"/>
              </w:rPr>
              <w:t xml:space="preserve">Мөнгөн дүнгээс үл хамаарсан асуудлыг мөн шийдвэрлэдэг. </w:t>
            </w:r>
          </w:p>
        </w:tc>
      </w:tr>
    </w:tbl>
    <w:p w14:paraId="3A8171C5" w14:textId="77777777" w:rsidR="005C44C3" w:rsidRPr="005C44C3" w:rsidRDefault="005C44C3">
      <w:pPr>
        <w:rPr>
          <w:lang w:val="mn-MN"/>
        </w:rPr>
      </w:pPr>
    </w:p>
    <w:sectPr w:rsidR="005C44C3" w:rsidRPr="005C44C3" w:rsidSect="005C44C3">
      <w:pgSz w:w="15840" w:h="12240"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11503"/>
    <w:multiLevelType w:val="hybridMultilevel"/>
    <w:tmpl w:val="75524454"/>
    <w:lvl w:ilvl="0" w:tplc="91C49E8A">
      <w:start w:val="1"/>
      <w:numFmt w:val="decimal"/>
      <w:lvlText w:val="%1."/>
      <w:lvlJc w:val="left"/>
      <w:pPr>
        <w:ind w:left="36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5765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4C3"/>
    <w:rsid w:val="003B094F"/>
    <w:rsid w:val="00413EF3"/>
    <w:rsid w:val="004A7442"/>
    <w:rsid w:val="005C44C3"/>
    <w:rsid w:val="00B50C12"/>
    <w:rsid w:val="00CF000D"/>
    <w:rsid w:val="00EC2107"/>
    <w:rsid w:val="00FA3D36"/>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27A04"/>
  <w15:chartTrackingRefBased/>
  <w15:docId w15:val="{B0212D7C-F325-154A-B147-1FC3D43A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44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44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44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44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44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44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44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44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44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44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44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44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44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44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44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44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44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44C3"/>
    <w:rPr>
      <w:rFonts w:eastAsiaTheme="majorEastAsia" w:cstheme="majorBidi"/>
      <w:color w:val="272727" w:themeColor="text1" w:themeTint="D8"/>
    </w:rPr>
  </w:style>
  <w:style w:type="paragraph" w:styleId="Title">
    <w:name w:val="Title"/>
    <w:basedOn w:val="Normal"/>
    <w:next w:val="Normal"/>
    <w:link w:val="TitleChar"/>
    <w:uiPriority w:val="10"/>
    <w:qFormat/>
    <w:rsid w:val="005C44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44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44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44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44C3"/>
    <w:pPr>
      <w:spacing w:before="160"/>
      <w:jc w:val="center"/>
    </w:pPr>
    <w:rPr>
      <w:i/>
      <w:iCs/>
      <w:color w:val="404040" w:themeColor="text1" w:themeTint="BF"/>
    </w:rPr>
  </w:style>
  <w:style w:type="character" w:customStyle="1" w:styleId="QuoteChar">
    <w:name w:val="Quote Char"/>
    <w:basedOn w:val="DefaultParagraphFont"/>
    <w:link w:val="Quote"/>
    <w:uiPriority w:val="29"/>
    <w:rsid w:val="005C44C3"/>
    <w:rPr>
      <w:i/>
      <w:iCs/>
      <w:color w:val="404040" w:themeColor="text1" w:themeTint="BF"/>
    </w:rPr>
  </w:style>
  <w:style w:type="paragraph" w:styleId="ListParagraph">
    <w:name w:val="List Paragraph"/>
    <w:basedOn w:val="Normal"/>
    <w:uiPriority w:val="34"/>
    <w:qFormat/>
    <w:rsid w:val="005C44C3"/>
    <w:pPr>
      <w:ind w:left="720"/>
      <w:contextualSpacing/>
    </w:pPr>
  </w:style>
  <w:style w:type="character" w:styleId="IntenseEmphasis">
    <w:name w:val="Intense Emphasis"/>
    <w:basedOn w:val="DefaultParagraphFont"/>
    <w:uiPriority w:val="21"/>
    <w:qFormat/>
    <w:rsid w:val="005C44C3"/>
    <w:rPr>
      <w:i/>
      <w:iCs/>
      <w:color w:val="0F4761" w:themeColor="accent1" w:themeShade="BF"/>
    </w:rPr>
  </w:style>
  <w:style w:type="paragraph" w:styleId="IntenseQuote">
    <w:name w:val="Intense Quote"/>
    <w:basedOn w:val="Normal"/>
    <w:next w:val="Normal"/>
    <w:link w:val="IntenseQuoteChar"/>
    <w:uiPriority w:val="30"/>
    <w:qFormat/>
    <w:rsid w:val="005C44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44C3"/>
    <w:rPr>
      <w:i/>
      <w:iCs/>
      <w:color w:val="0F4761" w:themeColor="accent1" w:themeShade="BF"/>
    </w:rPr>
  </w:style>
  <w:style w:type="character" w:styleId="IntenseReference">
    <w:name w:val="Intense Reference"/>
    <w:basedOn w:val="DefaultParagraphFont"/>
    <w:uiPriority w:val="32"/>
    <w:qFormat/>
    <w:rsid w:val="005C44C3"/>
    <w:rPr>
      <w:b/>
      <w:bCs/>
      <w:smallCaps/>
      <w:color w:val="0F4761" w:themeColor="accent1" w:themeShade="BF"/>
      <w:spacing w:val="5"/>
    </w:rPr>
  </w:style>
  <w:style w:type="table" w:styleId="TableGrid">
    <w:name w:val="Table Grid"/>
    <w:basedOn w:val="TableNormal"/>
    <w:uiPriority w:val="39"/>
    <w:rsid w:val="005C44C3"/>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1724</Words>
  <Characters>9827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Bayar Bat</dc:creator>
  <cp:keywords/>
  <dc:description/>
  <cp:lastModifiedBy>Oyunzul O</cp:lastModifiedBy>
  <cp:revision>4</cp:revision>
  <dcterms:created xsi:type="dcterms:W3CDTF">2026-05-13T06:14:00Z</dcterms:created>
  <dcterms:modified xsi:type="dcterms:W3CDTF">2026-06-22T00:36:00Z</dcterms:modified>
</cp:coreProperties>
</file>