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218D183A" w:rsidR="002C2BEA" w:rsidRDefault="00000000">
      <w:pPr>
        <w:ind w:right="-324"/>
        <w:jc w:val="center"/>
        <w:rPr>
          <w:b/>
          <w:bCs/>
          <w:sz w:val="24"/>
          <w:szCs w:val="24"/>
        </w:rPr>
      </w:pPr>
      <w:r>
        <w:rPr>
          <w:b/>
          <w:bCs/>
          <w:sz w:val="24"/>
          <w:szCs w:val="24"/>
        </w:rPr>
        <w:t>ТОВЧ ТАНИЛЦУУЛГА</w:t>
      </w:r>
    </w:p>
    <w:p w14:paraId="00000003" w14:textId="77777777" w:rsidR="002C2BEA" w:rsidRDefault="002C2BEA">
      <w:pPr>
        <w:ind w:left="1440" w:firstLine="720"/>
        <w:rPr>
          <w:b/>
          <w:bCs/>
          <w:sz w:val="24"/>
          <w:szCs w:val="24"/>
        </w:rPr>
      </w:pPr>
    </w:p>
    <w:p w14:paraId="0A3BED27" w14:textId="77777777" w:rsidR="003B0B74" w:rsidRDefault="003B0B74" w:rsidP="003B0B74">
      <w:pPr>
        <w:ind w:left="1440" w:firstLine="720"/>
        <w:jc w:val="right"/>
        <w:rPr>
          <w:i/>
          <w:iCs/>
          <w:sz w:val="24"/>
          <w:szCs w:val="24"/>
          <w:lang w:val="mn-MN"/>
        </w:rPr>
      </w:pPr>
      <w:r w:rsidRPr="003B0B74">
        <w:rPr>
          <w:i/>
          <w:iCs/>
          <w:sz w:val="24"/>
          <w:szCs w:val="24"/>
          <w:lang w:val="mn-MN"/>
        </w:rPr>
        <w:t xml:space="preserve">Төрийн шагналын тухай </w:t>
      </w:r>
    </w:p>
    <w:p w14:paraId="00000005" w14:textId="3CE72324" w:rsidR="002C2BEA" w:rsidRPr="003B0B74" w:rsidRDefault="003B0B74" w:rsidP="003B0B74">
      <w:pPr>
        <w:ind w:left="1440" w:firstLine="720"/>
        <w:jc w:val="right"/>
        <w:rPr>
          <w:i/>
          <w:iCs/>
          <w:sz w:val="24"/>
          <w:szCs w:val="24"/>
          <w:lang w:val="mn-MN"/>
        </w:rPr>
      </w:pPr>
      <w:r w:rsidRPr="003B0B74">
        <w:rPr>
          <w:i/>
          <w:iCs/>
          <w:sz w:val="24"/>
          <w:szCs w:val="24"/>
          <w:lang w:val="mn-MN"/>
        </w:rPr>
        <w:t>хуулийн төсөл</w:t>
      </w:r>
    </w:p>
    <w:p w14:paraId="78CBA3DD" w14:textId="77777777" w:rsidR="003B0B74" w:rsidRPr="003B0B74" w:rsidRDefault="003B0B74" w:rsidP="003B0B74">
      <w:pPr>
        <w:ind w:left="1440" w:firstLine="720"/>
        <w:jc w:val="right"/>
        <w:rPr>
          <w:b/>
          <w:bCs/>
          <w:sz w:val="24"/>
          <w:szCs w:val="24"/>
          <w:lang w:val="mn-MN"/>
        </w:rPr>
      </w:pPr>
    </w:p>
    <w:p w14:paraId="00000006" w14:textId="77777777" w:rsidR="002C2BEA" w:rsidRDefault="00000000">
      <w:pPr>
        <w:ind w:firstLine="720"/>
        <w:jc w:val="both"/>
        <w:rPr>
          <w:b/>
          <w:bCs/>
          <w:sz w:val="24"/>
          <w:szCs w:val="24"/>
        </w:rPr>
      </w:pPr>
      <w:r>
        <w:rPr>
          <w:b/>
          <w:bCs/>
          <w:sz w:val="24"/>
          <w:szCs w:val="24"/>
        </w:rPr>
        <w:t>Төрийн шагналын эрх зүйн зохицуулалтын өнөөгийн байдал:</w:t>
      </w:r>
    </w:p>
    <w:p w14:paraId="00000007" w14:textId="77777777" w:rsidR="002C2BEA" w:rsidRDefault="002C2BEA">
      <w:pPr>
        <w:ind w:firstLine="720"/>
        <w:jc w:val="both"/>
        <w:rPr>
          <w:sz w:val="24"/>
          <w:szCs w:val="24"/>
        </w:rPr>
      </w:pPr>
    </w:p>
    <w:p w14:paraId="00000008" w14:textId="77777777" w:rsidR="002C2BEA" w:rsidRDefault="00000000">
      <w:pPr>
        <w:ind w:firstLine="720"/>
        <w:jc w:val="both"/>
        <w:rPr>
          <w:sz w:val="24"/>
          <w:szCs w:val="24"/>
        </w:rPr>
      </w:pPr>
      <w:r>
        <w:rPr>
          <w:sz w:val="24"/>
          <w:szCs w:val="24"/>
        </w:rPr>
        <w:t xml:space="preserve">Төрийн шагналтай холбоотой харилцааг нэгдсэн хуулиар бус Монгол Улсын Ерөнхийлөгчийн зарлиг, Ерөнхийлөгчийн Тамгын газрын даргын захирамж, Засгийн газрын тогтоол, салбарын журам зэрэг олон төрлийн салангид эрх зүйн актаар зохицуулж ирсэн байна. </w:t>
      </w:r>
    </w:p>
    <w:p w14:paraId="00000009" w14:textId="77777777" w:rsidR="002C2BEA" w:rsidRDefault="002C2BEA">
      <w:pPr>
        <w:ind w:firstLine="720"/>
        <w:jc w:val="both"/>
        <w:rPr>
          <w:sz w:val="24"/>
          <w:szCs w:val="24"/>
        </w:rPr>
      </w:pPr>
    </w:p>
    <w:p w14:paraId="0000000A" w14:textId="77777777" w:rsidR="002C2BEA" w:rsidRDefault="00000000">
      <w:pPr>
        <w:ind w:firstLine="720"/>
        <w:jc w:val="both"/>
        <w:rPr>
          <w:sz w:val="24"/>
          <w:szCs w:val="24"/>
        </w:rPr>
      </w:pPr>
      <w:bookmarkStart w:id="0" w:name="_heading=h.cr07y9a6suy6" w:colFirst="0" w:colLast="0"/>
      <w:bookmarkEnd w:id="0"/>
      <w:r>
        <w:rPr>
          <w:sz w:val="24"/>
          <w:szCs w:val="24"/>
        </w:rPr>
        <w:t>Тухайлбал БНМАУ-ын Ардын Их Хурлын Тэргүүлэгчдийн 1990 оны 148 дугаар зарлигаар батлагдсан “БНМАУ-ын цол, одон, медалийн тухай дүрэм", Монгол Улсын Ерөнхийлөгчийн 1999 оны 71 дүгээр зарлигаар  батлагдсан“Монгол Улсын цол хүртээх, одон, медалиар шагнах журам”, мөн Монгол Улсын Ерөнхийлөгчийн 2006 оны 302 дугаар зарлигаар батлагдсан  “Монгол Улсын төрийн шагналын тухай дүрэм”, Засгийн газрын 2019 оны 05 дугаар тогтоолын 1 дүгээр хавсралтаар батлагдсан “Төрийн албан хаагчид шагнал олгох журам”-аар төрийн шагнал олгох үндсэн харилцааг зохицуулж байна.</w:t>
      </w:r>
    </w:p>
    <w:p w14:paraId="0000000B" w14:textId="77777777" w:rsidR="002C2BEA" w:rsidRDefault="002C2BEA">
      <w:pPr>
        <w:ind w:firstLine="720"/>
        <w:jc w:val="both"/>
        <w:rPr>
          <w:sz w:val="24"/>
          <w:szCs w:val="24"/>
        </w:rPr>
      </w:pPr>
    </w:p>
    <w:p w14:paraId="0000000C" w14:textId="77777777" w:rsidR="002C2BEA" w:rsidRDefault="00000000">
      <w:pPr>
        <w:ind w:firstLine="567"/>
        <w:jc w:val="both"/>
        <w:rPr>
          <w:sz w:val="24"/>
          <w:szCs w:val="24"/>
        </w:rPr>
      </w:pPr>
      <w:r>
        <w:rPr>
          <w:sz w:val="24"/>
          <w:szCs w:val="24"/>
        </w:rPr>
        <w:t>Мөн Монгол Улсын Ерөнхийлөгчийн Тамгын газрын даргын 2018 оны 72 дугаар захирамжаар залуучуудыг ажил хөдөлмөр, бүтээлч үйлдвэрлэл, шинжлэх ухаанч хөгжилд уриалах, залуу үеийн мэргэжлийн боловсрол, ур чадвар, мэргэшсэн боловсон хүчний бодлогыг дэмжих зорилгоор Ерөнхийлөгчийн нэрэмжит шагнал олгох журам, 2018 оны 10 дугаар захирамжаар “Үндэсний бүтээн байгуулалтын дээд шагнал – Төрийн гэрэгэ” шагналын журам, 2011 оны 146 дугаар захирамжаар шилдэг залуу эрдэм шинжилгээний ажилтан, судлаачдад Ерөнхийлөгчийн нэрэмжит шагнал олгох журмыг тус тус баталж хэрэгжүүлж ирсэн байна.Энэ хуулийн зорилт нь төрийн шагналын төрөл, ангилал, эрэмбэ, олгох шалгуур, хязгаарыг тогтоох, шагнал олгох үйл ажиллагааны ил тод байдлыг хангах, тэдгээртэй холбогдсон харилцааг зохицуулахад оршино. Хуулийн төсөл нь 7 бүлэг, 20 зүйлтэй.</w:t>
      </w:r>
    </w:p>
    <w:p w14:paraId="0000000D" w14:textId="77777777" w:rsidR="002C2BEA" w:rsidRDefault="002C2BEA">
      <w:pPr>
        <w:ind w:firstLine="567"/>
        <w:jc w:val="both"/>
        <w:rPr>
          <w:sz w:val="24"/>
          <w:szCs w:val="24"/>
        </w:rPr>
      </w:pPr>
    </w:p>
    <w:p w14:paraId="0000000E" w14:textId="77777777" w:rsidR="002C2BEA" w:rsidRDefault="00000000">
      <w:pPr>
        <w:ind w:firstLine="567"/>
        <w:jc w:val="both"/>
        <w:rPr>
          <w:b/>
          <w:bCs/>
          <w:sz w:val="24"/>
          <w:szCs w:val="24"/>
        </w:rPr>
      </w:pPr>
      <w:r>
        <w:rPr>
          <w:b/>
          <w:bCs/>
          <w:sz w:val="24"/>
          <w:szCs w:val="24"/>
        </w:rPr>
        <w:t>Төрийн шагналын тухай анхдагч хуулийн төсөл батлагдсанаар:</w:t>
      </w:r>
    </w:p>
    <w:p w14:paraId="0000000F" w14:textId="77777777" w:rsidR="002C2BEA" w:rsidRDefault="00000000">
      <w:pPr>
        <w:ind w:firstLine="567"/>
        <w:jc w:val="both"/>
        <w:rPr>
          <w:sz w:val="24"/>
          <w:szCs w:val="24"/>
        </w:rPr>
      </w:pPr>
      <w:r>
        <w:rPr>
          <w:sz w:val="24"/>
          <w:szCs w:val="24"/>
        </w:rPr>
        <w:t xml:space="preserve">Энэхүү хууль батлагдсан тохиолдолд төрийн шагнал олголтын давхардал, хавтгайрсан байдал, хуульд заагаагүй төрийн шагнал бий болох нөхцөлийг таслан зогсоох, төрийн шагналыг улс төрийн дэмжлэг авах, сонгуулийн үр дүнд нөлөөлөх хэрэгсэл болгон ашиглах үйлдлийг хориглох үндэслэл бүрдэнэ. Төрийн шагналын тогтолцоог нийгмийн хөгжлийн шаардлагад нийцүүлэн боловсронгуй болгож, шагналын зорилго, ач холбогдлыг шинэчлэн тодорхойлох замаар түүний үнэлэмж, үр нөлөөг дээшлүүлнэ. </w:t>
      </w:r>
    </w:p>
    <w:p w14:paraId="00000010" w14:textId="77777777" w:rsidR="002C2BEA" w:rsidRDefault="002C2BEA">
      <w:pPr>
        <w:ind w:firstLine="567"/>
        <w:jc w:val="both"/>
        <w:rPr>
          <w:sz w:val="24"/>
          <w:szCs w:val="24"/>
        </w:rPr>
      </w:pPr>
    </w:p>
    <w:p w14:paraId="00000011" w14:textId="77777777" w:rsidR="002C2BEA" w:rsidRDefault="00000000">
      <w:pPr>
        <w:ind w:firstLine="567"/>
        <w:jc w:val="both"/>
        <w:rPr>
          <w:sz w:val="24"/>
          <w:szCs w:val="24"/>
        </w:rPr>
      </w:pPr>
      <w:r>
        <w:rPr>
          <w:sz w:val="24"/>
          <w:szCs w:val="24"/>
        </w:rPr>
        <w:t xml:space="preserve">1992 оны Үндсэн хуулиар чөлөөт зах зээлийн тогтолцоонд шилжсэнээс хойш хувь хүн, байгууллага бүх төрлийн салбарт төрөөс хараат бусаар өөрийн хичээл, зүтгэлийн үр шимийг өөрсдөө хүртэх боломжийг бүрдүүлсэн. Өөрөөр хэлбэл чөлөөт зах зээлийн тогтолцоонд төр иргэний гавьяа зүтгэлийг үнэлэх бус иргэн </w:t>
      </w:r>
      <w:r>
        <w:rPr>
          <w:sz w:val="24"/>
          <w:szCs w:val="24"/>
        </w:rPr>
        <w:lastRenderedPageBreak/>
        <w:t>хөдөлмөрлөснийхөө  үр өгөөжийг цалин хөлсөөр авах, өмч хөрөнгөө арвижуулах замаар бодитоор авч байна. Харин төрийн тусгай чиг үүргийн албан хаагчдын гавьяа зүтгэл, иргэдийн баатарлаг үйлсийг төрөөс үнэлж, шагнах нь аль ч нийгэмд түгээмэл зохицуулагддаг харилцаа тул эдгээр зохицуулалтыг хуулийн төсөлд нэмж тусгасан.</w:t>
      </w:r>
    </w:p>
    <w:p w14:paraId="00000012" w14:textId="77777777" w:rsidR="002C2BEA" w:rsidRDefault="002C2BEA">
      <w:pPr>
        <w:ind w:firstLine="567"/>
        <w:jc w:val="both"/>
        <w:rPr>
          <w:sz w:val="24"/>
          <w:szCs w:val="24"/>
        </w:rPr>
      </w:pPr>
    </w:p>
    <w:p w14:paraId="00000013" w14:textId="77777777" w:rsidR="002C2BEA" w:rsidRDefault="00000000">
      <w:pPr>
        <w:ind w:firstLine="720"/>
        <w:jc w:val="both"/>
        <w:rPr>
          <w:sz w:val="24"/>
          <w:szCs w:val="24"/>
        </w:rPr>
      </w:pPr>
      <w:r>
        <w:rPr>
          <w:sz w:val="24"/>
          <w:szCs w:val="24"/>
        </w:rPr>
        <w:t>Хуулийн төсөлд мөн нэр дэвшүүлэх, тодорхойлох, уламжлах, шийдвэрлэх, гардуулах, шагнал олгох үйл ажиллагааны ил тод, нээлттэй байдлыг хангах, мэдээллийн сан бүрдүүлэх, иргэний эрх, үүрэг, төрийн байгууллагын шагналын зохицуулалт, хориглох үйлдэл, хариуцлага оногдуулах үндэслэл, зарчмыг тусгасан.</w:t>
      </w:r>
    </w:p>
    <w:p w14:paraId="00000014" w14:textId="77777777" w:rsidR="002C2BEA" w:rsidRDefault="002C2BEA">
      <w:pPr>
        <w:ind w:firstLine="720"/>
        <w:jc w:val="both"/>
        <w:rPr>
          <w:sz w:val="24"/>
          <w:szCs w:val="24"/>
        </w:rPr>
      </w:pPr>
    </w:p>
    <w:p w14:paraId="00000015" w14:textId="77777777" w:rsidR="002C2BEA" w:rsidRDefault="00000000">
      <w:pPr>
        <w:ind w:firstLine="720"/>
        <w:jc w:val="both"/>
        <w:rPr>
          <w:sz w:val="24"/>
          <w:szCs w:val="24"/>
        </w:rPr>
      </w:pPr>
      <w:r>
        <w:rPr>
          <w:sz w:val="24"/>
          <w:szCs w:val="24"/>
        </w:rPr>
        <w:t xml:space="preserve">Хуулийн төслийн 5 дугаар зүйлд төрийн шагналыг төрийн дээд шагнал, төрийн хүндэт шагнал, хүн амын өсөлтийг дэмжих бодлогын хүрээнд олгох шагнал, </w:t>
      </w:r>
      <w:r>
        <w:rPr>
          <w:sz w:val="24"/>
          <w:szCs w:val="24"/>
          <w:highlight w:val="white"/>
        </w:rPr>
        <w:t>мал сүргийн эдийн засгийн үр өгөөжийг дэмжих  бодлогын хүрээнд</w:t>
      </w:r>
      <w:r>
        <w:rPr>
          <w:sz w:val="24"/>
          <w:szCs w:val="24"/>
        </w:rPr>
        <w:t xml:space="preserve"> олгох шагнал гэж ангилж, тэдгээрийн төрөл, эрэмбийг нарийвчлан тусгасан.</w:t>
      </w:r>
    </w:p>
    <w:p w14:paraId="00000016" w14:textId="77777777" w:rsidR="002C2BEA" w:rsidRDefault="002C2BEA">
      <w:pPr>
        <w:ind w:firstLine="720"/>
        <w:jc w:val="both"/>
        <w:rPr>
          <w:sz w:val="24"/>
          <w:szCs w:val="24"/>
        </w:rPr>
      </w:pPr>
    </w:p>
    <w:p w14:paraId="00000017" w14:textId="77777777" w:rsidR="002C2BEA" w:rsidRDefault="00000000">
      <w:pPr>
        <w:ind w:firstLine="709"/>
        <w:jc w:val="both"/>
        <w:rPr>
          <w:sz w:val="24"/>
          <w:szCs w:val="24"/>
        </w:rPr>
      </w:pPr>
      <w:r>
        <w:rPr>
          <w:sz w:val="24"/>
          <w:szCs w:val="24"/>
        </w:rPr>
        <w:t xml:space="preserve">Хуулийн төсөлд  хуульд заасан тоо, хязгаарыг хэтрүүлэн шагнал олгохыг хориглож тусгасан. Төрийн шагналд нэр дэвшигчид тавигдах шаардлага, иргэний хүлээх нийтлэг үүрэг, эдлэх эрх, төрийн шагналын одон, тэмдэг, үнэмлэхийг үрэгдүүлсэн, гэмтээсэн тохиолдолд нөхөн авч болохоор тусгав. </w:t>
      </w:r>
    </w:p>
    <w:p w14:paraId="00000018" w14:textId="77777777" w:rsidR="002C2BEA" w:rsidRDefault="00000000">
      <w:pPr>
        <w:jc w:val="both"/>
        <w:rPr>
          <w:sz w:val="24"/>
          <w:szCs w:val="24"/>
        </w:rPr>
      </w:pPr>
      <w:r>
        <w:rPr>
          <w:sz w:val="24"/>
          <w:szCs w:val="24"/>
        </w:rPr>
        <w:tab/>
      </w:r>
    </w:p>
    <w:p w14:paraId="00000019" w14:textId="77777777" w:rsidR="002C2BEA" w:rsidRDefault="00000000">
      <w:pPr>
        <w:ind w:firstLine="720"/>
        <w:jc w:val="both"/>
        <w:rPr>
          <w:sz w:val="24"/>
          <w:szCs w:val="24"/>
        </w:rPr>
      </w:pPr>
      <w:r>
        <w:rPr>
          <w:sz w:val="24"/>
          <w:szCs w:val="24"/>
        </w:rPr>
        <w:t>Төрийн</w:t>
      </w:r>
      <w:r>
        <w:rPr>
          <w:sz w:val="24"/>
          <w:szCs w:val="24"/>
          <w:highlight w:val="white"/>
        </w:rPr>
        <w:t xml:space="preserve"> байгууллага төрийн шагнал</w:t>
      </w:r>
      <w:r>
        <w:rPr>
          <w:sz w:val="24"/>
          <w:szCs w:val="24"/>
        </w:rPr>
        <w:t xml:space="preserve"> бий болгох, иргэн, хуулийн этгээд хуульд заасан төрийн шагналтай ижил нэр, агуулга, загвар бүхий шагнал бий болгох, төрийн шагналаар хуулийн этгээд, засаг захиргаа, нутаг дэвсгэрийн нэгжийг шагнах, төрийн байгууллага, албан тушаалтан нэрэмжит шагнал бий болгохыг хориглох зохицуулалтыг тусгасан. Эдгээр хязгаарлалтыг тогтоосноор төрийн шагналыг улстөрийн дэмжлэг авах, сонгуулийн үр дүнд нөлөөлөх хэрэгсэл болгон ашиглах эрсдэлээс урьдчилан сэргийлэх үр дүнтэй гэж үзэв.</w:t>
      </w:r>
    </w:p>
    <w:p w14:paraId="0000001A" w14:textId="77777777" w:rsidR="002C2BEA" w:rsidRDefault="002C2BEA">
      <w:pPr>
        <w:jc w:val="both"/>
        <w:rPr>
          <w:sz w:val="24"/>
          <w:szCs w:val="24"/>
        </w:rPr>
      </w:pPr>
    </w:p>
    <w:p w14:paraId="0000001B" w14:textId="77777777" w:rsidR="002C2BEA" w:rsidRDefault="00000000">
      <w:pPr>
        <w:jc w:val="both"/>
        <w:rPr>
          <w:sz w:val="24"/>
          <w:szCs w:val="24"/>
        </w:rPr>
      </w:pPr>
      <w:r>
        <w:rPr>
          <w:sz w:val="24"/>
          <w:szCs w:val="24"/>
        </w:rPr>
        <w:tab/>
        <w:t xml:space="preserve">Төсөлд төрийн байгууллага зөвхөн өөрийн албан хаагч, ажилтныг урамшуулах зорилгоор байгууллагын шагналтай байж болох бөгөөд тухайн байгуулагад ажилладаггүй этгээдийг шагнахыг хориглохоор тусгасан. </w:t>
      </w:r>
    </w:p>
    <w:p w14:paraId="0000001C" w14:textId="77777777" w:rsidR="002C2BEA" w:rsidRDefault="00000000">
      <w:pPr>
        <w:jc w:val="both"/>
        <w:rPr>
          <w:sz w:val="24"/>
          <w:szCs w:val="24"/>
        </w:rPr>
      </w:pPr>
      <w:r>
        <w:rPr>
          <w:sz w:val="24"/>
          <w:szCs w:val="24"/>
        </w:rPr>
        <w:tab/>
      </w:r>
    </w:p>
    <w:p w14:paraId="0000001D" w14:textId="77777777" w:rsidR="002C2BEA" w:rsidRDefault="00000000">
      <w:pPr>
        <w:ind w:firstLine="720"/>
        <w:jc w:val="both"/>
        <w:rPr>
          <w:sz w:val="24"/>
          <w:szCs w:val="24"/>
        </w:rPr>
      </w:pPr>
      <w:r>
        <w:rPr>
          <w:sz w:val="24"/>
          <w:szCs w:val="24"/>
        </w:rPr>
        <w:t>Төрийн шагналыг дагалдах мөнгөн урамшууллын хэмжээг хөдөлмөрийн хөлсний доод хэмжээтэй уялдуулан тогтоох, Төрийн шагналын тухай хууль хүчин төгөлдөр болохоос өмнө төрийн шагналаар шагнагдсан иргэнд мөнгөн урамшууллыг нөхөн олгохгүй байхаар тусгасан.</w:t>
      </w:r>
    </w:p>
    <w:p w14:paraId="0000001E" w14:textId="77777777" w:rsidR="002C2BEA" w:rsidRDefault="002C2BEA">
      <w:pPr>
        <w:jc w:val="both"/>
        <w:rPr>
          <w:sz w:val="24"/>
          <w:szCs w:val="24"/>
        </w:rPr>
      </w:pPr>
    </w:p>
    <w:p w14:paraId="0000001F" w14:textId="77777777" w:rsidR="002C2BEA" w:rsidRDefault="00000000">
      <w:pPr>
        <w:jc w:val="both"/>
        <w:rPr>
          <w:sz w:val="24"/>
          <w:szCs w:val="24"/>
        </w:rPr>
      </w:pPr>
      <w:r>
        <w:rPr>
          <w:sz w:val="24"/>
          <w:szCs w:val="24"/>
        </w:rPr>
        <w:tab/>
        <w:t>Шагналын мэдээллийн нэгдсэн санг Монгол Улсын Ерөнхийлөгчийн Тамгын газар хариуцан хөтөлж, шагнагдсан болон нэр дэвшсэн этгээдүүдийн мэдээллийг нийтэд нээлттэй байршуулж, шагнагдсан иргэн төрийн үйлчилгээний нэгдсэн системээр дамжуулан лавлагаа авах боломжийг бүрдүүлэх, төрийн шагналыг дотоодын аж ахуйн нэгж, байгууллагаар гэрээний үндсэн дээр үйлдвэрлүүлэхээр тусгасан.</w:t>
      </w:r>
    </w:p>
    <w:p w14:paraId="00000020" w14:textId="77777777" w:rsidR="002C2BEA" w:rsidRDefault="002C2BEA">
      <w:pPr>
        <w:ind w:firstLine="720"/>
        <w:jc w:val="both"/>
        <w:rPr>
          <w:sz w:val="24"/>
          <w:szCs w:val="24"/>
        </w:rPr>
      </w:pPr>
    </w:p>
    <w:p w14:paraId="00000021" w14:textId="77777777" w:rsidR="002C2BEA" w:rsidRDefault="00000000">
      <w:pPr>
        <w:ind w:firstLine="720"/>
        <w:jc w:val="both"/>
        <w:rPr>
          <w:sz w:val="24"/>
          <w:szCs w:val="24"/>
        </w:rPr>
      </w:pPr>
      <w:r>
        <w:rPr>
          <w:sz w:val="24"/>
          <w:szCs w:val="24"/>
        </w:rPr>
        <w:lastRenderedPageBreak/>
        <w:t>Төсөлд төрийн шагналыг зүүх, хадгалах журмыг Монгол Улсын Ерөнхийлөгч, төрийн шагналын мэдээллийн сан хөтлөх, ашиглах журмыг Монгол Улсын  Ерөнхийлөгчийн Тамгын газрын дарга батлахаар тусгав.</w:t>
      </w:r>
    </w:p>
    <w:p w14:paraId="00000022" w14:textId="77777777" w:rsidR="002C2BEA" w:rsidRDefault="002C2BEA">
      <w:pPr>
        <w:ind w:firstLine="720"/>
        <w:jc w:val="both"/>
        <w:rPr>
          <w:sz w:val="24"/>
          <w:szCs w:val="24"/>
        </w:rPr>
      </w:pPr>
    </w:p>
    <w:p w14:paraId="00000023" w14:textId="77777777" w:rsidR="002C2BEA" w:rsidRDefault="00000000">
      <w:pPr>
        <w:ind w:firstLine="720"/>
        <w:jc w:val="both"/>
        <w:rPr>
          <w:b/>
          <w:bCs/>
          <w:sz w:val="24"/>
          <w:szCs w:val="24"/>
        </w:rPr>
      </w:pPr>
      <w:r>
        <w:rPr>
          <w:b/>
          <w:bCs/>
          <w:sz w:val="24"/>
          <w:szCs w:val="24"/>
        </w:rPr>
        <w:t>Хариуцлагын талаар:</w:t>
      </w:r>
    </w:p>
    <w:p w14:paraId="00000024" w14:textId="77777777" w:rsidR="002C2BEA" w:rsidRDefault="002C2BEA">
      <w:pPr>
        <w:jc w:val="both"/>
        <w:rPr>
          <w:sz w:val="24"/>
          <w:szCs w:val="24"/>
        </w:rPr>
      </w:pPr>
    </w:p>
    <w:p w14:paraId="00000025" w14:textId="77777777" w:rsidR="002C2BEA" w:rsidRDefault="00000000">
      <w:pPr>
        <w:jc w:val="both"/>
        <w:rPr>
          <w:sz w:val="24"/>
          <w:szCs w:val="24"/>
        </w:rPr>
      </w:pPr>
      <w:r>
        <w:rPr>
          <w:sz w:val="24"/>
          <w:szCs w:val="24"/>
        </w:rPr>
        <w:tab/>
        <w:t>Төрийн шагналын одон, тэмдэг, үнэмлэхийг хууль бусаар, хуурамчаар үйлдвэрлэсэн, худалдан борлуулсан, хуурамч баримт бичиг бүрдүүлж шагнагдсан, хуульд заасан шаардлага хангаагүй этгээдийг төрийн шагналаар шагнасан үйлдлийг Зөрчлийн тухай хуулиар зөрчилд тооцохоор төсөлд тусгасан.</w:t>
      </w:r>
    </w:p>
    <w:p w14:paraId="00000026" w14:textId="77777777" w:rsidR="002C2BEA" w:rsidRDefault="002C2BEA">
      <w:pPr>
        <w:jc w:val="both"/>
        <w:rPr>
          <w:sz w:val="24"/>
          <w:szCs w:val="24"/>
        </w:rPr>
      </w:pPr>
    </w:p>
    <w:p w14:paraId="00000027" w14:textId="77777777" w:rsidR="002C2BEA" w:rsidRDefault="00000000">
      <w:pPr>
        <w:spacing w:line="240" w:lineRule="auto"/>
        <w:ind w:firstLine="720"/>
        <w:jc w:val="both"/>
        <w:rPr>
          <w:b/>
          <w:bCs/>
          <w:sz w:val="24"/>
          <w:szCs w:val="24"/>
        </w:rPr>
      </w:pPr>
      <w:r>
        <w:rPr>
          <w:b/>
          <w:bCs/>
          <w:sz w:val="24"/>
          <w:szCs w:val="24"/>
        </w:rPr>
        <w:t>Хамтын ажиллагааны талаар:</w:t>
      </w:r>
    </w:p>
    <w:p w14:paraId="00000028" w14:textId="77777777" w:rsidR="002C2BEA" w:rsidRDefault="00000000">
      <w:pPr>
        <w:jc w:val="both"/>
        <w:rPr>
          <w:b/>
          <w:bCs/>
          <w:sz w:val="24"/>
          <w:szCs w:val="24"/>
        </w:rPr>
      </w:pPr>
      <w:r>
        <w:rPr>
          <w:sz w:val="24"/>
          <w:szCs w:val="24"/>
        </w:rPr>
        <w:tab/>
      </w:r>
    </w:p>
    <w:p w14:paraId="00000029" w14:textId="77777777" w:rsidR="002C2BEA" w:rsidRDefault="00000000">
      <w:pPr>
        <w:ind w:firstLine="720"/>
        <w:jc w:val="both"/>
        <w:rPr>
          <w:sz w:val="24"/>
          <w:szCs w:val="24"/>
        </w:rPr>
      </w:pPr>
      <w:r>
        <w:rPr>
          <w:sz w:val="24"/>
          <w:szCs w:val="24"/>
        </w:rPr>
        <w:t xml:space="preserve">Мөн БНМАУ-ын цол, одон, медалийн тухай дүрэм, Монгол Улсын төрийн шагналын тухай дүрэм, Монгол Улсын цол хүртээх, одон, медалиар шагнах журам, </w:t>
      </w:r>
    </w:p>
    <w:p w14:paraId="0000002A" w14:textId="77777777" w:rsidR="002C2BEA" w:rsidRDefault="00000000">
      <w:pPr>
        <w:jc w:val="both"/>
        <w:rPr>
          <w:sz w:val="24"/>
          <w:szCs w:val="24"/>
        </w:rPr>
      </w:pPr>
      <w:r>
        <w:rPr>
          <w:sz w:val="24"/>
          <w:szCs w:val="24"/>
        </w:rPr>
        <w:t xml:space="preserve">Шилдэг залуу эрдэм шинжилгээний ажилтан, судлаачдад Ерөнхийлөгчийн нэрэмжит шагнал олгох журам,  Ерөнхийлөгчийн нэрэмжит шагнал олгох журам, Үндэсний бүтээн байгуулалтын дээд шагнал – Төрийн гэрэгэ” шагналын журам, Төрийн албан хаагчид шагнал олгох журам зэрэг хуультай уялдаа холбоотой дүрэм, журмыг хуулийн хэрэгжилтийг хангах хүрээнд батлан гаргасан эрх бүхий субьектүүд нь хүчингүй болгох замаар хууль хоорондын уялдааг хангана. </w:t>
      </w:r>
    </w:p>
    <w:p w14:paraId="0000002B" w14:textId="77777777" w:rsidR="002C2BEA" w:rsidRDefault="002C2BEA">
      <w:pPr>
        <w:ind w:firstLine="720"/>
        <w:jc w:val="both"/>
        <w:rPr>
          <w:sz w:val="24"/>
          <w:szCs w:val="24"/>
          <w:lang w:val="mn-MN"/>
        </w:rPr>
      </w:pPr>
    </w:p>
    <w:p w14:paraId="01891EAC" w14:textId="77777777" w:rsidR="003B0B74" w:rsidRDefault="003B0B74">
      <w:pPr>
        <w:ind w:firstLine="720"/>
        <w:jc w:val="both"/>
        <w:rPr>
          <w:sz w:val="24"/>
          <w:szCs w:val="24"/>
          <w:lang w:val="mn-MN"/>
        </w:rPr>
      </w:pPr>
    </w:p>
    <w:p w14:paraId="7D20226F" w14:textId="77777777" w:rsidR="003B0B74" w:rsidRDefault="003B0B74">
      <w:pPr>
        <w:ind w:firstLine="720"/>
        <w:jc w:val="both"/>
        <w:rPr>
          <w:sz w:val="24"/>
          <w:szCs w:val="24"/>
          <w:lang w:val="mn-MN"/>
        </w:rPr>
      </w:pPr>
    </w:p>
    <w:p w14:paraId="345E60D1" w14:textId="77777777" w:rsidR="003B0B74" w:rsidRPr="003D6340" w:rsidRDefault="003B0B74" w:rsidP="003B0B74">
      <w:pPr>
        <w:spacing w:line="240" w:lineRule="auto"/>
        <w:ind w:firstLine="720"/>
        <w:jc w:val="center"/>
        <w:rPr>
          <w:sz w:val="24"/>
          <w:szCs w:val="24"/>
          <w:lang w:val="mn-MN"/>
        </w:rPr>
      </w:pPr>
      <w:r>
        <w:rPr>
          <w:sz w:val="24"/>
          <w:szCs w:val="24"/>
          <w:lang w:val="mn-MN"/>
        </w:rPr>
        <w:t>--</w:t>
      </w:r>
      <w:r w:rsidRPr="00204FC1">
        <w:rPr>
          <w:sz w:val="24"/>
          <w:szCs w:val="24"/>
          <w:lang w:val="mn-MN"/>
        </w:rPr>
        <w:t>-о0о-</w:t>
      </w:r>
      <w:r>
        <w:rPr>
          <w:sz w:val="24"/>
          <w:szCs w:val="24"/>
          <w:lang w:val="mn-MN"/>
        </w:rPr>
        <w:t>--</w:t>
      </w:r>
    </w:p>
    <w:p w14:paraId="2E880CC3" w14:textId="77777777" w:rsidR="003B0B74" w:rsidRPr="003B0B74" w:rsidRDefault="003B0B74">
      <w:pPr>
        <w:ind w:firstLine="720"/>
        <w:jc w:val="both"/>
        <w:rPr>
          <w:sz w:val="24"/>
          <w:szCs w:val="24"/>
          <w:lang w:val="mn-MN"/>
        </w:rPr>
      </w:pPr>
    </w:p>
    <w:p w14:paraId="0000002C" w14:textId="77777777" w:rsidR="002C2BEA" w:rsidRDefault="002C2BEA"/>
    <w:sectPr w:rsidR="002C2BEA" w:rsidSect="003B0B74">
      <w:footerReference w:type="default" r:id="rId7"/>
      <w:pgSz w:w="11909" w:h="16834"/>
      <w:pgMar w:top="1021" w:right="851" w:bottom="1134"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B45D4E" w14:textId="77777777" w:rsidR="00B45E2C" w:rsidRDefault="00B45E2C">
      <w:pPr>
        <w:spacing w:line="240" w:lineRule="auto"/>
      </w:pPr>
      <w:r>
        <w:separator/>
      </w:r>
    </w:p>
  </w:endnote>
  <w:endnote w:type="continuationSeparator" w:id="0">
    <w:p w14:paraId="35608445" w14:textId="77777777" w:rsidR="00B45E2C" w:rsidRDefault="00B45E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FEADA3B-DE30-E742-8BB8-F46C23B4150E}"/>
    <w:embedBold r:id="rId2" w:fontKey="{CD006A08-91D7-A24B-95F9-429214AC87BC}"/>
    <w:embedItalic r:id="rId3" w:fontKey="{992BFA93-F37E-5947-B8F3-88F9F9514FD6}"/>
  </w:font>
  <w:font w:name="Times New Roman">
    <w:panose1 w:val="02020603050405020304"/>
    <w:charset w:val="00"/>
    <w:family w:val="roman"/>
    <w:pitch w:val="variable"/>
    <w:sig w:usb0="E0002EFF" w:usb1="C000785B" w:usb2="00000009" w:usb3="00000000" w:csb0="000001FF" w:csb1="00000000"/>
    <w:embedRegular r:id="rId4" w:fontKey="{32DA6A58-59AB-FA45-B85D-963FD48E899F}"/>
  </w:font>
  <w:font w:name="Calibri">
    <w:panose1 w:val="020F0502020204030204"/>
    <w:charset w:val="00"/>
    <w:family w:val="swiss"/>
    <w:pitch w:val="variable"/>
    <w:sig w:usb0="E4002EFF" w:usb1="C200247B" w:usb2="00000009" w:usb3="00000000" w:csb0="000001FF" w:csb1="00000000"/>
    <w:embedRegular r:id="rId5" w:fontKey="{18371617-9CD3-6443-BB95-0DF0E570E661}"/>
  </w:font>
  <w:font w:name="Cambria">
    <w:panose1 w:val="02040503050406030204"/>
    <w:charset w:val="00"/>
    <w:family w:val="roman"/>
    <w:pitch w:val="variable"/>
    <w:sig w:usb0="E00006FF" w:usb1="420024FF" w:usb2="02000000" w:usb3="00000000" w:csb0="0000019F" w:csb1="00000000"/>
    <w:embedRegular r:id="rId6" w:fontKey="{7315F038-5E31-234F-91F1-AA5C30058D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D" w14:textId="4CE610DA" w:rsidR="002C2BEA" w:rsidRDefault="002C2BE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9F9FF" w14:textId="77777777" w:rsidR="00B45E2C" w:rsidRDefault="00B45E2C">
      <w:pPr>
        <w:spacing w:line="240" w:lineRule="auto"/>
      </w:pPr>
      <w:r>
        <w:separator/>
      </w:r>
    </w:p>
  </w:footnote>
  <w:footnote w:type="continuationSeparator" w:id="0">
    <w:p w14:paraId="6CC4B28C" w14:textId="77777777" w:rsidR="00B45E2C" w:rsidRDefault="00B45E2C">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BEA"/>
    <w:rsid w:val="002C2BEA"/>
    <w:rsid w:val="003B0B74"/>
    <w:rsid w:val="0074201A"/>
    <w:rsid w:val="008B143E"/>
    <w:rsid w:val="00B45E2C"/>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018974F3"/>
  <w15:docId w15:val="{4E78024E-CB09-1143-BD50-41CAF20E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m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B0B74"/>
    <w:pPr>
      <w:tabs>
        <w:tab w:val="center" w:pos="4680"/>
        <w:tab w:val="right" w:pos="9360"/>
      </w:tabs>
      <w:spacing w:line="240" w:lineRule="auto"/>
    </w:pPr>
  </w:style>
  <w:style w:type="character" w:customStyle="1" w:styleId="HeaderChar">
    <w:name w:val="Header Char"/>
    <w:basedOn w:val="DefaultParagraphFont"/>
    <w:link w:val="Header"/>
    <w:uiPriority w:val="99"/>
    <w:rsid w:val="003B0B74"/>
  </w:style>
  <w:style w:type="paragraph" w:styleId="Footer">
    <w:name w:val="footer"/>
    <w:basedOn w:val="Normal"/>
    <w:link w:val="FooterChar"/>
    <w:uiPriority w:val="99"/>
    <w:unhideWhenUsed/>
    <w:rsid w:val="003B0B74"/>
    <w:pPr>
      <w:tabs>
        <w:tab w:val="center" w:pos="4680"/>
        <w:tab w:val="right" w:pos="9360"/>
      </w:tabs>
      <w:spacing w:line="240" w:lineRule="auto"/>
    </w:pPr>
  </w:style>
  <w:style w:type="character" w:customStyle="1" w:styleId="FooterChar">
    <w:name w:val="Footer Char"/>
    <w:basedOn w:val="DefaultParagraphFont"/>
    <w:link w:val="Footer"/>
    <w:uiPriority w:val="99"/>
    <w:rsid w:val="003B0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PpWnLKJk6XWxjirTNyklQYqroA==">CgMxLjAyDmguY3IwN3k5YTZzdXk2OAByITFBejVxazFHaUtJMkNVTFlxRU45Sm03UFYwRWdVQV9nSg==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5267</Characters>
  <Application>Microsoft Office Word</Application>
  <DocSecurity>0</DocSecurity>
  <Lines>43</Lines>
  <Paragraphs>12</Paragraphs>
  <ScaleCrop>false</ScaleCrop>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2</cp:revision>
  <dcterms:created xsi:type="dcterms:W3CDTF">2026-09-09T07:10:00Z</dcterms:created>
  <dcterms:modified xsi:type="dcterms:W3CDTF">2026-09-09T07:10:00Z</dcterms:modified>
</cp:coreProperties>
</file>