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2B948" w14:textId="77777777" w:rsidR="00E45568" w:rsidRDefault="00573451" w:rsidP="00573451">
      <w:pPr>
        <w:ind w:firstLine="567"/>
        <w:jc w:val="center"/>
        <w:outlineLvl w:val="0"/>
        <w:rPr>
          <w:rFonts w:ascii="Arial" w:eastAsia="Times New Roman" w:hAnsi="Arial" w:cs="Arial"/>
          <w:b/>
          <w:bCs/>
          <w:kern w:val="36"/>
          <w14:ligatures w14:val="none"/>
        </w:rPr>
      </w:pPr>
      <w:r w:rsidRPr="00573451">
        <w:rPr>
          <w:rFonts w:ascii="Arial" w:eastAsia="Times New Roman" w:hAnsi="Arial" w:cs="Arial"/>
          <w:b/>
          <w:bCs/>
          <w:kern w:val="36"/>
          <w14:ligatures w14:val="none"/>
        </w:rPr>
        <w:t xml:space="preserve">“МАЛЧНЫ ТУХАЙ ХУУЛЬД ӨӨРЧЛӨЛТ ОРУУЛАХ ТУХАЙ” ХУУЛИЙН ТӨСЛИЙН ХЭРЭГЦЭЭ, ШААРДЛАГЫГ УРЬДЧИЛАН ТАНДАН </w:t>
      </w:r>
    </w:p>
    <w:p w14:paraId="6FEAC403" w14:textId="77777777" w:rsidR="00573451" w:rsidRDefault="00573451" w:rsidP="00573451">
      <w:pPr>
        <w:ind w:firstLine="567"/>
        <w:jc w:val="center"/>
        <w:outlineLvl w:val="0"/>
        <w:rPr>
          <w:rFonts w:ascii="Arial" w:eastAsia="Times New Roman" w:hAnsi="Arial" w:cs="Arial"/>
          <w:b/>
          <w:bCs/>
          <w:kern w:val="36"/>
          <w14:ligatures w14:val="none"/>
        </w:rPr>
      </w:pPr>
      <w:r w:rsidRPr="00573451">
        <w:rPr>
          <w:rFonts w:ascii="Arial" w:eastAsia="Times New Roman" w:hAnsi="Arial" w:cs="Arial"/>
          <w:b/>
          <w:bCs/>
          <w:kern w:val="36"/>
          <w14:ligatures w14:val="none"/>
        </w:rPr>
        <w:t>СУДАЛСАН ТАЙЛАН</w:t>
      </w:r>
    </w:p>
    <w:p w14:paraId="1C6EA486" w14:textId="77777777" w:rsidR="00573451" w:rsidRDefault="00573451" w:rsidP="00573451">
      <w:pPr>
        <w:ind w:firstLine="567"/>
        <w:jc w:val="center"/>
        <w:outlineLvl w:val="0"/>
        <w:rPr>
          <w:rFonts w:ascii="Arial" w:eastAsia="Times New Roman" w:hAnsi="Arial" w:cs="Arial"/>
          <w:b/>
          <w:bCs/>
          <w:kern w:val="36"/>
          <w14:ligatures w14:val="none"/>
        </w:rPr>
      </w:pPr>
    </w:p>
    <w:p w14:paraId="5BAA5EDA" w14:textId="77777777" w:rsidR="00573451" w:rsidRPr="00573451" w:rsidRDefault="00573451" w:rsidP="00573451">
      <w:pPr>
        <w:ind w:firstLine="567"/>
        <w:jc w:val="center"/>
        <w:outlineLvl w:val="0"/>
        <w:rPr>
          <w:rFonts w:ascii="Arial" w:eastAsia="Times New Roman" w:hAnsi="Arial" w:cs="Arial"/>
          <w:b/>
          <w:bCs/>
          <w:kern w:val="36"/>
          <w14:ligatures w14:val="none"/>
        </w:rPr>
      </w:pPr>
    </w:p>
    <w:p w14:paraId="3205B78C" w14:textId="77777777" w:rsidR="00573451" w:rsidRDefault="00573451" w:rsidP="008C3BA2">
      <w:pPr>
        <w:ind w:firstLine="567"/>
        <w:jc w:val="center"/>
        <w:outlineLvl w:val="1"/>
        <w:rPr>
          <w:rFonts w:ascii="Arial" w:eastAsia="Times New Roman" w:hAnsi="Arial" w:cs="Arial"/>
          <w:b/>
          <w:bCs/>
          <w:kern w:val="0"/>
          <w14:ligatures w14:val="none"/>
        </w:rPr>
      </w:pPr>
      <w:r w:rsidRPr="00573451">
        <w:rPr>
          <w:rFonts w:ascii="Arial" w:eastAsia="Times New Roman" w:hAnsi="Arial" w:cs="Arial"/>
          <w:b/>
          <w:bCs/>
          <w:kern w:val="0"/>
          <w14:ligatures w14:val="none"/>
        </w:rPr>
        <w:t>ЕРӨНХИЙ МЭДЭЭЛЭЛ</w:t>
      </w:r>
    </w:p>
    <w:p w14:paraId="205F5459" w14:textId="77777777" w:rsidR="00573451" w:rsidRPr="00573451" w:rsidRDefault="00573451" w:rsidP="00573451">
      <w:pPr>
        <w:ind w:firstLine="567"/>
        <w:jc w:val="both"/>
        <w:outlineLvl w:val="1"/>
        <w:rPr>
          <w:rFonts w:ascii="Arial" w:eastAsia="Times New Roman" w:hAnsi="Arial" w:cs="Arial"/>
          <w:b/>
          <w:bCs/>
          <w:kern w:val="0"/>
          <w14:ligatures w14:val="none"/>
        </w:rPr>
      </w:pPr>
    </w:p>
    <w:p w14:paraId="04338FAF"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Монгол Улсын Их Хурлаас 2024 оны 06 дугаар сарын 05-ны өдөр Малчны тухай хуулийг баталж, малчны эрх зүйн байдлыг тодорхойлох, ажиллах, амьдрах нөхцөлийг сайжруулах, нийгмийн баталгааг хангахтай холбоотой харилцааг хуульчилсан</w:t>
      </w:r>
      <w:r>
        <w:rPr>
          <w:rFonts w:ascii="Arial" w:eastAsia="Times New Roman" w:hAnsi="Arial" w:cs="Arial"/>
          <w:kern w:val="0"/>
          <w:lang w:val="mn-MN"/>
          <w14:ligatures w14:val="none"/>
        </w:rPr>
        <w:t xml:space="preserve"> билээ</w:t>
      </w:r>
      <w:r w:rsidRPr="00573451">
        <w:rPr>
          <w:rFonts w:ascii="Arial" w:eastAsia="Times New Roman" w:hAnsi="Arial" w:cs="Arial"/>
          <w:kern w:val="0"/>
          <w14:ligatures w14:val="none"/>
        </w:rPr>
        <w:t>.</w:t>
      </w:r>
    </w:p>
    <w:p w14:paraId="491BECA3"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Тус хуулийн 4 дүгээр зүйлийн 4.2.9-д хуульд заасан өндөр насны тэтгэвэр тогтоолгоогүй малчны тэтгэврийн даатгалын шимтгэлийг нэг удаа нөхөн төлүүлэхээр, 4.3-т уг арга хэмжээтэй холбоотой харилцааг Засгийн газраас баталсан журмаар зохицуулахаар тус тус заасан.</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Мөн хуулийн 16 дугаар зүйлийн 16.1-д 4.2.9 дэх заалтыг 2026 оны 01 дүгээр сарын 01-ний өдөр хүртэл хугацаанд дагаж мөрдөхөөр шилжилтийн зохицуулалт тогтоосон</w:t>
      </w:r>
      <w:r>
        <w:rPr>
          <w:rFonts w:ascii="Arial" w:eastAsia="Times New Roman" w:hAnsi="Arial" w:cs="Arial"/>
          <w:kern w:val="0"/>
          <w:lang w:val="mn-MN"/>
          <w14:ligatures w14:val="none"/>
        </w:rPr>
        <w:t xml:space="preserve"> юм</w:t>
      </w:r>
      <w:r w:rsidRPr="00573451">
        <w:rPr>
          <w:rFonts w:ascii="Arial" w:eastAsia="Times New Roman" w:hAnsi="Arial" w:cs="Arial"/>
          <w:kern w:val="0"/>
          <w14:ligatures w14:val="none"/>
        </w:rPr>
        <w:t>.</w:t>
      </w:r>
    </w:p>
    <w:p w14:paraId="4F520EAB"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Нийгмийн даатгалын ерөнхий хуулийн 24 дүгээр зүйлийн 24.1.6-д Малчны тухай хуульд заасан тохиолдолд нийгмийн даатгалын шимтгэлийг нөхөн төлүүлж болохоор тусгайлан хуульчилсан бөгөөд уг эрх зүйн үндэслэл хүчин төгөлдөр хэвээр байна.</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Гэвч Малчны тухай хуулийн 4.2.9 дэх заалтыг хэрэгжүүлэхэд шаардлагатай “Малчны тэтгэврийн даатгалын шимтгэлийг нэг удаа нөхөн төлүүлэх журам”-ыг боловсруулах ажиллагаа хийгдсэн боловч санхүүжилтийн эх үүсвэр, хэрэгжилтийн нөхцөл бүрдээгүйгээс журам хугацаанд нь батлагдаагүй бөгөөд хуулийн зохицуулалт бодит амьдрал дээр хэрэгжээгүй.</w:t>
      </w:r>
    </w:p>
    <w:p w14:paraId="1A098DB7"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Ийнхүү Улсын Их Хурлаас малчдад нэг удаа эдлэх эрх зүйн боломж олгосон боловч түүнийг хэрэгжүүлэх төрийн захиргааны болон санхүүгийн бэлтгэл хугацаанд нь хангагдаагүйгээс уг эрхийг эдлэх боломжгүй байсаар хуулийн үйлчлэх хугацаа дууссан нөхцөл үүссэн байна.</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Хуулийн төсөл нь шинээр тэтгэмж, халамж, тусгай эрх бий болгох зорилгогүй бөгөөд өмнө нь Улсын Их Хурлаас нэгэнт баталсан шилжилтийн зохицуулалтыг бодитоор хэрэгжүүлэх боломжийг сэргээхэд чиглэнэ.</w:t>
      </w:r>
    </w:p>
    <w:p w14:paraId="7B8E65EA" w14:textId="77777777" w:rsidR="00573451" w:rsidRPr="00573451" w:rsidRDefault="00573451" w:rsidP="00573451">
      <w:pPr>
        <w:ind w:firstLine="567"/>
        <w:jc w:val="both"/>
        <w:rPr>
          <w:rFonts w:ascii="Arial" w:eastAsia="Times New Roman" w:hAnsi="Arial" w:cs="Arial"/>
          <w:kern w:val="0"/>
          <w14:ligatures w14:val="none"/>
        </w:rPr>
      </w:pPr>
    </w:p>
    <w:p w14:paraId="20E8CA4E" w14:textId="77777777" w:rsidR="00573451" w:rsidRDefault="00573451" w:rsidP="008C3BA2">
      <w:pPr>
        <w:ind w:firstLine="567"/>
        <w:jc w:val="center"/>
        <w:outlineLvl w:val="0"/>
        <w:rPr>
          <w:rFonts w:ascii="Arial" w:eastAsia="Times New Roman" w:hAnsi="Arial" w:cs="Arial"/>
          <w:b/>
          <w:bCs/>
          <w:kern w:val="36"/>
          <w14:ligatures w14:val="none"/>
        </w:rPr>
      </w:pPr>
      <w:r w:rsidRPr="00573451">
        <w:rPr>
          <w:rFonts w:ascii="Arial" w:eastAsia="Times New Roman" w:hAnsi="Arial" w:cs="Arial"/>
          <w:b/>
          <w:bCs/>
          <w:kern w:val="36"/>
          <w14:ligatures w14:val="none"/>
        </w:rPr>
        <w:t>НЭГ. АСУУДАЛД ДҮН ШИНЖИЛГЭЭ ХИЙСЭН БАЙДАЛ</w:t>
      </w:r>
    </w:p>
    <w:p w14:paraId="1DA5D566" w14:textId="77777777" w:rsidR="008C3BA2" w:rsidRPr="00573451" w:rsidRDefault="008C3BA2" w:rsidP="00573451">
      <w:pPr>
        <w:ind w:firstLine="567"/>
        <w:jc w:val="both"/>
        <w:outlineLvl w:val="0"/>
        <w:rPr>
          <w:rFonts w:ascii="Arial" w:eastAsia="Times New Roman" w:hAnsi="Arial" w:cs="Arial"/>
          <w:b/>
          <w:bCs/>
          <w:kern w:val="36"/>
          <w14:ligatures w14:val="none"/>
        </w:rPr>
      </w:pPr>
    </w:p>
    <w:p w14:paraId="7DF87355"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Хууль тогтоомжийн тухай хуулийн 13 дугаар зүйлд хууль санаачлагч хууль тогтоомжийн төсөл боловсруулах хэрэгцээ, шаардлагыг урьдчилан тандан судалж, тухайн асуудлыг хууль тогтоомжоор зохицуулах шаардлагатай эсэх, Монгол Улсын Үндсэн хууль, олон улсын гэрээ, бусад хууль тогтоомжтой нийцэх эсэхийг судлахаар заасан.</w:t>
      </w:r>
    </w:p>
    <w:p w14:paraId="3F6D7672"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“Малчны тухай хуульд өөрчлөлт оруулах тухай” хуулийн төслийн үндсэн зорилго нь Малчны тухай хуулийн 16.1 дэх хэсэгт заасан шилжилтийн хугацааг өөрчлөх замаар 4.2.9 дэх заалтыг бодитоор хэрэгжүүлэх эрх зүйн боломжийг сэргээх явдал байна.</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Төсөл нь Малчны тухай хуулиар өмнө нь бий болсон эрхийн агуулгыг өөрчлөхгүй, нөхөн төлөлтийн шинэ төрөл бий болгохгүй, хамрах хүрээг өргөжүүлэхгүй бөгөөд зөвхөн хэрэгжиж амжаагүй шилжилтийн зохицуулалтын хугацаанд өөрчлөлт оруулж байна.</w:t>
      </w:r>
    </w:p>
    <w:p w14:paraId="6565C2E9"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lastRenderedPageBreak/>
        <w:t>Хуулийн төсөл нь Монгол Улсын Үндсэн хууль, Нийгмийн даатгалын ерөнхий хууль болон холбогдох бусад хууль тогтоомжийн үндсэн зарчимтай зөрчилдөхгүй гэж үзэв.</w:t>
      </w:r>
    </w:p>
    <w:p w14:paraId="0BF35A23" w14:textId="77777777" w:rsidR="00573451" w:rsidRPr="00573451" w:rsidRDefault="00573451" w:rsidP="00573451">
      <w:pPr>
        <w:ind w:firstLine="567"/>
        <w:jc w:val="both"/>
        <w:rPr>
          <w:rFonts w:ascii="Arial" w:eastAsia="Times New Roman" w:hAnsi="Arial" w:cs="Arial"/>
          <w:kern w:val="0"/>
          <w14:ligatures w14:val="none"/>
        </w:rPr>
      </w:pPr>
    </w:p>
    <w:p w14:paraId="11D59D00" w14:textId="77777777" w:rsidR="00573451" w:rsidRDefault="00573451" w:rsidP="008C3BA2">
      <w:pPr>
        <w:ind w:firstLine="567"/>
        <w:jc w:val="center"/>
        <w:outlineLvl w:val="0"/>
        <w:rPr>
          <w:rFonts w:ascii="Arial" w:eastAsia="Times New Roman" w:hAnsi="Arial" w:cs="Arial"/>
          <w:b/>
          <w:bCs/>
          <w:kern w:val="36"/>
          <w14:ligatures w14:val="none"/>
        </w:rPr>
      </w:pPr>
      <w:r w:rsidRPr="00573451">
        <w:rPr>
          <w:rFonts w:ascii="Arial" w:eastAsia="Times New Roman" w:hAnsi="Arial" w:cs="Arial"/>
          <w:b/>
          <w:bCs/>
          <w:kern w:val="36"/>
          <w14:ligatures w14:val="none"/>
        </w:rPr>
        <w:t>ХОЁР. АСУУДЛЫГ ҮҮСГЭЖ БУЙ УЧИР ШАЛТГААН</w:t>
      </w:r>
    </w:p>
    <w:p w14:paraId="4AF4C9E3" w14:textId="77777777" w:rsidR="00573451" w:rsidRPr="00573451" w:rsidRDefault="00573451" w:rsidP="00573451">
      <w:pPr>
        <w:ind w:firstLine="567"/>
        <w:jc w:val="both"/>
        <w:outlineLvl w:val="0"/>
        <w:rPr>
          <w:rFonts w:ascii="Arial" w:eastAsia="Times New Roman" w:hAnsi="Arial" w:cs="Arial"/>
          <w:b/>
          <w:bCs/>
          <w:kern w:val="36"/>
          <w14:ligatures w14:val="none"/>
        </w:rPr>
      </w:pPr>
    </w:p>
    <w:p w14:paraId="2BF1EED8" w14:textId="77777777" w:rsidR="00573451" w:rsidRPr="00573451" w:rsidRDefault="00573451" w:rsidP="00573451">
      <w:pPr>
        <w:ind w:firstLine="567"/>
        <w:jc w:val="both"/>
        <w:outlineLvl w:val="1"/>
        <w:rPr>
          <w:rFonts w:ascii="Arial" w:eastAsia="Times New Roman" w:hAnsi="Arial" w:cs="Arial"/>
          <w:b/>
          <w:bCs/>
          <w:kern w:val="0"/>
          <w14:ligatures w14:val="none"/>
        </w:rPr>
      </w:pPr>
      <w:r w:rsidRPr="00573451">
        <w:rPr>
          <w:rFonts w:ascii="Arial" w:eastAsia="Times New Roman" w:hAnsi="Arial" w:cs="Arial"/>
          <w:b/>
          <w:bCs/>
          <w:kern w:val="0"/>
          <w14:ligatures w14:val="none"/>
        </w:rPr>
        <w:t>2.1. Хуулиар олгосон боломж бодитоор хэрэгжээгүй</w:t>
      </w:r>
    </w:p>
    <w:p w14:paraId="7B64A517"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Малчны тухай хуулийн 4.2.9 дэх заалт 2024 онд батлагдсан хэдий ч нөхөн төлөлтийн:</w:t>
      </w:r>
    </w:p>
    <w:p w14:paraId="5F1E4E47" w14:textId="77777777" w:rsidR="00573451" w:rsidRPr="00573451" w:rsidRDefault="00573451" w:rsidP="00573451">
      <w:pPr>
        <w:pStyle w:val="ListParagraph"/>
        <w:numPr>
          <w:ilvl w:val="0"/>
          <w:numId w:val="3"/>
        </w:numPr>
        <w:jc w:val="both"/>
        <w:rPr>
          <w:rFonts w:ascii="Arial" w:eastAsia="Times New Roman" w:hAnsi="Arial" w:cs="Arial"/>
          <w:kern w:val="0"/>
          <w14:ligatures w14:val="none"/>
        </w:rPr>
      </w:pPr>
      <w:r w:rsidRPr="00573451">
        <w:rPr>
          <w:rFonts w:ascii="Arial" w:eastAsia="Times New Roman" w:hAnsi="Arial" w:cs="Arial"/>
          <w:kern w:val="0"/>
          <w14:ligatures w14:val="none"/>
        </w:rPr>
        <w:t>хамрах хүрээ;</w:t>
      </w:r>
    </w:p>
    <w:p w14:paraId="28ADDB6D" w14:textId="77777777" w:rsidR="00573451" w:rsidRPr="00573451" w:rsidRDefault="00573451" w:rsidP="00573451">
      <w:pPr>
        <w:pStyle w:val="ListParagraph"/>
        <w:numPr>
          <w:ilvl w:val="0"/>
          <w:numId w:val="3"/>
        </w:numPr>
        <w:jc w:val="both"/>
        <w:rPr>
          <w:rFonts w:ascii="Arial" w:eastAsia="Times New Roman" w:hAnsi="Arial" w:cs="Arial"/>
          <w:kern w:val="0"/>
          <w14:ligatures w14:val="none"/>
        </w:rPr>
      </w:pPr>
      <w:r w:rsidRPr="00573451">
        <w:rPr>
          <w:rFonts w:ascii="Arial" w:eastAsia="Times New Roman" w:hAnsi="Arial" w:cs="Arial"/>
          <w:kern w:val="0"/>
          <w14:ligatures w14:val="none"/>
        </w:rPr>
        <w:t>шимтгэл тооцох аргачлал;</w:t>
      </w:r>
    </w:p>
    <w:p w14:paraId="30C7B213" w14:textId="77777777" w:rsidR="00573451" w:rsidRPr="00573451" w:rsidRDefault="00573451" w:rsidP="00573451">
      <w:pPr>
        <w:pStyle w:val="ListParagraph"/>
        <w:numPr>
          <w:ilvl w:val="0"/>
          <w:numId w:val="3"/>
        </w:numPr>
        <w:jc w:val="both"/>
        <w:rPr>
          <w:rFonts w:ascii="Arial" w:eastAsia="Times New Roman" w:hAnsi="Arial" w:cs="Arial"/>
          <w:kern w:val="0"/>
          <w14:ligatures w14:val="none"/>
        </w:rPr>
      </w:pPr>
      <w:r w:rsidRPr="00573451">
        <w:rPr>
          <w:rFonts w:ascii="Arial" w:eastAsia="Times New Roman" w:hAnsi="Arial" w:cs="Arial"/>
          <w:kern w:val="0"/>
          <w14:ligatures w14:val="none"/>
        </w:rPr>
        <w:t>нөхөн төлөх хугацаа;</w:t>
      </w:r>
    </w:p>
    <w:p w14:paraId="780755B2" w14:textId="77777777" w:rsidR="00573451" w:rsidRPr="00573451" w:rsidRDefault="00573451" w:rsidP="00573451">
      <w:pPr>
        <w:pStyle w:val="ListParagraph"/>
        <w:numPr>
          <w:ilvl w:val="0"/>
          <w:numId w:val="3"/>
        </w:numPr>
        <w:jc w:val="both"/>
        <w:rPr>
          <w:rFonts w:ascii="Arial" w:eastAsia="Times New Roman" w:hAnsi="Arial" w:cs="Arial"/>
          <w:kern w:val="0"/>
          <w14:ligatures w14:val="none"/>
        </w:rPr>
      </w:pPr>
      <w:r w:rsidRPr="00573451">
        <w:rPr>
          <w:rFonts w:ascii="Arial" w:eastAsia="Times New Roman" w:hAnsi="Arial" w:cs="Arial"/>
          <w:kern w:val="0"/>
          <w14:ligatures w14:val="none"/>
        </w:rPr>
        <w:t>малчнаар ажилласан хугацааг нотлох нөхцөл;</w:t>
      </w:r>
    </w:p>
    <w:p w14:paraId="4C6F82DA" w14:textId="77777777" w:rsidR="00573451" w:rsidRPr="00573451" w:rsidRDefault="00573451" w:rsidP="00573451">
      <w:pPr>
        <w:pStyle w:val="ListParagraph"/>
        <w:numPr>
          <w:ilvl w:val="0"/>
          <w:numId w:val="3"/>
        </w:numPr>
        <w:jc w:val="both"/>
        <w:rPr>
          <w:rFonts w:ascii="Arial" w:eastAsia="Times New Roman" w:hAnsi="Arial" w:cs="Arial"/>
          <w:kern w:val="0"/>
          <w14:ligatures w14:val="none"/>
        </w:rPr>
      </w:pPr>
      <w:r w:rsidRPr="00573451">
        <w:rPr>
          <w:rFonts w:ascii="Arial" w:eastAsia="Times New Roman" w:hAnsi="Arial" w:cs="Arial"/>
          <w:kern w:val="0"/>
          <w14:ligatures w14:val="none"/>
        </w:rPr>
        <w:t>хүсэлт гаргах ажиллагаа;</w:t>
      </w:r>
    </w:p>
    <w:p w14:paraId="6CFBC254" w14:textId="77777777" w:rsidR="00573451" w:rsidRPr="00573451" w:rsidRDefault="00573451" w:rsidP="00573451">
      <w:pPr>
        <w:pStyle w:val="ListParagraph"/>
        <w:numPr>
          <w:ilvl w:val="0"/>
          <w:numId w:val="3"/>
        </w:numPr>
        <w:jc w:val="both"/>
        <w:rPr>
          <w:rFonts w:ascii="Arial" w:eastAsia="Times New Roman" w:hAnsi="Arial" w:cs="Arial"/>
          <w:kern w:val="0"/>
          <w14:ligatures w14:val="none"/>
        </w:rPr>
      </w:pPr>
      <w:r w:rsidRPr="00573451">
        <w:rPr>
          <w:rFonts w:ascii="Arial" w:eastAsia="Times New Roman" w:hAnsi="Arial" w:cs="Arial"/>
          <w:kern w:val="0"/>
          <w14:ligatures w14:val="none"/>
        </w:rPr>
        <w:t>мэдээллийн сангийн тулгалт;</w:t>
      </w:r>
    </w:p>
    <w:p w14:paraId="115B0841" w14:textId="77777777" w:rsidR="00573451" w:rsidRPr="00573451" w:rsidRDefault="00573451" w:rsidP="00573451">
      <w:pPr>
        <w:pStyle w:val="ListParagraph"/>
        <w:numPr>
          <w:ilvl w:val="0"/>
          <w:numId w:val="3"/>
        </w:numPr>
        <w:jc w:val="both"/>
        <w:rPr>
          <w:rFonts w:ascii="Arial" w:eastAsia="Times New Roman" w:hAnsi="Arial" w:cs="Arial"/>
          <w:kern w:val="0"/>
          <w14:ligatures w14:val="none"/>
        </w:rPr>
      </w:pPr>
      <w:r w:rsidRPr="00573451">
        <w:rPr>
          <w:rFonts w:ascii="Arial" w:eastAsia="Times New Roman" w:hAnsi="Arial" w:cs="Arial"/>
          <w:kern w:val="0"/>
          <w14:ligatures w14:val="none"/>
        </w:rPr>
        <w:t>санхүүжилтийн эх үүсвэр</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зэрэг хэрэгжилтийн гол нөхцөлийг Засгийн газрын журмаар тодорхойлох шаардлагатай байсан</w:t>
      </w:r>
      <w:r>
        <w:rPr>
          <w:rFonts w:ascii="Arial" w:eastAsia="Times New Roman" w:hAnsi="Arial" w:cs="Arial"/>
          <w:kern w:val="0"/>
          <w:lang w:val="mn-MN"/>
          <w14:ligatures w14:val="none"/>
        </w:rPr>
        <w:t xml:space="preserve"> юм</w:t>
      </w:r>
      <w:r w:rsidRPr="00573451">
        <w:rPr>
          <w:rFonts w:ascii="Arial" w:eastAsia="Times New Roman" w:hAnsi="Arial" w:cs="Arial"/>
          <w:kern w:val="0"/>
          <w14:ligatures w14:val="none"/>
        </w:rPr>
        <w:t>.</w:t>
      </w:r>
    </w:p>
    <w:p w14:paraId="6C586347"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Журмын төсөл боловсруулагдсан боловч санхүүгийн эх үүсвэр шийдвэрлэгдээгүйгээс батлагдаагүй.</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Үүний улмаас малчин өөрөө хүсэлт гаргаагүй, эрхээ эдлэхээс татгалзсан бус, харин төрийн байгууллага эрхээ эдлэх процедурын нөхцөлийг бүрдүүлээгүй байхад 2026 оны 01 дүгээр сарын 01-ний өдөр хуулийн хугацаа дууссан байна.</w:t>
      </w:r>
    </w:p>
    <w:p w14:paraId="15E58771" w14:textId="77777777" w:rsidR="00573451" w:rsidRPr="00573451" w:rsidRDefault="00573451" w:rsidP="00573451">
      <w:pPr>
        <w:ind w:firstLine="567"/>
        <w:jc w:val="both"/>
        <w:outlineLvl w:val="1"/>
        <w:rPr>
          <w:rFonts w:ascii="Arial" w:eastAsia="Times New Roman" w:hAnsi="Arial" w:cs="Arial"/>
          <w:b/>
          <w:bCs/>
          <w:kern w:val="0"/>
          <w14:ligatures w14:val="none"/>
        </w:rPr>
      </w:pPr>
      <w:r w:rsidRPr="00573451">
        <w:rPr>
          <w:rFonts w:ascii="Arial" w:eastAsia="Times New Roman" w:hAnsi="Arial" w:cs="Arial"/>
          <w:b/>
          <w:bCs/>
          <w:kern w:val="0"/>
          <w14:ligatures w14:val="none"/>
        </w:rPr>
        <w:t>2.2. Төрийн хэрэгжилтийн доголдлын үр дагаврыг иргэнд шилжүүлэх нөхцөл үүссэн</w:t>
      </w:r>
    </w:p>
    <w:p w14:paraId="2189BC37"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Хуулийг хэрэгжүүлэх журам, мэдээллийн систем, санхүүгийн эх үүсвэрийг бүрдүүлэх нь малчны бус, төрийн байгууллагын чиг үүрэг юм.</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Иймд төр өөрийн гүйцэтгэх үүргийг хугацаанд нь биелүүлээгүйгээс бий болсон сөрөг үр дагаврыг тухайн эрхийг эдлэх ёстой малчинд үүрүүлэх нь эрх зүйн итгэл хамгаалах, хууль ёсны хүлээлтийг хүндэтгэх, шударга ёсны зарчимтай нийцэхгүй үр дагавартай.</w:t>
      </w:r>
    </w:p>
    <w:p w14:paraId="3C064C5E" w14:textId="77777777" w:rsidR="00573451" w:rsidRPr="00573451" w:rsidRDefault="00573451" w:rsidP="00573451">
      <w:pPr>
        <w:ind w:firstLine="567"/>
        <w:jc w:val="both"/>
        <w:outlineLvl w:val="1"/>
        <w:rPr>
          <w:rFonts w:ascii="Arial" w:eastAsia="Times New Roman" w:hAnsi="Arial" w:cs="Arial"/>
          <w:b/>
          <w:bCs/>
          <w:kern w:val="0"/>
          <w14:ligatures w14:val="none"/>
        </w:rPr>
      </w:pPr>
      <w:r w:rsidRPr="00573451">
        <w:rPr>
          <w:rFonts w:ascii="Arial" w:eastAsia="Times New Roman" w:hAnsi="Arial" w:cs="Arial"/>
          <w:b/>
          <w:bCs/>
          <w:kern w:val="0"/>
          <w14:ligatures w14:val="none"/>
        </w:rPr>
        <w:t>2.3. Нийгмийн даатгалын шимтгэлийн тасалдал малчдын тэтгэврийн эрхэд нөлөөлдөг</w:t>
      </w:r>
    </w:p>
    <w:p w14:paraId="58AC8970"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Мал аж ахуйн үйлдвэрлэл нь улирлын шинжтэй, байгаль цаг уурын өндөр эрсдэлтэй, хөдөлмөр эрхлэлтийн уламжлалт хэлбэр давамгай, тогтмол мөнгөн орлого харьцангуй хязгаарлагдмал онцлогтой.</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Эдгээр нөхцөл нь малчдын нийгмийн даатгалын шимтгэл тасалдах, улмаар өндөр насны тэтгэвэр тогтоолгоход шаардагдах шимтгэл төлсөн хугацаа хүрэлцэхгүй байх эрсдэлийг нэмэгдүүлдэг.</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Малчны тухай хуулийн 4.2.9 дэх зохицуулалт нь энэ онцлогийг харгалзан нэг удаагийн шилжилтийн боломж бий болгосон байна.</w:t>
      </w:r>
    </w:p>
    <w:p w14:paraId="6E217EFA" w14:textId="77777777" w:rsidR="00573451" w:rsidRPr="00573451" w:rsidRDefault="00573451" w:rsidP="00573451">
      <w:pPr>
        <w:ind w:firstLine="567"/>
        <w:jc w:val="both"/>
        <w:outlineLvl w:val="1"/>
        <w:rPr>
          <w:rFonts w:ascii="Arial" w:eastAsia="Times New Roman" w:hAnsi="Arial" w:cs="Arial"/>
          <w:b/>
          <w:bCs/>
          <w:kern w:val="0"/>
          <w14:ligatures w14:val="none"/>
        </w:rPr>
      </w:pPr>
      <w:r w:rsidRPr="00573451">
        <w:rPr>
          <w:rFonts w:ascii="Arial" w:eastAsia="Times New Roman" w:hAnsi="Arial" w:cs="Arial"/>
          <w:b/>
          <w:bCs/>
          <w:kern w:val="0"/>
          <w14:ligatures w14:val="none"/>
        </w:rPr>
        <w:t>2.4. Санхүүгийн тооцоо хангалттай боловсроогүй</w:t>
      </w:r>
    </w:p>
    <w:p w14:paraId="16112F3D"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Хуулийг хэрэгжүүлэх бэлтгэлийн үеийн тооцоогоор хэдэн арван мянган малчин хамрагдах боломжтой бөгөөд Нийгмийн даатгалын сангийн ирээдүйн тэтгэврийн үүрэг мэдэгдэхүйц нэмэгдэх боломжтой.</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Өмнөх тооцоонд 38 мянга гаруй малчин хамрагдах боломжтой, эхний жилд шинээр тэтгэвэр тогтоолгох иргэдийн тэтгэврийн зардал 30 орчим тэрбум төгрөг, цаашид жил дараалан өсөх эрсдэлтэй гэж тооцож байсан.</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 xml:space="preserve">Иймээс уг зохицуулалтыг зөвхөн тухайн жилд орж ирэх нөхөн шимтгэлийн </w:t>
      </w:r>
      <w:r w:rsidRPr="00573451">
        <w:rPr>
          <w:rFonts w:ascii="Arial" w:eastAsia="Times New Roman" w:hAnsi="Arial" w:cs="Arial"/>
          <w:kern w:val="0"/>
          <w14:ligatures w14:val="none"/>
        </w:rPr>
        <w:lastRenderedPageBreak/>
        <w:t>хэмжээгээр бус, тэтгэврийн даатгалын сангийн урт хугацааны актуар үүргээр үнэлэх шаардлагатай.</w:t>
      </w:r>
    </w:p>
    <w:p w14:paraId="2C4DF8B9" w14:textId="77777777" w:rsidR="00573451" w:rsidRPr="00573451" w:rsidRDefault="00573451" w:rsidP="00573451">
      <w:pPr>
        <w:ind w:firstLine="567"/>
        <w:jc w:val="both"/>
        <w:rPr>
          <w:rFonts w:ascii="Arial" w:eastAsia="Times New Roman" w:hAnsi="Arial" w:cs="Arial"/>
          <w:kern w:val="0"/>
          <w14:ligatures w14:val="none"/>
        </w:rPr>
      </w:pPr>
    </w:p>
    <w:p w14:paraId="464BA893" w14:textId="77777777" w:rsidR="00573451" w:rsidRDefault="00573451" w:rsidP="00573451">
      <w:pPr>
        <w:ind w:firstLine="567"/>
        <w:jc w:val="both"/>
        <w:outlineLvl w:val="0"/>
        <w:rPr>
          <w:rFonts w:ascii="Arial" w:eastAsia="Times New Roman" w:hAnsi="Arial" w:cs="Arial"/>
          <w:b/>
          <w:bCs/>
          <w:kern w:val="36"/>
          <w14:ligatures w14:val="none"/>
        </w:rPr>
      </w:pPr>
      <w:r w:rsidRPr="00573451">
        <w:rPr>
          <w:rFonts w:ascii="Arial" w:eastAsia="Times New Roman" w:hAnsi="Arial" w:cs="Arial"/>
          <w:b/>
          <w:bCs/>
          <w:kern w:val="36"/>
          <w14:ligatures w14:val="none"/>
        </w:rPr>
        <w:t>ГУРАВ. АСУУДЛЫГ ШИЙДВЭРЛЭХ ЗОРИЛГЫГ ТОДОРХОЙЛСОН БАЙДАЛ</w:t>
      </w:r>
    </w:p>
    <w:p w14:paraId="5F8EE14C" w14:textId="77777777" w:rsidR="00573451" w:rsidRPr="00573451" w:rsidRDefault="00573451" w:rsidP="00573451">
      <w:pPr>
        <w:ind w:firstLine="567"/>
        <w:jc w:val="both"/>
        <w:outlineLvl w:val="0"/>
        <w:rPr>
          <w:rFonts w:ascii="Arial" w:eastAsia="Times New Roman" w:hAnsi="Arial" w:cs="Arial"/>
          <w:b/>
          <w:bCs/>
          <w:kern w:val="36"/>
          <w14:ligatures w14:val="none"/>
        </w:rPr>
      </w:pPr>
    </w:p>
    <w:p w14:paraId="07660EE8" w14:textId="77777777" w:rsidR="00573451" w:rsidRPr="008C3BA2"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Хуулийн төслийн үндсэн зорилго нь:</w:t>
      </w:r>
      <w:r>
        <w:rPr>
          <w:rFonts w:ascii="Arial" w:eastAsia="Times New Roman" w:hAnsi="Arial" w:cs="Arial"/>
          <w:kern w:val="0"/>
          <w:lang w:val="mn-MN"/>
          <w14:ligatures w14:val="none"/>
        </w:rPr>
        <w:t xml:space="preserve"> </w:t>
      </w:r>
      <w:r w:rsidRPr="008C3BA2">
        <w:rPr>
          <w:rFonts w:ascii="Arial" w:eastAsia="Times New Roman" w:hAnsi="Arial" w:cs="Arial"/>
          <w:kern w:val="0"/>
          <w14:ligatures w14:val="none"/>
        </w:rPr>
        <w:t>төрийн байгууллагын хэрэгжилтийн бэлтгэл хангагдаагүйгээс бодитоор хэрэгжээгүй Малчны тухай хуулийн 4.2.9 дэх зохицуулалтын үйлчлэх хугацааг сэргээж, хууль тогтоогчийн анхны бодлогын зорилгыг хэрэгжүүлэхэд оршино.</w:t>
      </w:r>
    </w:p>
    <w:p w14:paraId="71569C24"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Үүний хүрээнд:</w:t>
      </w:r>
    </w:p>
    <w:p w14:paraId="22B10452" w14:textId="77777777" w:rsidR="00573451" w:rsidRPr="00573451" w:rsidRDefault="00573451" w:rsidP="00573451">
      <w:pPr>
        <w:pStyle w:val="ListParagraph"/>
        <w:numPr>
          <w:ilvl w:val="0"/>
          <w:numId w:val="2"/>
        </w:numPr>
        <w:jc w:val="both"/>
        <w:rPr>
          <w:rFonts w:ascii="Arial" w:eastAsia="Times New Roman" w:hAnsi="Arial" w:cs="Arial"/>
          <w:kern w:val="0"/>
          <w14:ligatures w14:val="none"/>
        </w:rPr>
      </w:pPr>
      <w:r w:rsidRPr="00573451">
        <w:rPr>
          <w:rFonts w:ascii="Arial" w:eastAsia="Times New Roman" w:hAnsi="Arial" w:cs="Arial"/>
          <w:kern w:val="0"/>
          <w14:ligatures w14:val="none"/>
        </w:rPr>
        <w:t>Малчны тухай хуулийн 16.1 дэх хэсгийн хугацааг 2028 оны 01 дүгээр сарын 01-ний өдөр хүртэл сунгах;</w:t>
      </w:r>
    </w:p>
    <w:p w14:paraId="7BFF7F59" w14:textId="77777777" w:rsidR="00573451" w:rsidRPr="00573451" w:rsidRDefault="00573451" w:rsidP="00573451">
      <w:pPr>
        <w:pStyle w:val="ListParagraph"/>
        <w:numPr>
          <w:ilvl w:val="0"/>
          <w:numId w:val="2"/>
        </w:numPr>
        <w:jc w:val="both"/>
        <w:rPr>
          <w:rFonts w:ascii="Arial" w:eastAsia="Times New Roman" w:hAnsi="Arial" w:cs="Arial"/>
          <w:kern w:val="0"/>
          <w14:ligatures w14:val="none"/>
        </w:rPr>
      </w:pPr>
      <w:r w:rsidRPr="00573451">
        <w:rPr>
          <w:rFonts w:ascii="Arial" w:eastAsia="Times New Roman" w:hAnsi="Arial" w:cs="Arial"/>
          <w:kern w:val="0"/>
          <w14:ligatures w14:val="none"/>
        </w:rPr>
        <w:t>эрх зүйн хувьд нэгэнт бий болсон нөхөн төлөлтийн боломжийг бодитоор ашиглуулах;</w:t>
      </w:r>
    </w:p>
    <w:p w14:paraId="13C57711" w14:textId="77777777" w:rsidR="00573451" w:rsidRPr="00573451" w:rsidRDefault="00573451" w:rsidP="00573451">
      <w:pPr>
        <w:pStyle w:val="ListParagraph"/>
        <w:numPr>
          <w:ilvl w:val="0"/>
          <w:numId w:val="2"/>
        </w:numPr>
        <w:jc w:val="both"/>
        <w:rPr>
          <w:rFonts w:ascii="Arial" w:eastAsia="Times New Roman" w:hAnsi="Arial" w:cs="Arial"/>
          <w:kern w:val="0"/>
          <w14:ligatures w14:val="none"/>
        </w:rPr>
      </w:pPr>
      <w:r w:rsidRPr="00573451">
        <w:rPr>
          <w:rFonts w:ascii="Arial" w:eastAsia="Times New Roman" w:hAnsi="Arial" w:cs="Arial"/>
          <w:kern w:val="0"/>
          <w14:ligatures w14:val="none"/>
        </w:rPr>
        <w:t>Засгийн газрын журмыг шуурхай батлуулах;</w:t>
      </w:r>
    </w:p>
    <w:p w14:paraId="197572DD" w14:textId="77777777" w:rsidR="00573451" w:rsidRPr="00573451" w:rsidRDefault="00573451" w:rsidP="00573451">
      <w:pPr>
        <w:pStyle w:val="ListParagraph"/>
        <w:numPr>
          <w:ilvl w:val="0"/>
          <w:numId w:val="2"/>
        </w:numPr>
        <w:jc w:val="both"/>
        <w:rPr>
          <w:rFonts w:ascii="Arial" w:eastAsia="Times New Roman" w:hAnsi="Arial" w:cs="Arial"/>
          <w:kern w:val="0"/>
          <w14:ligatures w14:val="none"/>
        </w:rPr>
      </w:pPr>
      <w:r w:rsidRPr="00573451">
        <w:rPr>
          <w:rFonts w:ascii="Arial" w:eastAsia="Times New Roman" w:hAnsi="Arial" w:cs="Arial"/>
          <w:kern w:val="0"/>
          <w14:ligatures w14:val="none"/>
        </w:rPr>
        <w:t>хамрагдах малчны тоо, нөхөн төлөх хугацаа, санхүүгийн нөлөөллийг шинэчлэн тогтоох;</w:t>
      </w:r>
    </w:p>
    <w:p w14:paraId="49C437CA" w14:textId="77777777" w:rsidR="00573451" w:rsidRPr="00573451" w:rsidRDefault="00573451" w:rsidP="00573451">
      <w:pPr>
        <w:pStyle w:val="ListParagraph"/>
        <w:numPr>
          <w:ilvl w:val="0"/>
          <w:numId w:val="2"/>
        </w:numPr>
        <w:jc w:val="both"/>
        <w:rPr>
          <w:rFonts w:ascii="Arial" w:eastAsia="Times New Roman" w:hAnsi="Arial" w:cs="Arial"/>
          <w:kern w:val="0"/>
          <w14:ligatures w14:val="none"/>
        </w:rPr>
      </w:pPr>
      <w:r w:rsidRPr="00573451">
        <w:rPr>
          <w:rFonts w:ascii="Arial" w:eastAsia="Times New Roman" w:hAnsi="Arial" w:cs="Arial"/>
          <w:kern w:val="0"/>
          <w14:ligatures w14:val="none"/>
        </w:rPr>
        <w:t>Нийгмийн даатгалын сангийн актуар нөлөөллийг тооцох;</w:t>
      </w:r>
    </w:p>
    <w:p w14:paraId="079D205F" w14:textId="77777777" w:rsidR="00573451" w:rsidRPr="00573451" w:rsidRDefault="00573451" w:rsidP="00573451">
      <w:pPr>
        <w:pStyle w:val="ListParagraph"/>
        <w:numPr>
          <w:ilvl w:val="0"/>
          <w:numId w:val="2"/>
        </w:numPr>
        <w:jc w:val="both"/>
        <w:rPr>
          <w:rFonts w:ascii="Arial" w:eastAsia="Times New Roman" w:hAnsi="Arial" w:cs="Arial"/>
          <w:kern w:val="0"/>
          <w14:ligatures w14:val="none"/>
        </w:rPr>
      </w:pPr>
      <w:r w:rsidRPr="00573451">
        <w:rPr>
          <w:rFonts w:ascii="Arial" w:eastAsia="Times New Roman" w:hAnsi="Arial" w:cs="Arial"/>
          <w:kern w:val="0"/>
          <w14:ligatures w14:val="none"/>
        </w:rPr>
        <w:t>шаардлагатай санхүүгийн эх үүсвэрийг төсөвт тусгах;</w:t>
      </w:r>
    </w:p>
    <w:p w14:paraId="31EF83C6" w14:textId="77777777" w:rsidR="00573451" w:rsidRPr="00573451" w:rsidRDefault="00573451" w:rsidP="00573451">
      <w:pPr>
        <w:pStyle w:val="ListParagraph"/>
        <w:numPr>
          <w:ilvl w:val="0"/>
          <w:numId w:val="2"/>
        </w:numPr>
        <w:jc w:val="both"/>
        <w:rPr>
          <w:rFonts w:ascii="Arial" w:eastAsia="Times New Roman" w:hAnsi="Arial" w:cs="Arial"/>
          <w:kern w:val="0"/>
          <w14:ligatures w14:val="none"/>
        </w:rPr>
      </w:pPr>
      <w:r w:rsidRPr="00573451">
        <w:rPr>
          <w:rFonts w:ascii="Arial" w:eastAsia="Times New Roman" w:hAnsi="Arial" w:cs="Arial"/>
          <w:kern w:val="0"/>
          <w14:ligatures w14:val="none"/>
        </w:rPr>
        <w:t>хүсэлт хүлээн авах, шалгах, баталгаажуулах ажиллагааг цахим хэлбэрт шилжүүлэх</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зорилтыг хэрэгжүүлэх шаардлагатай.</w:t>
      </w:r>
    </w:p>
    <w:p w14:paraId="4C9F23A9" w14:textId="77777777" w:rsidR="00573451" w:rsidRPr="00573451" w:rsidRDefault="00573451" w:rsidP="00573451">
      <w:pPr>
        <w:ind w:firstLine="567"/>
        <w:jc w:val="both"/>
        <w:rPr>
          <w:rFonts w:ascii="Arial" w:eastAsia="Times New Roman" w:hAnsi="Arial" w:cs="Arial"/>
          <w:kern w:val="0"/>
          <w14:ligatures w14:val="none"/>
        </w:rPr>
      </w:pPr>
    </w:p>
    <w:p w14:paraId="1027F758" w14:textId="77777777" w:rsidR="00573451" w:rsidRPr="00573451" w:rsidRDefault="00573451" w:rsidP="008C3BA2">
      <w:pPr>
        <w:jc w:val="center"/>
        <w:outlineLvl w:val="0"/>
        <w:rPr>
          <w:rFonts w:ascii="Arial" w:eastAsia="Times New Roman" w:hAnsi="Arial" w:cs="Arial"/>
          <w:b/>
          <w:bCs/>
          <w:kern w:val="36"/>
          <w14:ligatures w14:val="none"/>
        </w:rPr>
      </w:pPr>
      <w:r w:rsidRPr="00573451">
        <w:rPr>
          <w:rFonts w:ascii="Arial" w:eastAsia="Times New Roman" w:hAnsi="Arial" w:cs="Arial"/>
          <w:b/>
          <w:bCs/>
          <w:kern w:val="36"/>
          <w14:ligatures w14:val="none"/>
        </w:rPr>
        <w:t>ДӨРӨВ. АСУУДЛЫГ ЗОХИЦУУЛАХ ХУВИЛБАРУУД, ТЭДГЭЭРИЙН ЭЕРЭГ, СӨРӨГ ТАЛ</w:t>
      </w:r>
    </w:p>
    <w:p w14:paraId="6848A27D" w14:textId="77777777" w:rsidR="00573451" w:rsidRDefault="00573451"/>
    <w:p w14:paraId="458E861A" w14:textId="77777777" w:rsidR="00573451" w:rsidRDefault="00573451"/>
    <w:tbl>
      <w:tblPr>
        <w:tblStyle w:val="TableGrid"/>
        <w:tblW w:w="9067" w:type="dxa"/>
        <w:tblLook w:val="04A0" w:firstRow="1" w:lastRow="0" w:firstColumn="1" w:lastColumn="0" w:noHBand="0" w:noVBand="1"/>
      </w:tblPr>
      <w:tblGrid>
        <w:gridCol w:w="1980"/>
        <w:gridCol w:w="1701"/>
        <w:gridCol w:w="2268"/>
        <w:gridCol w:w="3118"/>
      </w:tblGrid>
      <w:tr w:rsidR="00573451" w:rsidRPr="00573451" w14:paraId="7B41A9B7" w14:textId="77777777" w:rsidTr="00573451">
        <w:tc>
          <w:tcPr>
            <w:tcW w:w="1980" w:type="dxa"/>
            <w:vAlign w:val="center"/>
          </w:tcPr>
          <w:p w14:paraId="07BB747B" w14:textId="77777777" w:rsidR="00573451" w:rsidRPr="00573451" w:rsidRDefault="00573451" w:rsidP="00573451">
            <w:pPr>
              <w:spacing w:before="100" w:beforeAutospacing="1" w:after="100" w:afterAutospacing="1"/>
              <w:jc w:val="center"/>
              <w:rPr>
                <w:rFonts w:ascii="Arial" w:eastAsia="Times New Roman" w:hAnsi="Arial" w:cs="Arial"/>
                <w:b/>
                <w:bCs/>
                <w:kern w:val="0"/>
                <w14:ligatures w14:val="none"/>
              </w:rPr>
            </w:pPr>
            <w:r w:rsidRPr="00573451">
              <w:rPr>
                <w:rFonts w:ascii="Arial" w:eastAsia="Times New Roman" w:hAnsi="Arial" w:cs="Arial"/>
                <w:b/>
                <w:bCs/>
                <w:kern w:val="0"/>
                <w14:ligatures w14:val="none"/>
              </w:rPr>
              <w:t>Хувилбар</w:t>
            </w:r>
          </w:p>
        </w:tc>
        <w:tc>
          <w:tcPr>
            <w:tcW w:w="1701" w:type="dxa"/>
            <w:vAlign w:val="center"/>
          </w:tcPr>
          <w:p w14:paraId="3D704EC7" w14:textId="77777777" w:rsidR="00573451" w:rsidRPr="00573451" w:rsidRDefault="00573451" w:rsidP="00573451">
            <w:pPr>
              <w:spacing w:before="100" w:beforeAutospacing="1" w:after="100" w:afterAutospacing="1"/>
              <w:jc w:val="center"/>
              <w:rPr>
                <w:rFonts w:ascii="Arial" w:eastAsia="Times New Roman" w:hAnsi="Arial" w:cs="Arial"/>
                <w:b/>
                <w:bCs/>
                <w:kern w:val="0"/>
                <w14:ligatures w14:val="none"/>
              </w:rPr>
            </w:pPr>
            <w:r w:rsidRPr="00573451">
              <w:rPr>
                <w:rFonts w:ascii="Arial" w:eastAsia="Times New Roman" w:hAnsi="Arial" w:cs="Arial"/>
                <w:b/>
                <w:bCs/>
                <w:kern w:val="0"/>
                <w14:ligatures w14:val="none"/>
              </w:rPr>
              <w:t>Зорилгод хүрэх байдал</w:t>
            </w:r>
          </w:p>
        </w:tc>
        <w:tc>
          <w:tcPr>
            <w:tcW w:w="2268" w:type="dxa"/>
            <w:vAlign w:val="center"/>
          </w:tcPr>
          <w:p w14:paraId="188AF5B2" w14:textId="77777777" w:rsidR="00573451" w:rsidRPr="00573451" w:rsidRDefault="00573451" w:rsidP="00573451">
            <w:pPr>
              <w:spacing w:before="100" w:beforeAutospacing="1" w:after="100" w:afterAutospacing="1"/>
              <w:jc w:val="center"/>
              <w:rPr>
                <w:rFonts w:ascii="Arial" w:eastAsia="Times New Roman" w:hAnsi="Arial" w:cs="Arial"/>
                <w:b/>
                <w:bCs/>
                <w:kern w:val="0"/>
                <w14:ligatures w14:val="none"/>
              </w:rPr>
            </w:pPr>
            <w:r w:rsidRPr="00573451">
              <w:rPr>
                <w:rFonts w:ascii="Arial" w:eastAsia="Times New Roman" w:hAnsi="Arial" w:cs="Arial"/>
                <w:b/>
                <w:bCs/>
                <w:kern w:val="0"/>
                <w14:ligatures w14:val="none"/>
              </w:rPr>
              <w:t>Эерэг тал</w:t>
            </w:r>
          </w:p>
        </w:tc>
        <w:tc>
          <w:tcPr>
            <w:tcW w:w="3118" w:type="dxa"/>
            <w:vAlign w:val="center"/>
          </w:tcPr>
          <w:p w14:paraId="2600797E" w14:textId="77777777" w:rsidR="00573451" w:rsidRPr="00573451" w:rsidRDefault="00573451" w:rsidP="00573451">
            <w:pPr>
              <w:spacing w:before="100" w:beforeAutospacing="1" w:after="100" w:afterAutospacing="1"/>
              <w:jc w:val="center"/>
              <w:rPr>
                <w:rFonts w:ascii="Arial" w:eastAsia="Times New Roman" w:hAnsi="Arial" w:cs="Arial"/>
                <w:b/>
                <w:bCs/>
                <w:kern w:val="0"/>
                <w14:ligatures w14:val="none"/>
              </w:rPr>
            </w:pPr>
            <w:r w:rsidRPr="00573451">
              <w:rPr>
                <w:rFonts w:ascii="Arial" w:eastAsia="Times New Roman" w:hAnsi="Arial" w:cs="Arial"/>
                <w:b/>
                <w:bCs/>
                <w:kern w:val="0"/>
                <w14:ligatures w14:val="none"/>
              </w:rPr>
              <w:t>Сөрөг тал</w:t>
            </w:r>
          </w:p>
        </w:tc>
      </w:tr>
      <w:tr w:rsidR="00573451" w:rsidRPr="00573451" w14:paraId="206E575E" w14:textId="77777777" w:rsidTr="00573451">
        <w:tc>
          <w:tcPr>
            <w:tcW w:w="1980" w:type="dxa"/>
            <w:vAlign w:val="center"/>
          </w:tcPr>
          <w:p w14:paraId="2118D49B"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b/>
                <w:bCs/>
                <w:kern w:val="0"/>
                <w14:ligatures w14:val="none"/>
              </w:rPr>
              <w:t>1. Хуулийн өөрчлөлт хийхгүй байх</w:t>
            </w:r>
          </w:p>
        </w:tc>
        <w:tc>
          <w:tcPr>
            <w:tcW w:w="1701" w:type="dxa"/>
            <w:vAlign w:val="center"/>
          </w:tcPr>
          <w:p w14:paraId="50A1135A"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Зорилгод хүрэхгүй</w:t>
            </w:r>
          </w:p>
        </w:tc>
        <w:tc>
          <w:tcPr>
            <w:tcW w:w="2268" w:type="dxa"/>
            <w:vAlign w:val="center"/>
          </w:tcPr>
          <w:p w14:paraId="4E7043C1"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Улсын төсөв, Нийгмийн даатгалын санд богино хугацаанд нэмэлт ачаалал үүсэхгүй</w:t>
            </w:r>
          </w:p>
        </w:tc>
        <w:tc>
          <w:tcPr>
            <w:tcW w:w="3118" w:type="dxa"/>
            <w:vAlign w:val="center"/>
          </w:tcPr>
          <w:p w14:paraId="43E417B5"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УИХ-аас өмнө олгосон эрх хэрэгжихгүй хэвээр үлдэнэ. Төрийн хэрэгжилтийн доголдлын үр дагаврыг малчин хүлээнэ. Хуульд итгэх итгэл суларна.</w:t>
            </w:r>
          </w:p>
        </w:tc>
      </w:tr>
      <w:tr w:rsidR="00573451" w:rsidRPr="00573451" w14:paraId="77B79142" w14:textId="77777777" w:rsidTr="00573451">
        <w:tc>
          <w:tcPr>
            <w:tcW w:w="1980" w:type="dxa"/>
            <w:vAlign w:val="center"/>
          </w:tcPr>
          <w:p w14:paraId="441A781B"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b/>
                <w:bCs/>
                <w:kern w:val="0"/>
                <w14:ligatures w14:val="none"/>
              </w:rPr>
              <w:t>2. Зөвхөн Засгийн газрын журмаар асуудлыг шийдвэрлэх</w:t>
            </w:r>
          </w:p>
        </w:tc>
        <w:tc>
          <w:tcPr>
            <w:tcW w:w="1701" w:type="dxa"/>
            <w:vAlign w:val="center"/>
          </w:tcPr>
          <w:p w14:paraId="467E7E2C"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Хууль зүйн хувьд боломжгүй</w:t>
            </w:r>
          </w:p>
        </w:tc>
        <w:tc>
          <w:tcPr>
            <w:tcW w:w="2268" w:type="dxa"/>
            <w:vAlign w:val="center"/>
          </w:tcPr>
          <w:p w14:paraId="7DBB3A11"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Захиргааны түвшинд хурдан шийдэх боломж мэт харагдана</w:t>
            </w:r>
          </w:p>
        </w:tc>
        <w:tc>
          <w:tcPr>
            <w:tcW w:w="3118" w:type="dxa"/>
            <w:vAlign w:val="center"/>
          </w:tcPr>
          <w:p w14:paraId="12AFA773"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16.1-ийн хугацаа дууссан тул журмаар хуулийн хугацааг сэргээх боломжгүй. Хуулиас давсан зохицуулалт болно.</w:t>
            </w:r>
          </w:p>
        </w:tc>
      </w:tr>
      <w:tr w:rsidR="00573451" w:rsidRPr="00573451" w14:paraId="7774C2CF" w14:textId="77777777" w:rsidTr="00573451">
        <w:tc>
          <w:tcPr>
            <w:tcW w:w="1980" w:type="dxa"/>
            <w:vAlign w:val="center"/>
          </w:tcPr>
          <w:p w14:paraId="584C90CE"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b/>
                <w:bCs/>
                <w:kern w:val="0"/>
                <w14:ligatures w14:val="none"/>
              </w:rPr>
              <w:t xml:space="preserve">3. Малчны тухай хуулийн 16.1-ийн </w:t>
            </w:r>
            <w:r w:rsidRPr="00573451">
              <w:rPr>
                <w:rFonts w:ascii="Arial" w:eastAsia="Times New Roman" w:hAnsi="Arial" w:cs="Arial"/>
                <w:b/>
                <w:bCs/>
                <w:kern w:val="0"/>
                <w14:ligatures w14:val="none"/>
              </w:rPr>
              <w:lastRenderedPageBreak/>
              <w:t>хугацааг сунгах</w:t>
            </w:r>
          </w:p>
        </w:tc>
        <w:tc>
          <w:tcPr>
            <w:tcW w:w="1701" w:type="dxa"/>
            <w:vAlign w:val="center"/>
          </w:tcPr>
          <w:p w14:paraId="0C5C042F"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lastRenderedPageBreak/>
              <w:t>Зорилгод хүрнэ</w:t>
            </w:r>
          </w:p>
        </w:tc>
        <w:tc>
          <w:tcPr>
            <w:tcW w:w="2268" w:type="dxa"/>
            <w:vAlign w:val="center"/>
          </w:tcPr>
          <w:p w14:paraId="41192E48"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 xml:space="preserve">Өмнө олгосон эрхийг сэргээнэ. Нийгмийн даатгалын </w:t>
            </w:r>
            <w:r w:rsidRPr="00573451">
              <w:rPr>
                <w:rFonts w:ascii="Arial" w:eastAsia="Times New Roman" w:hAnsi="Arial" w:cs="Arial"/>
                <w:kern w:val="0"/>
                <w14:ligatures w14:val="none"/>
              </w:rPr>
              <w:lastRenderedPageBreak/>
              <w:t>ерөнхий хуулийн 24.1.6-тай уялдана. Шинэ төрлийн халамж бий болгохгүй.</w:t>
            </w:r>
          </w:p>
        </w:tc>
        <w:tc>
          <w:tcPr>
            <w:tcW w:w="3118" w:type="dxa"/>
            <w:vAlign w:val="center"/>
          </w:tcPr>
          <w:p w14:paraId="7E114443"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lastRenderedPageBreak/>
              <w:t xml:space="preserve">Богино болон урт хугацааны санхүүгийн үүрэг бий болж болзошгүй. Журам, төсөв </w:t>
            </w:r>
            <w:r w:rsidRPr="00573451">
              <w:rPr>
                <w:rFonts w:ascii="Arial" w:eastAsia="Times New Roman" w:hAnsi="Arial" w:cs="Arial"/>
                <w:kern w:val="0"/>
                <w14:ligatures w14:val="none"/>
              </w:rPr>
              <w:lastRenderedPageBreak/>
              <w:t>дахин хоцорвол хууль дахин хэрэгжихгүй эрсдэлтэй.</w:t>
            </w:r>
          </w:p>
        </w:tc>
      </w:tr>
      <w:tr w:rsidR="00573451" w:rsidRPr="00573451" w14:paraId="1FE9A58F" w14:textId="77777777" w:rsidTr="00573451">
        <w:tc>
          <w:tcPr>
            <w:tcW w:w="1980" w:type="dxa"/>
            <w:vAlign w:val="center"/>
          </w:tcPr>
          <w:p w14:paraId="556284CC"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b/>
                <w:bCs/>
                <w:kern w:val="0"/>
                <w14:ligatures w14:val="none"/>
              </w:rPr>
              <w:lastRenderedPageBreak/>
              <w:t>4. Тусгай шинэ хууль батлах</w:t>
            </w:r>
          </w:p>
        </w:tc>
        <w:tc>
          <w:tcPr>
            <w:tcW w:w="1701" w:type="dxa"/>
            <w:vAlign w:val="center"/>
          </w:tcPr>
          <w:p w14:paraId="3F8D5ADB"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Зорилгод хүрэх боломжтой</w:t>
            </w:r>
          </w:p>
        </w:tc>
        <w:tc>
          <w:tcPr>
            <w:tcW w:w="2268" w:type="dxa"/>
            <w:vAlign w:val="center"/>
          </w:tcPr>
          <w:p w14:paraId="2CE347BF"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Нөхөн төлөлтийн бүх нөхцөлийг хуулиар дэлгэрэнгүй тогтоож болно</w:t>
            </w:r>
          </w:p>
        </w:tc>
        <w:tc>
          <w:tcPr>
            <w:tcW w:w="3118" w:type="dxa"/>
            <w:vAlign w:val="center"/>
          </w:tcPr>
          <w:p w14:paraId="2644291B"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Нэгэнт Малчны тухай болон Нийгмийн даатгалын ерөнхий хуульд эрх зүйн үндэс бий тул давхардал, хууль тогтоомжийн хэт задрал үүсгэнэ.</w:t>
            </w:r>
          </w:p>
        </w:tc>
      </w:tr>
    </w:tbl>
    <w:p w14:paraId="618133FE" w14:textId="77777777" w:rsidR="00573451" w:rsidRDefault="00573451"/>
    <w:p w14:paraId="34B47755" w14:textId="77777777" w:rsidR="00573451" w:rsidRPr="008C3BA2" w:rsidRDefault="00573451" w:rsidP="008C3BA2">
      <w:pPr>
        <w:pStyle w:val="Heading3"/>
        <w:ind w:firstLine="567"/>
        <w:jc w:val="both"/>
        <w:rPr>
          <w:rFonts w:ascii="Arial" w:hAnsi="Arial" w:cs="Arial"/>
          <w:color w:val="000000" w:themeColor="text1"/>
        </w:rPr>
      </w:pPr>
      <w:r w:rsidRPr="008C3BA2">
        <w:rPr>
          <w:rStyle w:val="s1"/>
          <w:rFonts w:ascii="Arial" w:hAnsi="Arial" w:cs="Arial"/>
          <w:color w:val="000000" w:themeColor="text1"/>
        </w:rPr>
        <w:t>Дүгнэлт</w:t>
      </w:r>
      <w:r w:rsidR="008C3BA2">
        <w:rPr>
          <w:rStyle w:val="s1"/>
          <w:rFonts w:ascii="Arial" w:hAnsi="Arial" w:cs="Arial"/>
          <w:color w:val="000000" w:themeColor="text1"/>
          <w:lang w:val="mn-MN"/>
        </w:rPr>
        <w:t xml:space="preserve">: </w:t>
      </w:r>
      <w:r w:rsidRPr="008C3BA2">
        <w:rPr>
          <w:rFonts w:ascii="Arial" w:hAnsi="Arial" w:cs="Arial"/>
          <w:color w:val="000000" w:themeColor="text1"/>
        </w:rPr>
        <w:t>3 дугаар хувилбар буюу Малчны тухай хуулийн 16.1 дэх хэсгийн хугацааг өөрчлөх нь хамгийн бага эрх зүйн оролцоотой, зорилгод шууд хүрэх, одоо хүчин төгөлдөр байгаа бусад хуультай хамгийн сайн уялдах хувилбар байна.</w:t>
      </w:r>
    </w:p>
    <w:p w14:paraId="0A52CC7A" w14:textId="77777777" w:rsidR="00573451" w:rsidRPr="00573451" w:rsidRDefault="00573451" w:rsidP="008C3BA2">
      <w:pPr>
        <w:pStyle w:val="Heading1"/>
        <w:ind w:firstLine="567"/>
        <w:jc w:val="center"/>
        <w:rPr>
          <w:rFonts w:ascii="Arial" w:hAnsi="Arial" w:cs="Arial"/>
          <w:sz w:val="24"/>
          <w:szCs w:val="24"/>
        </w:rPr>
      </w:pPr>
      <w:r w:rsidRPr="00573451">
        <w:rPr>
          <w:rStyle w:val="s1"/>
          <w:rFonts w:ascii="Arial" w:hAnsi="Arial" w:cs="Arial"/>
          <w:sz w:val="24"/>
          <w:szCs w:val="24"/>
        </w:rPr>
        <w:t>ТАВ. ЗОХИЦУУЛАЛТЫН ХУВИЛБАРЫН ҮР НӨЛӨӨГ ТАНДАН СУДАЛСАН БАЙДАЛ</w:t>
      </w:r>
    </w:p>
    <w:p w14:paraId="257B1A92" w14:textId="77777777" w:rsidR="00573451" w:rsidRPr="00573451" w:rsidRDefault="00573451" w:rsidP="00573451">
      <w:pPr>
        <w:pStyle w:val="Heading2"/>
        <w:ind w:firstLine="567"/>
        <w:jc w:val="both"/>
        <w:rPr>
          <w:rFonts w:ascii="Arial" w:hAnsi="Arial" w:cs="Arial"/>
          <w:sz w:val="24"/>
          <w:szCs w:val="24"/>
        </w:rPr>
      </w:pPr>
      <w:r w:rsidRPr="00573451">
        <w:rPr>
          <w:rStyle w:val="s1"/>
          <w:rFonts w:ascii="Arial" w:hAnsi="Arial" w:cs="Arial"/>
          <w:sz w:val="24"/>
          <w:szCs w:val="24"/>
        </w:rPr>
        <w:t>5.1. ХҮНИЙ ЭРХЭД ҮЗҮҮЛЭХ ҮР НӨЛӨӨ</w:t>
      </w:r>
    </w:p>
    <w:tbl>
      <w:tblPr>
        <w:tblStyle w:val="TableGrid"/>
        <w:tblW w:w="9348" w:type="dxa"/>
        <w:tblLook w:val="04A0" w:firstRow="1" w:lastRow="0" w:firstColumn="1" w:lastColumn="0" w:noHBand="0" w:noVBand="1"/>
      </w:tblPr>
      <w:tblGrid>
        <w:gridCol w:w="3116"/>
        <w:gridCol w:w="1415"/>
        <w:gridCol w:w="4817"/>
      </w:tblGrid>
      <w:tr w:rsidR="00573451" w:rsidRPr="00573451" w14:paraId="352AB0A4" w14:textId="77777777" w:rsidTr="00573451">
        <w:tc>
          <w:tcPr>
            <w:tcW w:w="3116" w:type="dxa"/>
            <w:vAlign w:val="center"/>
          </w:tcPr>
          <w:p w14:paraId="7EB719FE" w14:textId="77777777" w:rsidR="00573451" w:rsidRPr="00573451" w:rsidRDefault="00573451" w:rsidP="00573451">
            <w:pPr>
              <w:spacing w:before="100" w:beforeAutospacing="1" w:after="100" w:afterAutospacing="1"/>
              <w:jc w:val="center"/>
              <w:rPr>
                <w:rFonts w:ascii="Arial" w:eastAsia="Times New Roman" w:hAnsi="Arial" w:cs="Arial"/>
                <w:b/>
                <w:bCs/>
                <w:kern w:val="0"/>
                <w14:ligatures w14:val="none"/>
              </w:rPr>
            </w:pPr>
            <w:r w:rsidRPr="00573451">
              <w:rPr>
                <w:rFonts w:ascii="Arial" w:eastAsia="Times New Roman" w:hAnsi="Arial" w:cs="Arial"/>
                <w:b/>
                <w:bCs/>
                <w:kern w:val="0"/>
                <w14:ligatures w14:val="none"/>
              </w:rPr>
              <w:t>Асуулт</w:t>
            </w:r>
          </w:p>
        </w:tc>
        <w:tc>
          <w:tcPr>
            <w:tcW w:w="1415" w:type="dxa"/>
            <w:vAlign w:val="center"/>
          </w:tcPr>
          <w:p w14:paraId="516D2600" w14:textId="77777777" w:rsidR="00573451" w:rsidRPr="00573451" w:rsidRDefault="00573451" w:rsidP="00573451">
            <w:pPr>
              <w:spacing w:before="100" w:beforeAutospacing="1" w:after="100" w:afterAutospacing="1"/>
              <w:jc w:val="center"/>
              <w:rPr>
                <w:rFonts w:ascii="Arial" w:eastAsia="Times New Roman" w:hAnsi="Arial" w:cs="Arial"/>
                <w:b/>
                <w:bCs/>
                <w:kern w:val="0"/>
                <w14:ligatures w14:val="none"/>
              </w:rPr>
            </w:pPr>
            <w:r w:rsidRPr="00573451">
              <w:rPr>
                <w:rFonts w:ascii="Arial" w:eastAsia="Times New Roman" w:hAnsi="Arial" w:cs="Arial"/>
                <w:b/>
                <w:bCs/>
                <w:kern w:val="0"/>
                <w14:ligatures w14:val="none"/>
              </w:rPr>
              <w:t>Хариулт</w:t>
            </w:r>
          </w:p>
        </w:tc>
        <w:tc>
          <w:tcPr>
            <w:tcW w:w="4817" w:type="dxa"/>
            <w:vAlign w:val="center"/>
          </w:tcPr>
          <w:p w14:paraId="6357AA3C" w14:textId="77777777" w:rsidR="00573451" w:rsidRPr="00573451" w:rsidRDefault="00573451" w:rsidP="00573451">
            <w:pPr>
              <w:spacing w:before="100" w:beforeAutospacing="1" w:after="100" w:afterAutospacing="1"/>
              <w:jc w:val="center"/>
              <w:rPr>
                <w:rFonts w:ascii="Arial" w:eastAsia="Times New Roman" w:hAnsi="Arial" w:cs="Arial"/>
                <w:b/>
                <w:bCs/>
                <w:kern w:val="0"/>
                <w14:ligatures w14:val="none"/>
              </w:rPr>
            </w:pPr>
            <w:r w:rsidRPr="00573451">
              <w:rPr>
                <w:rFonts w:ascii="Arial" w:eastAsia="Times New Roman" w:hAnsi="Arial" w:cs="Arial"/>
                <w:b/>
                <w:bCs/>
                <w:kern w:val="0"/>
                <w14:ligatures w14:val="none"/>
              </w:rPr>
              <w:t>Тайлбар</w:t>
            </w:r>
          </w:p>
        </w:tc>
      </w:tr>
      <w:tr w:rsidR="00573451" w:rsidRPr="00573451" w14:paraId="6CAE980D" w14:textId="77777777" w:rsidTr="00573451">
        <w:tc>
          <w:tcPr>
            <w:tcW w:w="3116" w:type="dxa"/>
            <w:vAlign w:val="center"/>
          </w:tcPr>
          <w:p w14:paraId="41C74C2F"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Ялгаварлан гадуурхах зохицуулалт бий болох эсэх</w:t>
            </w:r>
          </w:p>
        </w:tc>
        <w:tc>
          <w:tcPr>
            <w:tcW w:w="1415" w:type="dxa"/>
            <w:vAlign w:val="center"/>
          </w:tcPr>
          <w:p w14:paraId="15C2814A"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Үгүй</w:t>
            </w:r>
          </w:p>
        </w:tc>
        <w:tc>
          <w:tcPr>
            <w:tcW w:w="4817" w:type="dxa"/>
            <w:vAlign w:val="center"/>
          </w:tcPr>
          <w:p w14:paraId="61E6C208"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Зохицуулалт нь Малчны тухай хуулийн шалгуур хангасан бүх малчинд ижил үйлчилнэ.</w:t>
            </w:r>
          </w:p>
        </w:tc>
      </w:tr>
      <w:tr w:rsidR="00573451" w:rsidRPr="00573451" w14:paraId="1BCFF53A" w14:textId="77777777" w:rsidTr="00573451">
        <w:tc>
          <w:tcPr>
            <w:tcW w:w="3116" w:type="dxa"/>
            <w:vAlign w:val="center"/>
          </w:tcPr>
          <w:p w14:paraId="010C2130"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Тодорхой бүлэгт үндэслэлгүй давуу эрх олгох эсэх</w:t>
            </w:r>
          </w:p>
        </w:tc>
        <w:tc>
          <w:tcPr>
            <w:tcW w:w="1415" w:type="dxa"/>
            <w:vAlign w:val="center"/>
          </w:tcPr>
          <w:p w14:paraId="4961E8A8"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Үгүй</w:t>
            </w:r>
          </w:p>
        </w:tc>
        <w:tc>
          <w:tcPr>
            <w:tcW w:w="4817" w:type="dxa"/>
            <w:vAlign w:val="center"/>
          </w:tcPr>
          <w:p w14:paraId="4C27540B"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Малчны хөдөлмөр эрхлэлтийн онцлогт үндэслэсэн, өмнө хуульчилсан нэг удаагийн шилжилтийн арга хэмжээ.</w:t>
            </w:r>
          </w:p>
        </w:tc>
      </w:tr>
      <w:tr w:rsidR="00573451" w:rsidRPr="00573451" w14:paraId="6FEE7D74" w14:textId="77777777" w:rsidTr="00573451">
        <w:tc>
          <w:tcPr>
            <w:tcW w:w="3116" w:type="dxa"/>
            <w:vAlign w:val="center"/>
          </w:tcPr>
          <w:p w14:paraId="13FF73A3"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Нийгмийн хамгааллын эрхийг дэмжих эсэх</w:t>
            </w:r>
          </w:p>
        </w:tc>
        <w:tc>
          <w:tcPr>
            <w:tcW w:w="1415" w:type="dxa"/>
            <w:vAlign w:val="center"/>
          </w:tcPr>
          <w:p w14:paraId="4A03E538"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Тийм</w:t>
            </w:r>
          </w:p>
        </w:tc>
        <w:tc>
          <w:tcPr>
            <w:tcW w:w="4817" w:type="dxa"/>
            <w:vAlign w:val="center"/>
          </w:tcPr>
          <w:p w14:paraId="127D673E"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Тэтгэврийн даатгалын шимтгэлийн тасалдсан хугацааг нөхөх боломжийг сэргээнэ.</w:t>
            </w:r>
          </w:p>
        </w:tc>
      </w:tr>
      <w:tr w:rsidR="00573451" w:rsidRPr="00573451" w14:paraId="0E031D54" w14:textId="77777777" w:rsidTr="00573451">
        <w:tc>
          <w:tcPr>
            <w:tcW w:w="3116" w:type="dxa"/>
            <w:vAlign w:val="center"/>
          </w:tcPr>
          <w:p w14:paraId="2B4FB35E"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Иргэний эрхийг хязгаарлах эсэх</w:t>
            </w:r>
          </w:p>
        </w:tc>
        <w:tc>
          <w:tcPr>
            <w:tcW w:w="1415" w:type="dxa"/>
            <w:vAlign w:val="center"/>
          </w:tcPr>
          <w:p w14:paraId="2BA0EA1A"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Үгүй</w:t>
            </w:r>
          </w:p>
        </w:tc>
        <w:tc>
          <w:tcPr>
            <w:tcW w:w="4817" w:type="dxa"/>
            <w:vAlign w:val="center"/>
          </w:tcPr>
          <w:p w14:paraId="5741AFD3"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Шинэ хориг, хязгаарлалт тогтоохгүй.</w:t>
            </w:r>
          </w:p>
        </w:tc>
      </w:tr>
      <w:tr w:rsidR="00573451" w:rsidRPr="00573451" w14:paraId="72B89C62" w14:textId="77777777" w:rsidTr="00573451">
        <w:tc>
          <w:tcPr>
            <w:tcW w:w="3116" w:type="dxa"/>
            <w:vAlign w:val="center"/>
          </w:tcPr>
          <w:p w14:paraId="2888D3AB"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Хууль ёсны хүлээлтийг хамгаалах эсэх</w:t>
            </w:r>
          </w:p>
        </w:tc>
        <w:tc>
          <w:tcPr>
            <w:tcW w:w="1415" w:type="dxa"/>
            <w:vAlign w:val="center"/>
          </w:tcPr>
          <w:p w14:paraId="242D0AC9"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Тийм</w:t>
            </w:r>
          </w:p>
        </w:tc>
        <w:tc>
          <w:tcPr>
            <w:tcW w:w="4817" w:type="dxa"/>
            <w:vAlign w:val="center"/>
          </w:tcPr>
          <w:p w14:paraId="6F037551"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Төрөөс өмнө олгосон боловч хэрэгжээгүй боломжийг дахин эдлүүлэх нөхцөл бүрдүүлнэ.</w:t>
            </w:r>
          </w:p>
        </w:tc>
      </w:tr>
      <w:tr w:rsidR="00573451" w:rsidRPr="00573451" w14:paraId="2865ACA5" w14:textId="77777777" w:rsidTr="00573451">
        <w:tc>
          <w:tcPr>
            <w:tcW w:w="3116" w:type="dxa"/>
            <w:vAlign w:val="center"/>
          </w:tcPr>
          <w:p w14:paraId="2F545476"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Жендэрийн тэгш байдалд сөрөг нөлөөтэй эсэх</w:t>
            </w:r>
          </w:p>
        </w:tc>
        <w:tc>
          <w:tcPr>
            <w:tcW w:w="1415" w:type="dxa"/>
            <w:vAlign w:val="center"/>
          </w:tcPr>
          <w:p w14:paraId="51390C42"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Үгүй</w:t>
            </w:r>
          </w:p>
        </w:tc>
        <w:tc>
          <w:tcPr>
            <w:tcW w:w="4817" w:type="dxa"/>
            <w:vAlign w:val="center"/>
          </w:tcPr>
          <w:p w14:paraId="14980E34"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Эрэгтэй, эмэгтэй малчинд хуульд заасан ижил шалгуур үйлчилнэ.</w:t>
            </w:r>
          </w:p>
        </w:tc>
      </w:tr>
    </w:tbl>
    <w:p w14:paraId="5F9D01EB" w14:textId="77777777" w:rsidR="00573451" w:rsidRDefault="00573451"/>
    <w:p w14:paraId="255F7541" w14:textId="77777777" w:rsidR="0042133D" w:rsidRPr="0042133D" w:rsidRDefault="0042133D" w:rsidP="0042133D">
      <w:pPr>
        <w:pStyle w:val="Heading2"/>
        <w:rPr>
          <w:rFonts w:ascii="Arial" w:hAnsi="Arial" w:cs="Arial"/>
          <w:sz w:val="24"/>
          <w:szCs w:val="24"/>
        </w:rPr>
      </w:pPr>
      <w:r w:rsidRPr="0042133D">
        <w:rPr>
          <w:rStyle w:val="s1"/>
          <w:rFonts w:ascii="Arial" w:hAnsi="Arial" w:cs="Arial"/>
          <w:sz w:val="24"/>
          <w:szCs w:val="24"/>
        </w:rPr>
        <w:t>5.2. ЭДИЙН ЗАСАГТ ҮЗҮҮЛЭХ ҮР НӨЛӨӨ</w:t>
      </w:r>
    </w:p>
    <w:p w14:paraId="5A221322" w14:textId="77777777" w:rsidR="00573451" w:rsidRPr="0042133D" w:rsidRDefault="00573451">
      <w:pPr>
        <w:rPr>
          <w:rFonts w:ascii="Arial" w:hAnsi="Arial" w:cs="Arial"/>
        </w:rPr>
      </w:pPr>
    </w:p>
    <w:tbl>
      <w:tblPr>
        <w:tblStyle w:val="TableGrid"/>
        <w:tblW w:w="9348" w:type="dxa"/>
        <w:tblLook w:val="04A0" w:firstRow="1" w:lastRow="0" w:firstColumn="1" w:lastColumn="0" w:noHBand="0" w:noVBand="1"/>
      </w:tblPr>
      <w:tblGrid>
        <w:gridCol w:w="3113"/>
        <w:gridCol w:w="1425"/>
        <w:gridCol w:w="4810"/>
      </w:tblGrid>
      <w:tr w:rsidR="0042133D" w14:paraId="3FE53634" w14:textId="77777777" w:rsidTr="0042133D">
        <w:tc>
          <w:tcPr>
            <w:tcW w:w="3116" w:type="dxa"/>
            <w:vAlign w:val="center"/>
          </w:tcPr>
          <w:p w14:paraId="6844D4FE" w14:textId="77777777" w:rsidR="0042133D" w:rsidRPr="0042133D" w:rsidRDefault="0042133D" w:rsidP="0042133D">
            <w:pPr>
              <w:spacing w:before="100" w:beforeAutospacing="1" w:after="100" w:afterAutospacing="1"/>
              <w:jc w:val="center"/>
              <w:rPr>
                <w:rFonts w:ascii="Arial" w:eastAsia="Times New Roman" w:hAnsi="Arial" w:cs="Arial"/>
                <w:b/>
                <w:bCs/>
                <w:kern w:val="0"/>
                <w14:ligatures w14:val="none"/>
              </w:rPr>
            </w:pPr>
            <w:r w:rsidRPr="0042133D">
              <w:rPr>
                <w:rFonts w:ascii="Arial" w:eastAsia="Times New Roman" w:hAnsi="Arial" w:cs="Arial"/>
                <w:b/>
                <w:bCs/>
                <w:kern w:val="0"/>
                <w14:ligatures w14:val="none"/>
              </w:rPr>
              <w:t>Асуулт</w:t>
            </w:r>
          </w:p>
        </w:tc>
        <w:tc>
          <w:tcPr>
            <w:tcW w:w="1415" w:type="dxa"/>
            <w:vAlign w:val="center"/>
          </w:tcPr>
          <w:p w14:paraId="33AC05B7" w14:textId="77777777" w:rsidR="0042133D" w:rsidRPr="0042133D" w:rsidRDefault="0042133D" w:rsidP="0042133D">
            <w:pPr>
              <w:spacing w:before="100" w:beforeAutospacing="1" w:after="100" w:afterAutospacing="1"/>
              <w:jc w:val="center"/>
              <w:rPr>
                <w:rFonts w:ascii="Arial" w:eastAsia="Times New Roman" w:hAnsi="Arial" w:cs="Arial"/>
                <w:b/>
                <w:bCs/>
                <w:kern w:val="0"/>
                <w14:ligatures w14:val="none"/>
              </w:rPr>
            </w:pPr>
            <w:r w:rsidRPr="0042133D">
              <w:rPr>
                <w:rFonts w:ascii="Arial" w:eastAsia="Times New Roman" w:hAnsi="Arial" w:cs="Arial"/>
                <w:b/>
                <w:bCs/>
                <w:kern w:val="0"/>
                <w14:ligatures w14:val="none"/>
              </w:rPr>
              <w:t>Хариулт</w:t>
            </w:r>
          </w:p>
        </w:tc>
        <w:tc>
          <w:tcPr>
            <w:tcW w:w="4817" w:type="dxa"/>
            <w:vAlign w:val="center"/>
          </w:tcPr>
          <w:p w14:paraId="69641778" w14:textId="77777777" w:rsidR="0042133D" w:rsidRPr="0042133D" w:rsidRDefault="0042133D" w:rsidP="0042133D">
            <w:pPr>
              <w:spacing w:before="100" w:beforeAutospacing="1" w:after="100" w:afterAutospacing="1"/>
              <w:jc w:val="center"/>
              <w:rPr>
                <w:rFonts w:ascii="Arial" w:eastAsia="Times New Roman" w:hAnsi="Arial" w:cs="Arial"/>
                <w:b/>
                <w:bCs/>
                <w:kern w:val="0"/>
                <w14:ligatures w14:val="none"/>
              </w:rPr>
            </w:pPr>
            <w:r w:rsidRPr="0042133D">
              <w:rPr>
                <w:rFonts w:ascii="Arial" w:eastAsia="Times New Roman" w:hAnsi="Arial" w:cs="Arial"/>
                <w:b/>
                <w:bCs/>
                <w:kern w:val="0"/>
                <w14:ligatures w14:val="none"/>
              </w:rPr>
              <w:t>Тайлбар</w:t>
            </w:r>
          </w:p>
        </w:tc>
      </w:tr>
      <w:tr w:rsidR="0042133D" w14:paraId="2CAE49BC" w14:textId="77777777" w:rsidTr="0042133D">
        <w:tc>
          <w:tcPr>
            <w:tcW w:w="3116" w:type="dxa"/>
            <w:vAlign w:val="center"/>
          </w:tcPr>
          <w:p w14:paraId="575D3A09"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lastRenderedPageBreak/>
              <w:t>Аж ахуйн нэгжийн өрсөлдөөнд нөлөөлөх эсэх</w:t>
            </w:r>
          </w:p>
        </w:tc>
        <w:tc>
          <w:tcPr>
            <w:tcW w:w="1415" w:type="dxa"/>
            <w:vAlign w:val="center"/>
          </w:tcPr>
          <w:p w14:paraId="2E88609C"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Үгүй</w:t>
            </w:r>
          </w:p>
        </w:tc>
        <w:tc>
          <w:tcPr>
            <w:tcW w:w="4817" w:type="dxa"/>
            <w:vAlign w:val="center"/>
          </w:tcPr>
          <w:p w14:paraId="40EF0562"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Бизнесийн өрсөлдөөнтэй шууд холбоогүй.</w:t>
            </w:r>
          </w:p>
        </w:tc>
      </w:tr>
      <w:tr w:rsidR="0042133D" w14:paraId="199400AB" w14:textId="77777777" w:rsidTr="0042133D">
        <w:tc>
          <w:tcPr>
            <w:tcW w:w="3116" w:type="dxa"/>
            <w:vAlign w:val="center"/>
          </w:tcPr>
          <w:p w14:paraId="354F6F90"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Аж ахуйн нэгжид захиргааны шинэ зардал бий болгох эсэх</w:t>
            </w:r>
          </w:p>
        </w:tc>
        <w:tc>
          <w:tcPr>
            <w:tcW w:w="1415" w:type="dxa"/>
            <w:vAlign w:val="center"/>
          </w:tcPr>
          <w:p w14:paraId="4377BEFB"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Үгүй</w:t>
            </w:r>
          </w:p>
        </w:tc>
        <w:tc>
          <w:tcPr>
            <w:tcW w:w="4817" w:type="dxa"/>
            <w:vAlign w:val="center"/>
          </w:tcPr>
          <w:p w14:paraId="63E66A97"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Үндсэн зохицуулалтын субъект нь малчин, нийгмийн даатгалын байгууллага байна.</w:t>
            </w:r>
          </w:p>
        </w:tc>
      </w:tr>
      <w:tr w:rsidR="0042133D" w14:paraId="0B5DD094" w14:textId="77777777" w:rsidTr="0042133D">
        <w:tc>
          <w:tcPr>
            <w:tcW w:w="3116" w:type="dxa"/>
            <w:vAlign w:val="center"/>
          </w:tcPr>
          <w:p w14:paraId="5DEA637B"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Өрхийн санхүүгийн байдалд нөлөөлөх эсэх</w:t>
            </w:r>
          </w:p>
        </w:tc>
        <w:tc>
          <w:tcPr>
            <w:tcW w:w="1415" w:type="dxa"/>
            <w:vAlign w:val="center"/>
          </w:tcPr>
          <w:p w14:paraId="03F74AD7"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Тийм</w:t>
            </w:r>
          </w:p>
        </w:tc>
        <w:tc>
          <w:tcPr>
            <w:tcW w:w="4817" w:type="dxa"/>
            <w:vAlign w:val="center"/>
          </w:tcPr>
          <w:p w14:paraId="40FED5D3"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Нөхөн шимтгэл төлөхөд богино хугацааны зардал үүсэх боловч тэтгэврийн эрх бүрдэх тохиолдолд урт хугацааны хамгаалалт нэмэгдэнэ.</w:t>
            </w:r>
          </w:p>
        </w:tc>
      </w:tr>
      <w:tr w:rsidR="0042133D" w14:paraId="547073A7" w14:textId="77777777" w:rsidTr="0042133D">
        <w:tc>
          <w:tcPr>
            <w:tcW w:w="3116" w:type="dxa"/>
            <w:vAlign w:val="center"/>
          </w:tcPr>
          <w:p w14:paraId="291777D6"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Улсын төсөвт нөлөөлөх эсэх</w:t>
            </w:r>
          </w:p>
        </w:tc>
        <w:tc>
          <w:tcPr>
            <w:tcW w:w="1415" w:type="dxa"/>
            <w:vAlign w:val="center"/>
          </w:tcPr>
          <w:p w14:paraId="045D1DD2"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Болзошгүй</w:t>
            </w:r>
          </w:p>
        </w:tc>
        <w:tc>
          <w:tcPr>
            <w:tcW w:w="4817" w:type="dxa"/>
            <w:vAlign w:val="center"/>
          </w:tcPr>
          <w:p w14:paraId="034DA2F0"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Журмын нөхцөл, санхүүжилтийн хэлбэрээс шалтгаална.</w:t>
            </w:r>
          </w:p>
        </w:tc>
      </w:tr>
      <w:tr w:rsidR="0042133D" w14:paraId="0DA5E708" w14:textId="77777777" w:rsidTr="0042133D">
        <w:tc>
          <w:tcPr>
            <w:tcW w:w="3116" w:type="dxa"/>
            <w:vAlign w:val="center"/>
          </w:tcPr>
          <w:p w14:paraId="7911BCC9"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Нийгмийн даатгалын санд нөлөөлөх эсэх</w:t>
            </w:r>
          </w:p>
        </w:tc>
        <w:tc>
          <w:tcPr>
            <w:tcW w:w="1415" w:type="dxa"/>
            <w:vAlign w:val="center"/>
          </w:tcPr>
          <w:p w14:paraId="38846A2C"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Тийм</w:t>
            </w:r>
          </w:p>
        </w:tc>
        <w:tc>
          <w:tcPr>
            <w:tcW w:w="4817" w:type="dxa"/>
            <w:vAlign w:val="center"/>
          </w:tcPr>
          <w:p w14:paraId="4AE9FD44"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Нөхөн шимтгэлийн орлого нэмэгдэх боловч цаашдын тэтгэврийн үүрэг мөн өснө.</w:t>
            </w:r>
          </w:p>
        </w:tc>
      </w:tr>
      <w:tr w:rsidR="0042133D" w14:paraId="75C0918E" w14:textId="77777777" w:rsidTr="0042133D">
        <w:tc>
          <w:tcPr>
            <w:tcW w:w="3116" w:type="dxa"/>
            <w:vAlign w:val="center"/>
          </w:tcPr>
          <w:p w14:paraId="309CE2C4"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Инфляц, валютын ханшид мэдэгдэхүйц нөлөө үзүүлэх эсэх</w:t>
            </w:r>
          </w:p>
        </w:tc>
        <w:tc>
          <w:tcPr>
            <w:tcW w:w="1415" w:type="dxa"/>
            <w:vAlign w:val="center"/>
          </w:tcPr>
          <w:p w14:paraId="0DB45046"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Үгүй</w:t>
            </w:r>
          </w:p>
        </w:tc>
        <w:tc>
          <w:tcPr>
            <w:tcW w:w="4817" w:type="dxa"/>
            <w:vAlign w:val="center"/>
          </w:tcPr>
          <w:p w14:paraId="59784374"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Макро эдийн засгийн хэмжээний шууд нөлөө үзүүлэх хэмжээний зохицуулалт биш.</w:t>
            </w:r>
          </w:p>
        </w:tc>
      </w:tr>
      <w:tr w:rsidR="0042133D" w14:paraId="12E8985F" w14:textId="77777777" w:rsidTr="0042133D">
        <w:tc>
          <w:tcPr>
            <w:tcW w:w="3116" w:type="dxa"/>
            <w:vAlign w:val="center"/>
          </w:tcPr>
          <w:p w14:paraId="779CDB4F"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Шинээр төрийн байгууллага байгуулах шаардлагатай эсэх</w:t>
            </w:r>
          </w:p>
        </w:tc>
        <w:tc>
          <w:tcPr>
            <w:tcW w:w="1415" w:type="dxa"/>
            <w:vAlign w:val="center"/>
          </w:tcPr>
          <w:p w14:paraId="57966719"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Үгүй</w:t>
            </w:r>
          </w:p>
        </w:tc>
        <w:tc>
          <w:tcPr>
            <w:tcW w:w="4817" w:type="dxa"/>
            <w:vAlign w:val="center"/>
          </w:tcPr>
          <w:p w14:paraId="3FFE1E99"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Одоогийн нийгмийн даатгалын байгууллагын тогтолцоогоор хэрэгжүүлэх боломжтой.</w:t>
            </w:r>
          </w:p>
        </w:tc>
      </w:tr>
    </w:tbl>
    <w:p w14:paraId="002A1E40" w14:textId="77777777" w:rsidR="0042133D" w:rsidRPr="0042133D" w:rsidRDefault="0042133D" w:rsidP="008C3BA2">
      <w:pPr>
        <w:pStyle w:val="Heading3"/>
        <w:spacing w:before="0"/>
        <w:jc w:val="both"/>
        <w:rPr>
          <w:rStyle w:val="s1"/>
          <w:rFonts w:ascii="Arial" w:hAnsi="Arial" w:cs="Arial"/>
          <w:color w:val="000000" w:themeColor="text1"/>
        </w:rPr>
      </w:pPr>
    </w:p>
    <w:p w14:paraId="6AD73764" w14:textId="77777777" w:rsidR="0042133D" w:rsidRPr="008C3BA2" w:rsidRDefault="0042133D" w:rsidP="008C3BA2">
      <w:pPr>
        <w:pStyle w:val="Heading3"/>
        <w:spacing w:before="0"/>
        <w:ind w:firstLine="567"/>
        <w:jc w:val="both"/>
        <w:rPr>
          <w:rFonts w:ascii="Arial" w:hAnsi="Arial" w:cs="Arial"/>
          <w:color w:val="000000" w:themeColor="text1"/>
          <w:lang w:val="mn-MN"/>
        </w:rPr>
      </w:pPr>
      <w:r w:rsidRPr="0042133D">
        <w:rPr>
          <w:rStyle w:val="s1"/>
          <w:rFonts w:ascii="Arial" w:hAnsi="Arial" w:cs="Arial"/>
          <w:color w:val="000000" w:themeColor="text1"/>
        </w:rPr>
        <w:t>Санхүүгийн гол эрсдэл</w:t>
      </w:r>
      <w:r w:rsidR="008C3BA2">
        <w:rPr>
          <w:rStyle w:val="s1"/>
          <w:rFonts w:ascii="Arial" w:hAnsi="Arial" w:cs="Arial"/>
          <w:color w:val="000000" w:themeColor="text1"/>
          <w:lang w:val="mn-MN"/>
        </w:rPr>
        <w:t xml:space="preserve">: </w:t>
      </w:r>
      <w:r w:rsidRPr="0042133D">
        <w:rPr>
          <w:rFonts w:ascii="Arial" w:hAnsi="Arial" w:cs="Arial"/>
          <w:color w:val="000000" w:themeColor="text1"/>
        </w:rPr>
        <w:t xml:space="preserve">Хуулийн төсөл нь зөвхөн нэг өгүүлбэрийн хугацааны өөрчлөлт боловч </w:t>
      </w:r>
      <w:r w:rsidRPr="0042133D">
        <w:rPr>
          <w:rStyle w:val="s1"/>
          <w:rFonts w:ascii="Arial" w:hAnsi="Arial" w:cs="Arial"/>
          <w:color w:val="000000" w:themeColor="text1"/>
        </w:rPr>
        <w:t>санхүүгийн нөлөө нь нэг өгүүлбэрийн хэмжээнд биш</w:t>
      </w:r>
      <w:r w:rsidRPr="0042133D">
        <w:rPr>
          <w:rFonts w:ascii="Arial" w:hAnsi="Arial" w:cs="Arial"/>
          <w:color w:val="000000" w:themeColor="text1"/>
        </w:rPr>
        <w:t>.</w:t>
      </w:r>
      <w:r>
        <w:rPr>
          <w:rFonts w:ascii="Arial" w:hAnsi="Arial" w:cs="Arial"/>
          <w:color w:val="000000" w:themeColor="text1"/>
          <w:lang w:val="mn-MN"/>
        </w:rPr>
        <w:t xml:space="preserve"> </w:t>
      </w:r>
      <w:r w:rsidRPr="0042133D">
        <w:rPr>
          <w:rFonts w:ascii="Arial" w:hAnsi="Arial" w:cs="Arial"/>
          <w:color w:val="000000" w:themeColor="text1"/>
        </w:rPr>
        <w:t>Нөхөн төлөлтөөр Нийгмийн даатгалын санд богино хугацаанд орлого орж ирэх боловч тодорхой хэсэг нь өндөр насны тэтгэвэр тогтоолгох эрхийг нэн даруй эсхүл ойрын хугацаанд бүрдүүлэх тул сангийн урт хугацааны зарлага нэмэгдэнэ.</w:t>
      </w:r>
      <w:r>
        <w:rPr>
          <w:rFonts w:ascii="Arial" w:hAnsi="Arial" w:cs="Arial"/>
          <w:color w:val="000000" w:themeColor="text1"/>
          <w:lang w:val="mn-MN"/>
        </w:rPr>
        <w:t xml:space="preserve"> </w:t>
      </w:r>
      <w:r w:rsidRPr="0042133D">
        <w:rPr>
          <w:rFonts w:ascii="Arial" w:hAnsi="Arial" w:cs="Arial"/>
          <w:color w:val="000000" w:themeColor="text1"/>
        </w:rPr>
        <w:t>Иймд</w:t>
      </w:r>
      <w:r w:rsidRPr="0042133D">
        <w:rPr>
          <w:rFonts w:ascii="Arial" w:hAnsi="Arial" w:cs="Arial"/>
          <w:color w:val="000000" w:themeColor="text1"/>
          <w:lang w:val="mn-MN"/>
        </w:rPr>
        <w:t xml:space="preserve"> </w:t>
      </w:r>
      <w:r w:rsidRPr="0042133D">
        <w:rPr>
          <w:rFonts w:ascii="Arial" w:hAnsi="Arial" w:cs="Arial"/>
          <w:color w:val="000000" w:themeColor="text1"/>
        </w:rPr>
        <w:t>нөхөн төлөх шимтгэлийн орлого  шинээр үүсэх тэтгэврийн өнөөгийн үнэ цэнэ</w:t>
      </w:r>
      <w:r w:rsidRPr="0042133D">
        <w:rPr>
          <w:rFonts w:ascii="Arial" w:hAnsi="Arial" w:cs="Arial"/>
          <w:color w:val="000000" w:themeColor="text1"/>
          <w:lang w:val="mn-MN"/>
        </w:rPr>
        <w:t xml:space="preserve"> </w:t>
      </w:r>
      <w:r w:rsidRPr="0042133D">
        <w:rPr>
          <w:rFonts w:ascii="Arial" w:hAnsi="Arial" w:cs="Arial"/>
          <w:color w:val="000000" w:themeColor="text1"/>
        </w:rPr>
        <w:t>гэсэн актуар тооцоог заавал хийх шаардлагатай.</w:t>
      </w:r>
    </w:p>
    <w:p w14:paraId="5D74F5BB" w14:textId="77777777" w:rsidR="0042133D" w:rsidRPr="008C3BA2" w:rsidRDefault="0042133D" w:rsidP="008C3BA2">
      <w:pPr>
        <w:pStyle w:val="Heading2"/>
        <w:rPr>
          <w:rFonts w:ascii="Arial" w:hAnsi="Arial" w:cs="Arial"/>
          <w:sz w:val="24"/>
          <w:szCs w:val="24"/>
        </w:rPr>
      </w:pPr>
      <w:r w:rsidRPr="0042133D">
        <w:rPr>
          <w:rStyle w:val="s1"/>
          <w:rFonts w:ascii="Arial" w:hAnsi="Arial" w:cs="Arial"/>
          <w:sz w:val="24"/>
          <w:szCs w:val="24"/>
        </w:rPr>
        <w:t>5.3. НИЙГЭМД ҮЗҮҮЛЭХ ҮР НӨЛӨӨ</w:t>
      </w:r>
    </w:p>
    <w:tbl>
      <w:tblPr>
        <w:tblStyle w:val="TableGrid"/>
        <w:tblW w:w="9348" w:type="dxa"/>
        <w:tblLook w:val="04A0" w:firstRow="1" w:lastRow="0" w:firstColumn="1" w:lastColumn="0" w:noHBand="0" w:noVBand="1"/>
      </w:tblPr>
      <w:tblGrid>
        <w:gridCol w:w="3113"/>
        <w:gridCol w:w="1425"/>
        <w:gridCol w:w="4810"/>
      </w:tblGrid>
      <w:tr w:rsidR="0042133D" w:rsidRPr="0042133D" w14:paraId="4EE422BF" w14:textId="77777777" w:rsidTr="0042133D">
        <w:tc>
          <w:tcPr>
            <w:tcW w:w="3116" w:type="dxa"/>
            <w:vAlign w:val="center"/>
          </w:tcPr>
          <w:p w14:paraId="6B03FFA4" w14:textId="77777777" w:rsidR="0042133D" w:rsidRPr="0042133D" w:rsidRDefault="0042133D" w:rsidP="0042133D">
            <w:pPr>
              <w:spacing w:before="100" w:beforeAutospacing="1" w:after="100" w:afterAutospacing="1"/>
              <w:jc w:val="center"/>
              <w:rPr>
                <w:rFonts w:ascii="Arial" w:eastAsia="Times New Roman" w:hAnsi="Arial" w:cs="Arial"/>
                <w:b/>
                <w:bCs/>
                <w:kern w:val="0"/>
                <w14:ligatures w14:val="none"/>
              </w:rPr>
            </w:pPr>
            <w:r w:rsidRPr="0042133D">
              <w:rPr>
                <w:rFonts w:ascii="Arial" w:eastAsia="Times New Roman" w:hAnsi="Arial" w:cs="Arial"/>
                <w:b/>
                <w:bCs/>
                <w:kern w:val="0"/>
                <w14:ligatures w14:val="none"/>
              </w:rPr>
              <w:t>Асуулт</w:t>
            </w:r>
          </w:p>
        </w:tc>
        <w:tc>
          <w:tcPr>
            <w:tcW w:w="1415" w:type="dxa"/>
            <w:vAlign w:val="center"/>
          </w:tcPr>
          <w:p w14:paraId="13732853" w14:textId="77777777" w:rsidR="0042133D" w:rsidRPr="0042133D" w:rsidRDefault="0042133D" w:rsidP="0042133D">
            <w:pPr>
              <w:spacing w:before="100" w:beforeAutospacing="1" w:after="100" w:afterAutospacing="1"/>
              <w:jc w:val="center"/>
              <w:rPr>
                <w:rFonts w:ascii="Arial" w:eastAsia="Times New Roman" w:hAnsi="Arial" w:cs="Arial"/>
                <w:b/>
                <w:bCs/>
                <w:kern w:val="0"/>
                <w14:ligatures w14:val="none"/>
              </w:rPr>
            </w:pPr>
            <w:r w:rsidRPr="0042133D">
              <w:rPr>
                <w:rFonts w:ascii="Arial" w:eastAsia="Times New Roman" w:hAnsi="Arial" w:cs="Arial"/>
                <w:b/>
                <w:bCs/>
                <w:kern w:val="0"/>
                <w14:ligatures w14:val="none"/>
              </w:rPr>
              <w:t>Хариулт</w:t>
            </w:r>
          </w:p>
        </w:tc>
        <w:tc>
          <w:tcPr>
            <w:tcW w:w="4817" w:type="dxa"/>
            <w:vAlign w:val="center"/>
          </w:tcPr>
          <w:p w14:paraId="43DEA170" w14:textId="77777777" w:rsidR="0042133D" w:rsidRPr="0042133D" w:rsidRDefault="0042133D" w:rsidP="0042133D">
            <w:pPr>
              <w:spacing w:before="100" w:beforeAutospacing="1" w:after="100" w:afterAutospacing="1"/>
              <w:jc w:val="center"/>
              <w:rPr>
                <w:rFonts w:ascii="Arial" w:eastAsia="Times New Roman" w:hAnsi="Arial" w:cs="Arial"/>
                <w:b/>
                <w:bCs/>
                <w:kern w:val="0"/>
                <w14:ligatures w14:val="none"/>
              </w:rPr>
            </w:pPr>
            <w:r w:rsidRPr="0042133D">
              <w:rPr>
                <w:rFonts w:ascii="Arial" w:eastAsia="Times New Roman" w:hAnsi="Arial" w:cs="Arial"/>
                <w:b/>
                <w:bCs/>
                <w:kern w:val="0"/>
                <w14:ligatures w14:val="none"/>
              </w:rPr>
              <w:t>Тайлбар</w:t>
            </w:r>
          </w:p>
        </w:tc>
      </w:tr>
      <w:tr w:rsidR="0042133D" w:rsidRPr="0042133D" w14:paraId="4AA589C7" w14:textId="77777777" w:rsidTr="0042133D">
        <w:tc>
          <w:tcPr>
            <w:tcW w:w="3116" w:type="dxa"/>
            <w:vAlign w:val="center"/>
          </w:tcPr>
          <w:p w14:paraId="2115EA28"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Нийгмийн хамгааллын хүртээмжид нөлөөлөх эсэх</w:t>
            </w:r>
          </w:p>
        </w:tc>
        <w:tc>
          <w:tcPr>
            <w:tcW w:w="1415" w:type="dxa"/>
            <w:vAlign w:val="center"/>
          </w:tcPr>
          <w:p w14:paraId="60C4C22B"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Тийм</w:t>
            </w:r>
          </w:p>
        </w:tc>
        <w:tc>
          <w:tcPr>
            <w:tcW w:w="4817" w:type="dxa"/>
            <w:vAlign w:val="center"/>
          </w:tcPr>
          <w:p w14:paraId="7759C9F4"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Тэтгэврийн даатгалын хамрагдалтыг нэмэгдүүлнэ.</w:t>
            </w:r>
          </w:p>
        </w:tc>
      </w:tr>
      <w:tr w:rsidR="0042133D" w:rsidRPr="0042133D" w14:paraId="733EBA09" w14:textId="77777777" w:rsidTr="0042133D">
        <w:tc>
          <w:tcPr>
            <w:tcW w:w="3116" w:type="dxa"/>
            <w:vAlign w:val="center"/>
          </w:tcPr>
          <w:p w14:paraId="4BA3861D"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Ахмад настны орлогын баталгаанд нөлөөлөх эсэх</w:t>
            </w:r>
          </w:p>
        </w:tc>
        <w:tc>
          <w:tcPr>
            <w:tcW w:w="1415" w:type="dxa"/>
            <w:vAlign w:val="center"/>
          </w:tcPr>
          <w:p w14:paraId="5B5CD2D0"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Тийм</w:t>
            </w:r>
          </w:p>
        </w:tc>
        <w:tc>
          <w:tcPr>
            <w:tcW w:w="4817" w:type="dxa"/>
            <w:vAlign w:val="center"/>
          </w:tcPr>
          <w:p w14:paraId="13104BF5"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Тэтгэвэр тогтоолгох боломж нэмэгдэнэ.</w:t>
            </w:r>
          </w:p>
        </w:tc>
      </w:tr>
      <w:tr w:rsidR="0042133D" w:rsidRPr="0042133D" w14:paraId="08AD7F8F" w14:textId="77777777" w:rsidTr="0042133D">
        <w:tc>
          <w:tcPr>
            <w:tcW w:w="3116" w:type="dxa"/>
            <w:vAlign w:val="center"/>
          </w:tcPr>
          <w:p w14:paraId="4873E8C6"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Хөдөө орон нутгийн иргэдэд нөлөөлөх эсэх</w:t>
            </w:r>
          </w:p>
        </w:tc>
        <w:tc>
          <w:tcPr>
            <w:tcW w:w="1415" w:type="dxa"/>
            <w:vAlign w:val="center"/>
          </w:tcPr>
          <w:p w14:paraId="21B5D75D"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Тийм</w:t>
            </w:r>
          </w:p>
        </w:tc>
        <w:tc>
          <w:tcPr>
            <w:tcW w:w="4817" w:type="dxa"/>
            <w:vAlign w:val="center"/>
          </w:tcPr>
          <w:p w14:paraId="5813BFAF"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Гол үр шим хүртэгчид нь малчид байна.</w:t>
            </w:r>
          </w:p>
        </w:tc>
      </w:tr>
      <w:tr w:rsidR="0042133D" w:rsidRPr="0042133D" w14:paraId="1B7D5B43" w14:textId="77777777" w:rsidTr="0042133D">
        <w:tc>
          <w:tcPr>
            <w:tcW w:w="3116" w:type="dxa"/>
            <w:vAlign w:val="center"/>
          </w:tcPr>
          <w:p w14:paraId="03034268"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Нийгмийн тэгш бус байдалд сөрөг нөлөө үзүүлэх эсэх</w:t>
            </w:r>
          </w:p>
        </w:tc>
        <w:tc>
          <w:tcPr>
            <w:tcW w:w="1415" w:type="dxa"/>
            <w:vAlign w:val="center"/>
          </w:tcPr>
          <w:p w14:paraId="2F173EC3"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Бага</w:t>
            </w:r>
          </w:p>
        </w:tc>
        <w:tc>
          <w:tcPr>
            <w:tcW w:w="4817" w:type="dxa"/>
            <w:vAlign w:val="center"/>
          </w:tcPr>
          <w:p w14:paraId="29CF9469"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Шалгуурыг тодорхой, нэг мөр тогтоох шаардлагатай.</w:t>
            </w:r>
          </w:p>
        </w:tc>
      </w:tr>
      <w:tr w:rsidR="0042133D" w:rsidRPr="0042133D" w14:paraId="4F0D76B4" w14:textId="77777777" w:rsidTr="0042133D">
        <w:tc>
          <w:tcPr>
            <w:tcW w:w="3116" w:type="dxa"/>
            <w:vAlign w:val="center"/>
          </w:tcPr>
          <w:p w14:paraId="3322C805"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Төрд итгэх итгэлд нөлөөлөх эсэх</w:t>
            </w:r>
          </w:p>
        </w:tc>
        <w:tc>
          <w:tcPr>
            <w:tcW w:w="1415" w:type="dxa"/>
            <w:vAlign w:val="center"/>
          </w:tcPr>
          <w:p w14:paraId="586047E0"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Тийм</w:t>
            </w:r>
          </w:p>
        </w:tc>
        <w:tc>
          <w:tcPr>
            <w:tcW w:w="4817" w:type="dxa"/>
            <w:vAlign w:val="center"/>
          </w:tcPr>
          <w:p w14:paraId="00B230F9"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Баталсан хуулиа төр хэрэгжүүлэх зарчмыг хангах эерэг нөлөөтэй.</w:t>
            </w:r>
          </w:p>
        </w:tc>
      </w:tr>
      <w:tr w:rsidR="0042133D" w:rsidRPr="0042133D" w14:paraId="4EA987E4" w14:textId="77777777" w:rsidTr="0042133D">
        <w:tc>
          <w:tcPr>
            <w:tcW w:w="3116" w:type="dxa"/>
            <w:vAlign w:val="center"/>
          </w:tcPr>
          <w:p w14:paraId="528FC4B6"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lastRenderedPageBreak/>
              <w:t>Хүнд суртал нэмэгдэх эсэх</w:t>
            </w:r>
          </w:p>
        </w:tc>
        <w:tc>
          <w:tcPr>
            <w:tcW w:w="1415" w:type="dxa"/>
            <w:vAlign w:val="center"/>
          </w:tcPr>
          <w:p w14:paraId="707A5FF1"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Болзошгүй</w:t>
            </w:r>
          </w:p>
        </w:tc>
        <w:tc>
          <w:tcPr>
            <w:tcW w:w="4817" w:type="dxa"/>
            <w:vAlign w:val="center"/>
          </w:tcPr>
          <w:p w14:paraId="21BF9AFC"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Малчнаар ажилласан хугацааг олон төрлийн цаасан баримтаар нотлуулах тохиолдолд эрсдэлтэй. Цахим тулгалт хийх шаардлагатай.</w:t>
            </w:r>
          </w:p>
        </w:tc>
      </w:tr>
    </w:tbl>
    <w:p w14:paraId="58CF2791" w14:textId="77777777" w:rsidR="0042133D" w:rsidRPr="0042133D" w:rsidRDefault="0042133D" w:rsidP="008C3BA2">
      <w:pPr>
        <w:jc w:val="both"/>
        <w:rPr>
          <w:rFonts w:ascii="Arial" w:hAnsi="Arial" w:cs="Arial"/>
        </w:rPr>
      </w:pPr>
    </w:p>
    <w:p w14:paraId="1E2DDB8A" w14:textId="77777777" w:rsidR="0042133D" w:rsidRDefault="0042133D" w:rsidP="008C3BA2">
      <w:pPr>
        <w:pStyle w:val="Heading1"/>
        <w:spacing w:before="0" w:beforeAutospacing="0" w:after="0" w:afterAutospacing="0"/>
        <w:ind w:firstLine="567"/>
        <w:jc w:val="center"/>
        <w:rPr>
          <w:rStyle w:val="s1"/>
          <w:rFonts w:ascii="Arial" w:hAnsi="Arial" w:cs="Arial"/>
          <w:sz w:val="24"/>
          <w:szCs w:val="24"/>
        </w:rPr>
      </w:pPr>
      <w:r w:rsidRPr="0042133D">
        <w:rPr>
          <w:rStyle w:val="s1"/>
          <w:rFonts w:ascii="Arial" w:hAnsi="Arial" w:cs="Arial"/>
          <w:sz w:val="24"/>
          <w:szCs w:val="24"/>
        </w:rPr>
        <w:t>ЗУРГАА. ХЭРЭГЖИЛТИЙН ЭРСДЭЛ</w:t>
      </w:r>
    </w:p>
    <w:p w14:paraId="604C0C41" w14:textId="77777777" w:rsidR="008C3BA2" w:rsidRPr="0042133D" w:rsidRDefault="008C3BA2" w:rsidP="0042133D">
      <w:pPr>
        <w:pStyle w:val="Heading1"/>
        <w:spacing w:before="0" w:beforeAutospacing="0" w:after="0" w:afterAutospacing="0"/>
        <w:ind w:firstLine="567"/>
        <w:jc w:val="both"/>
        <w:rPr>
          <w:rFonts w:ascii="Arial" w:hAnsi="Arial" w:cs="Arial"/>
          <w:sz w:val="24"/>
          <w:szCs w:val="24"/>
        </w:rPr>
      </w:pPr>
    </w:p>
    <w:p w14:paraId="607F129F" w14:textId="77777777" w:rsidR="0042133D" w:rsidRPr="0042133D" w:rsidRDefault="0042133D" w:rsidP="0042133D">
      <w:pPr>
        <w:pStyle w:val="p2"/>
        <w:spacing w:before="0" w:beforeAutospacing="0" w:after="0" w:afterAutospacing="0"/>
        <w:ind w:firstLine="567"/>
        <w:jc w:val="both"/>
        <w:rPr>
          <w:rFonts w:ascii="Arial" w:hAnsi="Arial" w:cs="Arial"/>
        </w:rPr>
      </w:pPr>
      <w:r w:rsidRPr="0042133D">
        <w:rPr>
          <w:rFonts w:ascii="Arial" w:hAnsi="Arial" w:cs="Arial"/>
        </w:rPr>
        <w:t>Хуулийн хугацааг дангаар сунгах нь асуудлыг автоматаар шийдвэрлэхгүй.</w:t>
      </w:r>
      <w:r>
        <w:rPr>
          <w:rFonts w:ascii="Arial" w:hAnsi="Arial" w:cs="Arial"/>
          <w:lang w:val="mn-MN"/>
        </w:rPr>
        <w:t xml:space="preserve"> </w:t>
      </w:r>
      <w:r w:rsidRPr="0042133D">
        <w:rPr>
          <w:rFonts w:ascii="Arial" w:hAnsi="Arial" w:cs="Arial"/>
        </w:rPr>
        <w:t>Дараах нөхцөлийг зэрэг хангасан байх шаардлагатай</w:t>
      </w:r>
      <w:r>
        <w:rPr>
          <w:rFonts w:ascii="Arial" w:hAnsi="Arial" w:cs="Arial"/>
          <w:lang w:val="mn-MN"/>
        </w:rPr>
        <w:t>. Үүнд</w:t>
      </w:r>
      <w:r w:rsidRPr="0042133D">
        <w:rPr>
          <w:rFonts w:ascii="Arial" w:hAnsi="Arial" w:cs="Arial"/>
        </w:rPr>
        <w:t>:</w:t>
      </w:r>
    </w:p>
    <w:p w14:paraId="05FA4504"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Засгийн газрын журмыг хууль хүчин төгөлдөр болохтой зэрэгцүүлэн батлах;</w:t>
      </w:r>
    </w:p>
    <w:p w14:paraId="6D366977"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хамрагдах иргэдийн тоог урьдчилан тогтоох;</w:t>
      </w:r>
    </w:p>
    <w:p w14:paraId="5B78F137"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малчнаар ажилласан хугацааг нотлох мэдээллийн эх сурвалжийг тодорхой болгох;</w:t>
      </w:r>
    </w:p>
    <w:p w14:paraId="49CAB5E7"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нөхөн төлөх дээд хугацааг тогтоох;</w:t>
      </w:r>
    </w:p>
    <w:p w14:paraId="00B1407B"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шимтгэл тооцох суурь, хувь хэмжээг тодорхой болгох;</w:t>
      </w:r>
    </w:p>
    <w:p w14:paraId="2B034ED4"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улсын төсөв болон Нийгмийн даатгалын сангаас гарах зардлыг тооцох;</w:t>
      </w:r>
    </w:p>
    <w:p w14:paraId="38F3F1EF"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хүсэлт шийдвэрлэх эцсийн хугацааг тогтоох;</w:t>
      </w:r>
    </w:p>
    <w:p w14:paraId="019537C8"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мэдээллийн сангийн цахим тулгалтыг хэрэгжүүлэх;</w:t>
      </w:r>
    </w:p>
    <w:p w14:paraId="54899646"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давхар нөхөн төлөлт, хуурамч баримтаас сэргийлэх хяналт бий болгох.</w:t>
      </w:r>
    </w:p>
    <w:p w14:paraId="3D56D220" w14:textId="77777777" w:rsidR="0042133D" w:rsidRPr="0042133D" w:rsidRDefault="0042133D" w:rsidP="0042133D">
      <w:pPr>
        <w:ind w:firstLine="567"/>
        <w:jc w:val="both"/>
        <w:rPr>
          <w:rFonts w:ascii="Arial" w:hAnsi="Arial" w:cs="Arial"/>
        </w:rPr>
      </w:pPr>
    </w:p>
    <w:p w14:paraId="46C7DAA2" w14:textId="77777777" w:rsidR="0042133D" w:rsidRDefault="0042133D" w:rsidP="008C3BA2">
      <w:pPr>
        <w:pStyle w:val="Heading1"/>
        <w:spacing w:before="0" w:beforeAutospacing="0" w:after="0" w:afterAutospacing="0"/>
        <w:ind w:firstLine="567"/>
        <w:jc w:val="center"/>
        <w:rPr>
          <w:rStyle w:val="s1"/>
          <w:rFonts w:ascii="Arial" w:hAnsi="Arial" w:cs="Arial"/>
          <w:sz w:val="24"/>
          <w:szCs w:val="24"/>
          <w:lang w:val="mn-MN"/>
        </w:rPr>
      </w:pPr>
      <w:r w:rsidRPr="0042133D">
        <w:rPr>
          <w:rStyle w:val="s1"/>
          <w:rFonts w:ascii="Arial" w:hAnsi="Arial" w:cs="Arial"/>
          <w:sz w:val="24"/>
          <w:szCs w:val="24"/>
        </w:rPr>
        <w:t>ДОЛОО. ЗӨВЛӨМ</w:t>
      </w:r>
      <w:r>
        <w:rPr>
          <w:rStyle w:val="s1"/>
          <w:rFonts w:ascii="Arial" w:hAnsi="Arial" w:cs="Arial"/>
          <w:sz w:val="24"/>
          <w:szCs w:val="24"/>
          <w:lang w:val="mn-MN"/>
        </w:rPr>
        <w:t>Ж</w:t>
      </w:r>
    </w:p>
    <w:p w14:paraId="7C1B5DDA" w14:textId="77777777" w:rsidR="0042133D" w:rsidRPr="0042133D" w:rsidRDefault="0042133D" w:rsidP="0042133D">
      <w:pPr>
        <w:pStyle w:val="Heading1"/>
        <w:spacing w:before="0" w:beforeAutospacing="0" w:after="0" w:afterAutospacing="0"/>
        <w:ind w:firstLine="567"/>
        <w:jc w:val="both"/>
        <w:rPr>
          <w:rFonts w:ascii="Arial" w:hAnsi="Arial" w:cs="Arial"/>
          <w:sz w:val="24"/>
          <w:szCs w:val="24"/>
          <w:lang w:val="mn-MN"/>
        </w:rPr>
      </w:pPr>
    </w:p>
    <w:p w14:paraId="40EC6EB4" w14:textId="77777777" w:rsidR="0042133D" w:rsidRPr="0042133D" w:rsidRDefault="0042133D" w:rsidP="0042133D">
      <w:pPr>
        <w:pStyle w:val="Heading3"/>
        <w:spacing w:before="0"/>
        <w:ind w:firstLine="567"/>
        <w:jc w:val="both"/>
        <w:rPr>
          <w:rFonts w:ascii="Arial" w:hAnsi="Arial" w:cs="Arial"/>
          <w:color w:val="000000" w:themeColor="text1"/>
        </w:rPr>
      </w:pPr>
      <w:r w:rsidRPr="0042133D">
        <w:rPr>
          <w:rStyle w:val="s1"/>
          <w:rFonts w:ascii="Arial" w:hAnsi="Arial" w:cs="Arial"/>
          <w:color w:val="000000" w:themeColor="text1"/>
        </w:rPr>
        <w:t>1. Хугацааны бодит боломжийг дахин нягтлах</w:t>
      </w:r>
    </w:p>
    <w:p w14:paraId="495FC8A1" w14:textId="77777777" w:rsidR="0042133D" w:rsidRPr="0042133D" w:rsidRDefault="0042133D" w:rsidP="0042133D">
      <w:pPr>
        <w:pStyle w:val="p2"/>
        <w:spacing w:before="0" w:beforeAutospacing="0" w:after="0" w:afterAutospacing="0"/>
        <w:ind w:firstLine="567"/>
        <w:jc w:val="both"/>
        <w:rPr>
          <w:rFonts w:ascii="Arial" w:hAnsi="Arial" w:cs="Arial"/>
          <w:color w:val="000000" w:themeColor="text1"/>
        </w:rPr>
      </w:pPr>
      <w:r w:rsidRPr="0042133D">
        <w:rPr>
          <w:rFonts w:ascii="Arial" w:hAnsi="Arial" w:cs="Arial"/>
          <w:color w:val="000000" w:themeColor="text1"/>
        </w:rPr>
        <w:t>Хуулийн төслийг 2026 оны сүүлийн хагаст батлах нөхцөлд 2028 оны 01 дүгээр сарын 01 хүртэлх хугацаа харьцангуй богино байна.</w:t>
      </w:r>
    </w:p>
    <w:p w14:paraId="7AA0AF23" w14:textId="77777777" w:rsidR="0042133D" w:rsidRPr="0042133D" w:rsidRDefault="0042133D" w:rsidP="0042133D">
      <w:pPr>
        <w:pStyle w:val="p2"/>
        <w:spacing w:before="0" w:beforeAutospacing="0" w:after="0" w:afterAutospacing="0"/>
        <w:ind w:firstLine="567"/>
        <w:jc w:val="both"/>
        <w:rPr>
          <w:rFonts w:ascii="Arial" w:hAnsi="Arial" w:cs="Arial"/>
          <w:color w:val="000000" w:themeColor="text1"/>
        </w:rPr>
      </w:pPr>
      <w:r w:rsidRPr="0042133D">
        <w:rPr>
          <w:rFonts w:ascii="Arial" w:hAnsi="Arial" w:cs="Arial"/>
          <w:color w:val="000000" w:themeColor="text1"/>
        </w:rPr>
        <w:t xml:space="preserve">Журам батлах, мэдээллийн систем бэлтгэх, малчдад мэдээлэл хүргэх, хүсэлт хүлээн авах ажиллагааг бодитоор тооцож </w:t>
      </w:r>
      <w:r w:rsidRPr="0042133D">
        <w:rPr>
          <w:rStyle w:val="s1"/>
          <w:rFonts w:ascii="Arial" w:hAnsi="Arial" w:cs="Arial"/>
          <w:color w:val="000000" w:themeColor="text1"/>
        </w:rPr>
        <w:t>2028 оны 01 дүгээр сарын 01 гэсэн эцсийн хугацаа хангалттай эсэхийг</w:t>
      </w:r>
      <w:r w:rsidRPr="0042133D">
        <w:rPr>
          <w:rFonts w:ascii="Arial" w:hAnsi="Arial" w:cs="Arial"/>
          <w:color w:val="000000" w:themeColor="text1"/>
        </w:rPr>
        <w:t xml:space="preserve"> дахин үнэлэх нь зүйтэй.</w:t>
      </w:r>
    </w:p>
    <w:p w14:paraId="016BCC14" w14:textId="77777777" w:rsidR="0042133D" w:rsidRPr="0042133D" w:rsidRDefault="0042133D" w:rsidP="0042133D">
      <w:pPr>
        <w:pStyle w:val="Heading3"/>
        <w:spacing w:before="0"/>
        <w:ind w:firstLine="567"/>
        <w:jc w:val="both"/>
        <w:rPr>
          <w:rFonts w:ascii="Arial" w:hAnsi="Arial" w:cs="Arial"/>
          <w:color w:val="000000" w:themeColor="text1"/>
        </w:rPr>
      </w:pPr>
      <w:r w:rsidRPr="0042133D">
        <w:rPr>
          <w:rStyle w:val="s1"/>
          <w:rFonts w:ascii="Arial" w:hAnsi="Arial" w:cs="Arial"/>
          <w:color w:val="000000" w:themeColor="text1"/>
        </w:rPr>
        <w:t>2. Журам батлах тодорхой хугацаа тогтоох</w:t>
      </w:r>
    </w:p>
    <w:p w14:paraId="1F80C035" w14:textId="77777777" w:rsidR="0042133D" w:rsidRPr="0042133D" w:rsidRDefault="0042133D" w:rsidP="0042133D">
      <w:pPr>
        <w:pStyle w:val="p2"/>
        <w:spacing w:before="0" w:beforeAutospacing="0" w:after="0" w:afterAutospacing="0"/>
        <w:ind w:firstLine="567"/>
        <w:jc w:val="both"/>
        <w:rPr>
          <w:rFonts w:ascii="Arial" w:hAnsi="Arial" w:cs="Arial"/>
          <w:color w:val="000000" w:themeColor="text1"/>
        </w:rPr>
      </w:pPr>
      <w:r w:rsidRPr="0042133D">
        <w:rPr>
          <w:rFonts w:ascii="Arial" w:hAnsi="Arial" w:cs="Arial"/>
          <w:color w:val="000000" w:themeColor="text1"/>
        </w:rPr>
        <w:t>Өмнөх хэрэгжилтийн алдаа дахин гарахаас сэргийлж, Засгийн газарт журмыг тодорхой хугацаанд батлах даалгаврыг дагаж мөрдөх арга хэмжээний хүрээнд тусгах шаардлагатай.</w:t>
      </w:r>
    </w:p>
    <w:p w14:paraId="295A79CA" w14:textId="77777777" w:rsidR="0042133D" w:rsidRPr="0042133D" w:rsidRDefault="0042133D" w:rsidP="0042133D">
      <w:pPr>
        <w:pStyle w:val="Heading3"/>
        <w:spacing w:before="0"/>
        <w:ind w:firstLine="567"/>
        <w:jc w:val="both"/>
        <w:rPr>
          <w:rFonts w:ascii="Arial" w:hAnsi="Arial" w:cs="Arial"/>
          <w:color w:val="000000" w:themeColor="text1"/>
        </w:rPr>
      </w:pPr>
      <w:r w:rsidRPr="0042133D">
        <w:rPr>
          <w:rStyle w:val="s1"/>
          <w:rFonts w:ascii="Arial" w:hAnsi="Arial" w:cs="Arial"/>
          <w:color w:val="000000" w:themeColor="text1"/>
        </w:rPr>
        <w:t>3. Актуар тооцоог хууль хэлэлцэхээс өмнө гаргах</w:t>
      </w:r>
    </w:p>
    <w:p w14:paraId="0EFEF2C5" w14:textId="77777777" w:rsidR="0042133D" w:rsidRPr="0042133D" w:rsidRDefault="0042133D" w:rsidP="0042133D">
      <w:pPr>
        <w:pStyle w:val="p3"/>
        <w:spacing w:before="0" w:beforeAutospacing="0" w:after="0" w:afterAutospacing="0"/>
        <w:ind w:firstLine="567"/>
        <w:jc w:val="both"/>
        <w:rPr>
          <w:rFonts w:ascii="Arial" w:hAnsi="Arial" w:cs="Arial"/>
          <w:color w:val="000000" w:themeColor="text1"/>
        </w:rPr>
      </w:pPr>
      <w:r w:rsidRPr="0042133D">
        <w:rPr>
          <w:rFonts w:ascii="Arial" w:hAnsi="Arial" w:cs="Arial"/>
          <w:color w:val="000000" w:themeColor="text1"/>
        </w:rPr>
        <w:t>Зөвхөн “30</w:t>
      </w:r>
      <w:r w:rsidRPr="0042133D">
        <w:rPr>
          <w:rFonts w:ascii="Arial" w:hAnsi="Arial" w:cs="Arial"/>
          <w:color w:val="000000" w:themeColor="text1"/>
          <w:lang w:val="mn-MN"/>
        </w:rPr>
        <w:t>-</w:t>
      </w:r>
      <w:r w:rsidRPr="0042133D">
        <w:rPr>
          <w:rFonts w:ascii="Arial" w:hAnsi="Arial" w:cs="Arial"/>
          <w:color w:val="000000" w:themeColor="text1"/>
        </w:rPr>
        <w:t>40 тэрбум төгрөг шаардлагатай” гэсэн ерөнхий дүнгээр хязгаарлах бус:</w:t>
      </w:r>
    </w:p>
    <w:p w14:paraId="65B42A1F" w14:textId="77777777" w:rsidR="0042133D" w:rsidRPr="0042133D" w:rsidRDefault="0042133D" w:rsidP="0042133D">
      <w:pPr>
        <w:pStyle w:val="ListParagraph"/>
        <w:numPr>
          <w:ilvl w:val="0"/>
          <w:numId w:val="3"/>
        </w:numPr>
        <w:jc w:val="both"/>
        <w:rPr>
          <w:rFonts w:ascii="Arial" w:hAnsi="Arial" w:cs="Arial"/>
          <w:color w:val="000000" w:themeColor="text1"/>
        </w:rPr>
      </w:pPr>
      <w:r w:rsidRPr="0042133D">
        <w:rPr>
          <w:rFonts w:ascii="Arial" w:hAnsi="Arial" w:cs="Arial"/>
          <w:color w:val="000000" w:themeColor="text1"/>
        </w:rPr>
        <w:t>хамрагдах хүний тоо;</w:t>
      </w:r>
    </w:p>
    <w:p w14:paraId="4BC0D272" w14:textId="77777777" w:rsidR="0042133D" w:rsidRPr="0042133D" w:rsidRDefault="0042133D" w:rsidP="0042133D">
      <w:pPr>
        <w:pStyle w:val="ListParagraph"/>
        <w:numPr>
          <w:ilvl w:val="0"/>
          <w:numId w:val="3"/>
        </w:numPr>
        <w:jc w:val="both"/>
        <w:rPr>
          <w:rFonts w:ascii="Arial" w:hAnsi="Arial" w:cs="Arial"/>
          <w:color w:val="000000" w:themeColor="text1"/>
        </w:rPr>
      </w:pPr>
      <w:r w:rsidRPr="0042133D">
        <w:rPr>
          <w:rFonts w:ascii="Arial" w:hAnsi="Arial" w:cs="Arial"/>
          <w:color w:val="000000" w:themeColor="text1"/>
        </w:rPr>
        <w:t>насны бүтэц;</w:t>
      </w:r>
    </w:p>
    <w:p w14:paraId="3F564637" w14:textId="77777777" w:rsidR="0042133D" w:rsidRPr="0042133D" w:rsidRDefault="0042133D" w:rsidP="0042133D">
      <w:pPr>
        <w:pStyle w:val="ListParagraph"/>
        <w:numPr>
          <w:ilvl w:val="0"/>
          <w:numId w:val="3"/>
        </w:numPr>
        <w:jc w:val="both"/>
        <w:rPr>
          <w:rFonts w:ascii="Arial" w:hAnsi="Arial" w:cs="Arial"/>
          <w:color w:val="000000" w:themeColor="text1"/>
        </w:rPr>
      </w:pPr>
      <w:r w:rsidRPr="0042133D">
        <w:rPr>
          <w:rFonts w:ascii="Arial" w:hAnsi="Arial" w:cs="Arial"/>
          <w:color w:val="000000" w:themeColor="text1"/>
        </w:rPr>
        <w:t>нөхөн төлөх сарын дундаж;</w:t>
      </w:r>
    </w:p>
    <w:p w14:paraId="6BD08DE9" w14:textId="77777777" w:rsidR="0042133D" w:rsidRPr="0042133D" w:rsidRDefault="0042133D" w:rsidP="0042133D">
      <w:pPr>
        <w:pStyle w:val="ListParagraph"/>
        <w:numPr>
          <w:ilvl w:val="0"/>
          <w:numId w:val="3"/>
        </w:numPr>
        <w:jc w:val="both"/>
        <w:rPr>
          <w:rFonts w:ascii="Arial" w:hAnsi="Arial" w:cs="Arial"/>
          <w:color w:val="000000" w:themeColor="text1"/>
        </w:rPr>
      </w:pPr>
      <w:r w:rsidRPr="0042133D">
        <w:rPr>
          <w:rFonts w:ascii="Arial" w:hAnsi="Arial" w:cs="Arial"/>
          <w:color w:val="000000" w:themeColor="text1"/>
        </w:rPr>
        <w:t>орж ирэх шимтгэл;</w:t>
      </w:r>
    </w:p>
    <w:p w14:paraId="3AE10CFF" w14:textId="77777777" w:rsidR="0042133D" w:rsidRPr="0042133D" w:rsidRDefault="0042133D" w:rsidP="0042133D">
      <w:pPr>
        <w:pStyle w:val="ListParagraph"/>
        <w:numPr>
          <w:ilvl w:val="0"/>
          <w:numId w:val="3"/>
        </w:numPr>
        <w:jc w:val="both"/>
        <w:rPr>
          <w:rFonts w:ascii="Arial" w:hAnsi="Arial" w:cs="Arial"/>
          <w:color w:val="000000" w:themeColor="text1"/>
        </w:rPr>
      </w:pPr>
      <w:r w:rsidRPr="0042133D">
        <w:rPr>
          <w:rFonts w:ascii="Arial" w:hAnsi="Arial" w:cs="Arial"/>
          <w:color w:val="000000" w:themeColor="text1"/>
        </w:rPr>
        <w:t>шинээр тэтгэвэр тогтоолгох хүний тоо;</w:t>
      </w:r>
    </w:p>
    <w:p w14:paraId="66BC5519" w14:textId="77777777" w:rsidR="0042133D" w:rsidRPr="0042133D" w:rsidRDefault="0042133D" w:rsidP="0042133D">
      <w:pPr>
        <w:pStyle w:val="ListParagraph"/>
        <w:numPr>
          <w:ilvl w:val="0"/>
          <w:numId w:val="3"/>
        </w:numPr>
        <w:jc w:val="both"/>
        <w:rPr>
          <w:rFonts w:ascii="Arial" w:hAnsi="Arial" w:cs="Arial"/>
          <w:color w:val="000000" w:themeColor="text1"/>
        </w:rPr>
      </w:pPr>
      <w:r w:rsidRPr="0042133D">
        <w:rPr>
          <w:rFonts w:ascii="Arial" w:hAnsi="Arial" w:cs="Arial"/>
          <w:color w:val="000000" w:themeColor="text1"/>
        </w:rPr>
        <w:t>5, 10, 20 жилийн тэтгэврийн үүрэг</w:t>
      </w:r>
      <w:r w:rsidRPr="0042133D">
        <w:rPr>
          <w:rFonts w:ascii="Arial" w:hAnsi="Arial" w:cs="Arial"/>
          <w:color w:val="000000" w:themeColor="text1"/>
          <w:lang w:val="mn-MN"/>
        </w:rPr>
        <w:t xml:space="preserve"> </w:t>
      </w:r>
      <w:r w:rsidRPr="0042133D">
        <w:rPr>
          <w:rFonts w:ascii="Arial" w:hAnsi="Arial" w:cs="Arial"/>
          <w:color w:val="000000" w:themeColor="text1"/>
        </w:rPr>
        <w:t>гэсэн тооцоог гаргах шаардлагатай.</w:t>
      </w:r>
    </w:p>
    <w:p w14:paraId="62197E57" w14:textId="77777777" w:rsidR="0042133D" w:rsidRPr="0042133D" w:rsidRDefault="0042133D" w:rsidP="0042133D">
      <w:pPr>
        <w:pStyle w:val="Heading3"/>
        <w:spacing w:before="0"/>
        <w:ind w:firstLine="567"/>
        <w:jc w:val="both"/>
        <w:rPr>
          <w:rFonts w:ascii="Arial" w:hAnsi="Arial" w:cs="Arial"/>
          <w:color w:val="000000" w:themeColor="text1"/>
        </w:rPr>
      </w:pPr>
      <w:r w:rsidRPr="0042133D">
        <w:rPr>
          <w:rStyle w:val="s1"/>
          <w:rFonts w:ascii="Arial" w:hAnsi="Arial" w:cs="Arial"/>
          <w:color w:val="000000" w:themeColor="text1"/>
        </w:rPr>
        <w:t>4. Нөхөн төлөлтийг халамжтай андуурахгүй тодорхойлох</w:t>
      </w:r>
    </w:p>
    <w:p w14:paraId="0710BCC8" w14:textId="77777777" w:rsidR="0042133D" w:rsidRPr="0042133D" w:rsidRDefault="0042133D" w:rsidP="0042133D">
      <w:pPr>
        <w:pStyle w:val="p4"/>
        <w:spacing w:before="0" w:beforeAutospacing="0" w:after="0" w:afterAutospacing="0"/>
        <w:ind w:firstLine="567"/>
        <w:jc w:val="both"/>
        <w:rPr>
          <w:rFonts w:ascii="Arial" w:hAnsi="Arial" w:cs="Arial"/>
          <w:color w:val="000000" w:themeColor="text1"/>
        </w:rPr>
      </w:pPr>
      <w:r w:rsidRPr="0042133D">
        <w:rPr>
          <w:rFonts w:ascii="Arial" w:hAnsi="Arial" w:cs="Arial"/>
          <w:color w:val="000000" w:themeColor="text1"/>
        </w:rPr>
        <w:t xml:space="preserve">Хуулийн төсөл нь нийгмийн халамжийн шинэ төрөл биш. Гэхдээ нөхөн төлөлт тэтгэвэр авах эрхийг бүрдүүлж, тэтгэврийн сангийн ирээдүйн зарлагыг нэмэгдүүлж болох тул </w:t>
      </w:r>
      <w:r w:rsidRPr="0042133D">
        <w:rPr>
          <w:rStyle w:val="s1"/>
          <w:rFonts w:ascii="Arial" w:hAnsi="Arial" w:cs="Arial"/>
          <w:color w:val="000000" w:themeColor="text1"/>
        </w:rPr>
        <w:t>“төсөвт огт зардалгүй”</w:t>
      </w:r>
      <w:r w:rsidRPr="0042133D">
        <w:rPr>
          <w:rFonts w:ascii="Arial" w:hAnsi="Arial" w:cs="Arial"/>
          <w:color w:val="000000" w:themeColor="text1"/>
        </w:rPr>
        <w:t xml:space="preserve"> гэж томьёолох нь буруу.</w:t>
      </w:r>
    </w:p>
    <w:p w14:paraId="2826EAB9" w14:textId="77777777" w:rsidR="0042133D" w:rsidRPr="0042133D" w:rsidRDefault="0042133D" w:rsidP="0042133D">
      <w:pPr>
        <w:ind w:firstLine="567"/>
        <w:jc w:val="both"/>
        <w:rPr>
          <w:rFonts w:ascii="Arial" w:hAnsi="Arial" w:cs="Arial"/>
        </w:rPr>
      </w:pPr>
    </w:p>
    <w:p w14:paraId="7807792B" w14:textId="77777777" w:rsidR="0042133D" w:rsidRDefault="0042133D" w:rsidP="008C3BA2">
      <w:pPr>
        <w:pStyle w:val="Heading1"/>
        <w:spacing w:before="0" w:beforeAutospacing="0" w:after="0" w:afterAutospacing="0"/>
        <w:ind w:firstLine="567"/>
        <w:jc w:val="center"/>
        <w:rPr>
          <w:rStyle w:val="s1"/>
          <w:rFonts w:ascii="Arial" w:hAnsi="Arial" w:cs="Arial"/>
          <w:sz w:val="24"/>
          <w:szCs w:val="24"/>
        </w:rPr>
      </w:pPr>
      <w:r w:rsidRPr="0042133D">
        <w:rPr>
          <w:rStyle w:val="s1"/>
          <w:rFonts w:ascii="Arial" w:hAnsi="Arial" w:cs="Arial"/>
          <w:sz w:val="24"/>
          <w:szCs w:val="24"/>
        </w:rPr>
        <w:lastRenderedPageBreak/>
        <w:t>НАЙМ. ДҮГНЭЛТ</w:t>
      </w:r>
    </w:p>
    <w:p w14:paraId="51C06F24" w14:textId="77777777" w:rsidR="0042133D" w:rsidRPr="0042133D" w:rsidRDefault="0042133D" w:rsidP="0042133D">
      <w:pPr>
        <w:pStyle w:val="Heading1"/>
        <w:spacing w:before="0" w:beforeAutospacing="0" w:after="0" w:afterAutospacing="0"/>
        <w:ind w:firstLine="567"/>
        <w:jc w:val="both"/>
        <w:rPr>
          <w:rFonts w:ascii="Arial" w:hAnsi="Arial" w:cs="Arial"/>
          <w:sz w:val="24"/>
          <w:szCs w:val="24"/>
        </w:rPr>
      </w:pPr>
    </w:p>
    <w:p w14:paraId="5E74901E" w14:textId="77777777" w:rsidR="0042133D" w:rsidRPr="0042133D" w:rsidRDefault="0042133D" w:rsidP="0042133D">
      <w:pPr>
        <w:pStyle w:val="p2"/>
        <w:spacing w:before="0" w:beforeAutospacing="0" w:after="0" w:afterAutospacing="0"/>
        <w:ind w:firstLine="567"/>
        <w:jc w:val="both"/>
        <w:rPr>
          <w:rFonts w:ascii="Arial" w:hAnsi="Arial" w:cs="Arial"/>
        </w:rPr>
      </w:pPr>
      <w:r w:rsidRPr="0042133D">
        <w:rPr>
          <w:rFonts w:ascii="Arial" w:hAnsi="Arial" w:cs="Arial"/>
        </w:rPr>
        <w:t>Малчны тухай хуулийн 4.2.9 дэх заалт нь Улсын Их Хурлаас нэгэнт батлагдсан боловч Засгийн газрын журам болон санхүүгийн нөхцөл хугацаанд нь бүрдээгүйгээс бодитоор хэрэгжээгүй байна.</w:t>
      </w:r>
      <w:r>
        <w:rPr>
          <w:rFonts w:ascii="Arial" w:hAnsi="Arial" w:cs="Arial"/>
          <w:lang w:val="mn-MN"/>
        </w:rPr>
        <w:t xml:space="preserve"> </w:t>
      </w:r>
      <w:r w:rsidRPr="0042133D">
        <w:rPr>
          <w:rFonts w:ascii="Arial" w:hAnsi="Arial" w:cs="Arial"/>
        </w:rPr>
        <w:t>Энэ нөхцөл нь малчны буруутай үйл ажиллагаанаас бус, төрийн байгууллагын хэрэгжилтийн бэлтгэл хангагдаагүйтэй холбоотой.</w:t>
      </w:r>
      <w:r>
        <w:rPr>
          <w:rFonts w:ascii="Arial" w:hAnsi="Arial" w:cs="Arial"/>
          <w:lang w:val="mn-MN"/>
        </w:rPr>
        <w:t xml:space="preserve"> </w:t>
      </w:r>
      <w:r w:rsidRPr="0042133D">
        <w:rPr>
          <w:rFonts w:ascii="Arial" w:hAnsi="Arial" w:cs="Arial"/>
        </w:rPr>
        <w:t>Иймд Малчны тухай хуулийн 16.1 дэх хэсэгт заасан хугацааг өөрчлөх замаар өмнө нь олгосон эрх зүйн боломжийг сэргээх нь шаардлагатай бөгөөд асуудлыг зохицуулах хамгийн шууд, эрх зүйн хувьд зохистой хувилбар гэж дүгнэв.</w:t>
      </w:r>
    </w:p>
    <w:p w14:paraId="38C9B926" w14:textId="77777777" w:rsidR="0042133D" w:rsidRPr="0042133D" w:rsidRDefault="0042133D" w:rsidP="0042133D">
      <w:pPr>
        <w:pStyle w:val="p2"/>
        <w:spacing w:before="0" w:beforeAutospacing="0" w:after="0" w:afterAutospacing="0"/>
        <w:ind w:firstLine="567"/>
        <w:jc w:val="both"/>
        <w:rPr>
          <w:rFonts w:ascii="Arial" w:hAnsi="Arial" w:cs="Arial"/>
        </w:rPr>
      </w:pPr>
      <w:r w:rsidRPr="0042133D">
        <w:rPr>
          <w:rFonts w:ascii="Arial" w:hAnsi="Arial" w:cs="Arial"/>
        </w:rPr>
        <w:t>Харин хуулийн өөрчлөлтийн үр дүн нь зөвхөн хугацаа сунгаснаар бус, Засгийн газрын журам, санхүүжилт, актуар тооцоо, мэдээллийн системийг зэрэг бэлэн болгосноор хангагдана.</w:t>
      </w:r>
      <w:r>
        <w:rPr>
          <w:rFonts w:ascii="Arial" w:hAnsi="Arial" w:cs="Arial"/>
          <w:lang w:val="mn-MN"/>
        </w:rPr>
        <w:t xml:space="preserve"> </w:t>
      </w:r>
      <w:r w:rsidRPr="0042133D">
        <w:rPr>
          <w:rFonts w:ascii="Arial" w:hAnsi="Arial" w:cs="Arial"/>
        </w:rPr>
        <w:t>Энэхүү өөрчлөлтийн үндсэн зарчим нь:</w:t>
      </w:r>
      <w:r w:rsidRPr="0042133D">
        <w:rPr>
          <w:rFonts w:ascii="Arial" w:hAnsi="Arial" w:cs="Arial"/>
          <w:lang w:val="mn-MN"/>
        </w:rPr>
        <w:t xml:space="preserve"> </w:t>
      </w:r>
      <w:r w:rsidRPr="0042133D">
        <w:rPr>
          <w:rFonts w:ascii="Arial" w:hAnsi="Arial" w:cs="Arial"/>
        </w:rPr>
        <w:t>“Төрийн хэрэгжилтийн хоцрогдлын үр дагаврыг малчин үүрэх ёсгүй.”</w:t>
      </w:r>
    </w:p>
    <w:p w14:paraId="2DD0B003" w14:textId="77777777" w:rsidR="0042133D" w:rsidRPr="0042133D" w:rsidRDefault="0042133D" w:rsidP="0042133D">
      <w:pPr>
        <w:pStyle w:val="p5"/>
        <w:spacing w:before="0" w:beforeAutospacing="0" w:after="0" w:afterAutospacing="0"/>
        <w:ind w:firstLine="567"/>
        <w:jc w:val="both"/>
        <w:rPr>
          <w:rFonts w:ascii="Arial" w:hAnsi="Arial" w:cs="Arial"/>
        </w:rPr>
      </w:pPr>
    </w:p>
    <w:p w14:paraId="39FD2853" w14:textId="77777777" w:rsidR="0042133D" w:rsidRDefault="0042133D"/>
    <w:p w14:paraId="4000CBB3" w14:textId="77777777" w:rsidR="002E6969" w:rsidRDefault="002E6969"/>
    <w:p w14:paraId="799359CE" w14:textId="77777777" w:rsidR="002E6969" w:rsidRDefault="002E6969"/>
    <w:p w14:paraId="24E9347D" w14:textId="77777777" w:rsidR="002E6969" w:rsidRDefault="002E6969"/>
    <w:p w14:paraId="218F749B" w14:textId="77777777" w:rsidR="002E6969" w:rsidRDefault="002E6969"/>
    <w:p w14:paraId="177925F1" w14:textId="77777777" w:rsidR="002E6969" w:rsidRPr="006F64C6" w:rsidRDefault="002E6969" w:rsidP="002E6969">
      <w:pPr>
        <w:spacing w:line="360" w:lineRule="atLeast"/>
        <w:ind w:firstLine="567"/>
        <w:jc w:val="both"/>
        <w:rPr>
          <w:rFonts w:ascii="Arial" w:hAnsi="Arial" w:cs="Arial"/>
          <w:color w:val="000000"/>
        </w:rPr>
      </w:pPr>
      <w:r w:rsidRPr="006F64C6">
        <w:rPr>
          <w:rFonts w:ascii="Arial" w:hAnsi="Arial" w:cs="Arial"/>
          <w:color w:val="000000"/>
          <w:lang w:val="mn-MN"/>
        </w:rPr>
        <w:t>                                                          </w:t>
      </w:r>
      <w:r w:rsidRPr="006F64C6">
        <w:rPr>
          <w:rStyle w:val="mceitemhidden"/>
          <w:rFonts w:ascii="Arial" w:eastAsiaTheme="majorEastAsia" w:hAnsi="Arial" w:cs="Arial"/>
          <w:color w:val="000000"/>
          <w:lang w:val="mn-MN"/>
        </w:rPr>
        <w:t>--- </w:t>
      </w:r>
      <w:r w:rsidRPr="006F64C6">
        <w:rPr>
          <w:rStyle w:val="mceitemhiddenspellword"/>
          <w:rFonts w:ascii="Arial" w:hAnsi="Arial" w:cs="Arial"/>
          <w:color w:val="000000"/>
          <w:lang w:val="mn-MN"/>
        </w:rPr>
        <w:t>оОо</w:t>
      </w:r>
      <w:r w:rsidRPr="006F64C6">
        <w:rPr>
          <w:rStyle w:val="mceitemhidden"/>
          <w:rFonts w:ascii="Arial" w:eastAsiaTheme="majorEastAsia" w:hAnsi="Arial" w:cs="Arial"/>
          <w:color w:val="000000"/>
          <w:lang w:val="mn-MN"/>
        </w:rPr>
        <w:t> ---</w:t>
      </w:r>
    </w:p>
    <w:p w14:paraId="1DB15AE8" w14:textId="77777777" w:rsidR="002E6969" w:rsidRDefault="002E6969"/>
    <w:sectPr w:rsidR="002E6969">
      <w:headerReference w:type="default" r:id="rId7"/>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12B42" w14:textId="77777777" w:rsidR="0008690D" w:rsidRDefault="0008690D" w:rsidP="002E6969">
      <w:r>
        <w:separator/>
      </w:r>
    </w:p>
  </w:endnote>
  <w:endnote w:type="continuationSeparator" w:id="0">
    <w:p w14:paraId="762B27EA" w14:textId="77777777" w:rsidR="0008690D" w:rsidRDefault="0008690D" w:rsidP="002E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94479975"/>
      <w:docPartObj>
        <w:docPartGallery w:val="Page Numbers (Bottom of Page)"/>
        <w:docPartUnique/>
      </w:docPartObj>
    </w:sdtPr>
    <w:sdtEndPr>
      <w:rPr>
        <w:rStyle w:val="PageNumber"/>
      </w:rPr>
    </w:sdtEndPr>
    <w:sdtContent>
      <w:p w14:paraId="7B2AA8D9" w14:textId="77777777" w:rsidR="002E6969" w:rsidRDefault="002E6969" w:rsidP="001F0B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9C7D3A" w14:textId="77777777" w:rsidR="002E6969" w:rsidRDefault="002E69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2618234"/>
      <w:docPartObj>
        <w:docPartGallery w:val="Page Numbers (Bottom of Page)"/>
        <w:docPartUnique/>
      </w:docPartObj>
    </w:sdtPr>
    <w:sdtEndPr>
      <w:rPr>
        <w:rStyle w:val="PageNumber"/>
      </w:rPr>
    </w:sdtEndPr>
    <w:sdtContent>
      <w:p w14:paraId="058CA704" w14:textId="77777777" w:rsidR="002E6969" w:rsidRDefault="002E6969" w:rsidP="001F0B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FEFE9FD" w14:textId="77777777" w:rsidR="002E6969" w:rsidRDefault="002E69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9C28C" w14:textId="77777777" w:rsidR="0008690D" w:rsidRDefault="0008690D" w:rsidP="002E6969">
      <w:r>
        <w:separator/>
      </w:r>
    </w:p>
  </w:footnote>
  <w:footnote w:type="continuationSeparator" w:id="0">
    <w:p w14:paraId="5B059E90" w14:textId="77777777" w:rsidR="0008690D" w:rsidRDefault="0008690D" w:rsidP="002E6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ABF4C" w14:textId="77777777" w:rsidR="00F80C01" w:rsidRDefault="00F80C0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F28B7"/>
    <w:multiLevelType w:val="multilevel"/>
    <w:tmpl w:val="339A0D5A"/>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A518E8"/>
    <w:multiLevelType w:val="multilevel"/>
    <w:tmpl w:val="6ABC3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CD0BA5"/>
    <w:multiLevelType w:val="hybridMultilevel"/>
    <w:tmpl w:val="F8624B1E"/>
    <w:lvl w:ilvl="0" w:tplc="A574E21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B47A33"/>
    <w:multiLevelType w:val="multilevel"/>
    <w:tmpl w:val="AC54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DB3FCE"/>
    <w:multiLevelType w:val="multilevel"/>
    <w:tmpl w:val="A5D0D0C6"/>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51"/>
    <w:rsid w:val="0008690D"/>
    <w:rsid w:val="000B41C3"/>
    <w:rsid w:val="002E6969"/>
    <w:rsid w:val="003F76FA"/>
    <w:rsid w:val="0042133D"/>
    <w:rsid w:val="00573451"/>
    <w:rsid w:val="007A46A7"/>
    <w:rsid w:val="007D1645"/>
    <w:rsid w:val="008C3BA2"/>
    <w:rsid w:val="0099480F"/>
    <w:rsid w:val="00E45568"/>
    <w:rsid w:val="00F80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1FF86"/>
  <w15:chartTrackingRefBased/>
  <w15:docId w15:val="{84CC40E0-9810-6B49-A6C6-6F23591CC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73451"/>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573451"/>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next w:val="Normal"/>
    <w:link w:val="Heading3Char"/>
    <w:uiPriority w:val="9"/>
    <w:unhideWhenUsed/>
    <w:qFormat/>
    <w:rsid w:val="0057345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51"/>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573451"/>
    <w:rPr>
      <w:rFonts w:ascii="Times New Roman" w:eastAsia="Times New Roman" w:hAnsi="Times New Roman" w:cs="Times New Roman"/>
      <w:b/>
      <w:bCs/>
      <w:kern w:val="0"/>
      <w:sz w:val="36"/>
      <w:szCs w:val="36"/>
      <w14:ligatures w14:val="none"/>
    </w:rPr>
  </w:style>
  <w:style w:type="character" w:customStyle="1" w:styleId="s1">
    <w:name w:val="s1"/>
    <w:basedOn w:val="DefaultParagraphFont"/>
    <w:rsid w:val="00573451"/>
  </w:style>
  <w:style w:type="paragraph" w:customStyle="1" w:styleId="p2">
    <w:name w:val="p2"/>
    <w:basedOn w:val="Normal"/>
    <w:rsid w:val="00573451"/>
    <w:pPr>
      <w:spacing w:before="100" w:beforeAutospacing="1" w:after="100" w:afterAutospacing="1"/>
    </w:pPr>
    <w:rPr>
      <w:rFonts w:ascii="Times New Roman" w:eastAsia="Times New Roman" w:hAnsi="Times New Roman" w:cs="Times New Roman"/>
      <w:kern w:val="0"/>
      <w14:ligatures w14:val="none"/>
    </w:rPr>
  </w:style>
  <w:style w:type="paragraph" w:customStyle="1" w:styleId="p3">
    <w:name w:val="p3"/>
    <w:basedOn w:val="Normal"/>
    <w:rsid w:val="00573451"/>
    <w:pPr>
      <w:spacing w:before="100" w:beforeAutospacing="1" w:after="100" w:afterAutospacing="1"/>
    </w:pPr>
    <w:rPr>
      <w:rFonts w:ascii="Times New Roman" w:eastAsia="Times New Roman" w:hAnsi="Times New Roman" w:cs="Times New Roman"/>
      <w:kern w:val="0"/>
      <w14:ligatures w14:val="none"/>
    </w:rPr>
  </w:style>
  <w:style w:type="paragraph" w:customStyle="1" w:styleId="p4">
    <w:name w:val="p4"/>
    <w:basedOn w:val="Normal"/>
    <w:rsid w:val="00573451"/>
    <w:pPr>
      <w:spacing w:before="100" w:beforeAutospacing="1" w:after="100" w:afterAutospacing="1"/>
    </w:pPr>
    <w:rPr>
      <w:rFonts w:ascii="Times New Roman" w:eastAsia="Times New Roman" w:hAnsi="Times New Roman" w:cs="Times New Roman"/>
      <w:kern w:val="0"/>
      <w14:ligatures w14:val="none"/>
    </w:rPr>
  </w:style>
  <w:style w:type="paragraph" w:customStyle="1" w:styleId="p5">
    <w:name w:val="p5"/>
    <w:basedOn w:val="Normal"/>
    <w:rsid w:val="00573451"/>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573451"/>
    <w:pPr>
      <w:ind w:left="720"/>
      <w:contextualSpacing/>
    </w:pPr>
  </w:style>
  <w:style w:type="paragraph" w:customStyle="1" w:styleId="p1">
    <w:name w:val="p1"/>
    <w:basedOn w:val="Normal"/>
    <w:rsid w:val="00573451"/>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573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573451"/>
    <w:rPr>
      <w:rFonts w:asciiTheme="majorHAnsi" w:eastAsiaTheme="majorEastAsia" w:hAnsiTheme="majorHAnsi" w:cstheme="majorBidi"/>
      <w:color w:val="1F3763" w:themeColor="accent1" w:themeShade="7F"/>
    </w:rPr>
  </w:style>
  <w:style w:type="character" w:customStyle="1" w:styleId="mceitemhidden">
    <w:name w:val="mceitemhidden"/>
    <w:basedOn w:val="DefaultParagraphFont"/>
    <w:rsid w:val="002E6969"/>
  </w:style>
  <w:style w:type="character" w:customStyle="1" w:styleId="mceitemhiddenspellword">
    <w:name w:val="mceitemhiddenspellword"/>
    <w:basedOn w:val="DefaultParagraphFont"/>
    <w:rsid w:val="002E6969"/>
  </w:style>
  <w:style w:type="paragraph" w:styleId="Footer">
    <w:name w:val="footer"/>
    <w:basedOn w:val="Normal"/>
    <w:link w:val="FooterChar"/>
    <w:uiPriority w:val="99"/>
    <w:unhideWhenUsed/>
    <w:rsid w:val="002E6969"/>
    <w:pPr>
      <w:tabs>
        <w:tab w:val="center" w:pos="4680"/>
        <w:tab w:val="right" w:pos="9360"/>
      </w:tabs>
    </w:pPr>
  </w:style>
  <w:style w:type="character" w:customStyle="1" w:styleId="FooterChar">
    <w:name w:val="Footer Char"/>
    <w:basedOn w:val="DefaultParagraphFont"/>
    <w:link w:val="Footer"/>
    <w:uiPriority w:val="99"/>
    <w:rsid w:val="002E6969"/>
  </w:style>
  <w:style w:type="character" w:styleId="PageNumber">
    <w:name w:val="page number"/>
    <w:basedOn w:val="DefaultParagraphFont"/>
    <w:uiPriority w:val="99"/>
    <w:semiHidden/>
    <w:unhideWhenUsed/>
    <w:rsid w:val="002E6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473159">
      <w:bodyDiv w:val="1"/>
      <w:marLeft w:val="0"/>
      <w:marRight w:val="0"/>
      <w:marTop w:val="0"/>
      <w:marBottom w:val="0"/>
      <w:divBdr>
        <w:top w:val="none" w:sz="0" w:space="0" w:color="auto"/>
        <w:left w:val="none" w:sz="0" w:space="0" w:color="auto"/>
        <w:bottom w:val="none" w:sz="0" w:space="0" w:color="auto"/>
        <w:right w:val="none" w:sz="0" w:space="0" w:color="auto"/>
      </w:divBdr>
    </w:div>
    <w:div w:id="594679248">
      <w:bodyDiv w:val="1"/>
      <w:marLeft w:val="0"/>
      <w:marRight w:val="0"/>
      <w:marTop w:val="0"/>
      <w:marBottom w:val="0"/>
      <w:divBdr>
        <w:top w:val="none" w:sz="0" w:space="0" w:color="auto"/>
        <w:left w:val="none" w:sz="0" w:space="0" w:color="auto"/>
        <w:bottom w:val="none" w:sz="0" w:space="0" w:color="auto"/>
        <w:right w:val="none" w:sz="0" w:space="0" w:color="auto"/>
      </w:divBdr>
    </w:div>
    <w:div w:id="662243110">
      <w:bodyDiv w:val="1"/>
      <w:marLeft w:val="0"/>
      <w:marRight w:val="0"/>
      <w:marTop w:val="0"/>
      <w:marBottom w:val="0"/>
      <w:divBdr>
        <w:top w:val="none" w:sz="0" w:space="0" w:color="auto"/>
        <w:left w:val="none" w:sz="0" w:space="0" w:color="auto"/>
        <w:bottom w:val="none" w:sz="0" w:space="0" w:color="auto"/>
        <w:right w:val="none" w:sz="0" w:space="0" w:color="auto"/>
      </w:divBdr>
    </w:div>
    <w:div w:id="717750574">
      <w:bodyDiv w:val="1"/>
      <w:marLeft w:val="0"/>
      <w:marRight w:val="0"/>
      <w:marTop w:val="0"/>
      <w:marBottom w:val="0"/>
      <w:divBdr>
        <w:top w:val="none" w:sz="0" w:space="0" w:color="auto"/>
        <w:left w:val="none" w:sz="0" w:space="0" w:color="auto"/>
        <w:bottom w:val="none" w:sz="0" w:space="0" w:color="auto"/>
        <w:right w:val="none" w:sz="0" w:space="0" w:color="auto"/>
      </w:divBdr>
    </w:div>
    <w:div w:id="1107500240">
      <w:bodyDiv w:val="1"/>
      <w:marLeft w:val="0"/>
      <w:marRight w:val="0"/>
      <w:marTop w:val="0"/>
      <w:marBottom w:val="0"/>
      <w:divBdr>
        <w:top w:val="none" w:sz="0" w:space="0" w:color="auto"/>
        <w:left w:val="none" w:sz="0" w:space="0" w:color="auto"/>
        <w:bottom w:val="none" w:sz="0" w:space="0" w:color="auto"/>
        <w:right w:val="none" w:sz="0" w:space="0" w:color="auto"/>
      </w:divBdr>
    </w:div>
    <w:div w:id="1193423129">
      <w:bodyDiv w:val="1"/>
      <w:marLeft w:val="0"/>
      <w:marRight w:val="0"/>
      <w:marTop w:val="0"/>
      <w:marBottom w:val="0"/>
      <w:divBdr>
        <w:top w:val="none" w:sz="0" w:space="0" w:color="auto"/>
        <w:left w:val="none" w:sz="0" w:space="0" w:color="auto"/>
        <w:bottom w:val="none" w:sz="0" w:space="0" w:color="auto"/>
        <w:right w:val="none" w:sz="0" w:space="0" w:color="auto"/>
      </w:divBdr>
    </w:div>
    <w:div w:id="1606035097">
      <w:bodyDiv w:val="1"/>
      <w:marLeft w:val="0"/>
      <w:marRight w:val="0"/>
      <w:marTop w:val="0"/>
      <w:marBottom w:val="0"/>
      <w:divBdr>
        <w:top w:val="none" w:sz="0" w:space="0" w:color="auto"/>
        <w:left w:val="none" w:sz="0" w:space="0" w:color="auto"/>
        <w:bottom w:val="none" w:sz="0" w:space="0" w:color="auto"/>
        <w:right w:val="none" w:sz="0" w:space="0" w:color="auto"/>
      </w:divBdr>
    </w:div>
    <w:div w:id="1882403859">
      <w:bodyDiv w:val="1"/>
      <w:marLeft w:val="0"/>
      <w:marRight w:val="0"/>
      <w:marTop w:val="0"/>
      <w:marBottom w:val="0"/>
      <w:divBdr>
        <w:top w:val="none" w:sz="0" w:space="0" w:color="auto"/>
        <w:left w:val="none" w:sz="0" w:space="0" w:color="auto"/>
        <w:bottom w:val="none" w:sz="0" w:space="0" w:color="auto"/>
        <w:right w:val="none" w:sz="0" w:space="0" w:color="auto"/>
      </w:divBdr>
    </w:div>
    <w:div w:id="194722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1958</Words>
  <Characters>11166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r.davaadorj@gmail.com</dc:creator>
  <cp:keywords/>
  <dc:description/>
  <cp:lastModifiedBy>Ariunaa Narmandakh</cp:lastModifiedBy>
  <cp:revision>2</cp:revision>
  <cp:lastPrinted>2026-09-22T08:45:00Z</cp:lastPrinted>
  <dcterms:created xsi:type="dcterms:W3CDTF">2026-09-30T04:51:00Z</dcterms:created>
  <dcterms:modified xsi:type="dcterms:W3CDTF">2026-09-30T04:51:00Z</dcterms:modified>
</cp:coreProperties>
</file>