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C43F44" w14:textId="427E14FE" w:rsidR="00492909" w:rsidRPr="00A47170" w:rsidRDefault="00492909" w:rsidP="00A47170">
      <w:pPr>
        <w:spacing w:line="240" w:lineRule="auto"/>
        <w:jc w:val="center"/>
        <w:rPr>
          <w:rFonts w:ascii="Arial" w:eastAsia="Times New Roman" w:hAnsi="Arial" w:cs="Arial"/>
          <w:b/>
          <w:bCs/>
          <w:sz w:val="24"/>
          <w:szCs w:val="24"/>
          <w:lang w:val="mn-MN" w:eastAsia="mn-MN"/>
        </w:rPr>
      </w:pPr>
      <w:r w:rsidRPr="00A47170">
        <w:rPr>
          <w:rFonts w:ascii="Arial" w:eastAsia="Times New Roman" w:hAnsi="Arial" w:cs="Arial"/>
          <w:b/>
          <w:bCs/>
          <w:sz w:val="24"/>
          <w:szCs w:val="24"/>
          <w:lang w:val="mn-MN" w:eastAsia="mn-MN"/>
        </w:rPr>
        <w:t>ТОВЧ ТАНИЛЦУУЛГА</w:t>
      </w:r>
    </w:p>
    <w:p w14:paraId="001AC355" w14:textId="4E70C992" w:rsidR="00492909" w:rsidRPr="00A47170" w:rsidRDefault="00492909" w:rsidP="00A47170">
      <w:pPr>
        <w:spacing w:line="240" w:lineRule="auto"/>
        <w:ind w:left="4536"/>
        <w:contextualSpacing/>
        <w:jc w:val="center"/>
        <w:rPr>
          <w:rFonts w:ascii="Arial" w:eastAsia="Calibri" w:hAnsi="Arial" w:cs="Arial"/>
          <w:color w:val="000000"/>
          <w:sz w:val="24"/>
          <w:szCs w:val="24"/>
          <w:lang w:val="mn-MN"/>
        </w:rPr>
      </w:pPr>
      <w:r w:rsidRPr="00A47170">
        <w:rPr>
          <w:rFonts w:ascii="Arial" w:eastAsia="Calibri" w:hAnsi="Arial" w:cs="Arial"/>
          <w:color w:val="000000"/>
          <w:sz w:val="24"/>
          <w:szCs w:val="24"/>
          <w:lang w:val="mn-MN"/>
        </w:rPr>
        <w:t>Төсвийн тухай хуульд нэмэлт, өөрчлөлт оруулах тухай хуулийн төслийн талаар</w:t>
      </w:r>
    </w:p>
    <w:p w14:paraId="57F1D6F4" w14:textId="77777777" w:rsidR="00492909" w:rsidRPr="00A47170" w:rsidRDefault="00492909" w:rsidP="00A47170">
      <w:pPr>
        <w:spacing w:line="240" w:lineRule="auto"/>
        <w:ind w:left="4536"/>
        <w:contextualSpacing/>
        <w:jc w:val="center"/>
        <w:rPr>
          <w:rFonts w:ascii="Arial" w:eastAsia="Calibri" w:hAnsi="Arial" w:cs="Arial"/>
          <w:color w:val="000000"/>
          <w:sz w:val="24"/>
          <w:szCs w:val="24"/>
          <w:lang w:val="mn-MN"/>
        </w:rPr>
      </w:pPr>
    </w:p>
    <w:p w14:paraId="786498A9" w14:textId="77777777" w:rsidR="00B97F88" w:rsidRPr="00A47170" w:rsidRDefault="00B97F88" w:rsidP="00A47170">
      <w:pPr>
        <w:spacing w:line="240" w:lineRule="auto"/>
        <w:ind w:firstLine="720"/>
        <w:jc w:val="both"/>
        <w:rPr>
          <w:rFonts w:ascii="Arial" w:hAnsi="Arial" w:cs="Arial"/>
          <w:sz w:val="24"/>
          <w:szCs w:val="24"/>
          <w:lang w:val="mn-MN"/>
        </w:rPr>
      </w:pPr>
      <w:r w:rsidRPr="00A47170">
        <w:rPr>
          <w:rFonts w:ascii="Arial" w:hAnsi="Arial" w:cs="Arial"/>
          <w:sz w:val="24"/>
          <w:szCs w:val="24"/>
          <w:lang w:val="mn-MN"/>
        </w:rPr>
        <w:t>Энэхүү хуулийн төсөл нь Монгол Улсын Үндсэн хуулийн Хорин тавдугаар зүйлд Улсын Их Хуралд олгосон төрийн санхүү, улсын төсвийг батлах бүрэн эрх, мөн төсвийн ил тод, хариуцлагатай, иргэдийн оролцоотой байх зарчмыг хэрэгжүүлэх зорилгоор боловсруулагдсан. Хуулийн төслийн зохицуулах харилцаа нь дараах зургаан хэсэгт чиглэж байна. Нэгдүгээрт, төсвийн хөрөнгө оруулалтын төсөл, арга хэмжээг үндсэн шалгуурт тулгуурласан урьдчилсан үнэлгээ, оноо, түүний дагуу тогтоосон эрэмбэд үндэслэн төсөвт тусгах харилцаа; хоёрдугаарт, Улсын төсвийн хөрөнгө оруулалтын төлөвлөгөө нь Улсын хөгжлийн жилийн төлөвлөгөөнд нийцсэн эсэх болон уялдаа холбоог хангасан эсэхийг төсвийн төсөлд нэгтгэн боловсруулах; гуравдугаарт, төсвийн хөрөнгө оруулалтын үнэлгээ, эрэмбэ, санхүүжилт, төсөл, арга хэмжээний талаарх мэдээллийг нээлттэй цахим хэлбэрээр нийтлэх; дөрөвдүгээрт, төсвийн урсгал зардлын бүтэц, зориулалт, нэгж өртөг, тоо хэмжээ, хүрэх үр дүнгийн талаарх мэдээллийг нарийвчлан төсвийн төсөлд тусгах, нийтэд ил тод болгох; тавдугаарт, төсвийн төслийг олон нийтэд ойлгомжтой хэлбэрээр танилцуулж, иргэдийн саналын талаар тайлагнах; зургаадугаарт, төсвийн тусгай шаардлагыг мөрдөөгүй албан тушаалтанд хариуцлага тооцох зохицуулалт зэрэг болно.</w:t>
      </w:r>
    </w:p>
    <w:p w14:paraId="46418EAB" w14:textId="77777777" w:rsidR="00B97F88" w:rsidRPr="00A47170" w:rsidRDefault="00B97F88" w:rsidP="00A47170">
      <w:pPr>
        <w:spacing w:line="240" w:lineRule="auto"/>
        <w:ind w:firstLine="720"/>
        <w:jc w:val="both"/>
        <w:rPr>
          <w:rFonts w:ascii="Arial" w:hAnsi="Arial" w:cs="Arial"/>
          <w:sz w:val="24"/>
          <w:szCs w:val="24"/>
          <w:lang w:val="mn-MN"/>
        </w:rPr>
      </w:pPr>
      <w:r w:rsidRPr="00A47170">
        <w:rPr>
          <w:rFonts w:ascii="Arial" w:hAnsi="Arial" w:cs="Arial"/>
          <w:sz w:val="24"/>
          <w:szCs w:val="24"/>
          <w:lang w:val="mn-MN"/>
        </w:rPr>
        <w:t>Төсвийн хөрөнгө оруулалтын төсөл, арга хэмжээг Улсын төсвийн төсөлд тусгахдаа нэгдсэн шалгуур үзүүлэлт, жинлэсэн онооны аргачлалд тулгуурлан, улс төрийн нөлөөллөөс ангид, нотолгоонд суурилах нарийвчилсан зохицуулалт нь Хуулийн төслийн зарчмын шинжтэй цөм агуулга юм. Энэ хүрээнд урьдчилан үнэлээгүй, эрэмбэлээгүй төсөл, арга хэмжээг улсын төсөвт тусгахыг хязгаарлах зарчим тусгагдсан. Мөн төсвийн урсгал зардлын мэдээллийг төсвийн захирагч бүрээр, зардлын нэр төрөл, зориулалт, нэгж өртөг, тоо хэмжээ, өмнөх оны гүйцэтгэлтэй харьцуулсан байдлаар дэлгэрэнгүй тайлагнах шаардлагыг нэмж тусгасан. Түүнчлэн "иргэдийн төсөв" хэлбэрийн хялбаршуулсан, харьцуулалт бүхий танилцуулгыг хуульчлан тогтоож, олон нийтийн хэлэлцүүлгийн үр дүнг тайлагнах хэлбэрийг бий болгож байна.</w:t>
      </w:r>
    </w:p>
    <w:p w14:paraId="5C0B18F3" w14:textId="77777777" w:rsidR="00B97F88" w:rsidRPr="00A47170" w:rsidRDefault="00B97F88" w:rsidP="00A47170">
      <w:pPr>
        <w:spacing w:line="240" w:lineRule="auto"/>
        <w:ind w:firstLine="720"/>
        <w:jc w:val="both"/>
        <w:rPr>
          <w:rFonts w:ascii="Arial" w:hAnsi="Arial" w:cs="Arial"/>
          <w:sz w:val="24"/>
          <w:szCs w:val="24"/>
          <w:lang w:val="mn-MN"/>
        </w:rPr>
      </w:pPr>
      <w:r w:rsidRPr="00A47170">
        <w:rPr>
          <w:rFonts w:ascii="Arial" w:hAnsi="Arial" w:cs="Arial"/>
          <w:sz w:val="24"/>
          <w:szCs w:val="24"/>
          <w:lang w:val="mn-MN"/>
        </w:rPr>
        <w:t xml:space="preserve">Эдгээр харилцааг одоогийн байдлаар Төсвийн тухай хуулийн 6 дугаар зүйлд төсвийн ил тод, хариуцлагатай байх зарчим, 27 дугаар зүйлд төсвийн төсөл боловсруулах шаардлага, 28 дугаар зүйлд улсын хөрөнгө оруулалтын төлөвлөлт, 28¹ дүгээр зүйлд төсвийн төслийн олон нийтийн хэлэлцүүлэг, 32 дугаар зүйлд төсвийн төслийн танилцуулгын агуулга зэргээр тус тус зохицуулж байна. Гэвч эдгээр зохицуулалтын хэрэгжилт бодит байдалд хангалтгүй байгаа юм. Үндэсний Аудитын газрын “Улсын төсвийн 2024 оны хөрөнгө оруулалтын төлөвлөгөөний хэрэгжилт, үр нөлөө” сэдэвт нийцлийн аудитын тайланд орон нутагт эрх шилжүүлэн хэрэгжүүлсэн хөрөнгө оруулалтын төсөл, арга хэмжээний 81.8 хувь нь Улсын хөгжлийн жилийн төлөвлөгөөтэй нийцээгүй, үнэлгээ 0-55 хувийн түвшинд байгааг тэмдэглэсэн байна. Мөн 2024 оны Улсын төсвийн 1,049 төсөл, арга хэмжээний 52.6 хувь буюу 552 нь шилжих төсөл байсан бол батлагдах явцад энэ тоо 606 болж нэмэгдэж, төлөвлөх сахилга сул байгаа нь харагдаж байгаа юм. </w:t>
      </w:r>
    </w:p>
    <w:p w14:paraId="30C91285" w14:textId="77777777" w:rsidR="00B97F88" w:rsidRPr="00A47170" w:rsidRDefault="00B97F88" w:rsidP="00A47170">
      <w:pPr>
        <w:spacing w:line="240" w:lineRule="auto"/>
        <w:ind w:firstLine="720"/>
        <w:jc w:val="both"/>
        <w:rPr>
          <w:rFonts w:ascii="Arial" w:hAnsi="Arial" w:cs="Arial"/>
          <w:sz w:val="24"/>
          <w:szCs w:val="24"/>
          <w:lang w:val="mn-MN"/>
        </w:rPr>
      </w:pPr>
      <w:r w:rsidRPr="00A47170">
        <w:rPr>
          <w:rFonts w:ascii="Arial" w:hAnsi="Arial" w:cs="Arial"/>
          <w:sz w:val="24"/>
          <w:szCs w:val="24"/>
          <w:lang w:val="mn-MN"/>
        </w:rPr>
        <w:t xml:space="preserve">Урсгал зардлын хувьд 2020 онд 10.8 их наяд төгрөг байсан бол 2025 онд 24 орчим их наяд төгрөг болж, нийт зарлагын 70 гаруй хувийг эзэлж байна. Энэхүү зардлын нэгж өртөг, зориулалт, үр дүнгийн мэдээллийг одоогийн зохицуулалтын хүрээнд дэлгэрэнгүй танилцуулдаггүй. Үүний улмаас төрийн байгууллагуудын урсгал зардал тогтмол өсөх, үр ашиггүй зардлын хэмжээ нэмэгдэх зэрэг сөрөг үр </w:t>
      </w:r>
      <w:r w:rsidRPr="00A47170">
        <w:rPr>
          <w:rFonts w:ascii="Arial" w:hAnsi="Arial" w:cs="Arial"/>
          <w:sz w:val="24"/>
          <w:szCs w:val="24"/>
          <w:lang w:val="mn-MN"/>
        </w:rPr>
        <w:lastRenderedPageBreak/>
        <w:t>дагавар үүсгэж байна. Тухайлбал, Төрийн өмчийн байгууллагууд 2025 оны түрээсийн төлбөрт 43 тэрбум төгрөг, ашиглалтын зардалд 10 гаруй тэрбум төгрөг зарцуулсан байгаа юм. Энэ дүн жил ирэх бүр нэмэгдэх хандлага ажиглагдаж байна.</w:t>
      </w:r>
    </w:p>
    <w:p w14:paraId="2CD855E7" w14:textId="77777777" w:rsidR="00B97F88" w:rsidRPr="00A47170" w:rsidRDefault="00B97F88" w:rsidP="00A47170">
      <w:pPr>
        <w:spacing w:line="240" w:lineRule="auto"/>
        <w:ind w:firstLine="720"/>
        <w:jc w:val="both"/>
        <w:rPr>
          <w:rFonts w:ascii="Arial" w:hAnsi="Arial" w:cs="Arial"/>
          <w:sz w:val="24"/>
          <w:szCs w:val="24"/>
          <w:lang w:val="mn-MN"/>
        </w:rPr>
      </w:pPr>
      <w:r w:rsidRPr="00A47170">
        <w:rPr>
          <w:rFonts w:ascii="Arial" w:hAnsi="Arial" w:cs="Arial"/>
          <w:sz w:val="24"/>
          <w:szCs w:val="24"/>
          <w:lang w:val="mn-MN"/>
        </w:rPr>
        <w:t xml:space="preserve">Төсвийн тухай хуулийн 28¹ дүгээр зүйлээр Төсвийн төслийн талаар олон нийтийн хэлэлцүүлэг хийх харилцааг зохицуулж байгаа хэдий ч 2025 оны Улсын төсвийн төслийн хэлэлцүүлгийн үед санал авах хугацаа богино, мэдээллийн дэлгэрэнгүй тайлбар иргэдэд хангалттай хүрэхгүй байгаа талаар иргэний нийгмийн байгууллагууд шүүмжлэлтэй хандсан байдаг. Хуулийн төслийг боловсруулахтай холбогдуулан Үндэсний Аудитын газрын 2023-2024 оны гүйцэтгэл нийцлийн аудитын тайлангуудыг судалж, улсын хөрөнгө оруулалтын төлөвлөлт, хэрэгжилтийн нийтлэг сул талуудыг тодорхойлсон. Мөн Эрчим хүчний салбарын 2026 оны төсвийн бүтцийг жишээ болгон дүрсэлж, урсгал зардлын мэдээллийг ил тод болгох загвар боловсруулсан. Түүнчлэн Улсын төсвийн хоёрдугаар хавсралт буюу хөрөнгө оруулалтын төсөл, арга хэмжээний жагсаалтыг хуулийн төслийн заалттай уялдуулан өөрчлөгдөх хэлбэрээр боловсруулж, хавсралтад шинээр нэмэгдэх баганыг тодорхойлсон. </w:t>
      </w:r>
    </w:p>
    <w:p w14:paraId="026453BE" w14:textId="77777777" w:rsidR="00B97F88" w:rsidRPr="00A47170" w:rsidRDefault="00B97F88" w:rsidP="00A47170">
      <w:pPr>
        <w:spacing w:line="240" w:lineRule="auto"/>
        <w:ind w:firstLine="720"/>
        <w:jc w:val="both"/>
        <w:rPr>
          <w:rFonts w:ascii="Arial" w:hAnsi="Arial" w:cs="Arial"/>
          <w:sz w:val="24"/>
          <w:szCs w:val="24"/>
          <w:lang w:val="mn-MN"/>
        </w:rPr>
      </w:pPr>
      <w:r w:rsidRPr="00A47170">
        <w:rPr>
          <w:rFonts w:ascii="Arial" w:hAnsi="Arial" w:cs="Arial"/>
          <w:sz w:val="24"/>
          <w:szCs w:val="24"/>
          <w:lang w:val="mn-MN"/>
        </w:rPr>
        <w:t>Мөн төсвийн төслийн талаар Сангийн яам, Засгийн газраас явуулсан өмнөх жилүүдийн хэлэлцүүлгүүдийн дүн шинжилгээг үндэс болгосон. Эдгээр хэлэлцүүлэгт иргэдийн оролцооны чанар, мэдээллийн хүртээмж хязгаарлагдмал байсан нь Олон Улсын Төсвийн түншлэл (IBP)-ийн Монгол Улсын талаарх 2023 оны Төсвийн ил тод байдлын судалгааны ил тод байдлын оноо 62 байсан бол олон нийтийн оролцооны оноо ердөө 19 байв. Уг судалгаанд иргэд эсхүл иргэний нийгмийн байгууллагын төлөөлөгчдийг төсвийн хэлэлцүүлэгт биечлэн үзэл бодлоо илэрхийлэх, санал өгөх боломжоор хангах, төсвийн тодотголын харьцуулсан мэдээллийг сайжруулах зэрэг тодорхой зөвлөмжүүдийг өгсөн байна.</w:t>
      </w:r>
    </w:p>
    <w:p w14:paraId="5DED44D0" w14:textId="77777777" w:rsidR="00B97F88" w:rsidRPr="00A47170" w:rsidRDefault="00B97F88" w:rsidP="00A47170">
      <w:pPr>
        <w:spacing w:line="240" w:lineRule="auto"/>
        <w:ind w:firstLine="720"/>
        <w:jc w:val="both"/>
        <w:rPr>
          <w:rFonts w:ascii="Arial" w:hAnsi="Arial" w:cs="Arial"/>
          <w:sz w:val="24"/>
          <w:szCs w:val="24"/>
          <w:lang w:val="mn-MN"/>
        </w:rPr>
      </w:pPr>
      <w:r w:rsidRPr="00A47170">
        <w:rPr>
          <w:rFonts w:ascii="Arial" w:hAnsi="Arial" w:cs="Arial"/>
          <w:sz w:val="24"/>
          <w:szCs w:val="24"/>
          <w:lang w:val="mn-MN"/>
        </w:rPr>
        <w:t>Хуулийн төсөлд дурдагдсан төсвийн төсөл боловсруулах ажиллагааг гадаад орны сайн туршлага, бусад судалгаа, шинжилгээ, дүгнэлтийн хүрээнд дараах олон улсын жишиг аргачлалд нийцүүлэн боловсруулсан. Нэгдүгээрт, Олон Улсын Валютын Сангийн Төрийн хөрөнгө оруулалтын менежментийн үнэлгээний (PIMA) аргачлал нь хөрөнгө оруулалтын мөчлөгийн төлөвлөлт, эрэмбэ, хэрэгжилт гэсэн гурван үе шатанд үр нөлөөг үнэлдэг 45 хэмжүүрийг тогтоосон байдаг. Хуулийн төсөлд тусгасан оноонд суурилсан эрэмбэлэх тогтолцоо энэхүү аргачлалын "Төсөл сонгон шалгаруулах" хэсэгтэй шууд нийцэж байна. Хоёрдугаарт, Олон Улсын Валютын Сангийн Төсвийн ил тод байдлын үнэлгээнд санхүүгийн тайлан гаргах, төсвийн төлөвлөлт, эрсдэлийн удирдлага, нөөц баялгийн орлогын удирдлага гэсэн дөрвөн тулгуур зарчмыг баримталдаг. Гуравдугаарт, Эдийн засгийн хамтын ажиллагаа, хөгжлийн байгууллагын Төсвийн ил тод байдлын гарын авлагад төсвийн мэдээллийг нийтэд нээлттэй, ойлгомжтой байлгах суурь үнэлгээнүүдийг тодорхойлсон байдаг. Дөрөвдүгээрт, Бүгд Найрамдах Солонгос Улс, Канад Улс, Шинэ Зеланд Улс, Их Британи Умард Ирландын Нэгдсэн Хаант Улс зэрэг орнуудын Иргэдийн төсөв (Citizens' Budget) загварыг судалж, төсвийн төсөл, тодотгол, гүйцэтгэлийн тайлан бүрийг энгийн хэлбэрээр нийтлэх, олон нийтийн саналыг хэрхэн шийдвэрлэсэн тухай эргэн мэдээлэх тогтолцоог хуулийн төсөлд тусгасан. Эдгээр олон улсын жишгийн нийтлэг үзэл баримтлал нь НҮБ-ын Тогтвортой хөгжлийн 16 дугаар зорилтод заасан "үр нөлөөтэй, хариуцлагатай, ил тод бүтцийг бүх түвшинд бий болгох" зарчимтай нийцэж байгаа юм. Иймд дээрх аргачлал, зөвлөмжүүдийг өөрийн орны онцлог, нөхцөл байдлыг харгалзан төсвийн тухай хуульд тусгахыг эрмэлзсэн болно.</w:t>
      </w:r>
    </w:p>
    <w:p w14:paraId="2D96A225" w14:textId="7275C085" w:rsidR="00DA46C6" w:rsidRPr="00A47170" w:rsidRDefault="00B97F88" w:rsidP="00A47170">
      <w:pPr>
        <w:spacing w:line="240" w:lineRule="auto"/>
        <w:ind w:firstLine="720"/>
        <w:jc w:val="both"/>
        <w:rPr>
          <w:rFonts w:ascii="Arial" w:hAnsi="Arial" w:cs="Arial"/>
          <w:sz w:val="24"/>
          <w:szCs w:val="24"/>
          <w:lang w:val="mn-MN"/>
        </w:rPr>
      </w:pPr>
      <w:r w:rsidRPr="00A47170">
        <w:rPr>
          <w:rFonts w:ascii="Arial" w:hAnsi="Arial" w:cs="Arial"/>
          <w:sz w:val="24"/>
          <w:szCs w:val="24"/>
          <w:lang w:val="mn-MN"/>
        </w:rPr>
        <w:lastRenderedPageBreak/>
        <w:t>Хуулийн төсөл батлагдсантай холбогдуулан өөр хуульд нэмэлт, өөрчлөлт оруулах тухай хуулийн төсөл боловсруулах шаардлага үүсээгүй бөгөөд энэхүү хуулийн төслийн хамт өөр хуулийн төсөл өргөн мэдүүлээгүй болно.</w:t>
      </w:r>
    </w:p>
    <w:p w14:paraId="08535979" w14:textId="009C2EEF" w:rsidR="00DA46C6" w:rsidRPr="00A47170" w:rsidRDefault="00DA46C6" w:rsidP="00A47170">
      <w:pPr>
        <w:spacing w:line="240" w:lineRule="auto"/>
        <w:ind w:firstLine="720"/>
        <w:jc w:val="both"/>
        <w:rPr>
          <w:rFonts w:ascii="Arial" w:hAnsi="Arial" w:cs="Arial"/>
          <w:sz w:val="24"/>
          <w:szCs w:val="24"/>
          <w:lang w:val="mn-MN"/>
        </w:rPr>
      </w:pPr>
    </w:p>
    <w:p w14:paraId="02C12E3E" w14:textId="44C08ED8" w:rsidR="00DA46C6" w:rsidRPr="00A47170" w:rsidRDefault="00DA46C6" w:rsidP="00A47170">
      <w:pPr>
        <w:spacing w:line="240" w:lineRule="auto"/>
        <w:jc w:val="center"/>
        <w:rPr>
          <w:rFonts w:ascii="Arial" w:hAnsi="Arial" w:cs="Arial"/>
          <w:sz w:val="24"/>
          <w:szCs w:val="24"/>
          <w:lang w:val="mn-MN"/>
        </w:rPr>
      </w:pPr>
      <w:r w:rsidRPr="00A47170">
        <w:rPr>
          <w:rFonts w:ascii="Arial" w:eastAsia="Times New Roman" w:hAnsi="Arial" w:cs="Arial"/>
          <w:sz w:val="24"/>
          <w:szCs w:val="24"/>
          <w:lang w:val="mn-MN" w:eastAsia="mn-MN"/>
        </w:rPr>
        <w:t>---о0о---</w:t>
      </w:r>
    </w:p>
    <w:sectPr w:rsidR="00DA46C6" w:rsidRPr="00A47170" w:rsidSect="0063680B">
      <w:pgSz w:w="11906" w:h="16838"/>
      <w:pgMar w:top="1021"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38B"/>
    <w:rsid w:val="0005093F"/>
    <w:rsid w:val="0008215C"/>
    <w:rsid w:val="00140C82"/>
    <w:rsid w:val="00431CF7"/>
    <w:rsid w:val="00492909"/>
    <w:rsid w:val="0063680B"/>
    <w:rsid w:val="006E7B17"/>
    <w:rsid w:val="00795C07"/>
    <w:rsid w:val="007977FB"/>
    <w:rsid w:val="008B6B6A"/>
    <w:rsid w:val="00A47170"/>
    <w:rsid w:val="00A8202A"/>
    <w:rsid w:val="00B7775D"/>
    <w:rsid w:val="00B97F88"/>
    <w:rsid w:val="00BF5CDB"/>
    <w:rsid w:val="00DA46C6"/>
    <w:rsid w:val="00E6438B"/>
    <w:rsid w:val="00F9022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8C03D"/>
  <w15:chartTrackingRefBased/>
  <w15:docId w15:val="{0BE91B36-3D7E-43F1-BB8D-A0BB8F995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inspiron 5630</dc:creator>
  <cp:keywords/>
  <dc:description/>
  <cp:lastModifiedBy>Tsenguun</cp:lastModifiedBy>
  <cp:revision>2</cp:revision>
  <cp:lastPrinted>2026-09-01T08:19:00Z</cp:lastPrinted>
  <dcterms:created xsi:type="dcterms:W3CDTF">2026-09-01T08:21:00Z</dcterms:created>
  <dcterms:modified xsi:type="dcterms:W3CDTF">2026-09-01T08:21:00Z</dcterms:modified>
</cp:coreProperties>
</file>