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31648" w14:textId="77777777" w:rsidR="007D043C" w:rsidRPr="007D043C" w:rsidRDefault="007D043C" w:rsidP="007D043C">
      <w:pPr>
        <w:spacing w:before="160" w:line="276" w:lineRule="auto"/>
        <w:jc w:val="right"/>
        <w:rPr>
          <w:rFonts w:ascii="Times New Roman" w:eastAsia="Calibri" w:hAnsi="Times New Roman" w:cs="Times New Roman"/>
          <w:b/>
          <w:noProof/>
          <w:kern w:val="0"/>
          <w:u w:val="single"/>
          <w:lang w:val="mn-MN"/>
          <w14:ligatures w14:val="none"/>
        </w:rPr>
      </w:pPr>
      <w:r w:rsidRPr="007D043C">
        <w:rPr>
          <w:rFonts w:ascii="Times New Roman" w:eastAsia="Calibri" w:hAnsi="Times New Roman" w:cs="Times New Roman"/>
          <w:b/>
          <w:noProof/>
          <w:kern w:val="0"/>
          <w:u w:val="single"/>
          <w:lang w:val="mn-MN"/>
          <w14:ligatures w14:val="none"/>
        </w:rPr>
        <w:t>Төсөл</w:t>
      </w:r>
    </w:p>
    <w:p w14:paraId="17CA9689" w14:textId="77777777" w:rsidR="007D043C" w:rsidRPr="007D043C" w:rsidRDefault="007D043C" w:rsidP="007D043C">
      <w:pPr>
        <w:keepNext/>
        <w:keepLines/>
        <w:tabs>
          <w:tab w:val="left" w:pos="449"/>
          <w:tab w:val="center" w:pos="4513"/>
        </w:tabs>
        <w:spacing w:before="400" w:after="0" w:line="240" w:lineRule="atLeast"/>
        <w:jc w:val="center"/>
        <w:outlineLvl w:val="0"/>
        <w:rPr>
          <w:rFonts w:ascii="Times New Roman" w:eastAsia="DengXian Light" w:hAnsi="Times New Roman" w:cs="Times New Roman"/>
          <w:b/>
          <w:noProof/>
          <w:kern w:val="0"/>
          <w:szCs w:val="32"/>
          <w:lang w:val="mn-MN"/>
          <w14:ligatures w14:val="none"/>
        </w:rPr>
      </w:pPr>
      <w:bookmarkStart w:id="0" w:name="_Toc241482925"/>
      <w:bookmarkStart w:id="1" w:name="_Toc241652675"/>
      <w:r w:rsidRPr="007D043C">
        <w:rPr>
          <w:rFonts w:ascii="Times New Roman" w:eastAsia="DengXian Light" w:hAnsi="Times New Roman" w:cs="Times New Roman"/>
          <w:b/>
          <w:noProof/>
          <w:kern w:val="0"/>
          <w:szCs w:val="32"/>
          <w:lang w:val="mn-MN"/>
          <w14:ligatures w14:val="none"/>
        </w:rPr>
        <w:t>МОНГОЛ УЛСЫН ИХ ХУРЛЫН ТОГТООЛ</w:t>
      </w:r>
      <w:bookmarkEnd w:id="0"/>
      <w:bookmarkEnd w:id="1"/>
    </w:p>
    <w:p w14:paraId="51FDB918" w14:textId="77777777" w:rsidR="007D043C" w:rsidRPr="007D043C" w:rsidRDefault="007D043C" w:rsidP="007D043C">
      <w:pPr>
        <w:autoSpaceDE w:val="0"/>
        <w:autoSpaceDN w:val="0"/>
        <w:adjustRightInd w:val="0"/>
        <w:spacing w:after="0" w:line="240" w:lineRule="atLeast"/>
        <w:ind w:firstLine="572"/>
        <w:jc w:val="center"/>
        <w:rPr>
          <w:rFonts w:ascii="Times New Roman" w:eastAsia="Calibri" w:hAnsi="Times New Roman" w:cs="Arial"/>
          <w:b/>
          <w:noProof/>
          <w:color w:val="00009A"/>
          <w:kern w:val="0"/>
          <w:szCs w:val="28"/>
          <w:lang w:val="mn-MN"/>
          <w14:ligatures w14:val="none"/>
        </w:rPr>
      </w:pPr>
    </w:p>
    <w:p w14:paraId="0DB2B7D2" w14:textId="77777777" w:rsidR="007D043C" w:rsidRPr="007D043C" w:rsidRDefault="007D043C" w:rsidP="007D043C">
      <w:pPr>
        <w:spacing w:after="0" w:line="276" w:lineRule="auto"/>
        <w:rPr>
          <w:rFonts w:ascii="Times New Roman" w:eastAsia="Calibri" w:hAnsi="Times New Roman" w:cs="Times New Roman"/>
          <w:noProof/>
          <w:kern w:val="0"/>
          <w:lang w:val="mn-MN"/>
          <w14:ligatures w14:val="none"/>
        </w:rPr>
      </w:pPr>
      <w:r w:rsidRPr="007D043C">
        <w:rPr>
          <w:rFonts w:ascii="Times New Roman" w:eastAsia="Calibri" w:hAnsi="Times New Roman" w:cs="Times New Roman"/>
          <w:noProof/>
          <w:kern w:val="0"/>
          <w:lang w:val="mn-MN"/>
          <w14:ligatures w14:val="none"/>
        </w:rPr>
        <w:t xml:space="preserve">2026 оны ... дугаар </w:t>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t>Улаанбаатар</w:t>
      </w:r>
    </w:p>
    <w:p w14:paraId="1C42AE8F" w14:textId="77777777" w:rsidR="007D043C" w:rsidRPr="007D043C" w:rsidRDefault="007D043C" w:rsidP="007D043C">
      <w:pPr>
        <w:spacing w:after="0" w:line="276" w:lineRule="auto"/>
        <w:rPr>
          <w:rFonts w:ascii="Times New Roman" w:eastAsia="Calibri" w:hAnsi="Times New Roman" w:cs="Times New Roman"/>
          <w:noProof/>
          <w:kern w:val="0"/>
          <w:lang w:val="mn-MN"/>
          <w14:ligatures w14:val="none"/>
        </w:rPr>
      </w:pPr>
      <w:r w:rsidRPr="007D043C">
        <w:rPr>
          <w:rFonts w:ascii="Times New Roman" w:eastAsia="Calibri" w:hAnsi="Times New Roman" w:cs="Times New Roman"/>
          <w:noProof/>
          <w:kern w:val="0"/>
          <w:lang w:val="mn-MN"/>
          <w14:ligatures w14:val="none"/>
        </w:rPr>
        <w:t xml:space="preserve">сарын ... өдөр.         </w:t>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t xml:space="preserve">Дугаар ...                  </w:t>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t xml:space="preserve">         хот</w:t>
      </w:r>
    </w:p>
    <w:p w14:paraId="452F716D" w14:textId="77777777" w:rsidR="007D043C" w:rsidRPr="007D043C" w:rsidRDefault="007D043C" w:rsidP="007D043C">
      <w:pPr>
        <w:spacing w:after="0" w:line="276" w:lineRule="auto"/>
        <w:jc w:val="center"/>
        <w:rPr>
          <w:rFonts w:ascii="Times New Roman" w:eastAsia="Calibri" w:hAnsi="Times New Roman" w:cs="Times New Roman"/>
          <w:b/>
          <w:noProof/>
          <w:kern w:val="0"/>
          <w:lang w:val="mn-MN"/>
          <w14:ligatures w14:val="none"/>
        </w:rPr>
      </w:pPr>
    </w:p>
    <w:p w14:paraId="481F3565" w14:textId="77777777" w:rsidR="007D043C" w:rsidRPr="007D043C" w:rsidRDefault="007D043C" w:rsidP="007D043C">
      <w:pPr>
        <w:spacing w:after="0" w:line="276" w:lineRule="auto"/>
        <w:jc w:val="center"/>
        <w:rPr>
          <w:rFonts w:ascii="Times New Roman" w:eastAsia="Calibri" w:hAnsi="Times New Roman" w:cs="Times New Roman"/>
          <w:noProof/>
          <w:kern w:val="0"/>
          <w:lang w:val="mn-MN"/>
          <w14:ligatures w14:val="none"/>
        </w:rPr>
      </w:pPr>
      <w:r w:rsidRPr="007D043C">
        <w:rPr>
          <w:rFonts w:ascii="Times New Roman" w:eastAsia="Calibri" w:hAnsi="Times New Roman" w:cs="Times New Roman"/>
          <w:b/>
          <w:noProof/>
          <w:kern w:val="0"/>
          <w:lang w:val="mn-MN"/>
          <w14:ligatures w14:val="none"/>
        </w:rPr>
        <w:t>Төрөөс мөнгөний бодлогын талаар 2027 онд</w:t>
      </w:r>
      <w:r w:rsidRPr="007D043C">
        <w:rPr>
          <w:rFonts w:ascii="Times New Roman" w:eastAsia="Calibri" w:hAnsi="Times New Roman" w:cs="Times New Roman"/>
          <w:noProof/>
          <w:kern w:val="0"/>
          <w:lang w:val="mn-MN"/>
          <w14:ligatures w14:val="none"/>
        </w:rPr>
        <w:t xml:space="preserve"> </w:t>
      </w:r>
    </w:p>
    <w:p w14:paraId="70503283" w14:textId="77777777" w:rsidR="007D043C" w:rsidRPr="007D043C" w:rsidRDefault="007D043C" w:rsidP="007D043C">
      <w:pPr>
        <w:spacing w:after="0" w:line="276" w:lineRule="auto"/>
        <w:jc w:val="center"/>
        <w:rPr>
          <w:rFonts w:ascii="Times New Roman" w:eastAsia="Calibri" w:hAnsi="Times New Roman" w:cs="Times New Roman"/>
          <w:noProof/>
          <w:kern w:val="0"/>
          <w:lang w:val="mn-MN"/>
          <w14:ligatures w14:val="none"/>
        </w:rPr>
      </w:pPr>
      <w:r w:rsidRPr="007D043C">
        <w:rPr>
          <w:rFonts w:ascii="Times New Roman" w:eastAsia="Calibri" w:hAnsi="Times New Roman" w:cs="Times New Roman"/>
          <w:b/>
          <w:noProof/>
          <w:kern w:val="0"/>
          <w:lang w:val="mn-MN"/>
          <w14:ligatures w14:val="none"/>
        </w:rPr>
        <w:t>баримтлах үндсэн чиглэл батлах тухай</w:t>
      </w:r>
    </w:p>
    <w:p w14:paraId="4FAECF17" w14:textId="77777777" w:rsidR="007D043C" w:rsidRPr="007D043C" w:rsidRDefault="007D043C" w:rsidP="007D043C">
      <w:pPr>
        <w:spacing w:after="0" w:line="276" w:lineRule="auto"/>
        <w:jc w:val="center"/>
        <w:rPr>
          <w:rFonts w:ascii="Times New Roman" w:eastAsia="Calibri" w:hAnsi="Times New Roman" w:cs="Times New Roman"/>
          <w:b/>
          <w:noProof/>
          <w:kern w:val="0"/>
          <w:lang w:val="mn-MN"/>
          <w14:ligatures w14:val="none"/>
        </w:rPr>
      </w:pPr>
    </w:p>
    <w:p w14:paraId="004B76CF"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 xml:space="preserve">Монгол Улсын Үндсэн хуулийн Хорин тавдугаар зүйлийн 1 дэх хэсгийн 7 дахь заалт, Төв банк </w:t>
      </w:r>
      <w:r w:rsidRPr="007D043C">
        <w:rPr>
          <w:rFonts w:ascii="Times New Roman" w:eastAsia="Calibri" w:hAnsi="Times New Roman" w:cs="Times New Roman"/>
          <w:noProof/>
          <w:kern w:val="0"/>
          <w14:ligatures w14:val="none"/>
        </w:rPr>
        <w:t>/</w:t>
      </w:r>
      <w:r w:rsidRPr="007D043C">
        <w:rPr>
          <w:rFonts w:ascii="Times New Roman" w:eastAsia="Calibri" w:hAnsi="Times New Roman" w:cs="Times New Roman"/>
          <w:noProof/>
          <w:kern w:val="0"/>
          <w:lang w:val="ru-RU"/>
          <w14:ligatures w14:val="none"/>
        </w:rPr>
        <w:t>Монголбанк</w:t>
      </w:r>
      <w:r w:rsidRPr="007D043C">
        <w:rPr>
          <w:rFonts w:ascii="Times New Roman" w:eastAsia="Calibri" w:hAnsi="Times New Roman" w:cs="Times New Roman"/>
          <w:noProof/>
          <w:kern w:val="0"/>
          <w14:ligatures w14:val="none"/>
        </w:rPr>
        <w:t>/</w:t>
      </w:r>
      <w:r w:rsidRPr="007D043C">
        <w:rPr>
          <w:rFonts w:ascii="Times New Roman" w:eastAsia="Calibri" w:hAnsi="Times New Roman" w:cs="Times New Roman"/>
          <w:noProof/>
          <w:kern w:val="0"/>
          <w:lang w:val="ru-RU"/>
          <w14:ligatures w14:val="none"/>
        </w:rPr>
        <w:t>-ны тухай хуулийн 10 дугаар зүйлийн 2 дахь хэсгийг  үндэслэн Монгол Улсын Их Хурлаас ТОГТООХ нь:</w:t>
      </w:r>
    </w:p>
    <w:p w14:paraId="6A198151"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1."Төрөөс мөнгөний бодлогын талаар 2027 онд баримтлах үндсэн чиглэл"-ийг хавсралтаар баталсугай.</w:t>
      </w:r>
    </w:p>
    <w:p w14:paraId="6F830160"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2.Доор дурдсан арга хэмжээг авч хэрэгжүүлэхийг Монгол Улсын Засгийн газар /Н.Учрал/-т даалгасугай:</w:t>
      </w:r>
    </w:p>
    <w:p w14:paraId="0FD8BF42"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1/Засгийн газрын үнэт цаасны хоёрдогч захын арилжааг хөгжүүлж, өгөөжийн муруйг бий болгох, хөрөнгийн захын хөгжлийг дэмжих, төв банкны өөрийн хөрөнгийн дутагдлыг шийдвэрлэх зорилгоор жил бүр 1.5 их наяд төгрөгөөс доошгүй хэмжээний Засгийн газрын дунд, урт хугацаатай тусгай үнэт цаас гаргаж Монголбанкны өөрийн хөрөнгийг нөхөх;</w:t>
      </w:r>
    </w:p>
    <w:p w14:paraId="092DF25D"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2/Гол нэрийн бараа, бүтээгдэхүүний нийлүүлэлтийн тасалдлаас үүдэлтэй үнийн өсөлтийг хязгаарлах зорилгоор факторинг, худалдааны санхүүжилт, агуулахын бичгийн санхүүжилт зэрэг зах зээлийн зарчимд тулгуурласан нийлүүлэлтийн сүлжээний санхүүжилтийн тогтолцоог бүрдүүлж, нөөц бүрдүүлэх үйл ажиллагааг оролцогч талуудад ил тод бүртгэлжүүлэн оновчтой зохион байгуулах;</w:t>
      </w:r>
    </w:p>
    <w:p w14:paraId="42B793C8"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 xml:space="preserve">3/Уул уурхайн компаниудаас улсын төсөвт төвлөрүүлэх ашигт малтмалын нөөц ашигласны төлбөр (АМНАТ) болон Үндэсний баялгийн санд төвлөрүүлэх орлогыг дотоодын зах зээлд төгрөгт хөрвүүлэхгүйгээр Монголбанк дахь </w:t>
      </w:r>
      <w:r w:rsidRPr="007D043C">
        <w:rPr>
          <w:rFonts w:ascii="Times New Roman" w:eastAsia="Calibri" w:hAnsi="Times New Roman" w:cs="Times New Roman"/>
          <w:noProof/>
          <w:kern w:val="0"/>
          <w:lang w:val="mn-MN"/>
          <w14:ligatures w14:val="none"/>
        </w:rPr>
        <w:t xml:space="preserve">Засгийн газрын </w:t>
      </w:r>
      <w:r w:rsidRPr="007D043C">
        <w:rPr>
          <w:rFonts w:ascii="Times New Roman" w:eastAsia="Calibri" w:hAnsi="Times New Roman" w:cs="Times New Roman"/>
          <w:noProof/>
          <w:kern w:val="0"/>
          <w:lang w:val="ru-RU"/>
          <w14:ligatures w14:val="none"/>
        </w:rPr>
        <w:t>гадаад валютын дансанд шууд төвлөрүүлэх эрх зүйн орчныг бүрдүүлэх;</w:t>
      </w:r>
    </w:p>
    <w:p w14:paraId="17AD29C3"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4/Монголбанк, Үнэт цаасны төвлөрсөн хадгаламжийн төв, Монголын хөрөнгийн биржийн бүртгэл, арилжааны дэд бүтцийг холбож, Засгийн газрын үнэт цаасны хоёрдогч захын арилжааг идэвхжүүлэх замаар төгрөгийн эрсдэлгүй өгөөжийн муруйг бүрдүүлэх;</w:t>
      </w:r>
    </w:p>
    <w:p w14:paraId="6927E9F7"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lastRenderedPageBreak/>
        <w:t>5/Төрөөс хэрэгжүүлж байгаа орон сууцны хөнгөлөлттэй хүүтэй зээлийн хөтөлбөрийн санхүүжилтийн эх үүсвэрийг шийдвэрлэж, хөтөлбөрийн хэрэгжилтийг Засгийн газарт бүрэн шилжүүлэн авах;</w:t>
      </w:r>
    </w:p>
    <w:p w14:paraId="3B47978D"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6/Гадаад валютын улсын нөөцийн хүрэлцээг олон улсын аргачлалын дагуу үнэлж, нөөцийн аюулгүй байдлыг хангах, улсын зээлжих зэрэглэлийг баталгаажуулах, нэмэгдүүлэхэд чиглэсэн макро эдийн засгийн бодлогын уялдааг хангах;</w:t>
      </w:r>
    </w:p>
    <w:p w14:paraId="448DC880"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7/Төв банк /Монголбанк/-ны  тухай хууль, Банкны тухай хууль, Зээлийн мэдээллийн тухай хууль, Төлбөр тооцоог үндэсний мөнгөн тэмдэгтээр гүйцэтгэх тухай хууль, Валютын зохицуулалтын тухай хууль болон эдгээртэй холбогдуулан боловсруулах бусад хуулиудад өөрчлөлт оруулах тухай хуулийн төсөл, Актив удирдлагын компанийн тухай анхдагч хуулийн төслийг Монгол Улсын Их Хуралд өргөн мэдүүлэх.</w:t>
      </w:r>
    </w:p>
    <w:p w14:paraId="0E51ACE5"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 xml:space="preserve">3.Доор дурдсан арга хэмжээг авч хэрэгжүүлэхийг Монголбанк </w:t>
      </w:r>
      <w:r w:rsidRPr="007D043C">
        <w:rPr>
          <w:rFonts w:ascii="Times New Roman" w:eastAsia="Calibri" w:hAnsi="Times New Roman" w:cs="Times New Roman"/>
          <w:noProof/>
          <w:kern w:val="0"/>
          <w:lang w:val="en-AU"/>
          <w14:ligatures w14:val="none"/>
        </w:rPr>
        <w:t>/</w:t>
      </w:r>
      <w:r w:rsidRPr="007D043C">
        <w:rPr>
          <w:rFonts w:ascii="Times New Roman" w:eastAsia="Calibri" w:hAnsi="Times New Roman" w:cs="Times New Roman"/>
          <w:noProof/>
          <w:kern w:val="0"/>
          <w:lang w:val="ru-RU"/>
          <w14:ligatures w14:val="none"/>
        </w:rPr>
        <w:t>С.Наранцогт</w:t>
      </w:r>
      <w:r w:rsidRPr="007D043C">
        <w:rPr>
          <w:rFonts w:ascii="Times New Roman" w:eastAsia="Calibri" w:hAnsi="Times New Roman" w:cs="Times New Roman"/>
          <w:noProof/>
          <w:kern w:val="0"/>
          <w:lang w:val="en-AU"/>
          <w14:ligatures w14:val="none"/>
        </w:rPr>
        <w:t>/</w:t>
      </w:r>
      <w:r w:rsidRPr="007D043C">
        <w:rPr>
          <w:rFonts w:ascii="Times New Roman" w:eastAsia="Calibri" w:hAnsi="Times New Roman" w:cs="Times New Roman"/>
          <w:noProof/>
          <w:kern w:val="0"/>
          <w:lang w:val="ru-RU"/>
          <w14:ligatures w14:val="none"/>
        </w:rPr>
        <w:t>, Санхүүгийн зохицуулах хороо /Т.Жамбаажамц/-нд даалгасугай:</w:t>
      </w:r>
    </w:p>
    <w:p w14:paraId="6E629139"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1/Төв банкны үндсэн зорилтыг үнийн тогтвортой байдлыг хангахад</w:t>
      </w:r>
      <w:r w:rsidRPr="007D043C">
        <w:rPr>
          <w:rFonts w:ascii="Times New Roman" w:eastAsia="Calibri" w:hAnsi="Times New Roman" w:cs="Times New Roman"/>
          <w:noProof/>
          <w:kern w:val="0"/>
          <w:lang w:val="mn-MN"/>
          <w14:ligatures w14:val="none"/>
        </w:rPr>
        <w:t xml:space="preserve"> </w:t>
      </w:r>
      <w:r w:rsidRPr="007D043C">
        <w:rPr>
          <w:rFonts w:ascii="Times New Roman" w:eastAsia="Calibri" w:hAnsi="Times New Roman" w:cs="Times New Roman"/>
          <w:noProof/>
          <w:kern w:val="0"/>
          <w:lang w:val="ru-RU"/>
          <w14:ligatures w14:val="none"/>
        </w:rPr>
        <w:t>чиглүүлж, хараат бус байдал, засаглал, хариуцлага, ил тод байдал болон макро зохистой бодлогын шийдвэр гаргалтын институцийн тогтолцоог тодорхой болгох зохицуулалтыг тусгасан Төв банк /Монголбанк/-ны тухай хуулийн шинэчилсэн найруулгын төслийн саналыг боловсруулж, хууль санаачлагчид уламжлах;</w:t>
      </w:r>
    </w:p>
    <w:p w14:paraId="566A3536"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2/Төв банк төсвийн шинжтэй аливаа үйл ажиллагааг санхүүжүүлэх болон хэрэгжүүлэхийг хориглосон эрх зүйн орчныг бүрдүүлэх хуулийн төслийг боловсруулан хууль санаачлагчид уламж</w:t>
      </w:r>
      <w:r w:rsidRPr="007D043C">
        <w:rPr>
          <w:rFonts w:ascii="Times New Roman" w:eastAsia="Calibri" w:hAnsi="Times New Roman" w:cs="Times New Roman"/>
          <w:noProof/>
          <w:kern w:val="0"/>
          <w:lang w:val="mn-MN"/>
          <w14:ligatures w14:val="none"/>
        </w:rPr>
        <w:t>лах</w:t>
      </w:r>
      <w:r w:rsidRPr="007D043C">
        <w:rPr>
          <w:rFonts w:ascii="Times New Roman" w:eastAsia="Calibri" w:hAnsi="Times New Roman" w:cs="Times New Roman"/>
          <w:noProof/>
          <w:kern w:val="0"/>
          <w:lang w:val="ru-RU"/>
          <w14:ligatures w14:val="none"/>
        </w:rPr>
        <w:t>, орон сууцны хөнгөлөлттэй хүүтэй зээлийн хөтөлбөрий</w:t>
      </w:r>
      <w:r w:rsidRPr="007D043C">
        <w:rPr>
          <w:rFonts w:ascii="Times New Roman" w:eastAsia="Calibri" w:hAnsi="Times New Roman" w:cs="Times New Roman"/>
          <w:noProof/>
          <w:kern w:val="0"/>
          <w:lang w:val="mn-MN"/>
          <w14:ligatures w14:val="none"/>
        </w:rPr>
        <w:t xml:space="preserve">г </w:t>
      </w:r>
      <w:r w:rsidRPr="007D043C">
        <w:rPr>
          <w:rFonts w:ascii="Times New Roman" w:eastAsia="Calibri" w:hAnsi="Times New Roman" w:cs="Times New Roman"/>
          <w:noProof/>
          <w:kern w:val="0"/>
          <w:lang w:val="ru-RU"/>
          <w14:ligatures w14:val="none"/>
        </w:rPr>
        <w:t>Засгийн газар</w:t>
      </w:r>
      <w:r w:rsidRPr="007D043C">
        <w:rPr>
          <w:rFonts w:ascii="Times New Roman" w:eastAsia="Calibri" w:hAnsi="Times New Roman" w:cs="Times New Roman"/>
          <w:noProof/>
          <w:kern w:val="0"/>
          <w:lang w:val="mn-MN"/>
          <w14:ligatures w14:val="none"/>
        </w:rPr>
        <w:t>т бүрэн шилжүүлэх</w:t>
      </w:r>
      <w:r w:rsidRPr="007D043C">
        <w:rPr>
          <w:rFonts w:ascii="Times New Roman" w:eastAsia="Calibri" w:hAnsi="Times New Roman" w:cs="Times New Roman"/>
          <w:noProof/>
          <w:kern w:val="0"/>
          <w:lang w:val="ru-RU"/>
          <w14:ligatures w14:val="none"/>
        </w:rPr>
        <w:t>;</w:t>
      </w:r>
    </w:p>
    <w:p w14:paraId="43883C0C"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3/Банкны чанаргүй активыг шийдвэрлэх хоёрдогч зах зээлийн эрх зүйн орчныг бүрдүүлэх зорилгоор актив удирдлагын тогтолцооны зориулалт, өмчлөл, засаглал, тусгай эрх, хяналт болон үйл ажиллагааг дуусгавар болгох нөхцөлийг олон улсын сайн туршлагад нийцүүлэн хуулийн төслийг боловсруулж, хууль санаачлагчид уламжлах;</w:t>
      </w:r>
    </w:p>
    <w:p w14:paraId="5C74739F"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4/Хууль сахиулах байгууллага, банк, банк бус санхүүгийн байгууллага болон төлбөрийн үйлчилгээ үзүүлэгчдийн мэдээлэл солилцох шуурхай тогтолцоог бүрдүүлж, санхүүгийн цахим залиланг илрүүлэх, сэжигтэй гүйлгээг түр саатуулах, хохирол даамжирч, эрсдэл тархахаас урьдчилан сэргийлэх нэгдсэн цахим системийг хөгжүүлэн, шаардлагатай эрх зүйн орчныг бүрдүүлэх хуулийн төслийг боловсруулж, хууль санаачлагчид уламжлах;</w:t>
      </w:r>
    </w:p>
    <w:p w14:paraId="7A847DBD"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5/Санхүүгийн хориг арга хэмжээ авах байгууллага (ФАТФ)-ын техник хэрэгжилтийн 40 зөвлөмж, үр дүнтэй байдлын 11 шууд хэрэгжилтийн шалгуурын дагуу мөнгө угаах, терроризмыг санхүүжүүлэхтэй тэмцэх Монгол Улсын тогтолцоог үнэлж, Үндэсний эрсдэлийн үнэлгээг шинэчилж, илэрсэн эрсдэл, дутагдлыг арилгах арга хэмжээний төлөвлөгөөг батлан хэрэгжүүлж, ФАТФ-ын харилцан үнэлгээнд бэлтгэх;</w:t>
      </w:r>
    </w:p>
    <w:p w14:paraId="47D8B9D7"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lastRenderedPageBreak/>
        <w:t>6/Иргэдийн хэрэглээний зээлийн хэт өсөлт, өрийн дарамтаас үүдэх санхүүгийн тогтвортой байдлын эрсдэлийг хязгаарлах зорилгоор өр</w:t>
      </w:r>
      <w:r w:rsidRPr="007D043C">
        <w:rPr>
          <w:rFonts w:ascii="Times New Roman" w:eastAsia="Calibri" w:hAnsi="Times New Roman" w:cs="Times New Roman"/>
          <w:noProof/>
          <w:kern w:val="0"/>
          <w:lang w:val="mn-MN"/>
          <w14:ligatures w14:val="none"/>
        </w:rPr>
        <w:t xml:space="preserve">, </w:t>
      </w:r>
      <w:r w:rsidRPr="007D043C">
        <w:rPr>
          <w:rFonts w:ascii="Times New Roman" w:eastAsia="Calibri" w:hAnsi="Times New Roman" w:cs="Times New Roman"/>
          <w:noProof/>
          <w:kern w:val="0"/>
          <w:lang w:val="ru-RU"/>
          <w14:ligatures w14:val="none"/>
        </w:rPr>
        <w:t>орлогын харьцааны хязгаар тооцох аргачлал, мэдээллийн эх үүсвэр болон тайлагналын шаардлагыг арилжааны банк, банк бус санхүүгийн байгууллагын хүрээнд нэгдмэл байдлаар тогтоож, мөрдүүлэх.</w:t>
      </w:r>
    </w:p>
    <w:p w14:paraId="605E4272" w14:textId="77777777" w:rsidR="007D043C" w:rsidRPr="007D043C" w:rsidRDefault="007D043C" w:rsidP="007D043C">
      <w:pPr>
        <w:spacing w:line="276" w:lineRule="auto"/>
        <w:ind w:firstLine="720"/>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4.Энэ тогтоолын биелэлтэд хяналт тавьж ажиллахыг Монгол Улсын Их Хурлын Эдийн засгийн байнгын хороо /Б.Заяабал/-нд даалгасугай.</w:t>
      </w:r>
    </w:p>
    <w:p w14:paraId="1B280B59" w14:textId="77777777" w:rsidR="007D043C" w:rsidRPr="007D043C" w:rsidRDefault="007D043C" w:rsidP="007D043C">
      <w:pPr>
        <w:spacing w:line="276" w:lineRule="auto"/>
        <w:jc w:val="both"/>
        <w:rPr>
          <w:rFonts w:ascii="Times New Roman" w:eastAsia="Calibri" w:hAnsi="Times New Roman" w:cs="Times New Roman"/>
          <w:noProof/>
          <w:kern w:val="0"/>
          <w:lang w:val="mn-MN"/>
          <w14:ligatures w14:val="none"/>
        </w:rPr>
      </w:pPr>
    </w:p>
    <w:p w14:paraId="6A481971" w14:textId="77777777" w:rsidR="007D043C" w:rsidRPr="007D043C" w:rsidRDefault="007D043C" w:rsidP="007D043C">
      <w:pPr>
        <w:spacing w:line="276" w:lineRule="auto"/>
        <w:ind w:left="720"/>
        <w:jc w:val="both"/>
        <w:rPr>
          <w:rFonts w:ascii="Times New Roman" w:eastAsia="Calibri" w:hAnsi="Times New Roman" w:cs="Times New Roman"/>
          <w:noProof/>
          <w:kern w:val="0"/>
          <w:lang w:val="mn-MN"/>
          <w14:ligatures w14:val="none"/>
        </w:rPr>
      </w:pPr>
    </w:p>
    <w:p w14:paraId="6B04E229" w14:textId="77777777" w:rsidR="007D043C" w:rsidRPr="007D043C" w:rsidRDefault="007D043C" w:rsidP="007D043C">
      <w:pPr>
        <w:spacing w:after="0" w:line="276" w:lineRule="auto"/>
        <w:ind w:left="720"/>
        <w:jc w:val="both"/>
        <w:rPr>
          <w:rFonts w:ascii="Times New Roman" w:eastAsia="Calibri" w:hAnsi="Times New Roman" w:cs="Times New Roman"/>
          <w:b/>
          <w:noProof/>
          <w:kern w:val="0"/>
          <w:lang w:val="mn-MN"/>
          <w14:ligatures w14:val="none"/>
        </w:rPr>
      </w:pPr>
      <w:r w:rsidRPr="007D043C">
        <w:rPr>
          <w:rFonts w:ascii="Times New Roman" w:eastAsia="Calibri" w:hAnsi="Times New Roman" w:cs="Times New Roman"/>
          <w:b/>
          <w:noProof/>
          <w:kern w:val="0"/>
          <w:lang w:val="mn-MN"/>
          <w14:ligatures w14:val="none"/>
        </w:rPr>
        <w:t xml:space="preserve">МОНГОЛ УЛСЫН ИХ </w:t>
      </w:r>
    </w:p>
    <w:p w14:paraId="35651E21" w14:textId="77777777" w:rsidR="007D043C" w:rsidRPr="007D043C" w:rsidRDefault="007D043C" w:rsidP="007D043C">
      <w:pPr>
        <w:spacing w:after="0" w:line="276" w:lineRule="auto"/>
        <w:ind w:left="720"/>
        <w:jc w:val="both"/>
        <w:rPr>
          <w:rFonts w:ascii="Times New Roman" w:eastAsia="Calibri" w:hAnsi="Times New Roman" w:cs="Times New Roman"/>
          <w:noProof/>
          <w:kern w:val="0"/>
          <w:lang w:val="mn-MN"/>
          <w14:ligatures w14:val="none"/>
        </w:rPr>
      </w:pPr>
      <w:r w:rsidRPr="007D043C">
        <w:rPr>
          <w:rFonts w:ascii="Times New Roman" w:eastAsia="Calibri" w:hAnsi="Times New Roman" w:cs="Times New Roman"/>
          <w:b/>
          <w:noProof/>
          <w:kern w:val="0"/>
          <w:lang w:val="mn-MN"/>
          <w14:ligatures w14:val="none"/>
        </w:rPr>
        <w:t xml:space="preserve">ХУРЛЫН ДАРГА </w:t>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r>
      <w:r w:rsidRPr="007D043C">
        <w:rPr>
          <w:rFonts w:ascii="Times New Roman" w:eastAsia="Calibri" w:hAnsi="Times New Roman" w:cs="Times New Roman"/>
          <w:b/>
          <w:noProof/>
          <w:kern w:val="0"/>
          <w:lang w:val="mn-MN"/>
          <w14:ligatures w14:val="none"/>
        </w:rPr>
        <w:tab/>
        <w:t>С.БЯМБАЦОГТ</w:t>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r w:rsidRPr="007D043C">
        <w:rPr>
          <w:rFonts w:ascii="Times New Roman" w:eastAsia="Calibri" w:hAnsi="Times New Roman" w:cs="Times New Roman"/>
          <w:noProof/>
          <w:kern w:val="0"/>
          <w:lang w:val="mn-MN"/>
          <w14:ligatures w14:val="none"/>
        </w:rPr>
        <w:tab/>
      </w:r>
    </w:p>
    <w:p w14:paraId="0341ACBC" w14:textId="77777777" w:rsidR="007D043C" w:rsidRPr="007D043C" w:rsidRDefault="007D043C" w:rsidP="007D043C">
      <w:pPr>
        <w:spacing w:line="276" w:lineRule="auto"/>
        <w:ind w:left="720"/>
        <w:jc w:val="both"/>
        <w:rPr>
          <w:rFonts w:ascii="Times New Roman" w:eastAsia="Calibri" w:hAnsi="Times New Roman" w:cs="Times New Roman"/>
          <w:noProof/>
          <w:kern w:val="0"/>
          <w:lang w:val="mn-MN"/>
          <w14:ligatures w14:val="none"/>
        </w:rPr>
      </w:pPr>
    </w:p>
    <w:p w14:paraId="098C6C7C" w14:textId="77777777" w:rsidR="007D043C" w:rsidRPr="007D043C" w:rsidRDefault="007D043C" w:rsidP="007D043C">
      <w:pPr>
        <w:spacing w:line="259" w:lineRule="auto"/>
        <w:rPr>
          <w:rFonts w:ascii="Times New Roman" w:eastAsia="DengXian Light" w:hAnsi="Times New Roman" w:cs="Times New Roman"/>
          <w:b/>
          <w:noProof/>
          <w:kern w:val="0"/>
          <w:szCs w:val="32"/>
          <w:lang w:val="mn-MN"/>
          <w14:ligatures w14:val="none"/>
        </w:rPr>
      </w:pPr>
      <w:r w:rsidRPr="007D043C">
        <w:rPr>
          <w:rFonts w:ascii="Times New Roman" w:eastAsia="Calibri" w:hAnsi="Times New Roman" w:cs="Arial"/>
          <w:noProof/>
          <w:kern w:val="0"/>
          <w:szCs w:val="22"/>
          <w:lang w:val="mn-MN"/>
          <w14:ligatures w14:val="none"/>
        </w:rPr>
        <w:br w:type="page"/>
      </w:r>
    </w:p>
    <w:p w14:paraId="6B2A8FC3" w14:textId="77777777" w:rsidR="007D043C" w:rsidRPr="007D043C" w:rsidRDefault="007D043C" w:rsidP="007D043C">
      <w:pPr>
        <w:spacing w:after="0" w:line="276" w:lineRule="auto"/>
        <w:ind w:left="720"/>
        <w:contextualSpacing/>
        <w:jc w:val="right"/>
        <w:rPr>
          <w:rFonts w:ascii="Times New Roman" w:eastAsia="Calibri" w:hAnsi="Times New Roman" w:cs="Arial"/>
          <w:b/>
          <w:noProof/>
          <w:kern w:val="0"/>
          <w:szCs w:val="28"/>
          <w:lang w:val="mn-MN"/>
          <w14:ligatures w14:val="none"/>
        </w:rPr>
      </w:pPr>
      <w:r w:rsidRPr="007D043C">
        <w:rPr>
          <w:rFonts w:ascii="Times New Roman" w:eastAsia="Calibri" w:hAnsi="Times New Roman" w:cs="Times New Roman"/>
          <w:i/>
          <w:noProof/>
          <w:color w:val="000000"/>
          <w:kern w:val="0"/>
          <w:sz w:val="20"/>
          <w:szCs w:val="20"/>
          <w:lang w:val="mn-MN"/>
          <w14:ligatures w14:val="none"/>
        </w:rPr>
        <w:lastRenderedPageBreak/>
        <w:t xml:space="preserve">Монгол Улсын Их Хурлын </w:t>
      </w:r>
    </w:p>
    <w:p w14:paraId="5ADA1DF2" w14:textId="77777777" w:rsidR="007D043C" w:rsidRPr="007D043C" w:rsidRDefault="007D043C" w:rsidP="007D043C">
      <w:pPr>
        <w:spacing w:after="0" w:line="276" w:lineRule="auto"/>
        <w:ind w:left="720"/>
        <w:contextualSpacing/>
        <w:jc w:val="right"/>
        <w:rPr>
          <w:rFonts w:ascii="Times New Roman" w:eastAsia="Calibri" w:hAnsi="Times New Roman" w:cs="Times New Roman"/>
          <w:i/>
          <w:noProof/>
          <w:color w:val="000000"/>
          <w:kern w:val="0"/>
          <w:sz w:val="20"/>
          <w:szCs w:val="20"/>
          <w:lang w:val="mn-MN"/>
          <w14:ligatures w14:val="none"/>
        </w:rPr>
      </w:pPr>
      <w:r w:rsidRPr="007D043C">
        <w:rPr>
          <w:rFonts w:ascii="Times New Roman" w:eastAsia="Calibri" w:hAnsi="Times New Roman" w:cs="Times New Roman"/>
          <w:i/>
          <w:noProof/>
          <w:color w:val="000000"/>
          <w:kern w:val="0"/>
          <w:sz w:val="20"/>
          <w:szCs w:val="20"/>
          <w:lang w:val="mn-MN"/>
          <w14:ligatures w14:val="none"/>
        </w:rPr>
        <w:t xml:space="preserve">2026 оны ... сарын ... –ны өдрийн </w:t>
      </w:r>
    </w:p>
    <w:p w14:paraId="7CBBB00A" w14:textId="77777777" w:rsidR="007D043C" w:rsidRPr="007D043C" w:rsidRDefault="007D043C" w:rsidP="007D043C">
      <w:pPr>
        <w:spacing w:line="276" w:lineRule="auto"/>
        <w:ind w:left="720"/>
        <w:contextualSpacing/>
        <w:jc w:val="right"/>
        <w:rPr>
          <w:rFonts w:ascii="Times New Roman" w:eastAsia="Calibri" w:hAnsi="Times New Roman" w:cs="Times New Roman"/>
          <w:i/>
          <w:noProof/>
          <w:color w:val="000000"/>
          <w:kern w:val="0"/>
          <w:sz w:val="20"/>
          <w:szCs w:val="20"/>
          <w:lang w:val="mn-MN"/>
          <w14:ligatures w14:val="none"/>
        </w:rPr>
      </w:pPr>
      <w:r w:rsidRPr="007D043C">
        <w:rPr>
          <w:rFonts w:ascii="Times New Roman" w:eastAsia="Calibri" w:hAnsi="Times New Roman" w:cs="Times New Roman"/>
          <w:i/>
          <w:noProof/>
          <w:color w:val="000000"/>
          <w:kern w:val="0"/>
          <w:sz w:val="20"/>
          <w:szCs w:val="20"/>
          <w:lang w:val="mn-MN"/>
          <w14:ligatures w14:val="none"/>
        </w:rPr>
        <w:t>... дугаар тогтоолын хавсралт</w:t>
      </w:r>
    </w:p>
    <w:p w14:paraId="475D7BC0" w14:textId="77777777" w:rsidR="007D043C" w:rsidRPr="007D043C" w:rsidRDefault="007D043C" w:rsidP="007D043C">
      <w:pPr>
        <w:spacing w:line="276" w:lineRule="auto"/>
        <w:ind w:left="720"/>
        <w:contextualSpacing/>
        <w:jc w:val="right"/>
        <w:rPr>
          <w:rFonts w:ascii="Times New Roman" w:eastAsia="Calibri" w:hAnsi="Times New Roman" w:cs="Times New Roman"/>
          <w:i/>
          <w:noProof/>
          <w:color w:val="000000"/>
          <w:kern w:val="0"/>
          <w:sz w:val="20"/>
          <w:szCs w:val="20"/>
          <w:lang w:val="mn-MN"/>
          <w14:ligatures w14:val="none"/>
        </w:rPr>
      </w:pPr>
    </w:p>
    <w:p w14:paraId="68614200" w14:textId="77777777" w:rsidR="007D043C" w:rsidRPr="007D043C" w:rsidRDefault="007D043C" w:rsidP="007D043C">
      <w:pPr>
        <w:spacing w:line="276" w:lineRule="auto"/>
        <w:ind w:left="720"/>
        <w:contextualSpacing/>
        <w:jc w:val="center"/>
        <w:rPr>
          <w:rFonts w:ascii="Times New Roman" w:eastAsia="Calibri" w:hAnsi="Times New Roman" w:cs="Arial"/>
          <w:b/>
          <w:noProof/>
          <w:kern w:val="0"/>
          <w:szCs w:val="22"/>
          <w:lang w:val="mn-MN"/>
          <w14:ligatures w14:val="none"/>
        </w:rPr>
      </w:pPr>
      <w:r w:rsidRPr="007D043C">
        <w:rPr>
          <w:rFonts w:ascii="Times New Roman" w:eastAsia="Calibri" w:hAnsi="Times New Roman" w:cs="Arial"/>
          <w:b/>
          <w:noProof/>
          <w:kern w:val="0"/>
          <w:szCs w:val="22"/>
          <w:lang w:val="mn-MN"/>
          <w14:ligatures w14:val="none"/>
        </w:rPr>
        <w:t>ТӨРӨӨС МӨНГӨНИЙ БОДЛОГЫН ТАЛААР 2027 ОНД БАРИМТЛАХ ҮНДСЭН ЧИГЛЭЛИЙН ТӨСӨЛ</w:t>
      </w:r>
    </w:p>
    <w:p w14:paraId="762DDE40" w14:textId="77777777" w:rsidR="007D043C" w:rsidRPr="007D043C" w:rsidRDefault="007D043C" w:rsidP="007D043C">
      <w:pPr>
        <w:numPr>
          <w:ilvl w:val="0"/>
          <w:numId w:val="2"/>
        </w:numPr>
        <w:spacing w:before="160" w:line="276" w:lineRule="auto"/>
        <w:jc w:val="both"/>
        <w:rPr>
          <w:rFonts w:ascii="Times New Roman" w:eastAsia="Calibri" w:hAnsi="Times New Roman" w:cs="Times New Roman"/>
          <w:b/>
          <w:noProof/>
          <w:kern w:val="0"/>
          <w:lang w:val="mn-MN"/>
          <w14:ligatures w14:val="none"/>
        </w:rPr>
      </w:pPr>
      <w:r w:rsidRPr="007D043C">
        <w:rPr>
          <w:rFonts w:ascii="Times New Roman" w:eastAsia="Calibri" w:hAnsi="Times New Roman" w:cs="Times New Roman"/>
          <w:b/>
          <w:noProof/>
          <w:kern w:val="0"/>
          <w:lang w:val="mn-MN"/>
          <w14:ligatures w14:val="none"/>
        </w:rPr>
        <w:t>Үнийн тогтвортой байдлыг хангах хүрээнд</w:t>
      </w:r>
    </w:p>
    <w:p w14:paraId="58B43ECD"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kern w:val="0"/>
          <w:lang w:val="mn-MN"/>
          <w14:ligatures w14:val="none"/>
        </w:rPr>
      </w:pPr>
      <w:r w:rsidRPr="007D043C">
        <w:rPr>
          <w:rFonts w:ascii="Times New Roman" w:eastAsia="Calibri" w:hAnsi="Times New Roman" w:cs="Times New Roman"/>
          <w:noProof/>
          <w:kern w:val="0"/>
          <w:lang w:val="ru-RU"/>
          <w14:ligatures w14:val="none"/>
        </w:rPr>
        <w:t>Хэрэглээний үнийн индексээр хэмжигдэх инфляцыг дунд хугацаанд 5 хув</w:t>
      </w:r>
      <w:r w:rsidRPr="007D043C">
        <w:rPr>
          <w:rFonts w:ascii="Times New Roman" w:eastAsia="Calibri" w:hAnsi="Times New Roman" w:cs="Times New Roman"/>
          <w:noProof/>
          <w:kern w:val="0"/>
          <w:lang w:val="mn-MN"/>
          <w14:ligatures w14:val="none"/>
        </w:rPr>
        <w:t xml:space="preserve">ь </w:t>
      </w:r>
      <w:r w:rsidRPr="007D043C">
        <w:rPr>
          <w:rFonts w:ascii="Times New Roman" w:eastAsia="Calibri" w:hAnsi="Times New Roman" w:cs="Times New Roman"/>
          <w:noProof/>
          <w:kern w:val="0"/>
          <w:lang w:val="ru-RU"/>
          <w14:ligatures w14:val="none"/>
        </w:rPr>
        <w:t>орчимд тогтворжуулахад чиглэсэн мөнгөний бодлогыг хэрэгжүүлнэ.</w:t>
      </w:r>
    </w:p>
    <w:p w14:paraId="15DA1A90"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Төв банкны үндсэн зорилтыг үнийн тогтвортой байдлыг хангахад чиглүүлж, институцийн хараат бус байдал, засаглал, хариуцлага, ил тод байдал болон макро зохистой бодлогын шийдвэр гаргалтын тогтолцоог олон улсын сайн туршлагад нийцүүлэн боловсронгуй болгох реформыг эхлүүлнэ.</w:t>
      </w:r>
    </w:p>
    <w:p w14:paraId="6B39C2DA"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mn-MN"/>
          <w14:ligatures w14:val="none"/>
        </w:rPr>
        <w:t>Гадаад валютын улсын нөөцийн хүрэлцээ, аюулгүй байдлыг хангах бодлогыг хэрэгжүүлж, төгрөгийн гадаад валюттай харьцах ханшийг макро эдийн засгийн суурь нөхцөлтэй нийцүүлэн уян хатан тогтох зарчмыг баримталж, төрийн өмчит болон төрийн өмчийн оролцоотой уул уурхайн компаниудын экспортын валютын орлогыг Монголбанканд бүрэн худалдах зохицуулалтаас үе шаттай татгалзан, уг орлогыг дотоодын валютын захад ил тод, нээлттэй, өрсөлдөөнт зарчмаар нийлүүлж арилжаалах механизмыг бүрдүүлнэ. </w:t>
      </w:r>
    </w:p>
    <w:p w14:paraId="21F51C69"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kern w:val="0"/>
          <w:lang w:val="mn-MN"/>
          <w14:ligatures w14:val="none"/>
        </w:rPr>
      </w:pPr>
      <w:r w:rsidRPr="007D043C">
        <w:rPr>
          <w:rFonts w:ascii="Times New Roman" w:eastAsia="Calibri" w:hAnsi="Times New Roman" w:cs="Times New Roman"/>
          <w:noProof/>
          <w:kern w:val="0"/>
          <w:lang w:val="ru-RU"/>
          <w14:ligatures w14:val="none"/>
        </w:rPr>
        <w:t>Банкны системийн илүүдэл нөөцийн хэмжээ, бүтэц, төвлөрөл болон хугацааны өөрчлөлтийг тогтмол үнэлж, мөнгөний бодлогын хүү</w:t>
      </w:r>
      <w:r w:rsidRPr="007D043C">
        <w:rPr>
          <w:rFonts w:ascii="Times New Roman" w:eastAsia="Calibri" w:hAnsi="Times New Roman" w:cs="Times New Roman"/>
          <w:noProof/>
          <w:kern w:val="0"/>
          <w:lang w:val="mn-MN"/>
          <w14:ligatures w14:val="none"/>
        </w:rPr>
        <w:t>гийн</w:t>
      </w:r>
      <w:r w:rsidRPr="007D043C">
        <w:rPr>
          <w:rFonts w:ascii="Times New Roman" w:eastAsia="Calibri" w:hAnsi="Times New Roman" w:cs="Times New Roman"/>
          <w:noProof/>
          <w:kern w:val="0"/>
          <w:lang w:val="ru-RU"/>
          <w14:ligatures w14:val="none"/>
        </w:rPr>
        <w:t xml:space="preserve"> дамжих механизмыг сайжруулах зорилгоор нээлттэй захын үйл ажиллагаа</w:t>
      </w:r>
      <w:r w:rsidRPr="007D043C">
        <w:rPr>
          <w:rFonts w:ascii="Times New Roman" w:eastAsia="Calibri" w:hAnsi="Times New Roman" w:cs="Times New Roman"/>
          <w:noProof/>
          <w:kern w:val="0"/>
          <w:lang w:val="mn-MN"/>
          <w14:ligatures w14:val="none"/>
        </w:rPr>
        <w:t xml:space="preserve"> </w:t>
      </w:r>
      <w:r w:rsidRPr="007D043C">
        <w:rPr>
          <w:rFonts w:ascii="Times New Roman" w:eastAsia="Calibri" w:hAnsi="Times New Roman" w:cs="Times New Roman"/>
          <w:noProof/>
          <w:kern w:val="0"/>
          <w:lang w:val="en-AU"/>
          <w14:ligatures w14:val="none"/>
        </w:rPr>
        <w:t>(</w:t>
      </w:r>
      <w:r w:rsidRPr="007D043C">
        <w:rPr>
          <w:rFonts w:ascii="Times New Roman" w:eastAsia="Calibri" w:hAnsi="Times New Roman" w:cs="Times New Roman"/>
          <w:noProof/>
          <w:kern w:val="0"/>
          <w:lang w:val="mn-MN"/>
          <w14:ligatures w14:val="none"/>
        </w:rPr>
        <w:t>Төв банкны үнэт цаас</w:t>
      </w:r>
      <w:r w:rsidRPr="007D043C">
        <w:rPr>
          <w:rFonts w:ascii="Times New Roman" w:eastAsia="Calibri" w:hAnsi="Times New Roman" w:cs="Times New Roman"/>
          <w:noProof/>
          <w:kern w:val="0"/>
          <w:lang w:val="en-AU"/>
          <w14:ligatures w14:val="none"/>
        </w:rPr>
        <w:t>)</w:t>
      </w:r>
      <w:r w:rsidRPr="007D043C">
        <w:rPr>
          <w:rFonts w:ascii="Times New Roman" w:eastAsia="Calibri" w:hAnsi="Times New Roman" w:cs="Times New Roman"/>
          <w:noProof/>
          <w:kern w:val="0"/>
          <w:lang w:val="ru-RU"/>
          <w14:ligatures w14:val="none"/>
        </w:rPr>
        <w:t xml:space="preserve">, </w:t>
      </w:r>
      <w:r w:rsidRPr="007D043C">
        <w:rPr>
          <w:rFonts w:ascii="Times New Roman" w:eastAsia="Calibri" w:hAnsi="Times New Roman" w:cs="Times New Roman"/>
          <w:noProof/>
          <w:kern w:val="0"/>
          <w:lang w:val="mn-MN"/>
          <w14:ligatures w14:val="none"/>
        </w:rPr>
        <w:t>овернайт хадгаламж, заавал байлгах нөөц</w:t>
      </w:r>
      <w:r w:rsidRPr="007D043C">
        <w:rPr>
          <w:rFonts w:ascii="Times New Roman" w:eastAsia="Calibri" w:hAnsi="Times New Roman" w:cs="Times New Roman"/>
          <w:noProof/>
          <w:kern w:val="0"/>
          <w:lang w:val="ru-RU"/>
          <w14:ligatures w14:val="none"/>
        </w:rPr>
        <w:t xml:space="preserve"> болон зах зээлийн </w:t>
      </w:r>
      <w:r w:rsidRPr="007D043C">
        <w:rPr>
          <w:rFonts w:ascii="Times New Roman" w:eastAsia="Calibri" w:hAnsi="Times New Roman" w:cs="Times New Roman"/>
          <w:noProof/>
          <w:kern w:val="0"/>
          <w:lang w:val="mn-MN"/>
          <w14:ligatures w14:val="none"/>
        </w:rPr>
        <w:t xml:space="preserve">бусад </w:t>
      </w:r>
      <w:r w:rsidRPr="007D043C">
        <w:rPr>
          <w:rFonts w:ascii="Times New Roman" w:eastAsia="Calibri" w:hAnsi="Times New Roman" w:cs="Times New Roman"/>
          <w:noProof/>
          <w:kern w:val="0"/>
          <w:lang w:val="ru-RU"/>
          <w14:ligatures w14:val="none"/>
        </w:rPr>
        <w:t xml:space="preserve">хэрэгслийг уялдуулан ашиглаж, илүүдэл нөөцийг үе шаттай, </w:t>
      </w:r>
      <w:r w:rsidRPr="007D043C">
        <w:rPr>
          <w:rFonts w:ascii="Times New Roman" w:eastAsia="Calibri" w:hAnsi="Times New Roman" w:cs="Times New Roman"/>
          <w:noProof/>
          <w:kern w:val="0"/>
          <w:lang w:val="mn-MN"/>
          <w14:ligatures w14:val="none"/>
        </w:rPr>
        <w:t>үр ашигтай</w:t>
      </w:r>
      <w:r w:rsidRPr="007D043C">
        <w:rPr>
          <w:rFonts w:ascii="Times New Roman" w:eastAsia="Calibri" w:hAnsi="Times New Roman" w:cs="Times New Roman"/>
          <w:noProof/>
          <w:kern w:val="0"/>
          <w:lang w:val="ru-RU"/>
          <w14:ligatures w14:val="none"/>
        </w:rPr>
        <w:t xml:space="preserve"> удирдана.</w:t>
      </w:r>
    </w:p>
    <w:p w14:paraId="534F9B52"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color w:val="000000"/>
          <w:kern w:val="0"/>
          <w:lang w:val="mn-MN"/>
          <w14:ligatures w14:val="none"/>
        </w:rPr>
      </w:pPr>
      <w:r w:rsidRPr="007D043C">
        <w:rPr>
          <w:rFonts w:ascii="Times New Roman" w:eastAsia="Calibri" w:hAnsi="Times New Roman" w:cs="Times New Roman"/>
          <w:noProof/>
          <w:kern w:val="0"/>
          <w:lang w:val="mn-MN"/>
          <w14:ligatures w14:val="none"/>
        </w:rPr>
        <w:t>Төв банкны алт худалдан авалтын үйл ажиллагаанд байгаль орчин, нийгэм, засаглал (ESG)-ын олон улсын стандартыг уялдуулж, гарал үүсэл нь баталгаажсан, хариуцлагатай уул уурхай, алт олборлолтыг тэргүүн ээлжинд дэмжих бодлого баримталж,</w:t>
      </w:r>
      <w:r w:rsidRPr="007D043C">
        <w:rPr>
          <w:rFonts w:ascii="Times New Roman" w:eastAsia="Calibri" w:hAnsi="Times New Roman" w:cs="Times New Roman"/>
          <w:noProof/>
          <w:kern w:val="0"/>
          <w:lang w:val="en-GB"/>
        </w:rPr>
        <w:t xml:space="preserve"> алт худалдан авалтаас банк хоорондын захад үүсэх илүүдэл нөөцийн инфляцад үзүүлэх нөлөөг тогтмол үнэлж, шаардлагатай тохиолдолд мөнгөний бодлогын хэрэгслээр шуурхай саармагжуулна.</w:t>
      </w:r>
    </w:p>
    <w:p w14:paraId="300674F4"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color w:val="000000"/>
          <w:kern w:val="0"/>
          <w:lang w:val="mn-MN"/>
          <w14:ligatures w14:val="none"/>
        </w:rPr>
      </w:pPr>
      <w:r w:rsidRPr="007D043C">
        <w:rPr>
          <w:rFonts w:ascii="Times New Roman" w:eastAsia="Calibri" w:hAnsi="Times New Roman" w:cs="Times New Roman"/>
          <w:noProof/>
          <w:color w:val="000000"/>
          <w:kern w:val="0"/>
          <w:lang w:val="ru-RU"/>
          <w14:ligatures w14:val="none"/>
        </w:rPr>
        <w:t>Төгрөг болон валютын зах зээлийн дэд бүтцийг хөгжүүлэн, санхүүгийн үүсмэл хэрэгслийн хөгжлийг дэмжинэ.</w:t>
      </w:r>
    </w:p>
    <w:p w14:paraId="02C17828" w14:textId="77777777" w:rsidR="007D043C" w:rsidRPr="007D043C" w:rsidRDefault="007D043C" w:rsidP="007D043C">
      <w:pPr>
        <w:numPr>
          <w:ilvl w:val="1"/>
          <w:numId w:val="1"/>
        </w:numPr>
        <w:spacing w:before="160" w:line="240" w:lineRule="auto"/>
        <w:jc w:val="both"/>
        <w:rPr>
          <w:rFonts w:ascii="Times New Roman" w:eastAsia="Calibri" w:hAnsi="Times New Roman" w:cs="Times New Roman"/>
          <w:noProof/>
          <w:kern w:val="0"/>
          <w:lang w:val="mn-MN"/>
          <w14:ligatures w14:val="none"/>
        </w:rPr>
      </w:pPr>
      <w:r w:rsidRPr="007D043C">
        <w:rPr>
          <w:rFonts w:ascii="Times New Roman" w:eastAsia="Calibri" w:hAnsi="Times New Roman" w:cs="Times New Roman"/>
          <w:noProof/>
          <w:kern w:val="0"/>
          <w:lang w:val="ru-RU"/>
          <w14:ligatures w14:val="none"/>
        </w:rPr>
        <w:t>Төв банкны бодлого үйл ажиллагаа, тэдгээрийн хэрэгжилтийг олон нийтэд нээлттэй ил тод хүргэж, зах зээлийн хүлээлтийг оновчтой удирдана.</w:t>
      </w:r>
    </w:p>
    <w:p w14:paraId="532B3CE5" w14:textId="77777777" w:rsidR="007D043C" w:rsidRPr="007D043C" w:rsidRDefault="007D043C" w:rsidP="007D043C">
      <w:pPr>
        <w:numPr>
          <w:ilvl w:val="0"/>
          <w:numId w:val="2"/>
        </w:numPr>
        <w:spacing w:before="160" w:line="276" w:lineRule="auto"/>
        <w:jc w:val="both"/>
        <w:rPr>
          <w:rFonts w:ascii="Times New Roman" w:eastAsia="Calibri" w:hAnsi="Times New Roman" w:cs="Times New Roman"/>
          <w:b/>
          <w:noProof/>
          <w:kern w:val="0"/>
          <w:lang w:val="mn-MN"/>
          <w14:ligatures w14:val="none"/>
        </w:rPr>
      </w:pPr>
      <w:r w:rsidRPr="007D043C">
        <w:rPr>
          <w:rFonts w:ascii="Times New Roman" w:eastAsia="Calibri" w:hAnsi="Times New Roman" w:cs="Times New Roman"/>
          <w:b/>
          <w:noProof/>
          <w:kern w:val="0"/>
          <w:lang w:val="mn-MN"/>
          <w14:ligatures w14:val="none"/>
        </w:rPr>
        <w:t xml:space="preserve">Банкны салбарын тогтвортой байдлыг хангах хүрээнд </w:t>
      </w:r>
    </w:p>
    <w:p w14:paraId="3CCBF709"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Санхүүгийн тогтвортой байдлыг хангах институцийн бүтцийг олон улсын сайн туршлагад нийцүүлж, макро зохистой бодлогын шинэ хэрэгслийг нэвтрүүлнэ.</w:t>
      </w:r>
    </w:p>
    <w:p w14:paraId="77D0D694"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 xml:space="preserve">Их өгөгдлийн нэгдсэн засаглалыг бий болгож, API технологид тулгуурласан бодит цагийн мэдээллийн тогтолцоог нэвтрүүлэн, эрсдэлийг урьдчилан илрүүлэх эрт </w:t>
      </w:r>
      <w:r w:rsidRPr="007D043C">
        <w:rPr>
          <w:rFonts w:ascii="Times New Roman" w:eastAsia="Calibri" w:hAnsi="Times New Roman" w:cs="Times New Roman"/>
          <w:noProof/>
          <w:kern w:val="0"/>
          <w:lang w:val="ru-RU"/>
          <w14:ligatures w14:val="none"/>
        </w:rPr>
        <w:lastRenderedPageBreak/>
        <w:t>сэрэмжлүүлэх систем болон технологид суурилсан хяналт шалгалтаар шийдвэр гаргалтын шуурхай, үр нөлөөтэй байдлыг нэмэгдүүлнэ.</w:t>
      </w:r>
    </w:p>
    <w:p w14:paraId="21C4E274"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Олон улсын сайн жишигт нийцсэн төлбөрийн шинэ технологи, стандарт, инновац</w:t>
      </w:r>
      <w:r w:rsidRPr="007D043C">
        <w:rPr>
          <w:rFonts w:ascii="Times New Roman" w:eastAsia="Calibri" w:hAnsi="Times New Roman" w:cs="Times New Roman"/>
          <w:noProof/>
          <w:kern w:val="0"/>
          <w:lang w:val="mn-MN"/>
          <w14:ligatures w14:val="none"/>
        </w:rPr>
        <w:t>ы</w:t>
      </w:r>
      <w:r w:rsidRPr="007D043C">
        <w:rPr>
          <w:rFonts w:ascii="Times New Roman" w:eastAsia="Calibri" w:hAnsi="Times New Roman" w:cs="Times New Roman"/>
          <w:noProof/>
          <w:kern w:val="0"/>
          <w:lang w:val="ru-RU"/>
          <w14:ligatures w14:val="none"/>
        </w:rPr>
        <w:t xml:space="preserve">г нэвтрүүлж, төв банкны </w:t>
      </w:r>
      <w:r w:rsidRPr="007D043C">
        <w:rPr>
          <w:rFonts w:ascii="Times New Roman" w:eastAsia="Calibri" w:hAnsi="Times New Roman" w:cs="Times New Roman"/>
          <w:noProof/>
          <w:kern w:val="0"/>
          <w:lang w:val="mn-MN"/>
          <w14:ligatures w14:val="none"/>
        </w:rPr>
        <w:t>цахим мөнгөний</w:t>
      </w:r>
      <w:r w:rsidRPr="007D043C">
        <w:rPr>
          <w:rFonts w:ascii="Times New Roman" w:eastAsia="Calibri" w:hAnsi="Times New Roman" w:cs="Times New Roman"/>
          <w:noProof/>
          <w:kern w:val="0"/>
          <w:lang w:val="ru-RU"/>
          <w14:ligatures w14:val="none"/>
        </w:rPr>
        <w:t xml:space="preserve"> судалгаа, туршилт, хил дамнасан төлбөр тооцооны дэд бүтэц болон мэдээллийн аюулгүй байдлыг хөгжүүлэн, төлбөр тооцооны үйлчилгээг хэрэглэгчдэд хялбар, хүртээмжтэй, найдвартай хүргэнэ.</w:t>
      </w:r>
    </w:p>
    <w:p w14:paraId="19304B31"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Зээлийн мэдээллийн тогтолцоог сайжруулж, мэдээлэл солилцох нэгдсэн стандарт болон API-д суурилсан нээлттэй банкны дэд бүтцийг бүрдүүлэн, финтек суурьтай зээлийн үйлчилгээний зохицуулалт, хэрэглэгчийн мэдээлэл хамгаалалт, хариуцлагын тогтолцоог боловсронгуй болгоно.</w:t>
      </w:r>
    </w:p>
    <w:p w14:paraId="6CC1627A"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Олон нийтийн санхүү, эдийн засгийн суурь мэдлэгийг дээшлүүлж, хууль сахиулах байгууллага, банк, банк бус санхүүгийн байгууллага болон төлбөрийн үйлчилгээ үзүүлэгчдийн шуурхай мэдээлэл солилцоонд тулгуурлан цахим санхүүгийн залиланг илрүүлэх, сэжигтэй гүйлгээг түр саатуулах, эрсдэлд өртсөн мөнгөн хөрөнгийг шилжихээс нь өмнө урьдчилан сэргийлэх арга хэмжээг хамтран хэрэгжүүлнэ.</w:t>
      </w:r>
    </w:p>
    <w:p w14:paraId="51EBCDB1"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Банкны харилцагч, хадгаламж эзэмшигчийн эрх, хууль ёсны ашиг сонирхлыг хамгаалах зорилгоор банкны үйл ажиллагааны зохистой харьцааны шалгуур үзүүлэлтийг олон улсын хяналт шалгалтын стандартад нийцүүлэн, банкны системийн эрсдэл даах чадвар, хяналт, хариуцлагыг бэхжүүлэх арга хэмжээг үргэлжлүүлнэ.</w:t>
      </w:r>
    </w:p>
    <w:p w14:paraId="5E3EE461"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lang w:val="ru-RU"/>
          <w14:ligatures w14:val="none"/>
        </w:rPr>
      </w:pPr>
      <w:r w:rsidRPr="007D043C">
        <w:rPr>
          <w:rFonts w:ascii="Times New Roman" w:eastAsia="Calibri" w:hAnsi="Times New Roman" w:cs="Times New Roman"/>
          <w:noProof/>
          <w:kern w:val="0"/>
          <w:lang w:val="ru-RU"/>
          <w14:ligatures w14:val="none"/>
        </w:rPr>
        <w:t>Банкны засаглал, гадаадын банкны үйл ажиллагааны эрх зүйн орчныг боловсронгуй болгож, банкны салбарын өрсөлдөөнийг нэмэгдүүлэхийн зэрэгцээ банкны бүтцийн өөрчлөлтийн тогтолцоог боловсронгуй болгож, банкны хэвийн үйл ажиллагаанд хүндрэл үүссэн тохиолдолд урьдчилан сэргийлэх, тогтворжуулах болон шаардлагатай бүтцийн өөрчлөлтийн арга хэмжээг хуульд нийцүүлэн шуурхай хэрэгжүүлэх</w:t>
      </w:r>
      <w:r w:rsidRPr="007D043C">
        <w:rPr>
          <w:rFonts w:ascii="Times New Roman" w:eastAsia="Calibri" w:hAnsi="Times New Roman" w:cs="Times New Roman"/>
          <w:noProof/>
          <w:kern w:val="0"/>
          <w:lang w:val="mn-MN"/>
          <w14:ligatures w14:val="none"/>
        </w:rPr>
        <w:t>,</w:t>
      </w:r>
      <w:r w:rsidRPr="007D043C">
        <w:rPr>
          <w:rFonts w:ascii="Times New Roman" w:eastAsia="Calibri" w:hAnsi="Times New Roman" w:cs="Times New Roman"/>
          <w:noProof/>
          <w:kern w:val="0"/>
          <w:lang w:val="ru-RU"/>
          <w14:ligatures w14:val="none"/>
        </w:rPr>
        <w:t xml:space="preserve"> эрх зүйн орчин, зохицуулалтыг бэхжүүлж, олон улсын байгууллагаас хэрэгжүүлдэг санхүүгийн салбарын үнэлгээ хийлгэнэ.</w:t>
      </w:r>
    </w:p>
    <w:p w14:paraId="2DCC385A"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ru-RU"/>
          <w14:ligatures w14:val="none"/>
        </w:rPr>
        <w:t>Санхүүгийн хориг арга хэмжээ авах байгууллага (ФАТФ)-ын техник хэрэгжилтийн 40 зөвлөмж, үр дүнтэй байдлын 11 шууд хэрэгжилтийн шалгуурт нийцүүлэн банкны салбарын мөнгө угаах, терроризмыг санхүүжүүлэх, үй олноор хөнөөх зэвсэг дэлгэрүүлэхийг санхүүжүүлэхтэй тэмцэх тогтолцоог бэхжүүлж, ФАТФ-ын харилцан үнэлгээнд бэлтгэнэ.</w:t>
      </w:r>
    </w:p>
    <w:p w14:paraId="0E9AA9BE" w14:textId="77777777" w:rsidR="007D043C" w:rsidRPr="007D043C" w:rsidRDefault="007D043C" w:rsidP="007D043C">
      <w:pPr>
        <w:numPr>
          <w:ilvl w:val="1"/>
          <w:numId w:val="2"/>
        </w:numPr>
        <w:spacing w:before="160" w:line="240" w:lineRule="auto"/>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lang w:val="mn-MN"/>
          <w14:ligatures w14:val="none"/>
        </w:rPr>
        <w:t xml:space="preserve">Ногоон зээлийг нэмэгдүүлэх замаар тогтвортой хөгжлийг дэмжиж, 2030 он гэхэд банкны салбарын ногоон зээлийн багцыг нийт зээлийн багцын 10 хувьд хүргэхэд чиглэсэн бодлого хэрэгжүүлнэ. </w:t>
      </w:r>
      <w:r w:rsidRPr="007D043C">
        <w:rPr>
          <w:rFonts w:ascii="Times New Roman" w:eastAsia="Calibri" w:hAnsi="Times New Roman" w:cs="Times New Roman"/>
          <w:noProof/>
          <w:kern w:val="0"/>
          <w:lang w:val="ru-RU"/>
          <w14:ligatures w14:val="none"/>
        </w:rPr>
        <w:t>Уур амьсгалын өөрчлөлтөөс үүдэлтэй банкны салбарын эрсдэлийн мэдээллийн санг бүрдүүлж, өртөмтгий байдлын үнэлгээ болон стресс тестийн аргачлалыг боловсруулан, эрсдэлийг удирдах чадавхыг сайжруулна</w:t>
      </w:r>
      <w:r w:rsidRPr="007D043C">
        <w:rPr>
          <w:rFonts w:ascii="Times New Roman" w:eastAsia="Calibri" w:hAnsi="Times New Roman" w:cs="Times New Roman"/>
          <w:noProof/>
          <w:kern w:val="0"/>
          <w:lang w:val="mn-MN"/>
          <w14:ligatures w14:val="none"/>
        </w:rPr>
        <w:t>.</w:t>
      </w:r>
    </w:p>
    <w:p w14:paraId="5E6E97B7" w14:textId="77777777" w:rsidR="007D043C" w:rsidRPr="007D043C" w:rsidRDefault="007D043C" w:rsidP="007D043C">
      <w:pPr>
        <w:spacing w:after="0" w:line="240" w:lineRule="auto"/>
        <w:ind w:left="360"/>
        <w:jc w:val="both"/>
        <w:rPr>
          <w:rFonts w:ascii="Times New Roman" w:eastAsia="Calibri" w:hAnsi="Times New Roman" w:cs="Times New Roman"/>
          <w:noProof/>
          <w:kern w:val="0"/>
          <w14:ligatures w14:val="none"/>
        </w:rPr>
      </w:pPr>
      <w:r w:rsidRPr="007D043C">
        <w:rPr>
          <w:rFonts w:ascii="Times New Roman" w:eastAsia="Calibri" w:hAnsi="Times New Roman" w:cs="Times New Roman"/>
          <w:noProof/>
          <w:kern w:val="0"/>
          <w14:ligatures w14:val="none"/>
        </w:rPr>
        <w:t>2.10.</w:t>
      </w:r>
      <w:r w:rsidRPr="007D043C">
        <w:rPr>
          <w:rFonts w:ascii="Times New Roman" w:eastAsia="Calibri" w:hAnsi="Times New Roman" w:cs="Times New Roman"/>
          <w:noProof/>
          <w:kern w:val="0"/>
          <w:lang w:val="mn-MN"/>
          <w14:ligatures w14:val="none"/>
        </w:rPr>
        <w:t>Үндэсний</w:t>
      </w:r>
      <w:r w:rsidRPr="007D043C">
        <w:rPr>
          <w:rFonts w:ascii="Times New Roman" w:eastAsia="Calibri" w:hAnsi="Times New Roman" w:cs="Times New Roman"/>
          <w:noProof/>
          <w:kern w:val="0"/>
          <w14:ligatures w14:val="none"/>
        </w:rPr>
        <w:t xml:space="preserve"> </w:t>
      </w:r>
      <w:r w:rsidRPr="007D043C">
        <w:rPr>
          <w:rFonts w:ascii="Times New Roman" w:eastAsia="Calibri" w:hAnsi="Times New Roman" w:cs="Times New Roman"/>
          <w:noProof/>
          <w:kern w:val="0"/>
          <w:lang w:val="mn-MN"/>
          <w14:ligatures w14:val="none"/>
        </w:rPr>
        <w:t>а</w:t>
      </w:r>
      <w:r w:rsidRPr="007D043C">
        <w:rPr>
          <w:rFonts w:ascii="Times New Roman" w:eastAsia="Calibri" w:hAnsi="Times New Roman" w:cs="Times New Roman"/>
          <w:noProof/>
          <w:kern w:val="0"/>
          <w:lang w:val="ru-RU"/>
          <w14:ligatures w14:val="none"/>
        </w:rPr>
        <w:t>ктив удирдлагын тогтолцоог бүрдүүлж, чанаргүй зээлийг эдийн засгийн  эргэлтэд оруулах хоёрдогч зах зээлийг хөгжүүлнэ.</w:t>
      </w:r>
    </w:p>
    <w:p w14:paraId="53BF4270" w14:textId="77777777" w:rsidR="007D043C" w:rsidRPr="007D043C" w:rsidRDefault="007D043C" w:rsidP="007D043C">
      <w:pPr>
        <w:spacing w:before="160" w:line="276" w:lineRule="auto"/>
        <w:jc w:val="both"/>
        <w:rPr>
          <w:rFonts w:ascii="Times New Roman" w:eastAsia="Calibri" w:hAnsi="Times New Roman" w:cs="Times New Roman"/>
          <w:noProof/>
          <w:kern w:val="0"/>
          <w14:ligatures w14:val="none"/>
        </w:rPr>
      </w:pPr>
    </w:p>
    <w:p w14:paraId="113B04AB" w14:textId="77777777" w:rsidR="007D65FA" w:rsidRDefault="007D65FA"/>
    <w:sectPr w:rsidR="007D6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1319"/>
    <w:multiLevelType w:val="multilevel"/>
    <w:tmpl w:val="9FE0D0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36475E"/>
    <w:multiLevelType w:val="multilevel"/>
    <w:tmpl w:val="3A2297F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67903726">
    <w:abstractNumId w:val="0"/>
  </w:num>
  <w:num w:numId="2" w16cid:durableId="109281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43C"/>
    <w:rsid w:val="000D6E2C"/>
    <w:rsid w:val="001804E9"/>
    <w:rsid w:val="00356D05"/>
    <w:rsid w:val="006000F6"/>
    <w:rsid w:val="00605D2F"/>
    <w:rsid w:val="006668AD"/>
    <w:rsid w:val="007D043C"/>
    <w:rsid w:val="007D65FA"/>
    <w:rsid w:val="00992116"/>
    <w:rsid w:val="00D831F6"/>
    <w:rsid w:val="00DF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AFCB4"/>
  <w15:chartTrackingRefBased/>
  <w15:docId w15:val="{9BAD451C-B4B9-4349-825E-FFC154C5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43C"/>
    <w:rPr>
      <w:rFonts w:eastAsiaTheme="majorEastAsia" w:cstheme="majorBidi"/>
      <w:color w:val="272727" w:themeColor="text1" w:themeTint="D8"/>
    </w:rPr>
  </w:style>
  <w:style w:type="paragraph" w:styleId="Title">
    <w:name w:val="Title"/>
    <w:basedOn w:val="Normal"/>
    <w:next w:val="Normal"/>
    <w:link w:val="TitleChar"/>
    <w:uiPriority w:val="10"/>
    <w:qFormat/>
    <w:rsid w:val="007D0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43C"/>
    <w:pPr>
      <w:spacing w:before="160"/>
      <w:jc w:val="center"/>
    </w:pPr>
    <w:rPr>
      <w:i/>
      <w:iCs/>
      <w:color w:val="404040" w:themeColor="text1" w:themeTint="BF"/>
    </w:rPr>
  </w:style>
  <w:style w:type="character" w:customStyle="1" w:styleId="QuoteChar">
    <w:name w:val="Quote Char"/>
    <w:basedOn w:val="DefaultParagraphFont"/>
    <w:link w:val="Quote"/>
    <w:uiPriority w:val="29"/>
    <w:rsid w:val="007D043C"/>
    <w:rPr>
      <w:i/>
      <w:iCs/>
      <w:color w:val="404040" w:themeColor="text1" w:themeTint="BF"/>
    </w:rPr>
  </w:style>
  <w:style w:type="paragraph" w:styleId="ListParagraph">
    <w:name w:val="List Paragraph"/>
    <w:basedOn w:val="Normal"/>
    <w:uiPriority w:val="34"/>
    <w:qFormat/>
    <w:rsid w:val="007D043C"/>
    <w:pPr>
      <w:ind w:left="720"/>
      <w:contextualSpacing/>
    </w:pPr>
  </w:style>
  <w:style w:type="character" w:styleId="IntenseEmphasis">
    <w:name w:val="Intense Emphasis"/>
    <w:basedOn w:val="DefaultParagraphFont"/>
    <w:uiPriority w:val="21"/>
    <w:qFormat/>
    <w:rsid w:val="007D043C"/>
    <w:rPr>
      <w:i/>
      <w:iCs/>
      <w:color w:val="0F4761" w:themeColor="accent1" w:themeShade="BF"/>
    </w:rPr>
  </w:style>
  <w:style w:type="paragraph" w:styleId="IntenseQuote">
    <w:name w:val="Intense Quote"/>
    <w:basedOn w:val="Normal"/>
    <w:next w:val="Normal"/>
    <w:link w:val="IntenseQuoteChar"/>
    <w:uiPriority w:val="30"/>
    <w:qFormat/>
    <w:rsid w:val="007D0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43C"/>
    <w:rPr>
      <w:i/>
      <w:iCs/>
      <w:color w:val="0F4761" w:themeColor="accent1" w:themeShade="BF"/>
    </w:rPr>
  </w:style>
  <w:style w:type="character" w:styleId="IntenseReference">
    <w:name w:val="Intense Reference"/>
    <w:basedOn w:val="DefaultParagraphFont"/>
    <w:uiPriority w:val="32"/>
    <w:qFormat/>
    <w:rsid w:val="007D04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1511</Words>
  <Characters>8613</Characters>
  <Application>Microsoft Office Word</Application>
  <DocSecurity>0</DocSecurity>
  <Lines>71</Lines>
  <Paragraphs>20</Paragraphs>
  <ScaleCrop>false</ScaleCrop>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УЗ-СТА Ананд.Б</dc:creator>
  <cp:keywords/>
  <dc:description/>
  <cp:lastModifiedBy>УЗ-СТА Ананд.Б</cp:lastModifiedBy>
  <cp:revision>1</cp:revision>
  <dcterms:created xsi:type="dcterms:W3CDTF">2026-10-02T01:48:00Z</dcterms:created>
  <dcterms:modified xsi:type="dcterms:W3CDTF">2026-10-02T01:50:00Z</dcterms:modified>
</cp:coreProperties>
</file>