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3B87" w:rsidRPr="004C3DC0" w:rsidRDefault="00963B87" w:rsidP="00963B87">
      <w:pPr>
        <w:spacing w:after="0" w:line="240" w:lineRule="auto"/>
        <w:jc w:val="center"/>
        <w:rPr>
          <w:rFonts w:ascii="Arial" w:hAnsi="Arial" w:cs="Arial"/>
          <w:b/>
          <w:noProof/>
          <w:sz w:val="24"/>
          <w:lang w:val="mn-MN"/>
        </w:rPr>
      </w:pPr>
      <w:r w:rsidRPr="004C3DC0">
        <w:rPr>
          <w:rFonts w:ascii="Arial" w:hAnsi="Arial" w:cs="Arial"/>
          <w:b/>
          <w:noProof/>
          <w:sz w:val="24"/>
          <w:lang w:val="mn-MN"/>
        </w:rPr>
        <w:t>ТОВЧ ТАНИЛЦУУЛГА</w:t>
      </w:r>
    </w:p>
    <w:p w:rsidR="00963B87" w:rsidRDefault="00963B87" w:rsidP="00963B87">
      <w:pPr>
        <w:spacing w:after="0" w:line="240" w:lineRule="auto"/>
        <w:jc w:val="both"/>
        <w:rPr>
          <w:rFonts w:ascii="Arial" w:hAnsi="Arial" w:cs="Arial"/>
          <w:noProof/>
          <w:sz w:val="24"/>
          <w:lang w:val="mn-MN"/>
        </w:rPr>
      </w:pPr>
    </w:p>
    <w:p w:rsidR="00963B87" w:rsidRPr="004C3DC0" w:rsidRDefault="00963B87" w:rsidP="00963B87">
      <w:pPr>
        <w:spacing w:after="0" w:line="240" w:lineRule="auto"/>
        <w:jc w:val="right"/>
        <w:rPr>
          <w:rFonts w:ascii="Arial" w:hAnsi="Arial" w:cs="Arial"/>
          <w:i/>
          <w:noProof/>
          <w:sz w:val="24"/>
          <w:lang w:val="mn-MN"/>
        </w:rPr>
      </w:pPr>
      <w:r w:rsidRPr="004C3DC0">
        <w:rPr>
          <w:rFonts w:ascii="Arial" w:hAnsi="Arial" w:cs="Arial"/>
          <w:i/>
          <w:noProof/>
          <w:sz w:val="24"/>
          <w:lang w:val="mn-MN"/>
        </w:rPr>
        <w:t>Ашигт малтмалын тухай хуульд нэмэлт оруулах тухай</w:t>
      </w:r>
      <w:r w:rsidR="004C3DC0" w:rsidRPr="004C3DC0">
        <w:rPr>
          <w:rFonts w:ascii="Arial" w:hAnsi="Arial" w:cs="Arial"/>
          <w:i/>
          <w:noProof/>
          <w:sz w:val="24"/>
          <w:lang w:val="mn-MN"/>
        </w:rPr>
        <w:t>:</w:t>
      </w:r>
    </w:p>
    <w:p w:rsidR="004C3DC0" w:rsidRDefault="004C3DC0" w:rsidP="00963B87">
      <w:pPr>
        <w:spacing w:after="0" w:line="240" w:lineRule="auto"/>
        <w:ind w:firstLine="720"/>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Монгол Улсын Үндсэн хуулийн 16 дугаар зүйлийн 2 дахь заалтад Монгол Улсын иргэн эрүүл, аюулгүй орчинд амьдрах, орчны бохирдол, байгалийн тэнцэл алдагдахаас хамгаалуулах эрхтэй, мөн мөн зүйлийн 17 дахь заалтад төр, түүний байгууллагаас явуулж байгаа үйл ажиллагааны талаар мэдээлэл авах эрхтэй байхаар тус тус заасан нь байгаль орчинд нөлөөлөхүйц үйл ажиллагаатай холбоотой шийдвэр гаргах ажиллагаанд иргэдийн мэдээлэл авах, оролцох эрхий</w:t>
      </w:r>
      <w:r>
        <w:rPr>
          <w:rFonts w:ascii="Arial" w:hAnsi="Arial" w:cs="Arial"/>
          <w:noProof/>
          <w:sz w:val="24"/>
          <w:lang w:val="mn-MN"/>
        </w:rPr>
        <w:t>н үндсэн баталгаа болж байна.</w:t>
      </w:r>
      <w:r>
        <w:rPr>
          <w:rStyle w:val="FootnoteReference"/>
          <w:rFonts w:ascii="Arial" w:hAnsi="Arial" w:cs="Arial"/>
          <w:noProof/>
          <w:sz w:val="24"/>
          <w:lang w:val="mn-MN"/>
        </w:rPr>
        <w:footnoteReference w:id="1"/>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Ашигт малтмалын тухай хуулиар ашигт малтмалын хайгуул, ашиглалттай холбоотой харилцааг зохицуулж, ашиглалтын тусгай зөвшөөрөл эзэмшигчид байгаль орчныг хамгаалах, нөхөн сэргээх болон холбогдох хууль тогтоомжийн шаардлагыг биелүүлэх үүргийг хүлээлгэсэн байна. Тухайлбал, тусгай зөвшөөрөл эзэмшигч нь байгаль орчныг хамгаалах, нөхөн сэргээх арга хэмжээг хэрэгжүүлэх, байгаль орчны менежментийн төлөвлөгөөтэй холбоотой шаардлагыг хангах үүрэгтэй бөгөөд хуулийн 39.7-д тухайн жилийн нөхөн сэргээлтийн ажлыг бүрэн хийгээгүй тохиолдолд дараагийн жилийн олборлолтын ажлыг эхлүүлэхгүй байх эрх зүйн үр дагаврыг</w:t>
      </w:r>
      <w:r>
        <w:rPr>
          <w:rFonts w:ascii="Arial" w:hAnsi="Arial" w:cs="Arial"/>
          <w:noProof/>
          <w:sz w:val="24"/>
          <w:lang w:val="mn-MN"/>
        </w:rPr>
        <w:t xml:space="preserve"> тусгайлан зохицуулсан байна.</w:t>
      </w:r>
      <w:r>
        <w:rPr>
          <w:rStyle w:val="FootnoteReference"/>
          <w:rFonts w:ascii="Arial" w:hAnsi="Arial" w:cs="Arial"/>
          <w:noProof/>
          <w:sz w:val="24"/>
          <w:lang w:val="mn-MN"/>
        </w:rPr>
        <w:footnoteReference w:id="2"/>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Үүнтэй уялдан Байгаль орчинд нөлөөлөх байдлын үнэлгээний тухай хуулийн 7 дугаар зүйлийн 7.2-т байгаль орчны нөлөөллийн ерөнхий үнэлгээг байгалийн нөөцийг ашиглах, ашигт малтмал хайх, ашиглах болон төсөл хэрэгжүүлэхээс өмнө хийхээр, 8 дугаар зүйлд байгаль орчны нөлөөллийн нарийвчилсан үнэлгээ хийхтэй холбоотой зохицуула</w:t>
      </w:r>
      <w:r>
        <w:rPr>
          <w:rFonts w:ascii="Arial" w:hAnsi="Arial" w:cs="Arial"/>
          <w:noProof/>
          <w:sz w:val="24"/>
          <w:lang w:val="mn-MN"/>
        </w:rPr>
        <w:t>лтыг тус тус тогтоосон байна.</w:t>
      </w:r>
      <w:r>
        <w:rPr>
          <w:rStyle w:val="FootnoteReference"/>
          <w:rFonts w:ascii="Arial" w:hAnsi="Arial" w:cs="Arial"/>
          <w:noProof/>
          <w:sz w:val="24"/>
          <w:lang w:val="mn-MN"/>
        </w:rPr>
        <w:footnoteReference w:id="3"/>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Тус хуулийн 8.4.8-д байгаль орчны нөлөөллийн нарийвчилсан үнэлгээний тайланд төслийн нөлөөлөлд өртөх иргэдийн саналыг тусгасан байдал, танилцуулгыг оруулахаар заасан бөгөөд 9.3-т ерөнхий үнэлгээ хийсэн байгууллага тухайн төслийн байгаль орчны менежментийн төлөвлөгөөг батлан төсөл хэрэгжүүлэх зөвшөөрө</w:t>
      </w:r>
      <w:r>
        <w:rPr>
          <w:rFonts w:ascii="Arial" w:hAnsi="Arial" w:cs="Arial"/>
          <w:noProof/>
          <w:sz w:val="24"/>
          <w:lang w:val="mn-MN"/>
        </w:rPr>
        <w:t>л олгохоор зохицуулсан байна.</w:t>
      </w:r>
      <w:r>
        <w:rPr>
          <w:rStyle w:val="FootnoteReference"/>
          <w:rFonts w:ascii="Arial" w:hAnsi="Arial" w:cs="Arial"/>
          <w:noProof/>
          <w:sz w:val="24"/>
          <w:lang w:val="mn-MN"/>
        </w:rPr>
        <w:footnoteReference w:id="4"/>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Мөн Байгаль орчинд нөлөөлөх байдлын үнэлгээний тухай хуулийн 10 дугаар зүйлийн 10.4-т байгаль орчны асуудал эрхэлсэн төрийн захиргааны төв байгууллага нь холбогдох хууль тогтоомжийн шаардлага, 10.5-д заасан танилцуулгаас гарсан саналыг тусгасан байдал, байгаль орчны нөлөөллийн нарийвчилсан үнэлгээний тайланд хийсэн шинжилгээ, мэргэжлийн зөвлөлийн дүгнэлтийг үндэслэн төслийг хэрэгжүүлэх эсэх асуудлыг ший</w:t>
      </w:r>
      <w:r>
        <w:rPr>
          <w:rFonts w:ascii="Arial" w:hAnsi="Arial" w:cs="Arial"/>
          <w:noProof/>
          <w:sz w:val="24"/>
          <w:lang w:val="mn-MN"/>
        </w:rPr>
        <w:t>двэрлэхээр зохицуулсан байна.</w:t>
      </w:r>
    </w:p>
    <w:p w:rsidR="00963B87" w:rsidRPr="00963B87" w:rsidRDefault="00963B87" w:rsidP="00963B87">
      <w:pPr>
        <w:spacing w:after="0" w:line="240" w:lineRule="auto"/>
        <w:jc w:val="both"/>
        <w:rPr>
          <w:rFonts w:ascii="Arial" w:hAnsi="Arial" w:cs="Arial"/>
          <w:noProof/>
          <w:sz w:val="24"/>
          <w:lang w:val="mn-MN"/>
        </w:rPr>
      </w:pPr>
    </w:p>
    <w:p w:rsid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lastRenderedPageBreak/>
        <w:t>Түүнчлэн тус хуулийн 10.5-д байгаль орчны нөлөөллийн нарийвчилсан үнэлгээний тайланг төсөл хэрэгжүүлэгч болон үнэлгээ хийсэн мэргэжлийн байгууллага хамтран төслийн нөлөөлөлд өртөх иргэдэд танилцуулж, санал авах бөгөөд баг, хорооны Иргэдийн Нийтийн Хурлын даргад хүсэлт илгээснээс хойш 30 хоногийн дотор уг асуудлаар хурал хуралдсан тохиолдолд тайланг танилцуулж, санал авах ажиллагааг зохи</w:t>
      </w:r>
      <w:r>
        <w:rPr>
          <w:rFonts w:ascii="Arial" w:hAnsi="Arial" w:cs="Arial"/>
          <w:noProof/>
          <w:sz w:val="24"/>
          <w:lang w:val="mn-MN"/>
        </w:rPr>
        <w:t>он байгуулахаар заасан байна.</w:t>
      </w:r>
    </w:p>
    <w:p w:rsidR="00963B87" w:rsidRDefault="00963B87" w:rsidP="00963B87">
      <w:pPr>
        <w:spacing w:after="0" w:line="240" w:lineRule="auto"/>
        <w:ind w:firstLine="720"/>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Монгол Улсын урт хугацааны хөгжлийн бодлогын баримт бичиг болох “Алсын хараа-2050” Монгол Улсын урт хугацааны хөгжлийн бодлого-ын Зургаадугаар бүлэг буюу “Ногоон хөгжил”-ийн зорилго 6-д “Байгаль орчинд ээлтэй ногоон хөгжлийг эрхэмлэн экосистемийн тэнцвэрт байдлыг хадгалж, байгаль орчны тогтвортой байдлыг ханган үр өгөөжийг нь өнөө болон ирээдүй хойч үе хүртэх нөхцөлийг бүрдүүлж, хүний амьдралын чанарыг сайжру</w:t>
      </w:r>
      <w:r>
        <w:rPr>
          <w:rFonts w:ascii="Arial" w:hAnsi="Arial" w:cs="Arial"/>
          <w:noProof/>
          <w:sz w:val="24"/>
          <w:lang w:val="mn-MN"/>
        </w:rPr>
        <w:t>улна” гэж тодорхойлсон байна.</w:t>
      </w:r>
      <w:r>
        <w:rPr>
          <w:rStyle w:val="FootnoteReference"/>
          <w:rFonts w:ascii="Arial" w:hAnsi="Arial" w:cs="Arial"/>
          <w:noProof/>
          <w:sz w:val="24"/>
          <w:lang w:val="mn-MN"/>
        </w:rPr>
        <w:footnoteReference w:id="5"/>
      </w:r>
      <w:r w:rsidRPr="00963B87">
        <w:rPr>
          <w:rFonts w:ascii="Arial" w:hAnsi="Arial" w:cs="Arial"/>
          <w:noProof/>
          <w:sz w:val="24"/>
          <w:lang w:val="mn-MN"/>
        </w:rPr>
        <w:t xml:space="preserve"> Мөн уг бодлогын хүрээнд байгаль орчны хууль тогтоомжийг олон нийтэд сурталчлан таниулах, стандарт, хэм хэмжээг мөрдүүлэх, байгаль хамгаалалд иргэдийн оролцоог ха</w:t>
      </w:r>
      <w:r>
        <w:rPr>
          <w:rFonts w:ascii="Arial" w:hAnsi="Arial" w:cs="Arial"/>
          <w:noProof/>
          <w:sz w:val="24"/>
          <w:lang w:val="mn-MN"/>
        </w:rPr>
        <w:t>нгах зорилтыг тусгасан байна.</w:t>
      </w:r>
      <w:r w:rsidRPr="00963B87">
        <w:rPr>
          <w:rFonts w:ascii="Arial" w:hAnsi="Arial" w:cs="Arial"/>
          <w:noProof/>
          <w:sz w:val="24"/>
          <w:lang w:val="mn-MN"/>
        </w:rPr>
        <w:t xml:space="preserve"> Энэ нь байгалийн нөөц баялгийг ашиглах үйл ажиллагаанд байгаль орчны хамгаалал болон иргэдийн оролцоог уялдуулан хангах бодлогын үндэс болж байна.</w:t>
      </w:r>
    </w:p>
    <w:p w:rsidR="00963B87" w:rsidRDefault="00963B87" w:rsidP="00963B87">
      <w:pPr>
        <w:spacing w:after="0" w:line="240" w:lineRule="auto"/>
        <w:jc w:val="both"/>
        <w:rPr>
          <w:rFonts w:ascii="Arial" w:hAnsi="Arial" w:cs="Arial"/>
          <w:noProof/>
          <w:sz w:val="24"/>
          <w:lang w:val="mn-MN"/>
        </w:rPr>
      </w:pPr>
    </w:p>
    <w:p w:rsid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Монгол Улсын Их Хурлын 2024 оны 21 дүгээр тогтоолын 1 дүгээр хавсралтаар баталсан “Монгол Улсын Засгийн газрын 2024–2028 оны үйл ажиллагааны хөтөлбөр”-т байгаль орчны нөлөөллийн үнэлгээний тогтолцоог боловсронгуй болгох, байгаль орчинд үзүүлэх сөрөг нөлөөллийг бууруулах, байгаль орчны үр нөлөөг тооцох бодлогын чиглэлийг тусгасан байна. Тухайлбал, тус хөтөлбөрийн 3.4.3.2-т “Байгаль орчинд нөлөөлөх байдлын үнэлгээ, аудитын үр дүнд суурилсан, хүрээлэн буй орчин, хүнд ээлтэй орчныг төлөвлөж, нийгэм, эдийн засгийн ногоон хөгжлийн загв</w:t>
      </w:r>
      <w:r w:rsidR="004C3DC0">
        <w:rPr>
          <w:rFonts w:ascii="Arial" w:hAnsi="Arial" w:cs="Arial"/>
          <w:noProof/>
          <w:sz w:val="24"/>
          <w:lang w:val="mn-MN"/>
        </w:rPr>
        <w:t>арыг бий болгоно” гэж заасан.</w:t>
      </w:r>
      <w:r w:rsidR="004C3DC0">
        <w:rPr>
          <w:rStyle w:val="FootnoteReference"/>
          <w:rFonts w:ascii="Arial" w:hAnsi="Arial" w:cs="Arial"/>
          <w:noProof/>
          <w:sz w:val="24"/>
          <w:lang w:val="mn-MN"/>
        </w:rPr>
        <w:footnoteReference w:id="6"/>
      </w:r>
      <w:r w:rsidRPr="00963B87">
        <w:rPr>
          <w:rFonts w:ascii="Arial" w:hAnsi="Arial" w:cs="Arial"/>
          <w:noProof/>
          <w:sz w:val="24"/>
          <w:lang w:val="mn-MN"/>
        </w:rPr>
        <w:t xml:space="preserve"> Мөн 3.4.2.8-д уул уурхайн нөхөн сэргээлтийн чанар, хяналтыг сайжруулах, нөхөн сэргээлт хийгээгүй хуулийн этгээдэд хүлээлгэх хариуцлагыг чанга</w:t>
      </w:r>
      <w:r w:rsidR="004C3DC0">
        <w:rPr>
          <w:rFonts w:ascii="Arial" w:hAnsi="Arial" w:cs="Arial"/>
          <w:noProof/>
          <w:sz w:val="24"/>
          <w:lang w:val="mn-MN"/>
        </w:rPr>
        <w:t>тгах зорилтыг тусгасан байна.</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A716A5">
      <w:pPr>
        <w:spacing w:after="0" w:line="240" w:lineRule="auto"/>
        <w:ind w:firstLine="720"/>
        <w:jc w:val="both"/>
        <w:rPr>
          <w:rFonts w:ascii="Arial" w:hAnsi="Arial" w:cs="Arial"/>
          <w:noProof/>
          <w:sz w:val="24"/>
          <w:lang w:val="mn-MN"/>
        </w:rPr>
      </w:pPr>
      <w:r w:rsidRPr="00963B87">
        <w:rPr>
          <w:rFonts w:ascii="Arial" w:hAnsi="Arial" w:cs="Arial"/>
          <w:noProof/>
          <w:sz w:val="24"/>
          <w:lang w:val="mn-MN"/>
        </w:rPr>
        <w:t>Мөн “Байгаль орчинд нөлөөлөх байдлын үнэлгээнд олон нийтийн оролцоог хангах тухай журам”-ын 2.7-д байгаль орчны нөлөөллийн нарийвчилсан үнэлгээний тайлан болон олон нийтийн саналын нэгдсэн дүнг тухайн нутаг дэвсгэрийн баг, хорооны нийтийн хурлаар хэлэлцүүлж санал авахаар, 2.8-д төсөл хэд хэдэн баг, сумын нутаг дэвсгэрийг хамарч хэрэгжих бол тухайн сумын Иргэдийн Төлөөлөгчдийн Хурал, багийн Иргэдийн Нийтийн Хуралд тус тусад нь танилцуулж санал авахаар, 2.9-д олон нийтийн оролцоог хангах арга хэмжээг нөлөөлөлд өртөж болзошгүй иргэдийн саналын дагуу байгаль орчны менежментийн төлөвлөгөө болон түүний хэрэгжилтийн шалгуур үзүүлэлтэд тусгаха</w:t>
      </w:r>
      <w:r>
        <w:rPr>
          <w:rFonts w:ascii="Arial" w:hAnsi="Arial" w:cs="Arial"/>
          <w:noProof/>
          <w:sz w:val="24"/>
          <w:lang w:val="mn-MN"/>
        </w:rPr>
        <w:t>ар тус тус зохицуулсан байна.</w:t>
      </w:r>
      <w:r>
        <w:rPr>
          <w:rStyle w:val="FootnoteReference"/>
          <w:rFonts w:ascii="Arial" w:hAnsi="Arial" w:cs="Arial"/>
          <w:noProof/>
          <w:sz w:val="24"/>
          <w:lang w:val="mn-MN"/>
        </w:rPr>
        <w:footnoteReference w:id="7"/>
      </w: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lastRenderedPageBreak/>
        <w:t>Мөн уг журмын 2.10-д нөлөөлөлд өртөж болзошгүй иргэд байгаль орчны нөлөөллийн үнэлгээтэй холбогдсон саналаа тухайн баг, хорооны Иргэдийн Нийтийн Хуралд төслийн талаар эцсийн шийдвэр гаргахаас өмнө хүргүүлэхээр, 2.12-т төсөл хэрэгжүүлэгч нь байгаль орчны нөлөөллийн нарийвчилсан үнэлгээний тайлан болон байгаль орчны менежментийн төлөвлөгөөг боловсруулах, хэрэгжүүлэх явцад олон нийтийн оролцоог хангаж, хэрэгжилтийг жилд нэгээс доошгүй удаа тухайн нутгийн иргэд, олон нийтэд тани</w:t>
      </w:r>
      <w:r>
        <w:rPr>
          <w:rFonts w:ascii="Arial" w:hAnsi="Arial" w:cs="Arial"/>
          <w:noProof/>
          <w:sz w:val="24"/>
          <w:lang w:val="mn-MN"/>
        </w:rPr>
        <w:t>лцуулахаар зохицуулсан байна.</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963B87">
      <w:pPr>
        <w:spacing w:after="0" w:line="240" w:lineRule="auto"/>
        <w:ind w:firstLine="720"/>
        <w:jc w:val="both"/>
        <w:rPr>
          <w:rFonts w:ascii="Arial" w:hAnsi="Arial" w:cs="Arial"/>
          <w:noProof/>
          <w:sz w:val="24"/>
          <w:lang w:val="mn-MN"/>
        </w:rPr>
      </w:pPr>
      <w:r w:rsidRPr="00963B87">
        <w:rPr>
          <w:rFonts w:ascii="Arial" w:hAnsi="Arial" w:cs="Arial"/>
          <w:noProof/>
          <w:sz w:val="24"/>
          <w:lang w:val="mn-MN"/>
        </w:rPr>
        <w:t>Гэвч одоо мөрдөж буй зохицуулалтаар нөлөөлөлд өртөх иргэдээс санал авах, баг, хорооны Иргэдийн Нийтийн Хурлаар хэлэлцүүлэх ажиллагаа нь олон нийтийн оролцоог хангах процессын шаардлага байдлаар зохицуулагдсан бөгөөд тухайн ажиллагааны үр дүнг ашигт малтмал ашиглах үйл ажиллагааг эхлүүлэх эрх зүйн шууд нөхцөл болгон Ашигт малтмалын тухай хуульд тодорхой тусгаагүй байна. Өөрөөр хэлбэл, одоогийн эрх зүйн зохицуулалт нь иргэдээс санал авах, хэлэлцүүлэх механизмыг бий болгосон боловч уг хэлэлцүүлгээс төслийг хэрэгжүүлэхийг дэмжсэн эсхүл дэмжээгүй шийдвэр гарсан эсэхийг ашигт малтмал ашиглах үйл ажиллагааг эхлүүлэхтэй холбосон тусгай зохицуулалтгүй байна.[10]</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Иймд ашигт малтмал ашиглах үйл ажиллагаанаас байгаль орчин, газар ашиглалт, усны нөөц, бэлчээр, нутгийн иргэдийн амьдрах орчинд үзүүлэх нөлөөллийг харгалзан, тухайн төслийн нөлөөлөлд өртөх иргэдийн оролцоог бодитой хангах, тэдгээрийн санал, байр суурийг төслийг хэрэгжүүлэх шийдвэртэй уялдуулах, орон нутагт үүсэж болзошгүй маргаан, зөрчлөөс урьдчилан сэргийлэх эрх зүйн зохицуулалтыг боловсронгуй болгох шаардлага бий болж байна.</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Энэ хүрээнд ашиглалтын тусгай зөвшөөрөл эзэмшигч нь ашигт малтмал ашиглах үйл ажиллагааг эхлүүлэхийн өмнө төслийн нөлөөлөлд өртөх иргэдээс санал авч, тухайн баг, хорооны Иргэдийн Нийтийн Хурлаар хэлэлцүүлж, төслийг хэрэгжүүлэхийг дэмжсэн шийдвэр гарсан байх шаардлагыг Ашигт малтмалын тухай хуульд тусгах нь зүйтэй гэж үзэж байна.</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Хуулийн төсөлд дараах үндсэн чиглэлийг баримталж, холбогдох зохицуулалтыг тусгасан. Үүнд:</w:t>
      </w:r>
    </w:p>
    <w:p w:rsidR="00963B87" w:rsidRPr="00963B87" w:rsidRDefault="00963B87" w:rsidP="00963B87">
      <w:pPr>
        <w:spacing w:after="0" w:line="240" w:lineRule="auto"/>
        <w:jc w:val="both"/>
        <w:rPr>
          <w:rFonts w:ascii="Arial" w:hAnsi="Arial" w:cs="Arial"/>
          <w:noProof/>
          <w:sz w:val="24"/>
          <w:lang w:val="mn-MN"/>
        </w:rPr>
      </w:pPr>
    </w:p>
    <w:p w:rsidR="004C3DC0" w:rsidRDefault="004C3DC0" w:rsidP="00963B87">
      <w:pPr>
        <w:pStyle w:val="ListParagraph"/>
        <w:numPr>
          <w:ilvl w:val="0"/>
          <w:numId w:val="1"/>
        </w:numPr>
        <w:spacing w:after="0" w:line="240" w:lineRule="auto"/>
        <w:jc w:val="both"/>
        <w:rPr>
          <w:rFonts w:ascii="Arial" w:hAnsi="Arial" w:cs="Arial"/>
          <w:noProof/>
          <w:sz w:val="24"/>
          <w:lang w:val="mn-MN"/>
        </w:rPr>
      </w:pPr>
      <w:r>
        <w:rPr>
          <w:rFonts w:ascii="Arial" w:hAnsi="Arial" w:cs="Arial"/>
          <w:noProof/>
          <w:sz w:val="24"/>
          <w:lang w:val="mn-MN"/>
        </w:rPr>
        <w:t xml:space="preserve">Ашиглалтын </w:t>
      </w:r>
      <w:r w:rsidR="00963B87" w:rsidRPr="004C3DC0">
        <w:rPr>
          <w:rFonts w:ascii="Arial" w:hAnsi="Arial" w:cs="Arial"/>
          <w:noProof/>
          <w:sz w:val="24"/>
          <w:lang w:val="mn-MN"/>
        </w:rPr>
        <w:t>тусгай зөвшөөрөл эзэмшигч нь ашигт малтмал ашиглах үйл ажиллагааг эхлүүлэхийн өмнө төслийн нөлөөлөлд өртөх иргэдээс санал авах;</w:t>
      </w:r>
    </w:p>
    <w:p w:rsidR="004C3DC0" w:rsidRDefault="004C3DC0" w:rsidP="00963B87">
      <w:pPr>
        <w:pStyle w:val="ListParagraph"/>
        <w:numPr>
          <w:ilvl w:val="0"/>
          <w:numId w:val="1"/>
        </w:numPr>
        <w:spacing w:after="0" w:line="240" w:lineRule="auto"/>
        <w:jc w:val="both"/>
        <w:rPr>
          <w:rFonts w:ascii="Arial" w:hAnsi="Arial" w:cs="Arial"/>
          <w:noProof/>
          <w:sz w:val="24"/>
          <w:lang w:val="mn-MN"/>
        </w:rPr>
      </w:pPr>
      <w:r>
        <w:rPr>
          <w:rFonts w:ascii="Arial" w:hAnsi="Arial" w:cs="Arial"/>
          <w:noProof/>
          <w:sz w:val="24"/>
          <w:lang w:val="mn-MN"/>
        </w:rPr>
        <w:t xml:space="preserve">Нөлөөлөлд </w:t>
      </w:r>
      <w:r w:rsidR="00963B87" w:rsidRPr="004C3DC0">
        <w:rPr>
          <w:rFonts w:ascii="Arial" w:hAnsi="Arial" w:cs="Arial"/>
          <w:noProof/>
          <w:sz w:val="24"/>
          <w:lang w:val="mn-MN"/>
        </w:rPr>
        <w:t>өртөх иргэдийн саналыг тухайн баг, хорооны Иргэдийн Нийтийн Хурлаар хэлэлцүүлэх;</w:t>
      </w:r>
    </w:p>
    <w:p w:rsidR="004C3DC0" w:rsidRDefault="00963B87" w:rsidP="00963B87">
      <w:pPr>
        <w:pStyle w:val="ListParagraph"/>
        <w:numPr>
          <w:ilvl w:val="0"/>
          <w:numId w:val="1"/>
        </w:numPr>
        <w:spacing w:after="0" w:line="240" w:lineRule="auto"/>
        <w:jc w:val="both"/>
        <w:rPr>
          <w:rFonts w:ascii="Arial" w:hAnsi="Arial" w:cs="Arial"/>
          <w:noProof/>
          <w:sz w:val="24"/>
          <w:lang w:val="mn-MN"/>
        </w:rPr>
      </w:pPr>
      <w:r w:rsidRPr="004C3DC0">
        <w:rPr>
          <w:rFonts w:ascii="Arial" w:hAnsi="Arial" w:cs="Arial"/>
          <w:noProof/>
          <w:sz w:val="24"/>
          <w:lang w:val="mn-MN"/>
        </w:rPr>
        <w:t>Иргэдийн Нийтийн Хурлаар төслийг хэрэгжүүлэхийг дэмжсэн шийдвэр гарсан байхыг ашигт малтмал ашиглах үйл ажиллагааг эхлүүлэх нөхцөл болгох;</w:t>
      </w:r>
    </w:p>
    <w:p w:rsidR="00963B87" w:rsidRPr="004C3DC0" w:rsidRDefault="004C3DC0" w:rsidP="00963B87">
      <w:pPr>
        <w:pStyle w:val="ListParagraph"/>
        <w:numPr>
          <w:ilvl w:val="0"/>
          <w:numId w:val="1"/>
        </w:numPr>
        <w:spacing w:after="0" w:line="240" w:lineRule="auto"/>
        <w:jc w:val="both"/>
        <w:rPr>
          <w:rFonts w:ascii="Arial" w:hAnsi="Arial" w:cs="Arial"/>
          <w:noProof/>
          <w:sz w:val="24"/>
          <w:lang w:val="mn-MN"/>
        </w:rPr>
      </w:pPr>
      <w:r>
        <w:rPr>
          <w:rFonts w:ascii="Arial" w:hAnsi="Arial" w:cs="Arial"/>
          <w:noProof/>
          <w:sz w:val="24"/>
          <w:lang w:val="mn-MN"/>
        </w:rPr>
        <w:t xml:space="preserve">Иргэдээс </w:t>
      </w:r>
      <w:r w:rsidR="00963B87" w:rsidRPr="004C3DC0">
        <w:rPr>
          <w:rFonts w:ascii="Arial" w:hAnsi="Arial" w:cs="Arial"/>
          <w:noProof/>
          <w:sz w:val="24"/>
          <w:lang w:val="mn-MN"/>
        </w:rPr>
        <w:t>санал авах болон Иргэдийн Нийтийн Хурлаар хэлэлцүүлэх ажиллагааг хуульд заасан журмын дагуу явуулаагүй, эсхүл төслийг хэрэгжүүлэхийг дэмжсэн шийдвэр гараагүй бол ашигт малтмал ашиглах үйл ажиллагааг эхлүүлэхийг хориглох.</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Хуулийн төсөл батлагдсанаар ашигт малтмал ашиглах үйл ажиллагааг эхлүүлэхийн өмнө нөлөөлөлд өртөх иргэдийн оролцоог хангах эрх зүйн баталгаа тодорхой болж, иргэдээс санал авах ажиллагааны үр дагавар, баг, хорооны Иргэдийн Нийтийн Хурлын хэлэлцүүлгийн эрх зүйн ач холбогдлыг тодорхой болгох нөхцөл бүрдэнэ.</w:t>
      </w:r>
    </w:p>
    <w:p w:rsidR="00963B87" w:rsidRPr="00963B87" w:rsidRDefault="00963B87" w:rsidP="00963B87">
      <w:pPr>
        <w:spacing w:after="0" w:line="240" w:lineRule="auto"/>
        <w:jc w:val="both"/>
        <w:rPr>
          <w:rFonts w:ascii="Arial" w:hAnsi="Arial" w:cs="Arial"/>
          <w:noProof/>
          <w:sz w:val="24"/>
          <w:lang w:val="mn-MN"/>
        </w:rPr>
      </w:pPr>
    </w:p>
    <w:p w:rsidR="00963B87" w:rsidRPr="00963B8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Түүнчлэн уул уурхайн төсөл хэрэгжүүлэгч, орон нутгийн иргэд, төрийн байгууллагын хооронд мэдээлэл, ойлголтын зөрүүгээс үүдэн гарах маргаан, зөрчлийг урьдчилан сэргийлэх, байгаль орчны нөлөөллийн үнэлгээний үйл явцын ил тод байдал, олон нийтийн оролцоог нэмэгдүүлэх, төслийг хэрэгжүүлэх үйл ажиллагаанд орон нутгийн иргэдийн байр суурийг тусгах нөхцөл бүрдэх ач холбогдолтой.</w:t>
      </w:r>
    </w:p>
    <w:p w:rsidR="00963B87" w:rsidRPr="00963B87" w:rsidRDefault="00963B87" w:rsidP="00963B87">
      <w:pPr>
        <w:spacing w:after="0" w:line="240" w:lineRule="auto"/>
        <w:jc w:val="both"/>
        <w:rPr>
          <w:rFonts w:ascii="Arial" w:hAnsi="Arial" w:cs="Arial"/>
          <w:noProof/>
          <w:sz w:val="24"/>
          <w:lang w:val="mn-MN"/>
        </w:rPr>
      </w:pPr>
    </w:p>
    <w:p w:rsidR="00F46167" w:rsidRDefault="00963B87" w:rsidP="004C3DC0">
      <w:pPr>
        <w:spacing w:after="0" w:line="240" w:lineRule="auto"/>
        <w:ind w:firstLine="720"/>
        <w:jc w:val="both"/>
        <w:rPr>
          <w:rFonts w:ascii="Arial" w:hAnsi="Arial" w:cs="Arial"/>
          <w:noProof/>
          <w:sz w:val="24"/>
          <w:lang w:val="mn-MN"/>
        </w:rPr>
      </w:pPr>
      <w:r w:rsidRPr="00963B87">
        <w:rPr>
          <w:rFonts w:ascii="Arial" w:hAnsi="Arial" w:cs="Arial"/>
          <w:noProof/>
          <w:sz w:val="24"/>
          <w:lang w:val="mn-MN"/>
        </w:rPr>
        <w:t>Иймд дээр дурдсан үндэслэл, шаардлагыг харгалзан Ашигт малтмалын тухай хуульд нэмэлт оруулах тухай хуулийн төслийг боловсруулсан болно.</w:t>
      </w:r>
      <w:r>
        <w:rPr>
          <w:rFonts w:ascii="Arial" w:hAnsi="Arial" w:cs="Arial"/>
          <w:noProof/>
          <w:sz w:val="24"/>
          <w:lang w:val="mn-MN"/>
        </w:rPr>
        <w:t xml:space="preserve"> </w:t>
      </w:r>
    </w:p>
    <w:p w:rsidR="004C3DC0" w:rsidRDefault="004C3DC0" w:rsidP="00963B87">
      <w:pPr>
        <w:spacing w:after="0" w:line="240" w:lineRule="auto"/>
        <w:jc w:val="both"/>
        <w:rPr>
          <w:rFonts w:ascii="Arial" w:hAnsi="Arial" w:cs="Arial"/>
          <w:noProof/>
          <w:sz w:val="24"/>
          <w:lang w:val="mn-MN"/>
        </w:rPr>
      </w:pPr>
    </w:p>
    <w:p w:rsidR="004C3DC0" w:rsidRDefault="004C3DC0" w:rsidP="00963B87">
      <w:pPr>
        <w:spacing w:after="0" w:line="240" w:lineRule="auto"/>
        <w:jc w:val="both"/>
        <w:rPr>
          <w:rFonts w:ascii="Arial" w:hAnsi="Arial" w:cs="Arial"/>
          <w:noProof/>
          <w:sz w:val="24"/>
          <w:lang w:val="mn-MN"/>
        </w:rPr>
      </w:pPr>
    </w:p>
    <w:p w:rsidR="004C3DC0" w:rsidRPr="004C3DC0" w:rsidRDefault="004C3DC0" w:rsidP="004C3DC0">
      <w:pPr>
        <w:spacing w:after="0" w:line="240" w:lineRule="auto"/>
        <w:jc w:val="center"/>
        <w:rPr>
          <w:rFonts w:ascii="Arial" w:hAnsi="Arial" w:cs="Arial"/>
        </w:rPr>
      </w:pPr>
      <w:r w:rsidRPr="004C3DC0">
        <w:rPr>
          <w:rFonts w:ascii="Arial" w:hAnsi="Arial" w:cs="Arial"/>
        </w:rPr>
        <w:t>---</w:t>
      </w:r>
      <w:proofErr w:type="spellStart"/>
      <w:r w:rsidRPr="004C3DC0">
        <w:rPr>
          <w:rFonts w:ascii="Arial" w:hAnsi="Arial" w:cs="Arial"/>
        </w:rPr>
        <w:t>oOo</w:t>
      </w:r>
      <w:proofErr w:type="spellEnd"/>
      <w:r w:rsidRPr="004C3DC0">
        <w:rPr>
          <w:rFonts w:ascii="Arial" w:hAnsi="Arial" w:cs="Arial"/>
        </w:rPr>
        <w:t>---</w:t>
      </w:r>
    </w:p>
    <w:sectPr w:rsidR="004C3DC0" w:rsidRPr="004C3DC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27ED" w:rsidRDefault="006327ED" w:rsidP="00963B87">
      <w:pPr>
        <w:spacing w:after="0" w:line="240" w:lineRule="auto"/>
      </w:pPr>
      <w:r>
        <w:separator/>
      </w:r>
    </w:p>
  </w:endnote>
  <w:endnote w:type="continuationSeparator" w:id="0">
    <w:p w:rsidR="006327ED" w:rsidRDefault="006327ED" w:rsidP="00963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769581"/>
      <w:docPartObj>
        <w:docPartGallery w:val="Page Numbers (Bottom of Page)"/>
        <w:docPartUnique/>
      </w:docPartObj>
    </w:sdtPr>
    <w:sdtEndPr>
      <w:rPr>
        <w:noProof/>
      </w:rPr>
    </w:sdtEndPr>
    <w:sdtContent>
      <w:p w:rsidR="00EC07D5" w:rsidRDefault="00EC07D5">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EC07D5" w:rsidRDefault="00EC07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27ED" w:rsidRDefault="006327ED" w:rsidP="00963B87">
      <w:pPr>
        <w:spacing w:after="0" w:line="240" w:lineRule="auto"/>
      </w:pPr>
      <w:r>
        <w:separator/>
      </w:r>
    </w:p>
  </w:footnote>
  <w:footnote w:type="continuationSeparator" w:id="0">
    <w:p w:rsidR="006327ED" w:rsidRDefault="006327ED" w:rsidP="00963B87">
      <w:pPr>
        <w:spacing w:after="0" w:line="240" w:lineRule="auto"/>
      </w:pPr>
      <w:r>
        <w:continuationSeparator/>
      </w:r>
    </w:p>
  </w:footnote>
  <w:footnote w:id="1">
    <w:p w:rsidR="00963B87" w:rsidRPr="00963B87" w:rsidRDefault="00963B87">
      <w:pPr>
        <w:pStyle w:val="FootnoteText"/>
        <w:rPr>
          <w:rFonts w:ascii="Arial" w:hAnsi="Arial" w:cs="Arial"/>
          <w:noProof/>
          <w:lang w:val="mn-MN"/>
        </w:rPr>
      </w:pPr>
      <w:r w:rsidRPr="00963B87">
        <w:rPr>
          <w:rStyle w:val="FootnoteReference"/>
          <w:rFonts w:ascii="Arial" w:hAnsi="Arial" w:cs="Arial"/>
          <w:noProof/>
          <w:lang w:val="mn-MN"/>
        </w:rPr>
        <w:footnoteRef/>
      </w:r>
      <w:r w:rsidRPr="00963B87">
        <w:rPr>
          <w:rFonts w:ascii="Arial" w:hAnsi="Arial" w:cs="Arial"/>
          <w:noProof/>
          <w:lang w:val="mn-MN"/>
        </w:rPr>
        <w:t xml:space="preserve"> Монгол Улсын Үндсэн хууль, 16 дугаар зүйлийн 2, 17 дахь заалт.</w:t>
      </w:r>
    </w:p>
  </w:footnote>
  <w:footnote w:id="2">
    <w:p w:rsidR="00963B87" w:rsidRPr="00963B87" w:rsidRDefault="00963B87">
      <w:pPr>
        <w:pStyle w:val="FootnoteText"/>
        <w:rPr>
          <w:rFonts w:ascii="Arial" w:hAnsi="Arial" w:cs="Arial"/>
          <w:noProof/>
          <w:lang w:val="mn-MN"/>
        </w:rPr>
      </w:pPr>
      <w:r w:rsidRPr="00963B87">
        <w:rPr>
          <w:rStyle w:val="FootnoteReference"/>
          <w:rFonts w:ascii="Arial" w:hAnsi="Arial" w:cs="Arial"/>
          <w:noProof/>
          <w:lang w:val="mn-MN"/>
        </w:rPr>
        <w:footnoteRef/>
      </w:r>
      <w:r w:rsidRPr="00963B87">
        <w:rPr>
          <w:rFonts w:ascii="Arial" w:hAnsi="Arial" w:cs="Arial"/>
          <w:noProof/>
          <w:lang w:val="mn-MN"/>
        </w:rPr>
        <w:t xml:space="preserve"> Ашигт малтмалын тухай хууль, 39 дүгээр зүйл,</w:t>
      </w:r>
    </w:p>
  </w:footnote>
  <w:footnote w:id="3">
    <w:p w:rsidR="00963B87" w:rsidRPr="00963B87" w:rsidRDefault="00963B87">
      <w:pPr>
        <w:pStyle w:val="FootnoteText"/>
        <w:rPr>
          <w:rFonts w:ascii="Arial" w:hAnsi="Arial" w:cs="Arial"/>
          <w:noProof/>
          <w:lang w:val="mn-MN"/>
        </w:rPr>
      </w:pPr>
      <w:r w:rsidRPr="00963B87">
        <w:rPr>
          <w:rStyle w:val="FootnoteReference"/>
          <w:rFonts w:ascii="Arial" w:hAnsi="Arial" w:cs="Arial"/>
          <w:noProof/>
          <w:lang w:val="mn-MN"/>
        </w:rPr>
        <w:footnoteRef/>
      </w:r>
      <w:r w:rsidRPr="00963B87">
        <w:rPr>
          <w:rFonts w:ascii="Arial" w:hAnsi="Arial" w:cs="Arial"/>
          <w:noProof/>
          <w:lang w:val="mn-MN"/>
        </w:rPr>
        <w:t xml:space="preserve"> Байгаль орчинд нөлөөлөх байдлын үнэлгээний тухай хууль, 7.2, 8 дугаар зүйл.</w:t>
      </w:r>
    </w:p>
  </w:footnote>
  <w:footnote w:id="4">
    <w:p w:rsidR="00963B87" w:rsidRPr="00963B87" w:rsidRDefault="00963B87">
      <w:pPr>
        <w:pStyle w:val="FootnoteText"/>
        <w:rPr>
          <w:lang w:val="mn-MN"/>
        </w:rPr>
      </w:pPr>
      <w:r w:rsidRPr="00963B87">
        <w:rPr>
          <w:rStyle w:val="FootnoteReference"/>
          <w:rFonts w:ascii="Arial" w:hAnsi="Arial" w:cs="Arial"/>
          <w:noProof/>
          <w:lang w:val="mn-MN"/>
        </w:rPr>
        <w:footnoteRef/>
      </w:r>
      <w:r w:rsidRPr="00963B87">
        <w:rPr>
          <w:rFonts w:ascii="Arial" w:hAnsi="Arial" w:cs="Arial"/>
          <w:noProof/>
          <w:lang w:val="mn-MN"/>
        </w:rPr>
        <w:t xml:space="preserve"> Байгаль орчинд нөлөөлөх байдлын үнэлгээний тухай хууль</w:t>
      </w:r>
    </w:p>
  </w:footnote>
  <w:footnote w:id="5">
    <w:p w:rsidR="00963B87" w:rsidRPr="004C3DC0" w:rsidRDefault="00963B87">
      <w:pPr>
        <w:pStyle w:val="FootnoteText"/>
        <w:rPr>
          <w:rFonts w:ascii="Arial" w:hAnsi="Arial" w:cs="Arial"/>
          <w:noProof/>
          <w:lang w:val="mn-MN"/>
        </w:rPr>
      </w:pPr>
      <w:r w:rsidRPr="004C3DC0">
        <w:rPr>
          <w:rStyle w:val="FootnoteReference"/>
          <w:rFonts w:ascii="Arial" w:hAnsi="Arial" w:cs="Arial"/>
          <w:noProof/>
          <w:lang w:val="mn-MN"/>
        </w:rPr>
        <w:footnoteRef/>
      </w:r>
      <w:r w:rsidRPr="004C3DC0">
        <w:rPr>
          <w:rFonts w:ascii="Arial" w:hAnsi="Arial" w:cs="Arial"/>
          <w:noProof/>
          <w:lang w:val="mn-MN"/>
        </w:rPr>
        <w:t xml:space="preserve"> Монгол Улсын Их Хурлын 2020 оны 52 дугаар тогтоолын 1 дүгээр хавсралт, “Алсын хараа-2050” Монгол Улсын урт хугацааны хөгжлийн бодлого, Зургаадугаар бүлэг “Ногоон хөгжил”, Зорилго 6.</w:t>
      </w:r>
    </w:p>
  </w:footnote>
  <w:footnote w:id="6">
    <w:p w:rsidR="004C3DC0" w:rsidRPr="004C3DC0" w:rsidRDefault="004C3DC0">
      <w:pPr>
        <w:pStyle w:val="FootnoteText"/>
        <w:rPr>
          <w:lang w:val="mn-MN"/>
        </w:rPr>
      </w:pPr>
      <w:r w:rsidRPr="004C3DC0">
        <w:rPr>
          <w:rStyle w:val="FootnoteReference"/>
          <w:rFonts w:ascii="Arial" w:hAnsi="Arial" w:cs="Arial"/>
          <w:noProof/>
          <w:lang w:val="mn-MN"/>
        </w:rPr>
        <w:footnoteRef/>
      </w:r>
      <w:r w:rsidRPr="004C3DC0">
        <w:rPr>
          <w:rFonts w:ascii="Arial" w:hAnsi="Arial" w:cs="Arial"/>
          <w:noProof/>
          <w:lang w:val="mn-MN"/>
        </w:rPr>
        <w:t xml:space="preserve"> Монгол Улсын Их Хурлын 2024 оны 21 дүгээр тогтоолын 1 дүгээр хавсралт, “Монгол Улсын Засгийн газрын 2024–2028 оны үйл ажиллагааны хөтөлбөр”, 3.4.3.2.</w:t>
      </w:r>
    </w:p>
  </w:footnote>
  <w:footnote w:id="7">
    <w:p w:rsidR="00963B87" w:rsidRPr="004C3DC0" w:rsidRDefault="00963B87">
      <w:pPr>
        <w:pStyle w:val="FootnoteText"/>
        <w:rPr>
          <w:rFonts w:ascii="Arial" w:hAnsi="Arial" w:cs="Arial"/>
          <w:noProof/>
          <w:lang w:val="mn-MN"/>
        </w:rPr>
      </w:pPr>
      <w:r w:rsidRPr="004C3DC0">
        <w:rPr>
          <w:rStyle w:val="FootnoteReference"/>
          <w:rFonts w:ascii="Arial" w:hAnsi="Arial" w:cs="Arial"/>
          <w:noProof/>
          <w:lang w:val="mn-MN"/>
        </w:rPr>
        <w:footnoteRef/>
      </w:r>
      <w:r w:rsidRPr="004C3DC0">
        <w:rPr>
          <w:rFonts w:ascii="Arial" w:hAnsi="Arial" w:cs="Arial"/>
          <w:noProof/>
          <w:lang w:val="mn-MN"/>
        </w:rPr>
        <w:t xml:space="preserve"> Байгаль орчинд нөлөөлөх байдлын үнэлгээнд олон нийтийн оролцоог хангах тухай журам, Байгаль орчин, ногоон хөгжлийн сайдын 2014 оны А-03 дугаар тушаалын хавсралт,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59F2BA4"/>
    <w:multiLevelType w:val="hybridMultilevel"/>
    <w:tmpl w:val="E08CDE9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num w:numId="1" w16cid:durableId="405149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3E9"/>
    <w:rsid w:val="004C3DC0"/>
    <w:rsid w:val="006327ED"/>
    <w:rsid w:val="00963B87"/>
    <w:rsid w:val="00A716A5"/>
    <w:rsid w:val="00BF0E30"/>
    <w:rsid w:val="00CA79ED"/>
    <w:rsid w:val="00E65870"/>
    <w:rsid w:val="00EC07D5"/>
    <w:rsid w:val="00EE03E9"/>
    <w:rsid w:val="00F46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F67C"/>
  <w15:chartTrackingRefBased/>
  <w15:docId w15:val="{2B2AC876-C04A-4321-8460-0829BB42B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63B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B87"/>
    <w:rPr>
      <w:sz w:val="20"/>
      <w:szCs w:val="20"/>
    </w:rPr>
  </w:style>
  <w:style w:type="character" w:styleId="FootnoteReference">
    <w:name w:val="footnote reference"/>
    <w:basedOn w:val="DefaultParagraphFont"/>
    <w:uiPriority w:val="99"/>
    <w:semiHidden/>
    <w:unhideWhenUsed/>
    <w:rsid w:val="00963B87"/>
    <w:rPr>
      <w:vertAlign w:val="superscript"/>
    </w:rPr>
  </w:style>
  <w:style w:type="paragraph" w:styleId="ListParagraph">
    <w:name w:val="List Paragraph"/>
    <w:basedOn w:val="Normal"/>
    <w:uiPriority w:val="34"/>
    <w:qFormat/>
    <w:rsid w:val="004C3DC0"/>
    <w:pPr>
      <w:ind w:left="720"/>
      <w:contextualSpacing/>
    </w:pPr>
  </w:style>
  <w:style w:type="paragraph" w:styleId="Header">
    <w:name w:val="header"/>
    <w:basedOn w:val="Normal"/>
    <w:link w:val="HeaderChar"/>
    <w:uiPriority w:val="99"/>
    <w:unhideWhenUsed/>
    <w:rsid w:val="00EC0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07D5"/>
  </w:style>
  <w:style w:type="paragraph" w:styleId="Footer">
    <w:name w:val="footer"/>
    <w:basedOn w:val="Normal"/>
    <w:link w:val="FooterChar"/>
    <w:uiPriority w:val="99"/>
    <w:unhideWhenUsed/>
    <w:rsid w:val="00EC0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7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A62B5-3F37-40C5-8B5B-9D0C3F719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1249</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3</cp:revision>
  <dcterms:created xsi:type="dcterms:W3CDTF">2026-09-29T03:16:00Z</dcterms:created>
  <dcterms:modified xsi:type="dcterms:W3CDTF">2026-10-02T01:36:00Z</dcterms:modified>
</cp:coreProperties>
</file>