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FA73DC" w14:textId="77777777" w:rsidR="0008545D" w:rsidRPr="00FE1A7A" w:rsidRDefault="0008545D" w:rsidP="0008545D">
      <w:pPr>
        <w:jc w:val="center"/>
        <w:rPr>
          <w:rFonts w:ascii="Arial" w:hAnsi="Arial" w:cs="Arial"/>
        </w:rPr>
      </w:pPr>
      <w:r w:rsidRPr="00FE1A7A">
        <w:rPr>
          <w:rFonts w:ascii="Arial" w:hAnsi="Arial" w:cs="Arial"/>
          <w:b/>
          <w:bCs/>
        </w:rPr>
        <w:t>ЧӨЛӨӨТ БҮСИЙН ҮЙЛ АЖИЛЛАГААГ ЭРЧИМЖҮҮЛЭХ ТАЛААР АВАХ ЗАРИМ</w:t>
      </w:r>
    </w:p>
    <w:p w14:paraId="143B76D2" w14:textId="77777777" w:rsidR="0008545D" w:rsidRPr="00FE1A7A" w:rsidRDefault="0008545D" w:rsidP="0008545D">
      <w:pPr>
        <w:jc w:val="center"/>
        <w:rPr>
          <w:rFonts w:ascii="Arial" w:hAnsi="Arial" w:cs="Arial"/>
        </w:rPr>
      </w:pPr>
      <w:r w:rsidRPr="00FE1A7A">
        <w:rPr>
          <w:rFonts w:ascii="Arial" w:hAnsi="Arial" w:cs="Arial"/>
          <w:b/>
          <w:bCs/>
        </w:rPr>
        <w:t>АРГА ХЭМЖЭЭНИЙ ТУХАЙ УЛСЫН ИХ ХУРЛЫН ТОГТООЛЫН ТӨСЛИЙН</w:t>
      </w:r>
    </w:p>
    <w:p w14:paraId="484A1D19" w14:textId="77777777" w:rsidR="0008545D" w:rsidRDefault="0008545D" w:rsidP="0008545D">
      <w:pPr>
        <w:jc w:val="center"/>
        <w:rPr>
          <w:rFonts w:ascii="Arial" w:hAnsi="Arial" w:cs="Arial"/>
          <w:b/>
          <w:bCs/>
        </w:rPr>
      </w:pPr>
      <w:r w:rsidRPr="00FE1A7A">
        <w:rPr>
          <w:rFonts w:ascii="Arial" w:hAnsi="Arial" w:cs="Arial"/>
          <w:b/>
          <w:bCs/>
        </w:rPr>
        <w:t>ДЭЛГЭРЭНГҮЙ ТАНИЛЦУУЛГА</w:t>
      </w:r>
    </w:p>
    <w:p w14:paraId="5E4B1482" w14:textId="77777777" w:rsidR="0008545D" w:rsidRPr="00FE1A7A" w:rsidRDefault="0008545D" w:rsidP="0008545D">
      <w:pPr>
        <w:jc w:val="center"/>
        <w:rPr>
          <w:rFonts w:ascii="Arial" w:hAnsi="Arial" w:cs="Arial"/>
        </w:rPr>
      </w:pPr>
    </w:p>
    <w:p w14:paraId="015EA38F" w14:textId="77777777" w:rsidR="0008545D" w:rsidRPr="00FE1A7A" w:rsidRDefault="0008545D" w:rsidP="0008545D">
      <w:pPr>
        <w:jc w:val="both"/>
        <w:rPr>
          <w:rFonts w:ascii="Arial" w:hAnsi="Arial" w:cs="Arial"/>
        </w:rPr>
      </w:pPr>
      <w:r w:rsidRPr="00FE1A7A">
        <w:rPr>
          <w:rFonts w:ascii="Arial" w:hAnsi="Arial" w:cs="Arial"/>
          <w:b/>
          <w:bCs/>
        </w:rPr>
        <w:t>Үндэслэл хэсэг</w:t>
      </w:r>
    </w:p>
    <w:p w14:paraId="26B560BE" w14:textId="77777777" w:rsidR="0008545D" w:rsidRPr="00FE1A7A" w:rsidRDefault="0008545D" w:rsidP="0008545D">
      <w:pPr>
        <w:ind w:firstLine="567"/>
        <w:jc w:val="both"/>
        <w:rPr>
          <w:rFonts w:ascii="Arial" w:hAnsi="Arial" w:cs="Arial"/>
        </w:rPr>
      </w:pPr>
      <w:r w:rsidRPr="00FE1A7A">
        <w:rPr>
          <w:rFonts w:ascii="Arial" w:hAnsi="Arial" w:cs="Arial"/>
        </w:rPr>
        <w:t>Монгол Улсын Их Хурлын тухай хуулийн 5 дугаар зүйлийн 5.1-д Улсын Их Хурлын бусад шийдвэр тогтоолын хэлбэртэй байхаар, Хууль тогтоомжийн тухай хуулийн 6 дугаар зүйлийн 6.1-д хууль санаачлагч Улсын Их Хурлын тогтоолыг санаачилж болохоор, Монгол Улсын Их Хурлын хяналт шалгалтын тухай хуулийн 10 дугаар зүйлийн 10.1-д хууль тогтоомжийн биелэлтийг хангуулах, эрчимжүүлэх зорилгоор тогтоол гаргахаар тус тус заасан. Тогтоолын зорилгыг 10.1-д заасан зорилгын эхний хоёрт хязгаарлав. Хяналт шалгалтаар илэрсэн зөрчил дутагдлыг арилгуулах гэсэн гурав дахь зорилгод хамаарахгүй тул урьдчилсан хяналт шалгалт шаардахгүй.</w:t>
      </w:r>
    </w:p>
    <w:p w14:paraId="174D30EB" w14:textId="77777777" w:rsidR="0008545D" w:rsidRPr="00FE1A7A" w:rsidRDefault="0008545D" w:rsidP="0008545D">
      <w:pPr>
        <w:jc w:val="both"/>
        <w:rPr>
          <w:rFonts w:ascii="Arial" w:hAnsi="Arial" w:cs="Arial"/>
        </w:rPr>
      </w:pPr>
      <w:r w:rsidRPr="00FE1A7A">
        <w:rPr>
          <w:rFonts w:ascii="Arial" w:hAnsi="Arial" w:cs="Arial"/>
          <w:b/>
          <w:bCs/>
        </w:rPr>
        <w:t>1 дэх заалт</w:t>
      </w:r>
    </w:p>
    <w:p w14:paraId="075A68D3" w14:textId="77777777" w:rsidR="0008545D" w:rsidRPr="00FE1A7A" w:rsidRDefault="0008545D" w:rsidP="0008545D">
      <w:pPr>
        <w:ind w:firstLine="567"/>
        <w:jc w:val="both"/>
        <w:rPr>
          <w:rFonts w:ascii="Arial" w:hAnsi="Arial" w:cs="Arial"/>
        </w:rPr>
      </w:pPr>
      <w:r w:rsidRPr="00FE1A7A">
        <w:rPr>
          <w:rFonts w:ascii="Arial" w:hAnsi="Arial" w:cs="Arial"/>
        </w:rPr>
        <w:t>Засгийн газарт таван арга хэмжээг даалгах ерөнхий заалт. Арга хэмжээ тус бүр Чөлөөт бүсийн тухай хуулийн тодорхой заалтын биелэлтэд чиглэв.</w:t>
      </w:r>
    </w:p>
    <w:p w14:paraId="32742063" w14:textId="77777777" w:rsidR="0008545D" w:rsidRPr="00FE1A7A" w:rsidRDefault="0008545D" w:rsidP="0008545D">
      <w:pPr>
        <w:jc w:val="both"/>
        <w:rPr>
          <w:rFonts w:ascii="Arial" w:hAnsi="Arial" w:cs="Arial"/>
        </w:rPr>
      </w:pPr>
      <w:r w:rsidRPr="00FE1A7A">
        <w:rPr>
          <w:rFonts w:ascii="Arial" w:hAnsi="Arial" w:cs="Arial"/>
          <w:b/>
          <w:bCs/>
        </w:rPr>
        <w:t>1 дэх заалтын 1 дэх дэд заалт</w:t>
      </w:r>
    </w:p>
    <w:p w14:paraId="2C0B3ADD" w14:textId="77777777" w:rsidR="0008545D" w:rsidRPr="00FE1A7A" w:rsidRDefault="0008545D" w:rsidP="0008545D">
      <w:pPr>
        <w:ind w:firstLine="567"/>
        <w:jc w:val="both"/>
        <w:rPr>
          <w:rFonts w:ascii="Arial" w:hAnsi="Arial" w:cs="Arial"/>
        </w:rPr>
      </w:pPr>
      <w:r w:rsidRPr="00FE1A7A">
        <w:rPr>
          <w:rFonts w:ascii="Arial" w:hAnsi="Arial" w:cs="Arial"/>
        </w:rPr>
        <w:t>Гурван бүсийн үйл ажиллагааны өнөөгийн байдал, газар олголт, хөрөнгө оруулалтын гэрээний хэрэгжилт, дэд бүтцийн ашиглалтын түвшинд нэгдсэн үнэлгээ хийж, хэрэгжилтийн үр дагаварт үнэлгээ хийсэн тайлангийн хамт Улсын Их Хуралд хүргүүлэхийг даалгав. Нэгдсэн үнэлгээ гэдэгт гурван бүсийг нэг аргачлалаар, харьцуулж болохуйц үзүүлэлтээр үнэлсэн баримтыг ойлгоно. Улсын Их Хурал хяналт шалгалтын бүрэн эрхээ хэрэгжүүлэхэд бодит үзүүлэлт зайлшгүй шаардлагатай.</w:t>
      </w:r>
    </w:p>
    <w:p w14:paraId="45DDF7A8" w14:textId="77777777" w:rsidR="0008545D" w:rsidRPr="00FE1A7A" w:rsidRDefault="0008545D" w:rsidP="0008545D">
      <w:pPr>
        <w:jc w:val="both"/>
        <w:rPr>
          <w:rFonts w:ascii="Arial" w:hAnsi="Arial" w:cs="Arial"/>
        </w:rPr>
      </w:pPr>
      <w:r w:rsidRPr="00FE1A7A">
        <w:rPr>
          <w:rFonts w:ascii="Arial" w:hAnsi="Arial" w:cs="Arial"/>
          <w:b/>
          <w:bCs/>
        </w:rPr>
        <w:t>1 дэх заалтын 2 дахь дэд заалт</w:t>
      </w:r>
    </w:p>
    <w:p w14:paraId="6F72AF2C" w14:textId="77777777" w:rsidR="0008545D" w:rsidRPr="00FE1A7A" w:rsidRDefault="0008545D" w:rsidP="0008545D">
      <w:pPr>
        <w:ind w:firstLine="567"/>
        <w:jc w:val="both"/>
        <w:rPr>
          <w:rFonts w:ascii="Arial" w:hAnsi="Arial" w:cs="Arial"/>
        </w:rPr>
      </w:pPr>
      <w:r w:rsidRPr="00FE1A7A">
        <w:rPr>
          <w:rFonts w:ascii="Arial" w:hAnsi="Arial" w:cs="Arial"/>
        </w:rPr>
        <w:t>Улсын төсөв, гадаадын зээл, тусламжийн хөрөнгөөр барьж байгуулсан боловч ашиглалтад ороогүй дэд бүтцийн барилга байгууламжийг ашиглалтад оруулах хугацаатай төлөвлөгөөг батлан хэрэгжүүлэхийг даалгав. Хугацаатай төлөвлөгөө гэдэг нь барилга байгууламж тус бүрээр ашиглалтад оруулах хугацаа, хариуцах байгууллагыг тодорхой заасан, Засгийн газрын шийдвэрээр батлагдсан баримт бичгийг хэлнэ. Санхүүжилтийн эх үүсвэрийг Чөлөөт бүсийн тухай хуулийн 24 дүгээр зүйлийн 24.3-т заасан төр, хувийн хэвшлийн түншлэлийн гэрээ, 24.4-т заасан улсын болон орон нутгийн төсөв, хувийн хэвшлийн хөрөнгө оруулалт, гадаадын зээл, тусламж, Засгийн газрын бондын хүрээнд судална.</w:t>
      </w:r>
    </w:p>
    <w:p w14:paraId="1DB729FE" w14:textId="77777777" w:rsidR="0008545D" w:rsidRPr="00FE1A7A" w:rsidRDefault="0008545D" w:rsidP="0008545D">
      <w:pPr>
        <w:jc w:val="both"/>
        <w:rPr>
          <w:rFonts w:ascii="Arial" w:hAnsi="Arial" w:cs="Arial"/>
        </w:rPr>
      </w:pPr>
      <w:r w:rsidRPr="00FE1A7A">
        <w:rPr>
          <w:rFonts w:ascii="Arial" w:hAnsi="Arial" w:cs="Arial"/>
          <w:b/>
          <w:bCs/>
        </w:rPr>
        <w:t>1 дэх заалтын 3 дахь дэд заалт</w:t>
      </w:r>
    </w:p>
    <w:p w14:paraId="16D2A442" w14:textId="77777777" w:rsidR="0008545D" w:rsidRPr="00FE1A7A" w:rsidRDefault="0008545D" w:rsidP="0008545D">
      <w:pPr>
        <w:ind w:firstLine="567"/>
        <w:jc w:val="both"/>
        <w:rPr>
          <w:rFonts w:ascii="Arial" w:hAnsi="Arial" w:cs="Arial"/>
        </w:rPr>
      </w:pPr>
      <w:r w:rsidRPr="00FE1A7A">
        <w:rPr>
          <w:rFonts w:ascii="Arial" w:hAnsi="Arial" w:cs="Arial"/>
        </w:rPr>
        <w:t>Газар ашиглуулах сонгон шалгаруулалт, дуудлага худалдааны ил тод байдлыг хангаж, ашиглагдахгүй байгаа газрын гэрээг дүгнэхийг даалгав. Чөлөөт бүсийн тухай хуулийн 22 дугаар зүйлийн 22.4-т газар ашиглах эрхийг төсөл сонгон шалгаруулах, дуудлага худалдааны аль нэг хэлбэрээр олгохоор заасан боловч бүртгэлтэй болон бодитоор үйл ажиллагаа явуулж буй хуулийн этгээдийн зөрүү их байна. Гэрээг дүгнэх гэдэгт гэрээний үүргийн биелэлтийг үнэлж, цаашид үргэлжлүүлэх, өөрчлөх, цуцлах аль нэг шийдвэрийг гаргахыг ойлгоно.</w:t>
      </w:r>
    </w:p>
    <w:p w14:paraId="29F4272F" w14:textId="77777777" w:rsidR="0008545D" w:rsidRPr="00FE1A7A" w:rsidRDefault="0008545D" w:rsidP="0008545D">
      <w:pPr>
        <w:jc w:val="both"/>
        <w:rPr>
          <w:rFonts w:ascii="Arial" w:hAnsi="Arial" w:cs="Arial"/>
        </w:rPr>
      </w:pPr>
      <w:r w:rsidRPr="00FE1A7A">
        <w:rPr>
          <w:rFonts w:ascii="Arial" w:hAnsi="Arial" w:cs="Arial"/>
          <w:b/>
          <w:bCs/>
        </w:rPr>
        <w:t>1 дэх заалтын 4 дэх дэд заалт</w:t>
      </w:r>
    </w:p>
    <w:p w14:paraId="168FFA30" w14:textId="77777777" w:rsidR="0008545D" w:rsidRPr="00FE1A7A" w:rsidRDefault="0008545D" w:rsidP="0008545D">
      <w:pPr>
        <w:ind w:firstLine="567"/>
        <w:jc w:val="both"/>
        <w:rPr>
          <w:rFonts w:ascii="Arial" w:hAnsi="Arial" w:cs="Arial"/>
        </w:rPr>
      </w:pPr>
      <w:r w:rsidRPr="00FE1A7A">
        <w:rPr>
          <w:rFonts w:ascii="Arial" w:hAnsi="Arial" w:cs="Arial"/>
        </w:rPr>
        <w:t>Чөлөөт бүсийн тухай хуулийн 19 дүгээр зүйлийн 19.2-т заасан орлогын 20 хүртэл хувийг зарцуулах зохицуулалтын хэрэгжилтийг хангаж, зарцуулалтын тайланг Улсын Их Хуралд танилцуулахыг даалгав. Энэ заалт нь хувь хэмжээг өөрчлөхгүй. Хүчин төгөлдөр хуулийн заалтын хэрэгжилтийг хангуулж, зарцуулалтын бодит байдлыг Улсын Их Хуралд мэдээлэх ажиллагааг тогтоож байна.</w:t>
      </w:r>
    </w:p>
    <w:p w14:paraId="2C7DBB30" w14:textId="77777777" w:rsidR="0008545D" w:rsidRPr="00FE1A7A" w:rsidRDefault="0008545D" w:rsidP="0008545D">
      <w:pPr>
        <w:jc w:val="both"/>
        <w:rPr>
          <w:rFonts w:ascii="Arial" w:hAnsi="Arial" w:cs="Arial"/>
        </w:rPr>
      </w:pPr>
      <w:r w:rsidRPr="00FE1A7A">
        <w:rPr>
          <w:rFonts w:ascii="Arial" w:hAnsi="Arial" w:cs="Arial"/>
          <w:b/>
          <w:bCs/>
        </w:rPr>
        <w:t>1 дэх заалтын 5 дахь дэд заалт</w:t>
      </w:r>
    </w:p>
    <w:p w14:paraId="6E82D94E" w14:textId="77777777" w:rsidR="0008545D" w:rsidRPr="00FE1A7A" w:rsidRDefault="0008545D" w:rsidP="0008545D">
      <w:pPr>
        <w:ind w:firstLine="567"/>
        <w:jc w:val="both"/>
        <w:rPr>
          <w:rFonts w:ascii="Arial" w:hAnsi="Arial" w:cs="Arial"/>
        </w:rPr>
      </w:pPr>
      <w:r w:rsidRPr="00FE1A7A">
        <w:rPr>
          <w:rFonts w:ascii="Arial" w:hAnsi="Arial" w:cs="Arial"/>
        </w:rPr>
        <w:t xml:space="preserve">Улсын Их Хурлын 1995 оны 87 дугаар тогтоолоор баталсан үзэл баримтлалыг урт хугацааны хөгжлийн бодлогын баримт бичигт нийцүүлэн шинэчлэн </w:t>
      </w:r>
      <w:r w:rsidRPr="00FE1A7A">
        <w:rPr>
          <w:rFonts w:ascii="Arial" w:hAnsi="Arial" w:cs="Arial"/>
        </w:rPr>
        <w:lastRenderedPageBreak/>
        <w:t>боловсруулж, Улсын Их Хуралд өргөн мэдүүлэхийг даалгав. Өргөн мэдүүлэх гэдэгт Улсын Их Хурлын тогтоолын төсөл хэлбэрээр, Хууль тогтоомжийн тухай хуулийн 40 дүгээр зүйлд заасан бүрдүүлбэрийн хамт Улсын Их Хуралд оруулахыг ойлгоно. Уг үзэл баримтлал нь Улсын Их Хурлын тогтоолоор батлагдсан тул зөвхөн Улсын Их Хурлын тогтоолоор шинэчлэгдэнэ. Өргөн мэдүүлэгдсэн хуулийн төслөөр зохицуулагдах боломжгүй.</w:t>
      </w:r>
    </w:p>
    <w:p w14:paraId="2CD7805F" w14:textId="77777777" w:rsidR="0008545D" w:rsidRPr="00FE1A7A" w:rsidRDefault="0008545D" w:rsidP="0008545D">
      <w:pPr>
        <w:jc w:val="both"/>
        <w:rPr>
          <w:rFonts w:ascii="Arial" w:hAnsi="Arial" w:cs="Arial"/>
        </w:rPr>
      </w:pPr>
      <w:r w:rsidRPr="00FE1A7A">
        <w:rPr>
          <w:rFonts w:ascii="Arial" w:hAnsi="Arial" w:cs="Arial"/>
          <w:b/>
          <w:bCs/>
        </w:rPr>
        <w:t>2 дахь заалт</w:t>
      </w:r>
    </w:p>
    <w:p w14:paraId="626479BA" w14:textId="77777777" w:rsidR="0008545D" w:rsidRPr="00FE1A7A" w:rsidRDefault="0008545D" w:rsidP="0008545D">
      <w:pPr>
        <w:ind w:firstLine="567"/>
        <w:jc w:val="both"/>
        <w:rPr>
          <w:rFonts w:ascii="Arial" w:hAnsi="Arial" w:cs="Arial"/>
        </w:rPr>
      </w:pPr>
      <w:r w:rsidRPr="00FE1A7A">
        <w:rPr>
          <w:rFonts w:ascii="Arial" w:hAnsi="Arial" w:cs="Arial"/>
        </w:rPr>
        <w:t>Биелэлтийг танилцуулах хугацааг тогтоов. 1 дэх дэд заалтын биелэлтийг 2027 оны 03 дугаар сарын 01-ний өдрийн дотор танилцуулна. Уг хугацааг Улсын Их Хурал хаврын ээлжит чуулган эхлэхээс өмнө тайланг судлах боломжтой байхаар тогтоов. Бусад дэд заалтын биелэлтийг ээлжит чуулган эхэлснээс хойш 15 хоногийн дотор танилцуулна. Монгол Улсын Их Хурлын хяналт шалгалтын тухай хуулийн 10 дугаар зүйлийн 10.2-т тогтоолын биелэлтийн тайланг мөн хуулийн 14.3-т зааснаас бусад тохиолдолд ээлжит чуулган эхэлснээс хойш 15 хоногийн дотор ирүүлэхээр, 14.3-т Улсын Их Хурал хууль тогтоомжийн биелэлтийг хангуулахаар Засгийн газарт чиглэл өгөх тухай тогтоол баталсан бол биелэлтийг мөн тогтоолд заасан хугацаанд танилцуулахаар тус тус заасан. Иймд хугацааг тогтоолд өөрөө тоогоор заав.</w:t>
      </w:r>
    </w:p>
    <w:p w14:paraId="439EBDC5" w14:textId="77777777" w:rsidR="0008545D" w:rsidRPr="00FE1A7A" w:rsidRDefault="0008545D" w:rsidP="0008545D">
      <w:pPr>
        <w:jc w:val="both"/>
        <w:rPr>
          <w:rFonts w:ascii="Arial" w:hAnsi="Arial" w:cs="Arial"/>
        </w:rPr>
      </w:pPr>
      <w:r w:rsidRPr="00FE1A7A">
        <w:rPr>
          <w:rFonts w:ascii="Arial" w:hAnsi="Arial" w:cs="Arial"/>
          <w:b/>
          <w:bCs/>
        </w:rPr>
        <w:t>3 дахь заалт</w:t>
      </w:r>
    </w:p>
    <w:p w14:paraId="3BE3094E" w14:textId="77777777" w:rsidR="0008545D" w:rsidRPr="00FE1A7A" w:rsidRDefault="0008545D" w:rsidP="0008545D">
      <w:pPr>
        <w:ind w:firstLine="567"/>
        <w:jc w:val="both"/>
        <w:rPr>
          <w:rFonts w:ascii="Arial" w:hAnsi="Arial" w:cs="Arial"/>
        </w:rPr>
      </w:pPr>
      <w:r w:rsidRPr="00FE1A7A">
        <w:rPr>
          <w:rFonts w:ascii="Arial" w:hAnsi="Arial" w:cs="Arial"/>
        </w:rPr>
        <w:t>Хэрэгжилтэд хяналт тавихыг Төрийн байгуулалтын байнгын хороонд даалгав. Монгол Улсын Их Хурлын тухай хуулийн 23 дугаар зүйлийн 23.8.16-д бүсчилсэн хөгжлийн бодлогыг тус хороо эрхлэхээр заасан.</w:t>
      </w:r>
    </w:p>
    <w:p w14:paraId="0FE8CDE8" w14:textId="77777777" w:rsidR="0008545D" w:rsidRPr="00FE1A7A" w:rsidRDefault="0008545D" w:rsidP="0008545D">
      <w:pPr>
        <w:jc w:val="both"/>
        <w:rPr>
          <w:rFonts w:ascii="Arial" w:hAnsi="Arial" w:cs="Arial"/>
        </w:rPr>
      </w:pPr>
      <w:r w:rsidRPr="00FE1A7A">
        <w:rPr>
          <w:rFonts w:ascii="Arial" w:hAnsi="Arial" w:cs="Arial"/>
          <w:b/>
          <w:bCs/>
        </w:rPr>
        <w:t>4 дэх заалт</w:t>
      </w:r>
    </w:p>
    <w:p w14:paraId="712FE537" w14:textId="77777777" w:rsidR="0008545D" w:rsidRPr="00FE1A7A" w:rsidRDefault="0008545D" w:rsidP="0008545D">
      <w:pPr>
        <w:ind w:firstLine="567"/>
        <w:jc w:val="both"/>
        <w:rPr>
          <w:rFonts w:ascii="Arial" w:hAnsi="Arial" w:cs="Arial"/>
        </w:rPr>
      </w:pPr>
      <w:r w:rsidRPr="00FE1A7A">
        <w:rPr>
          <w:rFonts w:ascii="Arial" w:hAnsi="Arial" w:cs="Arial"/>
        </w:rPr>
        <w:t>Дагаж мөрдөх хугацааг тогтоов. Тогтоолыг батлагдсан өдрөөс нь эхлэн дагаж мөрдөнө.</w:t>
      </w:r>
    </w:p>
    <w:p w14:paraId="55796810" w14:textId="77777777" w:rsidR="0008545D" w:rsidRPr="00FE1A7A" w:rsidRDefault="0008545D" w:rsidP="0008545D">
      <w:pPr>
        <w:jc w:val="both"/>
        <w:rPr>
          <w:rFonts w:ascii="Arial" w:hAnsi="Arial" w:cs="Arial"/>
        </w:rPr>
      </w:pPr>
      <w:r w:rsidRPr="00FE1A7A">
        <w:rPr>
          <w:rFonts w:ascii="Arial" w:hAnsi="Arial" w:cs="Arial"/>
          <w:b/>
          <w:bCs/>
        </w:rPr>
        <w:t>Гадаад улсын хууль тогтоомжийн харьцуулалт</w:t>
      </w:r>
    </w:p>
    <w:p w14:paraId="2D9A1C09" w14:textId="77777777" w:rsidR="0008545D" w:rsidRPr="00FE1A7A" w:rsidRDefault="0008545D" w:rsidP="0008545D">
      <w:pPr>
        <w:ind w:firstLine="567"/>
        <w:jc w:val="both"/>
        <w:rPr>
          <w:rFonts w:ascii="Arial" w:hAnsi="Arial" w:cs="Arial"/>
        </w:rPr>
      </w:pPr>
      <w:r w:rsidRPr="00FE1A7A">
        <w:rPr>
          <w:rFonts w:ascii="Arial" w:hAnsi="Arial" w:cs="Arial"/>
        </w:rPr>
        <w:t>Тогтоолын төсөл шинэ эрх зүйн зохицуулалт бий болгохгүй, хүчин төгөлдөр хуулийн биелэлтийг хангуулах агуулгатай тул Хууль тогтоомжийн тухай хуулийн 13 дугаар зүйлийн 13.2.6-д заасны дагуу гадаад улсын хууль тогтоомжийн харьцуулсан судалгаа хийгээгүй. Иймд мөн хуулийн 33 дугаар зүйлийн 33.3.3-т заасан тайлбар хамаарахгүй.</w:t>
      </w:r>
    </w:p>
    <w:p w14:paraId="0C32402B" w14:textId="77777777" w:rsidR="0008545D" w:rsidRPr="00FE1A7A" w:rsidRDefault="0008545D" w:rsidP="0008545D">
      <w:pPr>
        <w:jc w:val="both"/>
        <w:rPr>
          <w:rFonts w:ascii="Arial" w:hAnsi="Arial" w:cs="Arial"/>
        </w:rPr>
      </w:pPr>
      <w:r w:rsidRPr="00FE1A7A">
        <w:rPr>
          <w:rFonts w:ascii="Arial" w:hAnsi="Arial" w:cs="Arial"/>
          <w:b/>
          <w:bCs/>
        </w:rPr>
        <w:t>Нэр томьёо</w:t>
      </w:r>
    </w:p>
    <w:p w14:paraId="7ED45C40" w14:textId="77777777" w:rsidR="0008545D" w:rsidRPr="00FE1A7A" w:rsidRDefault="0008545D" w:rsidP="0008545D">
      <w:pPr>
        <w:ind w:firstLine="567"/>
        <w:jc w:val="both"/>
        <w:rPr>
          <w:rFonts w:ascii="Arial" w:hAnsi="Arial" w:cs="Arial"/>
        </w:rPr>
      </w:pPr>
      <w:r w:rsidRPr="00FE1A7A">
        <w:rPr>
          <w:rFonts w:ascii="Arial" w:hAnsi="Arial" w:cs="Arial"/>
        </w:rPr>
        <w:t>Тогтоолын төсөлд шинэ нэр томьёо оруулаагүй. Чөлөөт бүсийн тухай хуулийн 3 дугаар зүйлийн 3.1.1-д "чөлөөт бүс" гэж гаалийн татвар болон бусад татварын хувьд гаалийн нутаг дэвсгэрийн гадна оршиж байгаад тооцогдох, аж ахуйн үйл ажиллагааны тусгай дэглэм бүхий Монгол Улсын нутаг дэвсгэрийн хэсгийг гэж тодорхойлсон бөгөөд тогтоолын төсөлд уг тодорхойлолтыг баримтлав.</w:t>
      </w:r>
    </w:p>
    <w:p w14:paraId="27074ACC" w14:textId="77777777" w:rsidR="005A3A80" w:rsidRDefault="005A3A80"/>
    <w:sectPr w:rsidR="005A3A80" w:rsidSect="0008545D">
      <w:pgSz w:w="11906" w:h="16838"/>
      <w:pgMar w:top="1133" w:right="850" w:bottom="1133" w:left="17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45D"/>
    <w:rsid w:val="0008545D"/>
    <w:rsid w:val="00206C0A"/>
    <w:rsid w:val="005253D6"/>
    <w:rsid w:val="005A3A80"/>
    <w:rsid w:val="00706009"/>
    <w:rsid w:val="008051F3"/>
    <w:rsid w:val="009654B5"/>
    <w:rsid w:val="00CE474E"/>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2931F3C2"/>
  <w15:chartTrackingRefBased/>
  <w15:docId w15:val="{0AB7F564-26D1-4243-83DA-39A37E9AE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45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8545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8545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8545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8545D"/>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8545D"/>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8545D"/>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8545D"/>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8545D"/>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8545D"/>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4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54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54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54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54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54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4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4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45D"/>
    <w:rPr>
      <w:rFonts w:eastAsiaTheme="majorEastAsia" w:cstheme="majorBidi"/>
      <w:color w:val="272727" w:themeColor="text1" w:themeTint="D8"/>
    </w:rPr>
  </w:style>
  <w:style w:type="paragraph" w:styleId="Title">
    <w:name w:val="Title"/>
    <w:basedOn w:val="Normal"/>
    <w:next w:val="Normal"/>
    <w:link w:val="TitleChar"/>
    <w:uiPriority w:val="10"/>
    <w:qFormat/>
    <w:rsid w:val="0008545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854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45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854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45D"/>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8545D"/>
    <w:rPr>
      <w:i/>
      <w:iCs/>
      <w:color w:val="404040" w:themeColor="text1" w:themeTint="BF"/>
    </w:rPr>
  </w:style>
  <w:style w:type="paragraph" w:styleId="ListParagraph">
    <w:name w:val="List Paragraph"/>
    <w:basedOn w:val="Normal"/>
    <w:uiPriority w:val="34"/>
    <w:qFormat/>
    <w:rsid w:val="0008545D"/>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8545D"/>
    <w:rPr>
      <w:i/>
      <w:iCs/>
      <w:color w:val="2F5496" w:themeColor="accent1" w:themeShade="BF"/>
    </w:rPr>
  </w:style>
  <w:style w:type="paragraph" w:styleId="IntenseQuote">
    <w:name w:val="Intense Quote"/>
    <w:basedOn w:val="Normal"/>
    <w:next w:val="Normal"/>
    <w:link w:val="IntenseQuoteChar"/>
    <w:uiPriority w:val="30"/>
    <w:qFormat/>
    <w:rsid w:val="0008545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08545D"/>
    <w:rPr>
      <w:i/>
      <w:iCs/>
      <w:color w:val="2F5496" w:themeColor="accent1" w:themeShade="BF"/>
    </w:rPr>
  </w:style>
  <w:style w:type="character" w:styleId="IntenseReference">
    <w:name w:val="Intense Reference"/>
    <w:basedOn w:val="DefaultParagraphFont"/>
    <w:uiPriority w:val="32"/>
    <w:qFormat/>
    <w:rsid w:val="0008545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808</Words>
  <Characters>4608</Characters>
  <Application>Microsoft Office Word</Application>
  <DocSecurity>0</DocSecurity>
  <Lines>38</Lines>
  <Paragraphs>10</Paragraphs>
  <ScaleCrop>false</ScaleCrop>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Batbaatar</dc:creator>
  <cp:keywords/>
  <dc:description/>
  <cp:lastModifiedBy>Batbaatar</cp:lastModifiedBy>
  <cp:revision>1</cp:revision>
  <dcterms:created xsi:type="dcterms:W3CDTF">2026-10-08T07:01:00Z</dcterms:created>
  <dcterms:modified xsi:type="dcterms:W3CDTF">2026-10-08T07:01:00Z</dcterms:modified>
</cp:coreProperties>
</file>