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92763" w14:textId="77777777" w:rsidR="00D70C0F" w:rsidRDefault="00A47591">
      <w:pPr>
        <w:jc w:val="center"/>
        <w:rPr>
          <w:rFonts w:ascii="Arial" w:hAnsi="Arial" w:cs="Arial"/>
          <w:sz w:val="24"/>
          <w:szCs w:val="24"/>
          <w:lang w:val="mn-MN"/>
        </w:rPr>
      </w:pPr>
      <w:r>
        <w:rPr>
          <w:rFonts w:ascii="Arial" w:hAnsi="Arial" w:cs="Arial"/>
          <w:sz w:val="24"/>
          <w:szCs w:val="24"/>
          <w:lang w:val="mn-MN"/>
        </w:rPr>
        <w:t>ТАНИЛЦУУЛГА</w:t>
      </w:r>
    </w:p>
    <w:p w14:paraId="1E68B32B" w14:textId="77777777" w:rsidR="00D70C0F" w:rsidRDefault="00D70C0F">
      <w:pPr>
        <w:jc w:val="center"/>
        <w:rPr>
          <w:rFonts w:ascii="Arial" w:hAnsi="Arial" w:cs="Arial"/>
          <w:sz w:val="24"/>
          <w:szCs w:val="24"/>
          <w:lang w:val="mn-MN"/>
        </w:rPr>
      </w:pPr>
    </w:p>
    <w:p w14:paraId="31AE46EC" w14:textId="77777777" w:rsidR="00D70C0F" w:rsidRDefault="00A47591">
      <w:pPr>
        <w:pStyle w:val="NoSpacing"/>
        <w:jc w:val="right"/>
        <w:rPr>
          <w:rFonts w:cs="Arial"/>
          <w:i/>
          <w:szCs w:val="24"/>
          <w:lang w:val="mn-MN"/>
        </w:rPr>
      </w:pPr>
      <w:r>
        <w:rPr>
          <w:rFonts w:cs="Arial"/>
          <w:i/>
          <w:szCs w:val="24"/>
          <w:lang w:val="mn-MN"/>
        </w:rPr>
        <w:t xml:space="preserve">“Газрын тухай хуульд нэмэлт, </w:t>
      </w:r>
    </w:p>
    <w:p w14:paraId="05E39E76" w14:textId="77777777" w:rsidR="00D70C0F" w:rsidRDefault="00A47591">
      <w:pPr>
        <w:pStyle w:val="NoSpacing"/>
        <w:jc w:val="right"/>
        <w:rPr>
          <w:rFonts w:cs="Arial"/>
          <w:bCs/>
          <w:i/>
          <w:szCs w:val="24"/>
          <w:lang w:val="mn-MN"/>
        </w:rPr>
      </w:pPr>
      <w:r>
        <w:rPr>
          <w:rFonts w:cs="Arial"/>
          <w:i/>
          <w:szCs w:val="24"/>
          <w:lang w:val="mn-MN"/>
        </w:rPr>
        <w:t xml:space="preserve">өөрчлөлт оруулах тухай”  </w:t>
      </w:r>
    </w:p>
    <w:p w14:paraId="0842B65D" w14:textId="77777777" w:rsidR="00D70C0F" w:rsidRDefault="00A47591">
      <w:pPr>
        <w:pStyle w:val="NoSpacing"/>
        <w:jc w:val="right"/>
        <w:rPr>
          <w:rFonts w:cs="Arial"/>
          <w:bCs/>
          <w:i/>
          <w:szCs w:val="24"/>
          <w:lang w:val="mn-MN"/>
        </w:rPr>
      </w:pPr>
      <w:r>
        <w:rPr>
          <w:rFonts w:cs="Arial"/>
          <w:bCs/>
          <w:i/>
          <w:szCs w:val="24"/>
          <w:lang w:val="mn-MN"/>
        </w:rPr>
        <w:t xml:space="preserve">Хуулийн төслийн талаар </w:t>
      </w:r>
    </w:p>
    <w:p w14:paraId="025AC8AF" w14:textId="77777777" w:rsidR="00D70C0F" w:rsidRDefault="00D70C0F">
      <w:pPr>
        <w:jc w:val="right"/>
        <w:rPr>
          <w:rFonts w:ascii="Arial" w:hAnsi="Arial" w:cs="Arial"/>
          <w:bCs/>
          <w:sz w:val="24"/>
          <w:szCs w:val="24"/>
          <w:lang w:val="mn-MN"/>
        </w:rPr>
      </w:pPr>
    </w:p>
    <w:p w14:paraId="6FD18C35" w14:textId="77777777" w:rsidR="00D70C0F" w:rsidRDefault="00A47591">
      <w:pPr>
        <w:pStyle w:val="NoSpacing"/>
        <w:spacing w:line="276" w:lineRule="auto"/>
        <w:ind w:firstLine="720"/>
        <w:jc w:val="both"/>
        <w:rPr>
          <w:rStyle w:val="Strong"/>
          <w:rFonts w:cs="Arial"/>
          <w:b w:val="0"/>
          <w:szCs w:val="24"/>
          <w:shd w:val="clear" w:color="auto" w:fill="FFFFFF"/>
          <w:lang w:val="mn-MN"/>
        </w:rPr>
      </w:pPr>
      <w:r>
        <w:rPr>
          <w:rStyle w:val="Strong"/>
          <w:rFonts w:cs="Arial"/>
          <w:szCs w:val="24"/>
          <w:shd w:val="clear" w:color="auto" w:fill="FFFFFF"/>
          <w:lang w:val="mn-MN"/>
        </w:rPr>
        <w:t xml:space="preserve">Хөдөө аж ахуйн газар нь манай орны газар ашиглалтын уламжлалтай холбоотойгоор газрын нэгдмэл сангийн дийлэнхи хэсгийг эзлэх боловч сүүлийн жилүүдэд гарч буй газар ашиглалтын хэлбэр, зориулалт нэмэгдэж байгаатай уялдан түүний хэмжээ ялангуяа бэлчээрийн талбайн хэмжээ байнга буурсаар байна. Манай орны хөдөө аж ахуйн газрын хэмжээ сүүлийн 50 гаруй жилийн хугацаанд ойролцоогоор 15.0 орчим сая.га-аар буурсан байна. Хөдөө аж ахуйн газар нь байгалийн унаган төрх байдал, нөөц чавахиараа харилцан адилгүй тул хөдөө аж ахуйн үйлдвэрлэлд гүйцэтгэх үүргээр нь бэлчээрийн газар, тариалангийн газар, хадлангийн газар, хөдөө аж ахуйн барилга байгууламжийн дэвсгэр газар гэж хуваагддаг. </w:t>
      </w:r>
    </w:p>
    <w:p w14:paraId="54FCB4A8" w14:textId="77777777" w:rsidR="00D70C0F" w:rsidRDefault="00A47591">
      <w:pPr>
        <w:pStyle w:val="NoSpacing"/>
        <w:spacing w:line="276" w:lineRule="auto"/>
        <w:ind w:firstLine="720"/>
        <w:jc w:val="both"/>
        <w:rPr>
          <w:rFonts w:cs="Arial"/>
          <w:szCs w:val="24"/>
          <w:lang w:val="mn-MN"/>
        </w:rPr>
      </w:pPr>
      <w:r>
        <w:rPr>
          <w:rFonts w:cs="Arial"/>
          <w:szCs w:val="24"/>
          <w:lang w:val="mn-MN"/>
        </w:rPr>
        <w:t xml:space="preserve">Хөдөө аж ахуйн зориулалтай 119,254,221 га талбай байгаагаас бэлчээрийн талбай 116,627,574 га /97%/, хадлангийн талбай 634,505 га /0,0005%/, тариалангийн талбай 1,171,512 га /0,009%/, атаршсан газар 238,832 га /0,002%/, хөдөө аж ахуйн барилга, байгууламжийн дэвсгэр газар 106,339 га, ашиглалт муутай газар 475,456 га /0,003%/ байна. </w:t>
      </w:r>
    </w:p>
    <w:p w14:paraId="7DAB750F" w14:textId="77777777" w:rsidR="00D70C0F" w:rsidRDefault="00A47591">
      <w:pPr>
        <w:pStyle w:val="NoSpacing"/>
        <w:spacing w:line="276" w:lineRule="auto"/>
        <w:ind w:firstLine="720"/>
        <w:jc w:val="both"/>
        <w:rPr>
          <w:rFonts w:cs="Arial"/>
          <w:szCs w:val="24"/>
          <w:lang w:val="mn-MN"/>
        </w:rPr>
      </w:pPr>
      <w:r>
        <w:rPr>
          <w:rFonts w:cs="Arial"/>
          <w:szCs w:val="24"/>
          <w:lang w:val="mn-MN"/>
        </w:rPr>
        <w:t xml:space="preserve">Газрын нэгдмэл сангийн 2021 оны улсын нэгдсэн тайланд дурдсанаар улсын хэмжээнд 80,033 га талбай бүхий өвөлжөө, хаваржааны газрыг 137,914 иргэн эзэмшиж байна. </w:t>
      </w:r>
    </w:p>
    <w:p w14:paraId="35B6AD19" w14:textId="77777777" w:rsidR="00D70C0F" w:rsidRDefault="00A47591">
      <w:pPr>
        <w:pStyle w:val="NoSpacing"/>
        <w:spacing w:line="276" w:lineRule="auto"/>
        <w:ind w:firstLine="720"/>
        <w:jc w:val="both"/>
        <w:rPr>
          <w:rFonts w:cs="Arial"/>
          <w:szCs w:val="24"/>
          <w:lang w:val="mn-MN"/>
        </w:rPr>
      </w:pPr>
      <w:r>
        <w:rPr>
          <w:rFonts w:cs="Arial"/>
          <w:szCs w:val="24"/>
          <w:lang w:val="mn-MN"/>
        </w:rPr>
        <w:t>Тариаланд ашиглаж буй нийт талбайн хөрсний 36.2 хувь нь элсэнцэр, 53.0 хувь нь хөнгөн шавранцар механик бүрэлдэхүүнтэй байна. Хөнгөн механик бүрэлдхүүнтэй хөрсөнд газар тариалангийн үйлдвэрлэл эрхлэхдээ хөрс хамгаалах технологийг иж бүрэн хэрэгжүүлээгүйгээс элэгдэж эвдрэлд тариалангийн газрын хөрсний ялзмаг агуулалт нийтдээ ядуу бөгөөд хөрсний элэгдэл эвдрэлд нэрвэгдсэнээр ялзмаг агуулалтынхаа 7.2-39.4 хувийг алдсан байна.</w:t>
      </w:r>
    </w:p>
    <w:p w14:paraId="3C1B5A3F" w14:textId="77777777" w:rsidR="00D70C0F" w:rsidRDefault="00A47591">
      <w:pPr>
        <w:pStyle w:val="NoSpacing"/>
        <w:spacing w:line="276" w:lineRule="auto"/>
        <w:ind w:firstLine="720"/>
        <w:jc w:val="both"/>
        <w:rPr>
          <w:rFonts w:cs="Arial"/>
          <w:szCs w:val="24"/>
          <w:lang w:val="mn-MN"/>
        </w:rPr>
      </w:pPr>
      <w:r>
        <w:rPr>
          <w:rFonts w:cs="Arial"/>
          <w:szCs w:val="24"/>
          <w:lang w:val="mn-MN"/>
        </w:rPr>
        <w:t>Бэлчээрийн мониторингийн 2016 оны мэдээллээр, мониторингийн бүх цэгийн 42 хувь нь төлөв байдлын хувьд “соргог” буюу “талхлагдаагүй”, 13,5 хувь нь сул, 21,1 хувь нь дунд зэрэг, 12,8 хувь хүчтэй талхлагдсан, харин 1,3 хувь нь сэргэлтгүй талхлагдсан бөгөөд тайлангийн суурь он буюу 2014 оныхтой харьцуулбал, бэлчээрийн талхлагдлын түвшин сүүлийн 2 жил өссөн дүнтэй, талхлагдаагүй болон сул талхлагдсан гэж ангилагдсан цэгийн тоо 10 хувь буурч, хүчтэй болон сэргэлтгүй талхлагдсан цэг 4,3-5,9 хувиар тус тус нэмэгдсэн гэж тогтоогджээ.</w:t>
      </w:r>
    </w:p>
    <w:p w14:paraId="0061E547" w14:textId="77777777" w:rsidR="00D70C0F" w:rsidRDefault="00A47591">
      <w:pPr>
        <w:pStyle w:val="NoSpacing"/>
        <w:spacing w:line="276" w:lineRule="auto"/>
        <w:ind w:firstLine="720"/>
        <w:jc w:val="both"/>
        <w:rPr>
          <w:rFonts w:cs="Arial"/>
          <w:szCs w:val="24"/>
          <w:lang w:val="mn-MN"/>
        </w:rPr>
      </w:pPr>
      <w:r>
        <w:rPr>
          <w:rFonts w:cs="Arial"/>
          <w:szCs w:val="24"/>
          <w:lang w:val="mn-MN"/>
        </w:rPr>
        <w:t xml:space="preserve">Орчин үед газрыг зохистой ашиглах асуудал хөдөө аж ахуйн газрын экологийн төлөв байдал, түүнтэй нягт холбоотой ашиглалт, хамгаалалт, үнэлгээний асуудал ихэнхдээ ургамлан нөмрөгийнх нь талхлагдал, хөрсөн </w:t>
      </w:r>
      <w:r>
        <w:rPr>
          <w:rFonts w:cs="Arial"/>
          <w:szCs w:val="24"/>
          <w:lang w:val="mn-MN"/>
        </w:rPr>
        <w:lastRenderedPageBreak/>
        <w:t xml:space="preserve">бүрхэвчийнх нь элэгдэл эвдрэл буюу газрын доройтлоор тодорхойлогдож байна. </w:t>
      </w:r>
    </w:p>
    <w:p w14:paraId="46A585B9" w14:textId="77777777" w:rsidR="00D70C0F" w:rsidRDefault="00A47591">
      <w:pPr>
        <w:pStyle w:val="NoSpacing"/>
        <w:spacing w:line="276" w:lineRule="auto"/>
        <w:ind w:firstLine="720"/>
        <w:jc w:val="both"/>
        <w:rPr>
          <w:rFonts w:eastAsia="DengXian" w:cs="Arial"/>
          <w:szCs w:val="24"/>
          <w:lang w:val="mn-MN" w:eastAsia="zh-CN"/>
        </w:rPr>
      </w:pPr>
      <w:r>
        <w:rPr>
          <w:rFonts w:cs="Arial"/>
          <w:szCs w:val="24"/>
          <w:lang w:val="mn-MN"/>
        </w:rPr>
        <w:t xml:space="preserve">2002 </w:t>
      </w:r>
      <w:r>
        <w:rPr>
          <w:rFonts w:eastAsia="DengXian" w:cs="Arial"/>
          <w:szCs w:val="24"/>
          <w:lang w:val="mn-MN" w:eastAsia="zh-CN"/>
        </w:rPr>
        <w:t xml:space="preserve">онд батлагдсан Газрын тухай хуулийн 29 дүгээр зүйлд “Иргэнд гэр бүлийнх нь хамтын хэрэгцээнд зориулан хувийн гэр, орон сууцны хашаа барих зориулалтаар 0,07 га-гаас илүүгүй, хүнсний ногоо, жимс, жимсгэнэ, таримал ургамал тарих зориулалтаар 0,1 га-гаас илүүгүй газар үнэ төлбөргүй эзэмшүүлж болно”, “Багийн иргэдийн нийтийн хурлын санал, сумын иргэдийн Төлөөлөгчдийн хурлын шийдвэрийг үндэслэн, тариалангийн газрыг газар тариалангийн салбарт олон жил тогтвортой ажилласан иргэнд гэр бүлийнх нь хамтын хэрэгцээнд зориулан Засгийн газраас тогтоосон журмын дагуу давуу эрхээр эзэмшүүлж болно. Нэг иргэнд давуу эрхээр эзэмшүүлэх тариалангийн газрын хэмжээ нь үр тарианы зориулалтаар 100 га хүртэл, төмс, хүнсний ногооны зориулалтаар 5 га хүртэл байна” гэж тус тус заасан байдаг. </w:t>
      </w:r>
    </w:p>
    <w:p w14:paraId="5707D523" w14:textId="77777777" w:rsidR="00D70C0F" w:rsidRDefault="00A47591">
      <w:pPr>
        <w:pStyle w:val="NoSpacing"/>
        <w:spacing w:line="276" w:lineRule="auto"/>
        <w:ind w:firstLine="720"/>
        <w:jc w:val="both"/>
        <w:rPr>
          <w:rFonts w:eastAsia="DengXian" w:cs="Arial"/>
          <w:szCs w:val="24"/>
          <w:lang w:val="mn-MN" w:eastAsia="zh-CN"/>
        </w:rPr>
      </w:pPr>
      <w:r>
        <w:rPr>
          <w:rFonts w:eastAsia="DengXian" w:cs="Arial"/>
          <w:szCs w:val="24"/>
          <w:lang w:val="mn-MN" w:eastAsia="zh-CN"/>
        </w:rPr>
        <w:t xml:space="preserve">Дээрх хуулийн заалтаас үзэхэд иргэнд төмс, хүнсний ногоо, таримал ургамалын зориулалтаар олгогдох газрын хэмжээ 0,1 га-гаас илүүгүй байх бөгөөд зөвхөн газар тариалангийн салбарт олон жил тогтвортой ажилласан иргэн 0,1 га-гаас илүү хэмжээгээр үнэ төлбөргүй газар эзэмших эрхтэй байна.  Өөрөөр хэлбэл иргэн газар тариалангийн салбарт олон жил тогтвортой ажиллагаагүй бол 0,1 га-гаас илүү хэмжээгээр газар үнэ төлбөргүй эзэмших эрхгүй юм. </w:t>
      </w:r>
    </w:p>
    <w:p w14:paraId="62887A27" w14:textId="77777777" w:rsidR="00D70C0F" w:rsidRDefault="00A47591">
      <w:pPr>
        <w:pStyle w:val="NoSpacing"/>
        <w:spacing w:line="276" w:lineRule="auto"/>
        <w:ind w:firstLine="720"/>
        <w:jc w:val="both"/>
        <w:rPr>
          <w:rFonts w:eastAsia="DengXian" w:cs="Arial"/>
          <w:szCs w:val="24"/>
          <w:lang w:val="mn-MN" w:eastAsia="zh-CN"/>
        </w:rPr>
      </w:pPr>
      <w:r>
        <w:rPr>
          <w:rFonts w:eastAsia="DengXian" w:cs="Arial"/>
          <w:szCs w:val="24"/>
          <w:lang w:val="mn-MN" w:eastAsia="zh-CN"/>
        </w:rPr>
        <w:t xml:space="preserve">Мөн Тариалангийн тухай хуулийн 5 дугаар зүйлийн 5.5 дах хэсэгт заасны дагуу атар газрыг тариалангийн зориулалтаар эзэмшүүлэх, ашиглуулахыг хориглосон тул сум, орон нутгийн иргэдэд төмс, хүнсний ногоо, таримал ургамал тарих зориулалтаар эзэмшүүлэх эрх зүйн зохицуулалт нь учир дутагдалтай байна. </w:t>
      </w:r>
    </w:p>
    <w:p w14:paraId="28C30D3A" w14:textId="77777777" w:rsidR="00D70C0F" w:rsidRDefault="00A47591">
      <w:pPr>
        <w:pStyle w:val="NoSpacing"/>
        <w:spacing w:line="276" w:lineRule="auto"/>
        <w:ind w:firstLine="720"/>
        <w:jc w:val="both"/>
        <w:rPr>
          <w:rFonts w:eastAsia="Calibri" w:cs="Arial"/>
          <w:szCs w:val="24"/>
          <w:lang w:val="mn-MN"/>
        </w:rPr>
      </w:pPr>
      <w:r>
        <w:rPr>
          <w:rFonts w:cs="Arial"/>
          <w:szCs w:val="24"/>
          <w:lang w:val="mn-MN"/>
        </w:rPr>
        <w:t xml:space="preserve">Хөдөө аж ахуйн газрын ашиглалт, хамгаалалтыг сайжруулах, бэлчээрийн доройтол, хүнсний аюулгүй байдал, хөдөө аж ахуйн үйлдвэрлэлийг нэмэгдүүлэх, иргэдийн амьдралын түвшинг сайжруулахын тулд энэхүү хуулийн төслийг боловсрууллаа.  </w:t>
      </w:r>
    </w:p>
    <w:p w14:paraId="5DDF227D" w14:textId="77777777" w:rsidR="00D70C0F" w:rsidRDefault="00A47591">
      <w:pPr>
        <w:pStyle w:val="NoSpacing"/>
        <w:spacing w:line="276" w:lineRule="auto"/>
        <w:ind w:firstLine="720"/>
        <w:jc w:val="both"/>
        <w:rPr>
          <w:rFonts w:eastAsia="Times New Roman" w:cs="Arial"/>
          <w:bCs/>
          <w:szCs w:val="24"/>
          <w:lang w:val="mn-MN"/>
        </w:rPr>
      </w:pPr>
      <w:r>
        <w:rPr>
          <w:rFonts w:cs="Arial"/>
          <w:color w:val="000000"/>
          <w:szCs w:val="24"/>
          <w:shd w:val="clear" w:color="auto" w:fill="F8FBFF"/>
          <w:lang w:val="mn-MN"/>
        </w:rPr>
        <w:t> </w:t>
      </w:r>
      <w:r>
        <w:rPr>
          <w:rFonts w:eastAsia="Times New Roman" w:cs="Arial"/>
          <w:bCs/>
          <w:szCs w:val="24"/>
          <w:lang w:val="mn-MN"/>
        </w:rPr>
        <w:t xml:space="preserve">Хуулийн төслийг Хууль тогтоомжийн тухай хуулийн 24 дүгээр зүйлд заасны дагуу боловсруулсан бөгөөд </w:t>
      </w:r>
      <w:r>
        <w:rPr>
          <w:rFonts w:cs="Arial"/>
          <w:color w:val="000000"/>
          <w:szCs w:val="24"/>
          <w:lang w:val="mn-MN"/>
        </w:rPr>
        <w:t xml:space="preserve">Өвөлжөө, хаваржааны газрын эзэмшигч нь өвөлжөө, хаваржааныхаа газраас 200 метрийн радиус дотор гэр бүлийн хэрэгцээнд зориулан төмс, хүнсний ногоо, жимс, жимсгэнэ, таримал ургамал тарих зориулалтаар 1 га хүртэлх газрыг үнэ төлбөргүй эзэмшиж болох зохицуулалтыг тусгалаа. </w:t>
      </w:r>
    </w:p>
    <w:p w14:paraId="543B0CFF" w14:textId="77777777" w:rsidR="00D70C0F" w:rsidRDefault="00D70C0F">
      <w:pPr>
        <w:pStyle w:val="NormalWeb"/>
        <w:shd w:val="clear" w:color="auto" w:fill="FFFFFF"/>
        <w:ind w:firstLine="720"/>
        <w:jc w:val="both"/>
        <w:rPr>
          <w:rFonts w:ascii="Arial" w:hAnsi="Arial" w:cs="Arial"/>
          <w:lang w:val="mn-MN"/>
        </w:rPr>
      </w:pPr>
    </w:p>
    <w:p w14:paraId="786E6894" w14:textId="77777777" w:rsidR="00D70C0F" w:rsidRDefault="00A47591">
      <w:pPr>
        <w:jc w:val="center"/>
        <w:rPr>
          <w:rFonts w:ascii="Arial" w:hAnsi="Arial" w:cs="Arial"/>
          <w:sz w:val="24"/>
          <w:szCs w:val="24"/>
          <w:lang w:val="mn-MN"/>
        </w:rPr>
      </w:pPr>
      <w:r>
        <w:rPr>
          <w:rFonts w:ascii="Arial" w:hAnsi="Arial" w:cs="Arial"/>
          <w:sz w:val="24"/>
          <w:szCs w:val="24"/>
          <w:lang w:val="mn-MN"/>
        </w:rPr>
        <w:t>---оОо---</w:t>
      </w:r>
    </w:p>
    <w:p w14:paraId="3EAEDCB8" w14:textId="77777777" w:rsidR="00D70C0F" w:rsidRDefault="00D70C0F">
      <w:pPr>
        <w:rPr>
          <w:rFonts w:ascii="Arial" w:hAnsi="Arial" w:cs="Arial"/>
          <w:sz w:val="24"/>
          <w:szCs w:val="24"/>
          <w:lang w:val="mn-MN"/>
        </w:rPr>
      </w:pPr>
    </w:p>
    <w:p w14:paraId="5556487F" w14:textId="77777777" w:rsidR="00D70C0F" w:rsidRDefault="00A47591">
      <w:pPr>
        <w:spacing w:after="160" w:line="259" w:lineRule="auto"/>
        <w:rPr>
          <w:rFonts w:ascii="Arial" w:hAnsi="Arial" w:cs="Arial"/>
          <w:sz w:val="24"/>
          <w:szCs w:val="24"/>
          <w:lang w:val="mn-MN"/>
        </w:rPr>
      </w:pPr>
      <w:r>
        <w:rPr>
          <w:rFonts w:ascii="Arial" w:hAnsi="Arial" w:cs="Arial"/>
          <w:sz w:val="24"/>
          <w:szCs w:val="24"/>
          <w:lang w:val="mn-MN"/>
        </w:rPr>
        <w:br w:type="page"/>
      </w:r>
    </w:p>
    <w:p w14:paraId="6F5A0E51" w14:textId="77777777" w:rsidR="00D70C0F" w:rsidRDefault="00D70C0F">
      <w:pPr>
        <w:spacing w:after="160" w:line="276" w:lineRule="auto"/>
        <w:rPr>
          <w:rFonts w:ascii="Arial" w:hAnsi="Arial" w:cs="Arial"/>
          <w:color w:val="000000" w:themeColor="text1"/>
          <w:sz w:val="24"/>
          <w:szCs w:val="24"/>
        </w:rPr>
      </w:pPr>
    </w:p>
    <w:sectPr w:rsidR="00D70C0F">
      <w:pgSz w:w="11906" w:h="16838"/>
      <w:pgMar w:top="1440" w:right="15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D1E50"/>
    <w:multiLevelType w:val="multilevel"/>
    <w:tmpl w:val="300D1E50"/>
    <w:lvl w:ilvl="0">
      <w:start w:val="1"/>
      <w:numFmt w:val="decimal"/>
      <w:lvlText w:val="%1."/>
      <w:lvlJc w:val="left"/>
      <w:pPr>
        <w:ind w:left="765" w:hanging="360"/>
      </w:pPr>
      <w:rPr>
        <w:rFonts w:eastAsiaTheme="minorEastAsia" w:hint="default"/>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7F232EEA"/>
    <w:multiLevelType w:val="multilevel"/>
    <w:tmpl w:val="7F232E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E0"/>
    <w:rsid w:val="00026493"/>
    <w:rsid w:val="000B0ABD"/>
    <w:rsid w:val="000C5D95"/>
    <w:rsid w:val="00111562"/>
    <w:rsid w:val="00116784"/>
    <w:rsid w:val="00181DD8"/>
    <w:rsid w:val="001B0F00"/>
    <w:rsid w:val="001B0F2F"/>
    <w:rsid w:val="001D3078"/>
    <w:rsid w:val="00217B83"/>
    <w:rsid w:val="002C04ED"/>
    <w:rsid w:val="004071A7"/>
    <w:rsid w:val="00416FF3"/>
    <w:rsid w:val="00423FE0"/>
    <w:rsid w:val="00426FF8"/>
    <w:rsid w:val="00523DBD"/>
    <w:rsid w:val="005A0352"/>
    <w:rsid w:val="006005D0"/>
    <w:rsid w:val="0065056C"/>
    <w:rsid w:val="0066072F"/>
    <w:rsid w:val="006E2A99"/>
    <w:rsid w:val="00730A60"/>
    <w:rsid w:val="00745C66"/>
    <w:rsid w:val="007503D3"/>
    <w:rsid w:val="007B5A94"/>
    <w:rsid w:val="007B6BF7"/>
    <w:rsid w:val="007B7A7C"/>
    <w:rsid w:val="00842BE9"/>
    <w:rsid w:val="008962EF"/>
    <w:rsid w:val="008B1A1A"/>
    <w:rsid w:val="008E3F4D"/>
    <w:rsid w:val="009124B4"/>
    <w:rsid w:val="00946835"/>
    <w:rsid w:val="009D6F15"/>
    <w:rsid w:val="00A060A7"/>
    <w:rsid w:val="00A47591"/>
    <w:rsid w:val="00A50584"/>
    <w:rsid w:val="00A65511"/>
    <w:rsid w:val="00A665B6"/>
    <w:rsid w:val="00A6662B"/>
    <w:rsid w:val="00A6789E"/>
    <w:rsid w:val="00A72101"/>
    <w:rsid w:val="00B01AA2"/>
    <w:rsid w:val="00B0782E"/>
    <w:rsid w:val="00C05659"/>
    <w:rsid w:val="00C0795B"/>
    <w:rsid w:val="00C07D77"/>
    <w:rsid w:val="00C36CE6"/>
    <w:rsid w:val="00C464EA"/>
    <w:rsid w:val="00CC4EC8"/>
    <w:rsid w:val="00CC5FA2"/>
    <w:rsid w:val="00CF2938"/>
    <w:rsid w:val="00D35545"/>
    <w:rsid w:val="00D70C0F"/>
    <w:rsid w:val="00D81CE4"/>
    <w:rsid w:val="00E11D69"/>
    <w:rsid w:val="00E37BA1"/>
    <w:rsid w:val="00F00C4D"/>
    <w:rsid w:val="00F64AA5"/>
    <w:rsid w:val="00F86DA8"/>
    <w:rsid w:val="12032E0B"/>
    <w:rsid w:val="3F89054A"/>
    <w:rsid w:val="41AA3C69"/>
    <w:rsid w:val="5DA1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E2AE7B"/>
  <w15:docId w15:val="{CC51304F-28A8-440B-867E-941D9446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nhideWhenUsed/>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style>
  <w:style w:type="character" w:customStyle="1" w:styleId="pull-right">
    <w:name w:val="pull-right"/>
    <w:basedOn w:val="DefaultParagraphFon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link w:val="ListParagraph"/>
    <w:uiPriority w:val="34"/>
    <w:qFormat/>
    <w:locked/>
    <w:rPr>
      <w:sz w:val="20"/>
      <w:szCs w:val="20"/>
    </w:rPr>
  </w:style>
  <w:style w:type="paragraph" w:styleId="NoSpacing">
    <w:name w:val="No Spacing"/>
    <w:uiPriority w:val="1"/>
    <w:qFormat/>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A517-55E1-4345-8FC5-D89E351A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undrakh</dc:creator>
  <cp:lastModifiedBy>Microsoft Office User</cp:lastModifiedBy>
  <cp:revision>2</cp:revision>
  <cp:lastPrinted>2022-06-15T03:24:00Z</cp:lastPrinted>
  <dcterms:created xsi:type="dcterms:W3CDTF">2022-11-18T09:05:00Z</dcterms:created>
  <dcterms:modified xsi:type="dcterms:W3CDTF">2022-11-18T09:05:00Z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2FE51CFCFAF644488640EF7C2E79C813</vt:lpwstr>
  </property>
</Properties>
</file>