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AA23E67" w14:textId="77777777" w:rsidR="00B62AB9" w:rsidRPr="0096797C" w:rsidRDefault="00B62AB9" w:rsidP="00B62AB9">
      <w:pPr>
        <w:ind w:firstLine="567"/>
        <w:jc w:val="center"/>
        <w:rPr>
          <w:rFonts w:ascii="Arial" w:hAnsi="Arial" w:cs="Arial"/>
          <w:color w:val="000000" w:themeColor="text1"/>
          <w:sz w:val="22"/>
          <w:lang w:val="mn-MN"/>
        </w:rPr>
      </w:pPr>
      <w:r w:rsidRPr="0096797C">
        <w:rPr>
          <w:rFonts w:ascii="Arial" w:hAnsi="Arial" w:cs="Arial"/>
          <w:b/>
          <w:color w:val="000000" w:themeColor="text1"/>
          <w:sz w:val="22"/>
          <w:lang w:val="mn-MN"/>
        </w:rPr>
        <w:t>АЖ АХУЙН НЭГЖИЙН ОРЛОГЫН АЛБАН ТАТВАРЫН ТУХАЙ ХУУЛЬД НЭМЭЛТ ОРУУЛАХ ТУХАЙ ХУУЛИЙН ТӨСЛИЙН ТАНИЛЦУУЛГА</w:t>
      </w:r>
    </w:p>
    <w:p w14:paraId="3D40F71F"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Аж ахуйн нэгжийн орлогын албан татварын тухай хуулийн 21.1.1-д Засгийн газар, нийслэл, Монгол Улсын Хөгжлийн банкны өрийн бичиг /бонд/-ийн төлбөр, хүү, анзыг албан татвараас чөлөөлсөн боловч аймгийн үнэт цаасны хүүгийн орлогод ийм чөлөөлөлт тусгагдаагүй байна.</w:t>
      </w:r>
    </w:p>
    <w:p w14:paraId="005523ED"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Өрийн удирдлагын тухай хуулийн 28¹ дүгээр зүйлээр аймаг, нийслэл үнэт цаас гаргах эрх зүйн үндэс, зөвшөөрөл, шалгуур, хяналтын тогтолцоо нэгэнт бүрдсэн. Тухайлбал, Засгийн газрын зөвшөөрөл, өрийн хязгаар, төсөв болон өрийн удирдлагын баримт бичигтэй нийцэх шаардлага тавигдана.</w:t>
      </w:r>
    </w:p>
    <w:p w14:paraId="5D4FEF65"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Иймд аймгийн үнэт цаасны хөрөнгө оруулалтын орчныг сайжруулах, орон нутгийн хөгжлийн төсөл, арга хэмжээг санхүүжүүлэх эх үүсвэрийг төрөлжүүлэх, хөрөнгө оруулагчдад татварын илүү таатай нөхцөл бүрдүүлэх зорилгоор Аж ахуйн нэгжийн орлогын албан татварын тухай хуульд нэмэлт оруулах шаардлага үүсэж байна.</w:t>
      </w:r>
    </w:p>
    <w:p w14:paraId="5E9FEDA7"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Засгийн газрын 2026 оны 07 дугаар сарын 08-ны өдрийн 28 дугаар хуралдааны санал, дүгнэлтийг тусган, ахуйн нэгжийн орлогын албан татварын тухай хуулийн 21 дүгээр зүйлийн 21.1.1 дэх заалтад нэмэлт оруулж, Өрийн удирдлагын тухай хуулийн 28¹ дүгээр зүйлд заасны дагуу үнэт цаас гаргасан, тухайн үнэт цаас гаргах зөвшөөрөл олгосон төсвийн жилийн төсвийн тухай хуульд улсын төсөвт орлого төвлөрүүлэхээр тусгасан аймгийн үнэт цаасны үндсэн төлбөр, хүү, анзыг албан татвараас чөлөөлөх зохицуулалтыг тусгахаар боловсруулсан.</w:t>
      </w:r>
    </w:p>
    <w:p w14:paraId="386D007A" w14:textId="77777777" w:rsidR="00B62AB9" w:rsidRPr="0096797C" w:rsidRDefault="00B62AB9" w:rsidP="00B62AB9">
      <w:pPr>
        <w:spacing w:after="0"/>
        <w:ind w:firstLine="567"/>
        <w:jc w:val="both"/>
        <w:rPr>
          <w:rFonts w:ascii="Arial" w:hAnsi="Arial" w:cs="Arial"/>
          <w:color w:val="000000" w:themeColor="text1"/>
          <w:sz w:val="22"/>
        </w:rPr>
      </w:pPr>
      <w:r w:rsidRPr="0096797C">
        <w:rPr>
          <w:rFonts w:ascii="Arial" w:hAnsi="Arial" w:cs="Arial"/>
          <w:color w:val="000000" w:themeColor="text1"/>
          <w:sz w:val="22"/>
        </w:rPr>
        <w:t>Аймгийн үнэт цаасны хөрөнгө оруулалтын татварын дараах өгөөж нэмэгдэх боломж бүрдэж, хөрөнгө оруулагчдын сонирхол, үнэт цаасны эрэлт өсөхөд эерэг нөлөө үзүүлж болзошгүй. Үүний үр дүнд аймаг хөгжлийн төсөл, хөтөлбөрөө санхүүжүүлэх эх үүсвэрийг төрөлжүүлэх боломж нэмэгдэнэ. Гэвч татварын чөлөөлөлт нь үнэт цаасны хүү буурах, хөрөнгө оруулалт нэмэгдэх, эсхүл санхүүжилтийн зардал заавал багасахыг баталгаажуулахгүй. Эдгээр үр дүн нь үнэт цаасны нөхцөл, зах зээлийн эрэлт, хөрөнгө оруулагчдын бүтэц, эрсдэлийн үнэлгээ болон орон нутгийн өрийн удирдлагын чанараас хамаарна.</w:t>
      </w:r>
    </w:p>
    <w:p w14:paraId="48B815DF" w14:textId="77777777" w:rsidR="00B62AB9" w:rsidRPr="0096797C" w:rsidRDefault="00B62AB9" w:rsidP="00B62AB9">
      <w:pPr>
        <w:spacing w:after="0"/>
        <w:ind w:firstLine="567"/>
        <w:jc w:val="both"/>
        <w:rPr>
          <w:rFonts w:ascii="Arial" w:hAnsi="Arial" w:cs="Arial"/>
          <w:color w:val="000000" w:themeColor="text1"/>
          <w:sz w:val="22"/>
        </w:rPr>
      </w:pPr>
      <w:r w:rsidRPr="0096797C">
        <w:rPr>
          <w:rFonts w:ascii="Arial" w:hAnsi="Arial" w:cs="Arial"/>
          <w:color w:val="000000" w:themeColor="text1"/>
          <w:sz w:val="22"/>
        </w:rPr>
        <w:t>Мөн хуулийн төсөл нь үнэт цаас гаргах зөвшөөрөл авах, өрийн хязгаар болон бусад хуульд заасан шалгуур, тайлагнал, мэдээллийн ил тод байдал, хяналт тавих шаардлагыг өөрчлөхгүй. Аймгийн үнэт цаасны төлбөрийг улсын төсвөөс баталгаатай төлөх зохицуулалт бий болгож байгаа хэрэг биш бөгөөд өрийн удирдлагын сахилга бат, төсвийн тогтвортой байдлыг хангах шаардлага хэвээр үйлчилнэ.</w:t>
      </w:r>
    </w:p>
    <w:p w14:paraId="592BE5C6" w14:textId="77777777" w:rsidR="00B62AB9" w:rsidRPr="0096797C" w:rsidRDefault="00B62AB9" w:rsidP="00B62AB9">
      <w:pPr>
        <w:ind w:firstLine="720"/>
        <w:jc w:val="both"/>
        <w:rPr>
          <w:rFonts w:ascii="Arial" w:hAnsi="Arial" w:cs="Arial"/>
          <w:color w:val="000000" w:themeColor="text1"/>
          <w:sz w:val="22"/>
          <w:lang w:val="mn-MN"/>
        </w:rPr>
      </w:pPr>
      <w:r w:rsidRPr="0096797C">
        <w:rPr>
          <w:rFonts w:ascii="Arial" w:hAnsi="Arial" w:cs="Arial"/>
          <w:color w:val="000000" w:themeColor="text1"/>
          <w:sz w:val="22"/>
          <w:lang w:val="mn-MN"/>
        </w:rPr>
        <w:t>үнэт цаасны үндсэн төлбөр, хүү, анзыг албан татвараас чөлөөлөх нь улсын төсөвт төвлөрөх татварын орлогыг бууруулах нөлөөтэй. Иймд хуулийн төслийн төсөвт үзүүлэх нөлөөллийг үнэт цаас гаргах боломжит хэмжээ, хүүгийн түвшин, арилжааны хэлбэр, хөрөнгө оруулагчдын бүтэц, татварын чөлөөлөлтгүй нөхцөлд тухайн орлогод ногдуулах татварын хувь хэмжээ зэрэг үзүүлэлтэд үндэслэн тооцох шаардлагатай. Түүнчлэн төсвийн орлогод үзүүлэх шууд нөлөөлөл болон орон нутгийн санхүүжилтийн боломж, хөрөнгийн зах зээлийн хөгжилд үзүүлэх боломжит үр нөлөөг хамтад нь үнэлэх нь зүйтэй.</w:t>
      </w:r>
    </w:p>
    <w:p w14:paraId="041ACE00" w14:textId="77777777" w:rsidR="00B62AB9" w:rsidRPr="0096797C" w:rsidRDefault="00B62AB9" w:rsidP="00B62AB9">
      <w:pPr>
        <w:ind w:firstLine="720"/>
        <w:jc w:val="both"/>
        <w:rPr>
          <w:rFonts w:ascii="Arial" w:hAnsi="Arial" w:cs="Arial"/>
          <w:color w:val="000000" w:themeColor="text1"/>
          <w:sz w:val="22"/>
          <w:lang w:val="mn-MN"/>
        </w:rPr>
      </w:pPr>
      <w:r w:rsidRPr="0096797C">
        <w:rPr>
          <w:rFonts w:ascii="Arial" w:hAnsi="Arial" w:cs="Arial"/>
          <w:color w:val="000000" w:themeColor="text1"/>
          <w:sz w:val="22"/>
          <w:lang w:val="mn-MN"/>
        </w:rPr>
        <w:t xml:space="preserve">Хуулийн төсөл батлагдсанаар аймгийн үнэт цаасны төлбөрийг төрөөс баталгаажуулах, эсхүл уг үнэт цаасыг эрсдэлгүй хөрөнгө оруулалт гэж үзэх эрх зүйн үндэс </w:t>
      </w:r>
      <w:r w:rsidRPr="0096797C">
        <w:rPr>
          <w:rFonts w:ascii="Arial" w:hAnsi="Arial" w:cs="Arial"/>
          <w:color w:val="000000" w:themeColor="text1"/>
          <w:sz w:val="22"/>
          <w:lang w:val="mn-MN"/>
        </w:rPr>
        <w:lastRenderedPageBreak/>
        <w:t>бий болохгүй. Өрийн удирдлагын тухай хуулийн 28¹ дүгээр зүйлийн 28¹.8-д заасны дагуу аймаг, нийслэлийн үнэт цаасны төлбөрийг улсын төсвийн шилжүүлэг болон дэмжлэгээр төлөхийг хориглосон зохицуулалт хэвээр үйлчилнэ. Иймд үнэт цаасны үндсэн төлбөр, хүү, анзын төлбөрийг хариуцах үүрэг нь холбогдох хууль тогтоомж, үнэт цаас гаргах нөхцөлийн дагуу үнэт цаас гаргагч аймагт хамаарах бөгөөд хөрөнгө оруулагч нь хөрөнгө оруулалтын шийдвэр гаргахдаа тухайн аймгийн санхүүгийн чадавх, өрийн эргэн төлөлтийн эрсдэлийг харгалзан үзэх шаардлагатай.</w:t>
      </w:r>
    </w:p>
    <w:p w14:paraId="135D8D26"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Татварын чөлөөлөлт шинээр бий болгох тул төсвийн нөлөөллийг бодит гаргалгааны хэмжээ, хүү, арилжааны хэлбэр, хөрөнгө оруулагчдын бүтэц болон чөлөөлөлтгүй үед хэрэглэх татварын хувь хэмжээнд үндэслэн тооцох шаардлагатай.</w:t>
      </w:r>
    </w:p>
    <w:p w14:paraId="06FCB8A9" w14:textId="77777777" w:rsidR="00B62AB9" w:rsidRPr="0096797C" w:rsidRDefault="00B62AB9" w:rsidP="00B62AB9">
      <w:pPr>
        <w:spacing w:after="0"/>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t>Хуулийг 2027 оны 01 дүгээр сарын 01-ний өдрөөс эхлэн дагаж мөрдөнө.</w:t>
      </w:r>
    </w:p>
    <w:p w14:paraId="2844D44F" w14:textId="77777777" w:rsidR="00B62AB9" w:rsidRPr="0096797C" w:rsidRDefault="00B62AB9" w:rsidP="00B62AB9">
      <w:pPr>
        <w:spacing w:after="0"/>
        <w:ind w:firstLine="567"/>
        <w:jc w:val="both"/>
        <w:rPr>
          <w:rFonts w:ascii="Arial" w:hAnsi="Arial" w:cs="Arial"/>
          <w:color w:val="000000" w:themeColor="text1"/>
          <w:sz w:val="22"/>
          <w:lang w:val="mn-MN"/>
        </w:rPr>
      </w:pPr>
    </w:p>
    <w:p w14:paraId="739194EA" w14:textId="77777777" w:rsidR="00B62AB9" w:rsidRPr="0096797C" w:rsidRDefault="00B62AB9" w:rsidP="00B62AB9">
      <w:pPr>
        <w:spacing w:after="0"/>
        <w:ind w:firstLine="567"/>
        <w:jc w:val="both"/>
        <w:rPr>
          <w:rFonts w:ascii="Arial" w:hAnsi="Arial" w:cs="Arial"/>
          <w:color w:val="000000" w:themeColor="text1"/>
          <w:sz w:val="22"/>
          <w:lang w:val="mn-MN"/>
        </w:rPr>
      </w:pPr>
    </w:p>
    <w:p w14:paraId="330ADA62" w14:textId="77777777" w:rsidR="00B62AB9" w:rsidRPr="0096797C" w:rsidRDefault="00B62AB9" w:rsidP="00B62AB9">
      <w:pPr>
        <w:spacing w:after="0"/>
        <w:ind w:firstLine="567"/>
        <w:jc w:val="both"/>
        <w:rPr>
          <w:rFonts w:ascii="Arial" w:hAnsi="Arial" w:cs="Arial"/>
          <w:color w:val="000000" w:themeColor="text1"/>
          <w:sz w:val="22"/>
          <w:lang w:val="mn-MN"/>
        </w:rPr>
      </w:pPr>
    </w:p>
    <w:p w14:paraId="4268A15E" w14:textId="77777777" w:rsidR="00B62AB9" w:rsidRPr="0096797C" w:rsidRDefault="00B62AB9" w:rsidP="00B62AB9">
      <w:pPr>
        <w:spacing w:after="0"/>
        <w:ind w:firstLine="567"/>
        <w:jc w:val="center"/>
        <w:rPr>
          <w:rFonts w:ascii="Arial" w:hAnsi="Arial" w:cs="Arial"/>
          <w:color w:val="000000" w:themeColor="text1"/>
          <w:sz w:val="22"/>
          <w:lang w:val="mn-MN"/>
        </w:rPr>
      </w:pPr>
    </w:p>
    <w:p w14:paraId="43035CBA" w14:textId="77777777" w:rsidR="00B62AB9" w:rsidRPr="0096797C" w:rsidRDefault="00B62AB9" w:rsidP="00B62AB9">
      <w:pPr>
        <w:ind w:firstLine="567"/>
        <w:jc w:val="center"/>
        <w:rPr>
          <w:rFonts w:ascii="Arial" w:hAnsi="Arial" w:cs="Arial"/>
          <w:color w:val="000000" w:themeColor="text1"/>
          <w:sz w:val="22"/>
          <w:lang w:val="mn-MN"/>
        </w:rPr>
      </w:pPr>
      <w:r w:rsidRPr="0096797C">
        <w:rPr>
          <w:rFonts w:ascii="Arial" w:hAnsi="Arial" w:cs="Arial"/>
          <w:b/>
          <w:color w:val="000000" w:themeColor="text1"/>
          <w:sz w:val="22"/>
          <w:lang w:val="mn-MN"/>
        </w:rPr>
        <w:t>ХУУЛЬ САНААЧЛАГЧ</w:t>
      </w:r>
    </w:p>
    <w:p w14:paraId="730933A5" w14:textId="77777777" w:rsidR="00B62AB9" w:rsidRPr="0096797C" w:rsidRDefault="00B62AB9" w:rsidP="00B62AB9">
      <w:pPr>
        <w:ind w:firstLine="567"/>
        <w:jc w:val="both"/>
        <w:rPr>
          <w:rFonts w:ascii="Arial" w:hAnsi="Arial" w:cs="Arial"/>
          <w:color w:val="000000" w:themeColor="text1"/>
          <w:sz w:val="22"/>
          <w:lang w:val="mn-MN"/>
        </w:rPr>
      </w:pPr>
      <w:r w:rsidRPr="0096797C">
        <w:rPr>
          <w:rFonts w:ascii="Arial" w:hAnsi="Arial" w:cs="Arial"/>
          <w:color w:val="000000" w:themeColor="text1"/>
          <w:sz w:val="22"/>
          <w:lang w:val="mn-MN"/>
        </w:rPr>
        <w:br w:type="page"/>
      </w:r>
    </w:p>
    <w:p w14:paraId="16D661E4" w14:textId="77777777" w:rsidR="00B435B3" w:rsidRDefault="00B435B3"/>
    <w:sectPr w:rsidR="00B435B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AB9"/>
    <w:rsid w:val="003E6615"/>
    <w:rsid w:val="00782283"/>
    <w:rsid w:val="00950B97"/>
    <w:rsid w:val="009F1FE0"/>
    <w:rsid w:val="00B435B3"/>
    <w:rsid w:val="00B62AB9"/>
    <w:rsid w:val="00CC2BCD"/>
    <w:rsid w:val="00DF4867"/>
    <w:rsid w:val="00EB75D6"/>
  </w:rsids>
  <m:mathPr>
    <m:mathFont m:val="Cambria Math"/>
    <m:brkBin m:val="before"/>
    <m:brkBinSub m:val="--"/>
    <m:smallFrac m:val="0"/>
    <m:dispDef/>
    <m:lMargin m:val="0"/>
    <m:rMargin m:val="0"/>
    <m:defJc m:val="centerGroup"/>
    <m:wrapIndent m:val="1440"/>
    <m:intLim m:val="subSup"/>
    <m:naryLim m:val="undOvr"/>
  </m:mathPr>
  <w:themeFontLang w:val="en-MN"/>
  <w:clrSchemeMapping w:bg1="light1" w:t1="dark1" w:bg2="light2" w:t2="dark2" w:accent1="accent1" w:accent2="accent2" w:accent3="accent3" w:accent4="accent4" w:accent5="accent5" w:accent6="accent6" w:hyperlink="hyperlink" w:followedHyperlink="followedHyperlink"/>
  <w:decimalSymbol w:val="."/>
  <w:listSeparator w:val=","/>
  <w14:docId w14:val="2E154111"/>
  <w15:chartTrackingRefBased/>
  <w15:docId w15:val="{90B7CE1A-C5F5-354F-9432-A0B7E920F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M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2AB9"/>
    <w:pPr>
      <w:spacing w:after="200" w:line="276" w:lineRule="auto"/>
    </w:pPr>
    <w:rPr>
      <w:rFonts w:ascii="Times New Roman" w:eastAsia="Times New Roman" w:hAnsi="Times New Roman"/>
      <w:kern w:val="0"/>
      <w:szCs w:val="22"/>
      <w:lang w:val="en-US"/>
      <w14:ligatures w14:val="none"/>
    </w:rPr>
  </w:style>
  <w:style w:type="paragraph" w:styleId="Heading1">
    <w:name w:val="heading 1"/>
    <w:basedOn w:val="Normal"/>
    <w:next w:val="Normal"/>
    <w:link w:val="Heading1Char"/>
    <w:uiPriority w:val="9"/>
    <w:qFormat/>
    <w:rsid w:val="00B62AB9"/>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MN"/>
      <w14:ligatures w14:val="standardContextual"/>
    </w:rPr>
  </w:style>
  <w:style w:type="paragraph" w:styleId="Heading2">
    <w:name w:val="heading 2"/>
    <w:basedOn w:val="Normal"/>
    <w:next w:val="Normal"/>
    <w:link w:val="Heading2Char"/>
    <w:uiPriority w:val="9"/>
    <w:semiHidden/>
    <w:unhideWhenUsed/>
    <w:qFormat/>
    <w:rsid w:val="00B62AB9"/>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MN"/>
      <w14:ligatures w14:val="standardContextual"/>
    </w:rPr>
  </w:style>
  <w:style w:type="paragraph" w:styleId="Heading3">
    <w:name w:val="heading 3"/>
    <w:basedOn w:val="Normal"/>
    <w:next w:val="Normal"/>
    <w:link w:val="Heading3Char"/>
    <w:uiPriority w:val="9"/>
    <w:semiHidden/>
    <w:unhideWhenUsed/>
    <w:qFormat/>
    <w:rsid w:val="00B62AB9"/>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MN"/>
      <w14:ligatures w14:val="standardContextual"/>
    </w:rPr>
  </w:style>
  <w:style w:type="paragraph" w:styleId="Heading4">
    <w:name w:val="heading 4"/>
    <w:basedOn w:val="Normal"/>
    <w:next w:val="Normal"/>
    <w:link w:val="Heading4Char"/>
    <w:uiPriority w:val="9"/>
    <w:semiHidden/>
    <w:unhideWhenUsed/>
    <w:qFormat/>
    <w:rsid w:val="00B62AB9"/>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lang w:val="en-MN"/>
      <w14:ligatures w14:val="standardContextual"/>
    </w:rPr>
  </w:style>
  <w:style w:type="paragraph" w:styleId="Heading5">
    <w:name w:val="heading 5"/>
    <w:basedOn w:val="Normal"/>
    <w:next w:val="Normal"/>
    <w:link w:val="Heading5Char"/>
    <w:uiPriority w:val="9"/>
    <w:semiHidden/>
    <w:unhideWhenUsed/>
    <w:qFormat/>
    <w:rsid w:val="00B62AB9"/>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lang w:val="en-MN"/>
      <w14:ligatures w14:val="standardContextual"/>
    </w:rPr>
  </w:style>
  <w:style w:type="paragraph" w:styleId="Heading6">
    <w:name w:val="heading 6"/>
    <w:basedOn w:val="Normal"/>
    <w:next w:val="Normal"/>
    <w:link w:val="Heading6Char"/>
    <w:uiPriority w:val="9"/>
    <w:semiHidden/>
    <w:unhideWhenUsed/>
    <w:qFormat/>
    <w:rsid w:val="00B62AB9"/>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lang w:val="en-MN"/>
      <w14:ligatures w14:val="standardContextual"/>
    </w:rPr>
  </w:style>
  <w:style w:type="paragraph" w:styleId="Heading7">
    <w:name w:val="heading 7"/>
    <w:basedOn w:val="Normal"/>
    <w:next w:val="Normal"/>
    <w:link w:val="Heading7Char"/>
    <w:uiPriority w:val="9"/>
    <w:semiHidden/>
    <w:unhideWhenUsed/>
    <w:qFormat/>
    <w:rsid w:val="00B62AB9"/>
    <w:pPr>
      <w:keepNext/>
      <w:keepLines/>
      <w:spacing w:before="40" w:after="0" w:line="278" w:lineRule="auto"/>
      <w:outlineLvl w:val="6"/>
    </w:pPr>
    <w:rPr>
      <w:rFonts w:asciiTheme="minorHAnsi" w:eastAsiaTheme="majorEastAsia" w:hAnsiTheme="minorHAnsi" w:cstheme="majorBidi"/>
      <w:color w:val="595959" w:themeColor="text1" w:themeTint="A6"/>
      <w:kern w:val="2"/>
      <w:szCs w:val="24"/>
      <w:lang w:val="en-MN"/>
      <w14:ligatures w14:val="standardContextual"/>
    </w:rPr>
  </w:style>
  <w:style w:type="paragraph" w:styleId="Heading8">
    <w:name w:val="heading 8"/>
    <w:basedOn w:val="Normal"/>
    <w:next w:val="Normal"/>
    <w:link w:val="Heading8Char"/>
    <w:uiPriority w:val="9"/>
    <w:semiHidden/>
    <w:unhideWhenUsed/>
    <w:qFormat/>
    <w:rsid w:val="00B62AB9"/>
    <w:pPr>
      <w:keepNext/>
      <w:keepLines/>
      <w:spacing w:after="0" w:line="278" w:lineRule="auto"/>
      <w:outlineLvl w:val="7"/>
    </w:pPr>
    <w:rPr>
      <w:rFonts w:asciiTheme="minorHAnsi" w:eastAsiaTheme="majorEastAsia" w:hAnsiTheme="minorHAnsi" w:cstheme="majorBidi"/>
      <w:i/>
      <w:iCs/>
      <w:color w:val="272727" w:themeColor="text1" w:themeTint="D8"/>
      <w:kern w:val="2"/>
      <w:szCs w:val="24"/>
      <w:lang w:val="en-MN"/>
      <w14:ligatures w14:val="standardContextual"/>
    </w:rPr>
  </w:style>
  <w:style w:type="paragraph" w:styleId="Heading9">
    <w:name w:val="heading 9"/>
    <w:basedOn w:val="Normal"/>
    <w:next w:val="Normal"/>
    <w:link w:val="Heading9Char"/>
    <w:uiPriority w:val="9"/>
    <w:semiHidden/>
    <w:unhideWhenUsed/>
    <w:qFormat/>
    <w:rsid w:val="00B62AB9"/>
    <w:pPr>
      <w:keepNext/>
      <w:keepLines/>
      <w:spacing w:after="0" w:line="278" w:lineRule="auto"/>
      <w:outlineLvl w:val="8"/>
    </w:pPr>
    <w:rPr>
      <w:rFonts w:asciiTheme="minorHAnsi" w:eastAsiaTheme="majorEastAsia" w:hAnsiTheme="minorHAnsi" w:cstheme="majorBidi"/>
      <w:color w:val="272727" w:themeColor="text1" w:themeTint="D8"/>
      <w:kern w:val="2"/>
      <w:szCs w:val="24"/>
      <w:lang w:val="en-M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A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2A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2A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2A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2A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2A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2A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2A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2AB9"/>
    <w:rPr>
      <w:rFonts w:eastAsiaTheme="majorEastAsia" w:cstheme="majorBidi"/>
      <w:color w:val="272727" w:themeColor="text1" w:themeTint="D8"/>
    </w:rPr>
  </w:style>
  <w:style w:type="paragraph" w:styleId="Title">
    <w:name w:val="Title"/>
    <w:basedOn w:val="Normal"/>
    <w:next w:val="Normal"/>
    <w:link w:val="TitleChar"/>
    <w:uiPriority w:val="10"/>
    <w:qFormat/>
    <w:rsid w:val="00B62AB9"/>
    <w:pPr>
      <w:spacing w:after="80" w:line="240" w:lineRule="auto"/>
      <w:contextualSpacing/>
    </w:pPr>
    <w:rPr>
      <w:rFonts w:asciiTheme="majorHAnsi" w:eastAsiaTheme="majorEastAsia" w:hAnsiTheme="majorHAnsi" w:cstheme="majorBidi"/>
      <w:spacing w:val="-10"/>
      <w:kern w:val="28"/>
      <w:sz w:val="56"/>
      <w:szCs w:val="56"/>
      <w:lang w:val="en-MN"/>
      <w14:ligatures w14:val="standardContextual"/>
    </w:rPr>
  </w:style>
  <w:style w:type="character" w:customStyle="1" w:styleId="TitleChar">
    <w:name w:val="Title Char"/>
    <w:basedOn w:val="DefaultParagraphFont"/>
    <w:link w:val="Title"/>
    <w:uiPriority w:val="10"/>
    <w:rsid w:val="00B62A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2AB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MN"/>
      <w14:ligatures w14:val="standardContextual"/>
    </w:rPr>
  </w:style>
  <w:style w:type="character" w:customStyle="1" w:styleId="SubtitleChar">
    <w:name w:val="Subtitle Char"/>
    <w:basedOn w:val="DefaultParagraphFont"/>
    <w:link w:val="Subtitle"/>
    <w:uiPriority w:val="11"/>
    <w:rsid w:val="00B62A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2AB9"/>
    <w:pPr>
      <w:spacing w:before="160" w:after="160" w:line="278" w:lineRule="auto"/>
      <w:jc w:val="center"/>
    </w:pPr>
    <w:rPr>
      <w:rFonts w:asciiTheme="minorHAnsi" w:eastAsiaTheme="minorHAnsi" w:hAnsiTheme="minorHAnsi"/>
      <w:i/>
      <w:iCs/>
      <w:color w:val="404040" w:themeColor="text1" w:themeTint="BF"/>
      <w:kern w:val="2"/>
      <w:szCs w:val="24"/>
      <w:lang w:val="en-MN"/>
      <w14:ligatures w14:val="standardContextual"/>
    </w:rPr>
  </w:style>
  <w:style w:type="character" w:customStyle="1" w:styleId="QuoteChar">
    <w:name w:val="Quote Char"/>
    <w:basedOn w:val="DefaultParagraphFont"/>
    <w:link w:val="Quote"/>
    <w:uiPriority w:val="29"/>
    <w:rsid w:val="00B62AB9"/>
    <w:rPr>
      <w:i/>
      <w:iCs/>
      <w:color w:val="404040" w:themeColor="text1" w:themeTint="BF"/>
    </w:rPr>
  </w:style>
  <w:style w:type="paragraph" w:styleId="ListParagraph">
    <w:name w:val="List Paragraph"/>
    <w:basedOn w:val="Normal"/>
    <w:uiPriority w:val="34"/>
    <w:qFormat/>
    <w:rsid w:val="00B62AB9"/>
    <w:pPr>
      <w:spacing w:after="160" w:line="278" w:lineRule="auto"/>
      <w:ind w:left="720"/>
      <w:contextualSpacing/>
    </w:pPr>
    <w:rPr>
      <w:rFonts w:asciiTheme="minorHAnsi" w:eastAsiaTheme="minorHAnsi" w:hAnsiTheme="minorHAnsi"/>
      <w:kern w:val="2"/>
      <w:szCs w:val="24"/>
      <w:lang w:val="en-MN"/>
      <w14:ligatures w14:val="standardContextual"/>
    </w:rPr>
  </w:style>
  <w:style w:type="character" w:styleId="IntenseEmphasis">
    <w:name w:val="Intense Emphasis"/>
    <w:basedOn w:val="DefaultParagraphFont"/>
    <w:uiPriority w:val="21"/>
    <w:qFormat/>
    <w:rsid w:val="00B62AB9"/>
    <w:rPr>
      <w:i/>
      <w:iCs/>
      <w:color w:val="0F4761" w:themeColor="accent1" w:themeShade="BF"/>
    </w:rPr>
  </w:style>
  <w:style w:type="paragraph" w:styleId="IntenseQuote">
    <w:name w:val="Intense Quote"/>
    <w:basedOn w:val="Normal"/>
    <w:next w:val="Normal"/>
    <w:link w:val="IntenseQuoteChar"/>
    <w:uiPriority w:val="30"/>
    <w:qFormat/>
    <w:rsid w:val="00B62AB9"/>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i/>
      <w:iCs/>
      <w:color w:val="0F4761" w:themeColor="accent1" w:themeShade="BF"/>
      <w:kern w:val="2"/>
      <w:szCs w:val="24"/>
      <w:lang w:val="en-MN"/>
      <w14:ligatures w14:val="standardContextual"/>
    </w:rPr>
  </w:style>
  <w:style w:type="character" w:customStyle="1" w:styleId="IntenseQuoteChar">
    <w:name w:val="Intense Quote Char"/>
    <w:basedOn w:val="DefaultParagraphFont"/>
    <w:link w:val="IntenseQuote"/>
    <w:uiPriority w:val="30"/>
    <w:rsid w:val="00B62AB9"/>
    <w:rPr>
      <w:i/>
      <w:iCs/>
      <w:color w:val="0F4761" w:themeColor="accent1" w:themeShade="BF"/>
    </w:rPr>
  </w:style>
  <w:style w:type="character" w:styleId="IntenseReference">
    <w:name w:val="Intense Reference"/>
    <w:basedOn w:val="DefaultParagraphFont"/>
    <w:uiPriority w:val="32"/>
    <w:qFormat/>
    <w:rsid w:val="00B62AB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530</Words>
  <Characters>3442</Characters>
  <Application>Microsoft Office Word</Application>
  <DocSecurity>0</DocSecurity>
  <Lines>107</Lines>
  <Paragraphs>53</Paragraphs>
  <ScaleCrop>false</ScaleCrop>
  <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Энхжин Ундрах</dc:creator>
  <cp:keywords/>
  <dc:description/>
  <cp:lastModifiedBy>Энхжин Ундрах</cp:lastModifiedBy>
  <cp:revision>1</cp:revision>
  <dcterms:created xsi:type="dcterms:W3CDTF">2026-10-28T06:08:00Z</dcterms:created>
  <dcterms:modified xsi:type="dcterms:W3CDTF">2026-10-28T06:08:00Z</dcterms:modified>
</cp:coreProperties>
</file>