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D64E2" w14:textId="78793E83" w:rsidR="00867BC6" w:rsidRDefault="00A9272A" w:rsidP="00355593">
      <w:pPr>
        <w:spacing w:after="120" w:line="276" w:lineRule="auto"/>
        <w:ind w:firstLine="0"/>
        <w:jc w:val="center"/>
        <w:rPr>
          <w:rFonts w:ascii="Arial" w:hAnsi="Arial" w:cs="Arial"/>
          <w:b/>
          <w:sz w:val="24"/>
          <w:szCs w:val="24"/>
        </w:rPr>
      </w:pPr>
      <w:r w:rsidRPr="00355593">
        <w:rPr>
          <w:rFonts w:ascii="Arial" w:hAnsi="Arial" w:cs="Arial"/>
          <w:b/>
          <w:sz w:val="24"/>
          <w:szCs w:val="24"/>
        </w:rPr>
        <w:t>НИЙГМИЙН ДААТГАЛЫН ЕРӨНХИЙ ХУУЛЬД НЭМЭЛТ ОРУУЛАХ ТУХАЙ</w:t>
      </w:r>
      <w:r w:rsidR="00683CB5">
        <w:rPr>
          <w:rFonts w:ascii="Arial" w:hAnsi="Arial" w:cs="Arial"/>
          <w:b/>
          <w:sz w:val="24"/>
          <w:szCs w:val="24"/>
        </w:rPr>
        <w:t xml:space="preserve"> </w:t>
      </w:r>
      <w:r w:rsidRPr="00355593">
        <w:rPr>
          <w:rFonts w:ascii="Arial" w:hAnsi="Arial" w:cs="Arial"/>
          <w:b/>
          <w:sz w:val="24"/>
          <w:szCs w:val="24"/>
        </w:rPr>
        <w:t>ХУУЛИЙН ТӨСЛИЙГ БОЛОВСРУУЛАХ ХЭРЭГЦЭЭ, ШААРДЛАГЫГ</w:t>
      </w:r>
      <w:r w:rsidRPr="00355593">
        <w:rPr>
          <w:rFonts w:ascii="Arial" w:hAnsi="Arial" w:cs="Arial"/>
          <w:b/>
          <w:sz w:val="24"/>
          <w:szCs w:val="24"/>
        </w:rPr>
        <w:br/>
        <w:t>УРЬДЧИЛАН ТАНДАН СУДАЛСАН ҮНЭЛГЭЭНИЙ ТАЙЛАН</w:t>
      </w:r>
    </w:p>
    <w:p w14:paraId="7A459F6D" w14:textId="77777777" w:rsidR="00F335F0" w:rsidRPr="00355593" w:rsidRDefault="00F335F0" w:rsidP="00355593">
      <w:pPr>
        <w:spacing w:after="120" w:line="276" w:lineRule="auto"/>
        <w:ind w:firstLine="0"/>
        <w:jc w:val="center"/>
        <w:rPr>
          <w:rFonts w:ascii="Arial" w:hAnsi="Arial" w:cs="Arial"/>
          <w:sz w:val="24"/>
          <w:szCs w:val="24"/>
        </w:rPr>
      </w:pPr>
    </w:p>
    <w:p w14:paraId="48940725"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ЕРӨНХИЙ МЭДЭЭЛЭЛ</w:t>
      </w:r>
    </w:p>
    <w:p w14:paraId="71E2F67F"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Хөдөлмөрийн чадвар алдалтын хувь, хугацаа, шалтгааныг тогтоох, сунгах эрүүл мэндийн магадлал нь даатгуулагчийн тэтгэвэр, тэтгэмж авах эрх болон хөгжлийн бэрхшээлтэй хүний нийгмийн хамгаалал, үйлчилгээ авах боломжтой шууд холбоотой төрийн үйлчилгээ юм. Ийм үйлчилгээ нь мэргэжлийн үндэслэлтэй, нотолгоонд суурилсан байхын зэрэгцээ иргэний оршин суугаа газар, хөдөлгөөний боломж, эрүүл мэндийн нөхцөлөөс үл хамааран бодитоор хүртээмжтэй байх шаардлагатай.</w:t>
      </w:r>
    </w:p>
    <w:p w14:paraId="2B176118"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Аймгийн төвөөс алслагдсан, хүн амын төвлөрөл бүхий сум, тосгон, суурин газарт оршин суугаа иргэн хөдөлмөрийн чадвар алдалтын хувь, хугацаа, шалтгааныг тогтоолгох, сунгуулахын тулд аймгийн төвд биечлэн зорчих шаардлага үүсэх нь зам, тээвэр, байр, хоол, дагалдан явагчийн зардал, цаг хугацааны алдагдал, эрүүл мэндийн нэмэлт хүндрэл бий болгодог. Иймээс одоо байгаа эрүүл мэндийн магадлалын тогтолцоог хадгалан, үйлчилгээ хүргэх хэлбэрийг орон нутагт ойртуулж, баримт бичиг болон цахим мэдээлэлд үндэслэн шийдвэрлэх боломжийг хуульчлах хэрэгцээ үүсэж байна.</w:t>
      </w:r>
    </w:p>
    <w:p w14:paraId="2248520A" w14:textId="77777777" w:rsidR="001D33F7" w:rsidRDefault="001D33F7" w:rsidP="001D33F7">
      <w:pPr>
        <w:spacing w:after="0" w:line="240" w:lineRule="auto"/>
        <w:ind w:firstLine="0"/>
        <w:jc w:val="both"/>
        <w:rPr>
          <w:rFonts w:ascii="Arial" w:hAnsi="Arial" w:cs="Arial"/>
          <w:b/>
          <w:sz w:val="24"/>
          <w:szCs w:val="24"/>
        </w:rPr>
      </w:pPr>
    </w:p>
    <w:p w14:paraId="3AF4B268" w14:textId="3C6FA63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НЭГ. АСУУДАЛД ДҮН ШИНЖИЛГЭЭ ХИЙСЭН БАЙДАЛ</w:t>
      </w:r>
    </w:p>
    <w:p w14:paraId="586D0DB5"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1.1. Асуудлын мөн чанар, цар хүрээг тодорхойлсон байдал</w:t>
      </w:r>
    </w:p>
    <w:p w14:paraId="6AB3AEFE"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Одоогийн зохицуулалтаар хөдөлмөрийн чадвар алдалтын хувь, хугацаа, шалтгааныг тогтоох, сунгах ажиллагааг эрүүл мэндийн магадлалын тогтолцоогоор шийдвэрлэж байгаа боловч аймгийн төвөөс алслагдсан, хүн амын төвлөрөл бүхий нутаг дэвсгэрт үйлчилгээг оршин суугаа газарт нь ойртуулан зохион байгуулах, тухайн нутаг дэвсгэрийн эрүүл мэндийн байгууллагад түшиглэх, иргэнийг аймгийн төвд заавал биечлэн ирүүлэхгүйгээр баримт бичиг, эрүүл мэндийн мэдээлэл болон цахим хэлбэрээр магадлан шийдвэрлэх тусгай зохицуулалт хангалттай тодорхой бус байна.</w:t>
      </w:r>
    </w:p>
    <w:p w14:paraId="0A4D491A"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Асуудлын гол агуулга нь эрүүл мэндийн магадлалын мэргэжлийн шалгуурыг сулруулахад бус, харин иргэн хаана оршин сууж байгаагаас шалтгаалан үйлчилгээ авахад үүсэж буй газар зүйн болон зохион байгуулалтын саадыг бууруулахад оршино. Ялангуяа хөгжлийн бэрхшээлтэй, хөдөлгөөний хязгаарлалттай, байнгын асаргаа шаардлагатай, эрүүл мэндийн хувьд эмзэг иргэдийн хувьд хол замд зорчих шаардлага нь үйлчилгээний бодит хүртээмжийг бууруулж байна.</w:t>
      </w:r>
    </w:p>
    <w:p w14:paraId="51FA2377"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Мэдээллийн технологи, эрүүл мэндийн цахим мэдээлэл, оношилгоо, шинжилгээний мэдээлэл солилцох боломжийг ашигласнаар баримт бичиг хангалттай тохиолдолд зайнаас магадлах, шаардлагатай үед зайн үзлэг хийх, Эрүүл мэндийн магадлалын зөвлөлийн хурлыг цахим хэлбэрээр зохион байгуулах боломжтой. Харин нэмэлт үзлэг, оношилгоо, шинжилгээ зайлшгүй шаардлагатай тохиолдолд биечлэн үзүүлэх шаардлагыг хэвээр хадгалах нь мэргэжлийн чанарыг хамгаална.</w:t>
      </w:r>
    </w:p>
    <w:p w14:paraId="042F6ED7"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1.2. Хууль ёсны ашиг сонирхол нь хөндөгдөх төрийн байгууллага, нийгмийн бүлэг, бусад оролцогч талууд</w:t>
      </w:r>
    </w:p>
    <w:p w14:paraId="2ABBE315"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lastRenderedPageBreak/>
        <w:t>Энэхүү асуудалд хөдөлмөрийн чадвар алдалтын хувь, хугацаа, шалтгааныг тогтоолгох, сунгуулах даатгуулагч, хөгжлийн бэрхшээлтэй хүн, тэдний гэр бүл, асран хамгаалагчийн эрх, хууль ёсны ашиг сонирхол шууд хөндөгдөнө. Мөн сум, тосгон, суурин газрын эрүүл мэндийн байгууллага, аймгийн эрүүл мэндийн байгууллага, Эрүүл мэндийн магадлалын зөвлөл, нийгмийн даатгалын байгууллага болон холбогдох төрийн байгууллагын чиг үүрэг, мэдээлэл солилцоо, ажлын зохион байгуулалттай холбоотой.</w:t>
      </w:r>
    </w:p>
    <w:p w14:paraId="05036038"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1.3. Асуудлыг үүсгэж буй шалтгаан нөхцөл</w:t>
      </w:r>
    </w:p>
    <w:p w14:paraId="6D8EF1AC" w14:textId="77777777" w:rsidR="00867BC6" w:rsidRPr="00355593" w:rsidRDefault="00A9272A" w:rsidP="00355593">
      <w:pPr>
        <w:spacing w:after="120" w:line="240" w:lineRule="auto"/>
        <w:ind w:left="454" w:hanging="227"/>
        <w:jc w:val="both"/>
        <w:rPr>
          <w:rFonts w:ascii="Arial" w:hAnsi="Arial" w:cs="Arial"/>
          <w:sz w:val="24"/>
          <w:szCs w:val="24"/>
        </w:rPr>
      </w:pPr>
      <w:r w:rsidRPr="00355593">
        <w:rPr>
          <w:rFonts w:ascii="Arial" w:hAnsi="Arial" w:cs="Arial"/>
          <w:sz w:val="24"/>
          <w:szCs w:val="24"/>
        </w:rPr>
        <w:t>•  эрүүл мэндийн магадлалын үйлчилгээ газар зүйн хувьд төвлөрсөн байдал;</w:t>
      </w:r>
    </w:p>
    <w:p w14:paraId="1FDA4F91" w14:textId="77777777" w:rsidR="00867BC6" w:rsidRPr="00355593" w:rsidRDefault="00A9272A" w:rsidP="00355593">
      <w:pPr>
        <w:spacing w:after="120" w:line="240" w:lineRule="auto"/>
        <w:ind w:left="454" w:hanging="227"/>
        <w:jc w:val="both"/>
        <w:rPr>
          <w:rFonts w:ascii="Arial" w:hAnsi="Arial" w:cs="Arial"/>
          <w:sz w:val="24"/>
          <w:szCs w:val="24"/>
        </w:rPr>
      </w:pPr>
      <w:r w:rsidRPr="00355593">
        <w:rPr>
          <w:rFonts w:ascii="Arial" w:hAnsi="Arial" w:cs="Arial"/>
          <w:sz w:val="24"/>
          <w:szCs w:val="24"/>
        </w:rPr>
        <w:t>•  биечлэн үзүүлэх шаардлага болон баримт бичиг, цахим мэдээлэлд үндэслэн шийдвэрлэж болох тохиолдлыг ялгамжтай зохицуулсан эрх зүйн үндэс хангалтгүй байх;</w:t>
      </w:r>
    </w:p>
    <w:p w14:paraId="152B3FBA" w14:textId="77777777" w:rsidR="00867BC6" w:rsidRPr="00355593" w:rsidRDefault="00A9272A" w:rsidP="00355593">
      <w:pPr>
        <w:spacing w:after="120" w:line="240" w:lineRule="auto"/>
        <w:ind w:left="454" w:hanging="227"/>
        <w:jc w:val="both"/>
        <w:rPr>
          <w:rFonts w:ascii="Arial" w:hAnsi="Arial" w:cs="Arial"/>
          <w:sz w:val="24"/>
          <w:szCs w:val="24"/>
        </w:rPr>
      </w:pPr>
      <w:r w:rsidRPr="00355593">
        <w:rPr>
          <w:rFonts w:ascii="Arial" w:hAnsi="Arial" w:cs="Arial"/>
          <w:sz w:val="24"/>
          <w:szCs w:val="24"/>
        </w:rPr>
        <w:t>•  эрүүл мэнд, магадлал, нийгмийн даатгалын байгууллагын мэдээлэл солилцоо, цахим уялдааг сайжруулах шаардлага;</w:t>
      </w:r>
    </w:p>
    <w:p w14:paraId="37387213" w14:textId="77777777" w:rsidR="00867BC6" w:rsidRPr="00355593" w:rsidRDefault="00A9272A" w:rsidP="00355593">
      <w:pPr>
        <w:spacing w:after="120" w:line="240" w:lineRule="auto"/>
        <w:ind w:left="454" w:hanging="227"/>
        <w:jc w:val="both"/>
        <w:rPr>
          <w:rFonts w:ascii="Arial" w:hAnsi="Arial" w:cs="Arial"/>
          <w:sz w:val="24"/>
          <w:szCs w:val="24"/>
        </w:rPr>
      </w:pPr>
      <w:r w:rsidRPr="00355593">
        <w:rPr>
          <w:rFonts w:ascii="Arial" w:hAnsi="Arial" w:cs="Arial"/>
          <w:sz w:val="24"/>
          <w:szCs w:val="24"/>
        </w:rPr>
        <w:t>•  нутаг дэвсгэр сонгох шалгуур болон орон нутгийн эрүүл мэндийн байгууллагын хүний нөөц, оношилгоо, шинжилгээ, мэдээллийн технологийн чадавхыг тодорхой болгох хэрэгцээ;</w:t>
      </w:r>
    </w:p>
    <w:p w14:paraId="0B7D22E4" w14:textId="77777777" w:rsidR="00867BC6" w:rsidRPr="00355593" w:rsidRDefault="00A9272A" w:rsidP="00355593">
      <w:pPr>
        <w:spacing w:after="120" w:line="240" w:lineRule="auto"/>
        <w:ind w:left="454" w:hanging="227"/>
        <w:jc w:val="both"/>
        <w:rPr>
          <w:rFonts w:ascii="Arial" w:hAnsi="Arial" w:cs="Arial"/>
          <w:sz w:val="24"/>
          <w:szCs w:val="24"/>
        </w:rPr>
      </w:pPr>
      <w:r w:rsidRPr="00355593">
        <w:rPr>
          <w:rFonts w:ascii="Arial" w:hAnsi="Arial" w:cs="Arial"/>
          <w:sz w:val="24"/>
          <w:szCs w:val="24"/>
        </w:rPr>
        <w:t>•  эрүүл мэндийн болон нийгмийн даатгалын эмзэг мэдээллийн нууцлал, аюулгүй байдлыг хангах шаардлага.</w:t>
      </w:r>
    </w:p>
    <w:p w14:paraId="5475A04F" w14:textId="77777777" w:rsidR="001D33F7" w:rsidRDefault="001D33F7" w:rsidP="001D33F7">
      <w:pPr>
        <w:spacing w:after="0" w:line="240" w:lineRule="auto"/>
        <w:ind w:firstLine="0"/>
        <w:jc w:val="both"/>
        <w:rPr>
          <w:rFonts w:ascii="Arial" w:hAnsi="Arial" w:cs="Arial"/>
          <w:b/>
          <w:sz w:val="24"/>
          <w:szCs w:val="24"/>
        </w:rPr>
      </w:pPr>
    </w:p>
    <w:p w14:paraId="5AB02C17" w14:textId="1A15E16C"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ХОЁР. АСУУДЛЫГ ШИЙДВЭРЛЭХ ЗОРИЛГЫГ ТОМЬЁОЛСОН БАЙДАЛ</w:t>
      </w:r>
    </w:p>
    <w:p w14:paraId="33984F17"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Хуулийн төслүүдийг боловсруулах гол зорилго нь аймгийн төвөөс алслагдсан, хүн амын төвлөрөл бүхий сум, тосгон, суурин газарт оршин суугаа даатгуулагч, хөгжлийн бэрхшээлтэй хүний хөдөлмөрийн чадвар алдалтын хувь, хугацаа, шалтгааныг тогтоох, сунгах үйлчилгээг оршин суугаа газарт нь ойртуулж, тухайн нутаг дэвсгэрийн эрүүл мэндийн байгууллагад түшиглэн, баримт бичиг болон цахим хэлбэрээр магадлан шийдвэрлэх эрх зүйн үндсийг бүрдүүлэхэд оршино.</w:t>
      </w:r>
    </w:p>
    <w:p w14:paraId="751EEBEF"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Үүний зэрэгцээ эрүүл мэндийн магадлалын мэргэжлийн чанар, нотолгоонд суурилсан шийдвэр гаргах зарчмыг хадгалах; зайлшгүй шаардлагатай үед биечлэн үзүүлэх; мэдээллийн системийн уялдаа, хувийн мэдээллийн хамгаалалтыг хангах; үйлчилгээний хүртээмж, шийдвэрлэлтийн хугацаа, зорчих тохиолдол, иргэний зардал, чирэгдлийн бууралтыг хэмжих тогтолцоог бий болгохыг зорьж байна.</w:t>
      </w:r>
    </w:p>
    <w:p w14:paraId="3E4E3413"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ГУРАВ. АСУУДЛЫГ ЗОХИЦУУЛАХ ХУВИЛБАРУУД, ТЭДГЭЭРИЙН ЭЕРЭГ, СӨРӨГ ТАЛЫН ХАРЬЦУУЛАЛТ</w:t>
      </w:r>
    </w:p>
    <w:p w14:paraId="5930874E"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Асуудлыг шийдвэрлэх хүрээнд дараах үндсэн хувилбаруудыг авч үзэв.</w:t>
      </w:r>
    </w:p>
    <w:tbl>
      <w:tblPr>
        <w:tblStyle w:val="TableGrid"/>
        <w:tblW w:w="0" w:type="auto"/>
        <w:jc w:val="center"/>
        <w:tblLook w:val="04A0" w:firstRow="1" w:lastRow="0" w:firstColumn="1" w:lastColumn="0" w:noHBand="0" w:noVBand="1"/>
      </w:tblPr>
      <w:tblGrid>
        <w:gridCol w:w="481"/>
        <w:gridCol w:w="2379"/>
        <w:gridCol w:w="1262"/>
        <w:gridCol w:w="2655"/>
        <w:gridCol w:w="2902"/>
      </w:tblGrid>
      <w:tr w:rsidR="00867BC6" w:rsidRPr="00D735EB" w14:paraId="0A0F80FC" w14:textId="77777777" w:rsidTr="00FE27D5">
        <w:trPr>
          <w:jc w:val="center"/>
        </w:trPr>
        <w:tc>
          <w:tcPr>
            <w:tcW w:w="482" w:type="dxa"/>
            <w:vAlign w:val="center"/>
          </w:tcPr>
          <w:p w14:paraId="35C3A356" w14:textId="77777777" w:rsidR="00867BC6" w:rsidRPr="00D735EB" w:rsidRDefault="00A9272A" w:rsidP="00D735EB">
            <w:pPr>
              <w:spacing w:after="0" w:line="240" w:lineRule="auto"/>
              <w:ind w:firstLine="0"/>
              <w:jc w:val="center"/>
              <w:rPr>
                <w:rFonts w:ascii="Arial" w:hAnsi="Arial" w:cs="Arial"/>
              </w:rPr>
            </w:pPr>
            <w:r w:rsidRPr="00D735EB">
              <w:rPr>
                <w:rFonts w:ascii="Arial" w:hAnsi="Arial" w:cs="Arial"/>
              </w:rPr>
              <w:t>№</w:t>
            </w:r>
          </w:p>
        </w:tc>
        <w:tc>
          <w:tcPr>
            <w:tcW w:w="2409" w:type="dxa"/>
            <w:vAlign w:val="center"/>
          </w:tcPr>
          <w:p w14:paraId="2D5DF894" w14:textId="77777777" w:rsidR="00867BC6" w:rsidRPr="00D735EB" w:rsidRDefault="00A9272A" w:rsidP="00D735EB">
            <w:pPr>
              <w:spacing w:after="0" w:line="240" w:lineRule="auto"/>
              <w:ind w:firstLine="0"/>
              <w:jc w:val="both"/>
              <w:rPr>
                <w:rFonts w:ascii="Arial" w:hAnsi="Arial" w:cs="Arial"/>
              </w:rPr>
            </w:pPr>
            <w:r w:rsidRPr="00D735EB">
              <w:rPr>
                <w:rFonts w:ascii="Arial" w:hAnsi="Arial" w:cs="Arial"/>
              </w:rPr>
              <w:t>Хувилбар</w:t>
            </w:r>
          </w:p>
        </w:tc>
        <w:tc>
          <w:tcPr>
            <w:tcW w:w="1276" w:type="dxa"/>
            <w:vAlign w:val="center"/>
          </w:tcPr>
          <w:p w14:paraId="0916138B" w14:textId="77777777" w:rsidR="00867BC6" w:rsidRPr="00D735EB" w:rsidRDefault="00A9272A" w:rsidP="00D735EB">
            <w:pPr>
              <w:spacing w:after="0" w:line="240" w:lineRule="auto"/>
              <w:ind w:firstLine="0"/>
              <w:jc w:val="both"/>
              <w:rPr>
                <w:rFonts w:ascii="Arial" w:hAnsi="Arial" w:cs="Arial"/>
              </w:rPr>
            </w:pPr>
            <w:r w:rsidRPr="00D735EB">
              <w:rPr>
                <w:rFonts w:ascii="Arial" w:hAnsi="Arial" w:cs="Arial"/>
              </w:rPr>
              <w:t>Үр нөлөө</w:t>
            </w:r>
          </w:p>
        </w:tc>
        <w:tc>
          <w:tcPr>
            <w:tcW w:w="2693" w:type="dxa"/>
            <w:vAlign w:val="center"/>
          </w:tcPr>
          <w:p w14:paraId="2EF883CE" w14:textId="77777777" w:rsidR="00867BC6" w:rsidRPr="00D735EB" w:rsidRDefault="00A9272A" w:rsidP="00D735EB">
            <w:pPr>
              <w:spacing w:after="0" w:line="240" w:lineRule="auto"/>
              <w:ind w:firstLine="0"/>
              <w:jc w:val="both"/>
              <w:rPr>
                <w:rFonts w:ascii="Arial" w:hAnsi="Arial" w:cs="Arial"/>
              </w:rPr>
            </w:pPr>
            <w:r w:rsidRPr="00D735EB">
              <w:rPr>
                <w:rFonts w:ascii="Arial" w:hAnsi="Arial" w:cs="Arial"/>
              </w:rPr>
              <w:t>Давуу тал</w:t>
            </w:r>
          </w:p>
        </w:tc>
        <w:tc>
          <w:tcPr>
            <w:tcW w:w="2940" w:type="dxa"/>
            <w:vAlign w:val="center"/>
          </w:tcPr>
          <w:p w14:paraId="0EE5342E" w14:textId="77777777" w:rsidR="00867BC6" w:rsidRPr="00D735EB" w:rsidRDefault="00A9272A" w:rsidP="00D735EB">
            <w:pPr>
              <w:spacing w:after="0" w:line="240" w:lineRule="auto"/>
              <w:ind w:firstLine="0"/>
              <w:jc w:val="both"/>
              <w:rPr>
                <w:rFonts w:ascii="Arial" w:hAnsi="Arial" w:cs="Arial"/>
              </w:rPr>
            </w:pPr>
            <w:r w:rsidRPr="00D735EB">
              <w:rPr>
                <w:rFonts w:ascii="Arial" w:hAnsi="Arial" w:cs="Arial"/>
              </w:rPr>
              <w:t>Сул тал</w:t>
            </w:r>
          </w:p>
        </w:tc>
      </w:tr>
      <w:tr w:rsidR="00867BC6" w:rsidRPr="00D735EB" w14:paraId="465D32D1" w14:textId="77777777" w:rsidTr="00FE27D5">
        <w:trPr>
          <w:jc w:val="center"/>
        </w:trPr>
        <w:tc>
          <w:tcPr>
            <w:tcW w:w="482" w:type="dxa"/>
          </w:tcPr>
          <w:p w14:paraId="0FD406D6"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1</w:t>
            </w:r>
          </w:p>
        </w:tc>
        <w:tc>
          <w:tcPr>
            <w:tcW w:w="2409" w:type="dxa"/>
          </w:tcPr>
          <w:p w14:paraId="5416F790" w14:textId="77777777" w:rsidR="00867BC6" w:rsidRPr="00D735EB" w:rsidRDefault="00A9272A" w:rsidP="00FE27D5">
            <w:pPr>
              <w:spacing w:after="0" w:line="240" w:lineRule="auto"/>
              <w:ind w:firstLine="0"/>
              <w:rPr>
                <w:rFonts w:ascii="Arial" w:hAnsi="Arial" w:cs="Arial"/>
              </w:rPr>
            </w:pPr>
            <w:r w:rsidRPr="00D735EB">
              <w:rPr>
                <w:rFonts w:ascii="Arial" w:hAnsi="Arial" w:cs="Arial"/>
              </w:rPr>
              <w:t>Одоогийн байдлыг хэвээр хадгалах</w:t>
            </w:r>
          </w:p>
        </w:tc>
        <w:tc>
          <w:tcPr>
            <w:tcW w:w="1276" w:type="dxa"/>
          </w:tcPr>
          <w:p w14:paraId="10243585"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Бага</w:t>
            </w:r>
          </w:p>
        </w:tc>
        <w:tc>
          <w:tcPr>
            <w:tcW w:w="2693" w:type="dxa"/>
          </w:tcPr>
          <w:p w14:paraId="5825D980"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Шинэ зохицуулалт шаардахгүй.</w:t>
            </w:r>
          </w:p>
        </w:tc>
        <w:tc>
          <w:tcPr>
            <w:tcW w:w="2940" w:type="dxa"/>
          </w:tcPr>
          <w:p w14:paraId="3F15E774"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Зорчих зардал, чирэгдэл, хүртээмжийн асуудал хэвээр.</w:t>
            </w:r>
          </w:p>
        </w:tc>
      </w:tr>
      <w:tr w:rsidR="00867BC6" w:rsidRPr="00D735EB" w14:paraId="5DE2A86E" w14:textId="77777777" w:rsidTr="00FE27D5">
        <w:trPr>
          <w:jc w:val="center"/>
        </w:trPr>
        <w:tc>
          <w:tcPr>
            <w:tcW w:w="482" w:type="dxa"/>
          </w:tcPr>
          <w:p w14:paraId="0073686D"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2</w:t>
            </w:r>
          </w:p>
        </w:tc>
        <w:tc>
          <w:tcPr>
            <w:tcW w:w="2409" w:type="dxa"/>
          </w:tcPr>
          <w:p w14:paraId="6679D1AC" w14:textId="77777777" w:rsidR="00867BC6" w:rsidRPr="00D735EB" w:rsidRDefault="00A9272A" w:rsidP="00FE27D5">
            <w:pPr>
              <w:spacing w:after="0" w:line="240" w:lineRule="auto"/>
              <w:ind w:firstLine="0"/>
              <w:rPr>
                <w:rFonts w:ascii="Arial" w:hAnsi="Arial" w:cs="Arial"/>
              </w:rPr>
            </w:pPr>
            <w:r w:rsidRPr="00D735EB">
              <w:rPr>
                <w:rFonts w:ascii="Arial" w:hAnsi="Arial" w:cs="Arial"/>
              </w:rPr>
              <w:t>Зөвхөн 448 дугаар тогтоолын дүрэмд өөрчлөлт оруулах</w:t>
            </w:r>
          </w:p>
        </w:tc>
        <w:tc>
          <w:tcPr>
            <w:tcW w:w="1276" w:type="dxa"/>
          </w:tcPr>
          <w:p w14:paraId="6A6D968A"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Дунд</w:t>
            </w:r>
          </w:p>
        </w:tc>
        <w:tc>
          <w:tcPr>
            <w:tcW w:w="2693" w:type="dxa"/>
          </w:tcPr>
          <w:p w14:paraId="09351663"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Харьцангуй хурдан хэрэгжүүлэх боломжтой.</w:t>
            </w:r>
          </w:p>
        </w:tc>
        <w:tc>
          <w:tcPr>
            <w:tcW w:w="2940" w:type="dxa"/>
          </w:tcPr>
          <w:p w14:paraId="54A876CE"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Эрхийн баталгаа, биечлэн ирүүлэхгүй шийдвэрлэх зарчим хуулийн түвшинд баталгаажихгүй.</w:t>
            </w:r>
          </w:p>
        </w:tc>
      </w:tr>
      <w:tr w:rsidR="00867BC6" w:rsidRPr="00D735EB" w14:paraId="077733D3" w14:textId="77777777" w:rsidTr="00FE27D5">
        <w:trPr>
          <w:jc w:val="center"/>
        </w:trPr>
        <w:tc>
          <w:tcPr>
            <w:tcW w:w="482" w:type="dxa"/>
          </w:tcPr>
          <w:p w14:paraId="5B647DDE"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lastRenderedPageBreak/>
              <w:t>3</w:t>
            </w:r>
          </w:p>
        </w:tc>
        <w:tc>
          <w:tcPr>
            <w:tcW w:w="2409" w:type="dxa"/>
          </w:tcPr>
          <w:p w14:paraId="393D9BCB" w14:textId="77777777" w:rsidR="00867BC6" w:rsidRPr="00D735EB" w:rsidRDefault="00A9272A" w:rsidP="00FE27D5">
            <w:pPr>
              <w:spacing w:after="0" w:line="240" w:lineRule="auto"/>
              <w:ind w:firstLine="0"/>
              <w:rPr>
                <w:rFonts w:ascii="Arial" w:hAnsi="Arial" w:cs="Arial"/>
              </w:rPr>
            </w:pPr>
            <w:r w:rsidRPr="00D735EB">
              <w:rPr>
                <w:rFonts w:ascii="Arial" w:hAnsi="Arial" w:cs="Arial"/>
              </w:rPr>
              <w:t>Хоёр хуульд нэмэлт оруулж, УИХ-ын тогтоол ба дүрмээр хэрэгжилтийг хангах</w:t>
            </w:r>
          </w:p>
        </w:tc>
        <w:tc>
          <w:tcPr>
            <w:tcW w:w="1276" w:type="dxa"/>
          </w:tcPr>
          <w:p w14:paraId="0B8E950A"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Өндөр</w:t>
            </w:r>
          </w:p>
        </w:tc>
        <w:tc>
          <w:tcPr>
            <w:tcW w:w="2693" w:type="dxa"/>
          </w:tcPr>
          <w:p w14:paraId="77F84F63"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Эрхийн баталгаа, магадлалын механизм, шалгуур, цахим процесс, мэдээллийн хамгаалалтыг цогцоор зохицуулна.</w:t>
            </w:r>
          </w:p>
        </w:tc>
        <w:tc>
          <w:tcPr>
            <w:tcW w:w="2940" w:type="dxa"/>
          </w:tcPr>
          <w:p w14:paraId="0C0A6FFF" w14:textId="77777777" w:rsidR="00867BC6" w:rsidRPr="00D735EB" w:rsidRDefault="00A9272A" w:rsidP="0017713B">
            <w:pPr>
              <w:spacing w:after="0" w:line="240" w:lineRule="auto"/>
              <w:ind w:firstLine="0"/>
              <w:jc w:val="center"/>
              <w:rPr>
                <w:rFonts w:ascii="Arial" w:hAnsi="Arial" w:cs="Arial"/>
              </w:rPr>
            </w:pPr>
            <w:r w:rsidRPr="00D735EB">
              <w:rPr>
                <w:rFonts w:ascii="Arial" w:hAnsi="Arial" w:cs="Arial"/>
              </w:rPr>
              <w:t>Орон нутгийн чадавх, мэдээллийн уялдаа, дүрмийн шинэчлэл, сургалт шаардана.</w:t>
            </w:r>
          </w:p>
        </w:tc>
      </w:tr>
    </w:tbl>
    <w:p w14:paraId="674553D9" w14:textId="77777777" w:rsidR="00FE27D5" w:rsidRDefault="00FE27D5" w:rsidP="000C5816">
      <w:pPr>
        <w:spacing w:after="0" w:line="240" w:lineRule="auto"/>
        <w:jc w:val="both"/>
        <w:rPr>
          <w:rFonts w:ascii="Arial" w:hAnsi="Arial" w:cs="Arial"/>
          <w:sz w:val="24"/>
          <w:szCs w:val="24"/>
        </w:rPr>
      </w:pPr>
    </w:p>
    <w:p w14:paraId="030BE33F" w14:textId="22DF301B" w:rsidR="00867BC6" w:rsidRPr="00355593" w:rsidRDefault="00A9272A" w:rsidP="00355593">
      <w:pPr>
        <w:spacing w:after="120" w:line="240" w:lineRule="auto"/>
        <w:jc w:val="both"/>
        <w:rPr>
          <w:rFonts w:ascii="Arial" w:hAnsi="Arial" w:cs="Arial"/>
          <w:noProof/>
          <w:sz w:val="24"/>
          <w:szCs w:val="24"/>
        </w:rPr>
      </w:pPr>
      <w:r w:rsidRPr="00355593">
        <w:rPr>
          <w:rFonts w:ascii="Arial" w:hAnsi="Arial" w:cs="Arial"/>
          <w:noProof/>
          <w:sz w:val="24"/>
          <w:szCs w:val="24"/>
        </w:rPr>
        <w:t>Харьцуулан үзэхэд гурав дахь хувилбар нь асуудлын шалтгааныг эрх зүйн болон зохион байгуулалтын түвшинд хамтад нь шийдвэрлэх боломжтой тул оновчтой гэж үзэв.</w:t>
      </w:r>
    </w:p>
    <w:p w14:paraId="69C06CD5" w14:textId="77777777" w:rsidR="00FE27D5" w:rsidRDefault="00FE27D5" w:rsidP="000C5816">
      <w:pPr>
        <w:spacing w:after="0" w:line="240" w:lineRule="auto"/>
        <w:ind w:firstLine="0"/>
        <w:jc w:val="both"/>
        <w:rPr>
          <w:rFonts w:ascii="Arial" w:hAnsi="Arial" w:cs="Arial"/>
          <w:b/>
          <w:sz w:val="24"/>
          <w:szCs w:val="24"/>
        </w:rPr>
      </w:pPr>
    </w:p>
    <w:p w14:paraId="7A19A733" w14:textId="69AE9614"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ДӨРӨВ. ЗОХИЦУУЛАЛТЫН ХУВИЛБАРУУДЫН ҮР НӨЛӨӨГ ТАНДАН СУДАЛСАН БАЙДАЛ</w:t>
      </w:r>
    </w:p>
    <w:p w14:paraId="45303C07"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4.1. Хүний эрхэд үзүүлэх үр нөлөө</w:t>
      </w:r>
    </w:p>
    <w:p w14:paraId="667BA38B"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1. Хүний эрхийн суурь зарчмуудад нийцэж байгаа эсэх талаар. Сонгосон зохицуулалт нь үйлчилгээний тэгш хүртээмжийг нэмэгдүүлэх, хөгжлийн бэрхшээлтэй болон хөдөлгөөний хүндрэлтэй иргэний бодит нөхцөлийг харгалзах, төрийн үйлчилгээг иргэнд ойртуулахад чиглэнэ. Оршин суугаа газар, хөдөлгөөний боломж зэргээс шалтгаалан үйлчилгээ авахад үүсэх бодит саадыг бууруулах нь тэгш байдлыг хангахад эерэг нөлөөтэй.</w:t>
      </w:r>
    </w:p>
    <w:p w14:paraId="303E04E2"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2. Хүний эрхийг хязгаарласан зохицуулалт агуулсан эсэх талаар. Төсөл нь иргэний эрхийг шинээр хязгаарлахгүй. Баримт бичиг, эрүүл мэндийн мэдээлэл хангалттай үед биечлэн ирүүлэхгүй шийдвэрлэх боломж олгоно. Нэмэлт үзлэг, оношилгоо, шинжилгээ зайлшгүй шаардлагатай үед биечлэн үзүүлэх нь магадлалын чанар, иргэний эрх ашгийг хамгаалах мэргэжлийн шаардлага байна.</w:t>
      </w:r>
    </w:p>
    <w:p w14:paraId="564E0F78"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3. Эрх агуулагчийн талаар. Эрх агуулагч нь хөдөлмөрийн чадвар алдалтын хувь, хугацаа, шалтгааныг тогтоолгох, сунгуулах даатгуулагч, хөгжлийн бэрхшээлтэй хүн бөгөөд алслагдсан нутаг дэвсгэрт амьдардаг, хөдөлгөөний хязгаарлалттай, асаргаа шаардлагатай иргэдэд зохицуулалт илүү бодит эерэг нөлөө үзүүлнэ.</w:t>
      </w:r>
    </w:p>
    <w:p w14:paraId="0BB43F5F"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4. Үүрэг хүлээгчийн талаар. Орон нутгийн болон аймгийн эрүүл мэндийн байгууллага, Эрүүл мэндийн магадлалын зөвлөл, нийгмийн даатгалын байгууллага баримт бичгийн бүрдэл, эрүүл мэндийн мэдээллийн үнэн зөв байдал, цахим ажиллагаа, мэдээллийн аюулгүй байдал, шийдвэр хүргэлтийг уялдуулна.</w:t>
      </w:r>
    </w:p>
    <w:p w14:paraId="1CEFCBA6"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5. Жендэрийн эрх тэгш байдлын талаар. Төсөл нь хүйсээр ялгаварласан зохицуулалт агуулахгүй. Асаргаа, дагалдан явах үүрэгтэй гэр бүлийн гишүүдийн цаг хугацаа, зорчих ачааллыг бууруулах боломжтой.</w:t>
      </w:r>
    </w:p>
    <w:p w14:paraId="36645242"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4.2. Эдийн засагт үзүүлэх үр нөлөө</w:t>
      </w:r>
    </w:p>
    <w:p w14:paraId="41B4753C"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Төсөл нь зах зээлийн өрсөлдөөн, өмчлөх эрх, аж ахуйн нэгжийн үйл ажиллагаанд шууд нөлөөлөхгүй. Гол эдийн засгийн нөлөө нь иргэн, өрхийн түвшинд илэрнэ. Аймгийн төвд зорчих тохиолдол буурснаар тээвэр, байр, хоол, дагалдан явагчтай холбоотой шууд зардал, мөн ажил, амьдралаас чөлөө авахтай холбоотой шууд бус зардал буурах боломжтой.</w:t>
      </w:r>
    </w:p>
    <w:p w14:paraId="43024EAC"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 xml:space="preserve">Төрийн хувьд шинээр байгууллага, орон тоо бий болгохоос илүү одоо байгаа тогтолцоог ашиглана. Харин мэдээллийн системийн уялдаа, тоног төхөөрөмж, холбоо, сургалт, цахим хурлын нөхцөлийг сайжруулахад тодорхой зохион байгуулалтын болон </w:t>
      </w:r>
      <w:r w:rsidRPr="00355593">
        <w:rPr>
          <w:rFonts w:ascii="Arial" w:hAnsi="Arial" w:cs="Arial"/>
          <w:sz w:val="24"/>
          <w:szCs w:val="24"/>
        </w:rPr>
        <w:lastRenderedPageBreak/>
        <w:t>хөрөнгө оруулалтын зардал гарч болох бөгөөд түүнийг одоо байгаа байгууллагын чиг үүрэг, төсөв, үе шаттай хэрэгжилттэй уялдуулах боломжтой.</w:t>
      </w:r>
    </w:p>
    <w:p w14:paraId="4A90E816"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4.3. Нийгэмд үзүүлэх нөлөө</w:t>
      </w:r>
    </w:p>
    <w:p w14:paraId="34247866"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Нийгмийн хамгийн гол эерэг нөлөө нь нийгмийн хамгаалал, эрүүл мэндийн үйлчилгээний хүртээмж сайжрах явдал байна. Иргэн оршин суугаа газартаа ойр үйлчилгээ авч, шаардлагагүй зорчих хөдөлгөөн буурснаар хөгжлийн бэрхшээлтэй хүн, хөдөлмөрийн чадвараа алдсан даатгуулагч болон тэдний гэр бүлийн ачаалал буурна.</w:t>
      </w:r>
    </w:p>
    <w:p w14:paraId="762BA3D0"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Төрийн удирдлагын хувьд байгууллага хоорондын чиг үүрэг, мэдээлэл солилцоо, шийдвэр хүргэлт илүү уялдаатай болно. Үйлчилгээний явц, шийдвэрийг цахимаар хянах боломж бүрдвэл ил тод байдал, хариуцлага сайжирна. Эрүүл мэндийн хувьд эмзэг иргэнийг зайлшгүй бус тохиолдолд хол замд зорчуулахгүй байх нь нэмэлт эрсдэлийг бууруулах ач холбогдолтой.</w:t>
      </w:r>
    </w:p>
    <w:p w14:paraId="03385CB3"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4.4. Байгаль орчинд үзүүлэх нөлөө</w:t>
      </w:r>
    </w:p>
    <w:p w14:paraId="2448F55A"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Хуулийн төслүүд нь байгаль орчин, байгалийн нөөц ашиглалт, бохирдол, экосистемд шууд нөлөөлөх зохицуулалт агуулахгүй. Иргэдийн зайлшгүй бус зорчих хөдөлгөөн тодорхой хэмжээгээр буурах нь тээврийн хэрэглээтэй холбоотой шууд бус бага хэмжээний эерэг нөлөө үзүүлж болох боловч энэ нь төслийн үндсэн зорилго, гол үр нөлөө биш байна.</w:t>
      </w:r>
    </w:p>
    <w:p w14:paraId="1DF94BA0" w14:textId="77777777"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ТАВ. ОЛОН УЛСЫН ТУРШЛАГЫН ХАРЬЦУУЛСАН ТОВЧ СУДАЛГАА</w:t>
      </w:r>
    </w:p>
    <w:p w14:paraId="7FD70001"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Энэхүү үнэлгээний үндсэн эх материалд тодорхой улс орнуудын хууль, тогтолцоог зүйл, заалтаар харьцуулсан тусгай судалгаа тусгагдаагүй тул нотлогдоогүй улсын жишээ нэмээгүй. Харин хуулийн төслийн агуулга нь хөгжлийн бэрхшээлтэй хүний төрийн болон нийгмийн үйлчилгээнд тэгш, хүртээмжтэй оролцох боломжийг хангах, газар зүйн болон хөдөлгөөний саадыг бууруулах, боломжтой үйлчилгээг цахим болон зайнаас хүргэх нийтлэг чиг хандлагатай нийцэхээр боловсруулагдсан.</w:t>
      </w:r>
    </w:p>
    <w:p w14:paraId="7628201E"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Харьцуулсан судалгааг цаашид гүнзгийрүүлэх тохиолдолд хөгжлийн бэрхшээл тогтоох болон хөдөлмөрийн чадварын үнэлгээг орон нутагт хүргэх загвар, телемедицин болон зайн үнэлгээ, цахим баримт бичгийн солилцоо, мэдээллийн нууцлал, дахин үнэлгээний давтамж, биечлэн үзүүлэх шалгуур гэсэн үзүүлэлтээр улс орнуудын туршлагыг харьцуулах нь зохистой.</w:t>
      </w:r>
    </w:p>
    <w:p w14:paraId="298A41CB" w14:textId="77777777" w:rsidR="00922D7A" w:rsidRDefault="00922D7A" w:rsidP="00922D7A">
      <w:pPr>
        <w:spacing w:after="0" w:line="240" w:lineRule="auto"/>
        <w:ind w:firstLine="0"/>
        <w:jc w:val="both"/>
        <w:rPr>
          <w:rFonts w:ascii="Arial" w:hAnsi="Arial" w:cs="Arial"/>
          <w:b/>
          <w:sz w:val="24"/>
          <w:szCs w:val="24"/>
        </w:rPr>
      </w:pPr>
    </w:p>
    <w:p w14:paraId="7C65258B" w14:textId="553D3E42" w:rsidR="00867BC6" w:rsidRPr="00355593" w:rsidRDefault="00A9272A" w:rsidP="00355593">
      <w:pPr>
        <w:spacing w:after="120" w:line="240" w:lineRule="auto"/>
        <w:ind w:firstLine="0"/>
        <w:jc w:val="both"/>
        <w:rPr>
          <w:rFonts w:ascii="Arial" w:hAnsi="Arial" w:cs="Arial"/>
          <w:sz w:val="24"/>
          <w:szCs w:val="24"/>
        </w:rPr>
      </w:pPr>
      <w:r w:rsidRPr="00355593">
        <w:rPr>
          <w:rFonts w:ascii="Arial" w:hAnsi="Arial" w:cs="Arial"/>
          <w:b/>
          <w:sz w:val="24"/>
          <w:szCs w:val="24"/>
        </w:rPr>
        <w:t>ЗУРГАА. ДҮГНЭЛТ, ЗӨВЛӨМЖ</w:t>
      </w:r>
    </w:p>
    <w:p w14:paraId="4F5E2F12"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Урьдчилан тандан судалсан үнэлгээнээс үзэхэд аймгийн төвөөс алслагдсан, хүн амын төвлөрөл бүхий сум, тосгон, суурин газарт хөдөлмөрийн чадвар алдалтын хувь, хугацаа, шалтгааныг тогтоох, сунгах үйлчилгээний газар зүйн хүртээмж, иргэний зорчих зардал, цаг хугацаа, чирэгдлийг бууруулах бодит хэрэгцээ байна.</w:t>
      </w:r>
    </w:p>
    <w:p w14:paraId="6B409CD4"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Асуудлыг зөвхөн захиргааны дүрэмд өөрчлөлт оруулах замаар шийдвэрлэхээс илүү Нийгмийн даатгалын ерөнхий хуульд үйлчилгээний зохион байгуулалт, магадлан шийдвэрлэх эрх зүйн үндсийг; Хөгжлийн бэрхшээлтэй хүний эрхийн тухай хуульд үйлчилгээг оршин суугаа газартаа хүртээмжтэй авах эрхийн баталгааг тусгаж, хэрэгжилтийн нарийвчилсан зохицуулалтыг Улсын Их Хурлын тогтоол болон Эрүүл мэндийн магадлалын зөвлөлийн дүрмээр хангах хувилбар хамгийн оновчтой гэж дүгнэв.</w:t>
      </w:r>
    </w:p>
    <w:p w14:paraId="28CD624F"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lastRenderedPageBreak/>
        <w:t>Хэрэгжилтэд хамрагдах нутаг дэвсгэрийг хүн ам, алслалт, зам тээвэр, эрүүл мэндийн байгууллагын хүний нөөц, оношилгоо, шинжилгээ, мэдээллийн технологийн чадавхаар сонгох; биечлэн үзүүлэх шаардлагатай болон шаардлагагүй тохиолдлын шалгуурыг тодорхой болгох; мэдээллийн системийн уялдаа, хувийн мэдээллийн хамгаалалтыг хангах; орон нутгийн ажилтнуудыг сургах; хүртээмж, чанар, шийдвэрлэлтийн хугацаа, зорчсон тохиолдол, иргэний зардал, чирэгдлийн бууралтаар хэрэгжилтийг тогтмол үнэлэхийг зөвлөж байна.</w:t>
      </w:r>
    </w:p>
    <w:p w14:paraId="6A413CC0" w14:textId="77777777" w:rsidR="00867BC6" w:rsidRPr="00355593" w:rsidRDefault="00A9272A" w:rsidP="00355593">
      <w:pPr>
        <w:spacing w:after="120" w:line="240" w:lineRule="auto"/>
        <w:jc w:val="both"/>
        <w:rPr>
          <w:rFonts w:ascii="Arial" w:hAnsi="Arial" w:cs="Arial"/>
          <w:sz w:val="24"/>
          <w:szCs w:val="24"/>
        </w:rPr>
      </w:pPr>
      <w:r w:rsidRPr="00355593">
        <w:rPr>
          <w:rFonts w:ascii="Arial" w:hAnsi="Arial" w:cs="Arial"/>
          <w:sz w:val="24"/>
          <w:szCs w:val="24"/>
        </w:rPr>
        <w:t>Ингэснээр шинэ байгууллага байгуулахгүйгээр одоо байгаа тогтолцооны зохион байгуулалт, цахим боломжийг ашиглан төрийн үйлчилгээг иргэнд ойртуулах, хөгжлийн бэрхшээлтэй болон хөдөлмөрийн чадвараа алдсан иргэний эрхийн бодит хүртээмжийг сайжруулах нөхцөл бүрдэнэ.</w:t>
      </w:r>
    </w:p>
    <w:p w14:paraId="33400CFE" w14:textId="77777777" w:rsidR="00922D7A" w:rsidRDefault="00922D7A" w:rsidP="00922D7A">
      <w:pPr>
        <w:spacing w:after="120" w:line="240" w:lineRule="auto"/>
        <w:ind w:firstLine="0"/>
        <w:jc w:val="center"/>
        <w:rPr>
          <w:rFonts w:ascii="Arial" w:hAnsi="Arial" w:cs="Arial"/>
          <w:bCs/>
          <w:sz w:val="24"/>
          <w:szCs w:val="24"/>
        </w:rPr>
      </w:pPr>
    </w:p>
    <w:p w14:paraId="01DF8156" w14:textId="77777777" w:rsidR="00922D7A" w:rsidRDefault="00922D7A" w:rsidP="00922D7A">
      <w:pPr>
        <w:spacing w:after="120" w:line="240" w:lineRule="auto"/>
        <w:ind w:firstLine="0"/>
        <w:jc w:val="center"/>
        <w:rPr>
          <w:rFonts w:ascii="Arial" w:hAnsi="Arial" w:cs="Arial"/>
          <w:bCs/>
          <w:sz w:val="24"/>
          <w:szCs w:val="24"/>
        </w:rPr>
      </w:pPr>
    </w:p>
    <w:p w14:paraId="63C47999" w14:textId="3B3F2E49" w:rsidR="00867BC6" w:rsidRPr="00922D7A" w:rsidRDefault="00A9272A" w:rsidP="00922D7A">
      <w:pPr>
        <w:spacing w:after="120" w:line="240" w:lineRule="auto"/>
        <w:ind w:firstLine="0"/>
        <w:jc w:val="center"/>
        <w:rPr>
          <w:rFonts w:ascii="Arial" w:hAnsi="Arial" w:cs="Arial"/>
          <w:bCs/>
          <w:noProof/>
          <w:sz w:val="24"/>
          <w:szCs w:val="24"/>
        </w:rPr>
      </w:pPr>
      <w:r w:rsidRPr="00922D7A">
        <w:rPr>
          <w:rFonts w:ascii="Arial" w:hAnsi="Arial" w:cs="Arial"/>
          <w:bCs/>
          <w:noProof/>
          <w:sz w:val="24"/>
          <w:szCs w:val="24"/>
        </w:rPr>
        <w:t>—оОо—</w:t>
      </w:r>
    </w:p>
    <w:sectPr w:rsidR="00867BC6" w:rsidRPr="00922D7A"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2839D" w14:textId="77777777" w:rsidR="00BB2322" w:rsidRDefault="00BB2322">
      <w:pPr>
        <w:spacing w:after="0" w:line="240" w:lineRule="auto"/>
      </w:pPr>
      <w:r>
        <w:separator/>
      </w:r>
    </w:p>
  </w:endnote>
  <w:endnote w:type="continuationSeparator" w:id="0">
    <w:p w14:paraId="60080E78" w14:textId="77777777" w:rsidR="00BB2322" w:rsidRDefault="00BB2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CEB14" w14:textId="72B5F7B0" w:rsidR="00867BC6" w:rsidRDefault="00A9272A">
    <w:pPr>
      <w:pStyle w:val="Footer"/>
      <w:jc w:val="center"/>
    </w:pPr>
    <w:r>
      <w:fldChar w:fldCharType="begin"/>
    </w:r>
    <w:r>
      <w:instrText xml:space="preserve"> PAGE </w:instrText>
    </w:r>
    <w:r>
      <w:fldChar w:fldCharType="separate"/>
    </w:r>
    <w:r w:rsidR="0035559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18AFD" w14:textId="77777777" w:rsidR="00BB2322" w:rsidRDefault="00BB2322">
      <w:pPr>
        <w:spacing w:after="0" w:line="240" w:lineRule="auto"/>
      </w:pPr>
      <w:r>
        <w:separator/>
      </w:r>
    </w:p>
  </w:footnote>
  <w:footnote w:type="continuationSeparator" w:id="0">
    <w:p w14:paraId="64655443" w14:textId="77777777" w:rsidR="00BB2322" w:rsidRDefault="00BB23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679676">
    <w:abstractNumId w:val="8"/>
  </w:num>
  <w:num w:numId="2" w16cid:durableId="1580938909">
    <w:abstractNumId w:val="6"/>
  </w:num>
  <w:num w:numId="3" w16cid:durableId="950866488">
    <w:abstractNumId w:val="5"/>
  </w:num>
  <w:num w:numId="4" w16cid:durableId="70782199">
    <w:abstractNumId w:val="4"/>
  </w:num>
  <w:num w:numId="5" w16cid:durableId="1279680090">
    <w:abstractNumId w:val="7"/>
  </w:num>
  <w:num w:numId="6" w16cid:durableId="1589071193">
    <w:abstractNumId w:val="3"/>
  </w:num>
  <w:num w:numId="7" w16cid:durableId="2088991897">
    <w:abstractNumId w:val="2"/>
  </w:num>
  <w:num w:numId="8" w16cid:durableId="257254697">
    <w:abstractNumId w:val="1"/>
  </w:num>
  <w:num w:numId="9" w16cid:durableId="1429695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816"/>
    <w:rsid w:val="0015074B"/>
    <w:rsid w:val="0017713B"/>
    <w:rsid w:val="001D33F7"/>
    <w:rsid w:val="002677E3"/>
    <w:rsid w:val="0029639D"/>
    <w:rsid w:val="00326F90"/>
    <w:rsid w:val="00355593"/>
    <w:rsid w:val="00683CB5"/>
    <w:rsid w:val="00696210"/>
    <w:rsid w:val="00867BC6"/>
    <w:rsid w:val="00922D7A"/>
    <w:rsid w:val="00A9272A"/>
    <w:rsid w:val="00AA1D8D"/>
    <w:rsid w:val="00B47730"/>
    <w:rsid w:val="00BB2322"/>
    <w:rsid w:val="00CB0664"/>
    <w:rsid w:val="00D735EB"/>
    <w:rsid w:val="00F335F0"/>
    <w:rsid w:val="00FC693F"/>
    <w:rsid w:val="00FE27D5"/>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4" w:lineRule="auto"/>
      <w:ind w:firstLine="567"/>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1723</Words>
  <Characters>9825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KK KK</cp:lastModifiedBy>
  <cp:revision>3</cp:revision>
  <dcterms:created xsi:type="dcterms:W3CDTF">2026-11-02T12:27:00Z</dcterms:created>
  <dcterms:modified xsi:type="dcterms:W3CDTF">2026-11-04T05:24:00Z</dcterms:modified>
  <cp:category/>
</cp:coreProperties>
</file>