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7539" w14:textId="77777777" w:rsidR="00AB506F" w:rsidRPr="00DC34DE" w:rsidRDefault="00AB506F" w:rsidP="00AB506F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C34DE">
        <w:rPr>
          <w:rFonts w:ascii="Arial" w:hAnsi="Arial" w:cs="Arial"/>
          <w:b/>
          <w:sz w:val="24"/>
          <w:szCs w:val="24"/>
          <w:lang w:val="mn-MN"/>
        </w:rPr>
        <w:t>ТАНИЛЦУУЛГА</w:t>
      </w:r>
    </w:p>
    <w:p w14:paraId="5D8AFD4C" w14:textId="77777777" w:rsidR="00AB506F" w:rsidRPr="00DC34DE" w:rsidRDefault="00AB506F" w:rsidP="00AB506F">
      <w:pPr>
        <w:spacing w:after="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8243489" w14:textId="77777777" w:rsidR="00AB506F" w:rsidRPr="00DC34DE" w:rsidRDefault="00AB506F" w:rsidP="00AB506F">
      <w:pPr>
        <w:shd w:val="clear" w:color="auto" w:fill="FFFFFF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C34DE">
        <w:rPr>
          <w:rFonts w:ascii="Arial" w:hAnsi="Arial" w:cs="Arial"/>
          <w:color w:val="000000"/>
          <w:sz w:val="24"/>
          <w:szCs w:val="24"/>
          <w:lang w:val="mn-MN"/>
        </w:rPr>
        <w:t>Уул уурхайн бүтээгдэхүүний биржийн тухай анхдагч хуулийн төслийг Монгол Улсын Үндсэн хууль болон бусад хууль тогтоомжтой нийцүүлж боловсрууллаа.</w:t>
      </w:r>
    </w:p>
    <w:p w14:paraId="60004322" w14:textId="77777777" w:rsidR="00AB506F" w:rsidRPr="00DC34DE" w:rsidRDefault="00AB506F" w:rsidP="00AB506F">
      <w:pPr>
        <w:pStyle w:val="NormalWeb"/>
        <w:shd w:val="clear" w:color="auto" w:fill="FFFFFF"/>
        <w:tabs>
          <w:tab w:val="left" w:pos="2250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DC34DE">
        <w:rPr>
          <w:rFonts w:ascii="Arial" w:hAnsi="Arial" w:cs="Arial"/>
          <w:color w:val="000000"/>
          <w:lang w:val="mn-MN"/>
        </w:rPr>
        <w:t>Монгол Улсын Үндсэн хуулийн Зургадугаар зүйлийн 2 дахь хэсэгт “</w:t>
      </w:r>
      <w:proofErr w:type="spellStart"/>
      <w:r w:rsidRPr="00DC34DE">
        <w:rPr>
          <w:rFonts w:ascii="Arial" w:hAnsi="Arial" w:cs="Arial"/>
        </w:rPr>
        <w:t>Монгол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Улсын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иргэдэд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өмчлүүлснээс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бусад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газар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түүнчлэн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газрын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хэвлий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түүний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баялаг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ой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усны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нөөц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ан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амьтан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төрийн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нийтийн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өмч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мөн</w:t>
      </w:r>
      <w:proofErr w:type="spellEnd"/>
      <w:r w:rsidRPr="00DC34DE">
        <w:rPr>
          <w:rFonts w:ascii="Arial" w:hAnsi="Arial" w:cs="Arial"/>
        </w:rPr>
        <w:t>.</w:t>
      </w:r>
      <w:r w:rsidRPr="00DC34DE">
        <w:rPr>
          <w:rFonts w:ascii="Arial" w:hAnsi="Arial" w:cs="Arial"/>
          <w:color w:val="000000"/>
          <w:lang w:val="mn-MN"/>
        </w:rPr>
        <w:t xml:space="preserve"> </w:t>
      </w:r>
      <w:proofErr w:type="spellStart"/>
      <w:r w:rsidRPr="00DC34DE">
        <w:rPr>
          <w:rFonts w:ascii="Arial" w:hAnsi="Arial" w:cs="Arial"/>
        </w:rPr>
        <w:t>Байгалийн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баялгийг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ашиглах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төрийн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бодлого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нь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урт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хугацааны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хөгжлийн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бодлогод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тулгуурлаж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одоо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ба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ирээдүи</w:t>
      </w:r>
      <w:proofErr w:type="spellEnd"/>
      <w:r w:rsidRPr="00DC34DE">
        <w:rPr>
          <w:rFonts w:ascii="Arial" w:hAnsi="Arial" w:cs="Arial"/>
        </w:rPr>
        <w:t xml:space="preserve">̆ </w:t>
      </w:r>
      <w:proofErr w:type="spellStart"/>
      <w:r w:rsidRPr="00DC34DE">
        <w:rPr>
          <w:rFonts w:ascii="Arial" w:hAnsi="Arial" w:cs="Arial"/>
        </w:rPr>
        <w:t>үеийн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иргэн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бүрд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эрүүл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аюулгүи</w:t>
      </w:r>
      <w:proofErr w:type="spellEnd"/>
      <w:r w:rsidRPr="00DC34DE">
        <w:rPr>
          <w:rFonts w:ascii="Arial" w:hAnsi="Arial" w:cs="Arial"/>
        </w:rPr>
        <w:t xml:space="preserve">̆ </w:t>
      </w:r>
      <w:proofErr w:type="spellStart"/>
      <w:r w:rsidRPr="00DC34DE">
        <w:rPr>
          <w:rFonts w:ascii="Arial" w:hAnsi="Arial" w:cs="Arial"/>
        </w:rPr>
        <w:t>орчинд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амьдрах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эрхийг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нь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баталгаажуулах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газрын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хэвлийн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баялгийн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үр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өгөөжийг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Үндэснии</w:t>
      </w:r>
      <w:proofErr w:type="spellEnd"/>
      <w:r w:rsidRPr="00DC34DE">
        <w:rPr>
          <w:rFonts w:ascii="Arial" w:hAnsi="Arial" w:cs="Arial"/>
        </w:rPr>
        <w:t xml:space="preserve">̆ </w:t>
      </w:r>
      <w:proofErr w:type="spellStart"/>
      <w:r w:rsidRPr="00DC34DE">
        <w:rPr>
          <w:rFonts w:ascii="Arial" w:hAnsi="Arial" w:cs="Arial"/>
        </w:rPr>
        <w:t>баялгийн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санд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төвлөрүүлж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тэгш</w:t>
      </w:r>
      <w:proofErr w:type="spellEnd"/>
      <w:r w:rsidRPr="00DC34DE">
        <w:rPr>
          <w:rFonts w:ascii="Arial" w:hAnsi="Arial" w:cs="Arial"/>
        </w:rPr>
        <w:t xml:space="preserve">, </w:t>
      </w:r>
      <w:proofErr w:type="spellStart"/>
      <w:r w:rsidRPr="00DC34DE">
        <w:rPr>
          <w:rFonts w:ascii="Arial" w:hAnsi="Arial" w:cs="Arial"/>
        </w:rPr>
        <w:t>шударга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хүртээхэд</w:t>
      </w:r>
      <w:proofErr w:type="spellEnd"/>
      <w:r w:rsidRPr="00DC34DE">
        <w:rPr>
          <w:rFonts w:ascii="Arial" w:hAnsi="Arial" w:cs="Arial"/>
        </w:rPr>
        <w:t xml:space="preserve"> </w:t>
      </w:r>
      <w:proofErr w:type="spellStart"/>
      <w:r w:rsidRPr="00DC34DE">
        <w:rPr>
          <w:rFonts w:ascii="Arial" w:hAnsi="Arial" w:cs="Arial"/>
        </w:rPr>
        <w:t>чиглэнэ</w:t>
      </w:r>
      <w:proofErr w:type="spellEnd"/>
      <w:r w:rsidRPr="00DC34DE">
        <w:rPr>
          <w:rFonts w:ascii="Arial" w:hAnsi="Arial" w:cs="Arial"/>
        </w:rPr>
        <w:t>.</w:t>
      </w:r>
      <w:r w:rsidRPr="00DC34DE">
        <w:rPr>
          <w:rFonts w:ascii="Arial" w:hAnsi="Arial" w:cs="Arial"/>
          <w:color w:val="000000"/>
          <w:lang w:val="mn-MN"/>
        </w:rPr>
        <w:t>, ...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Стратегийн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ач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холбогдол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бүхий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ашигт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малтмалын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ордыг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ашиглахдаа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байгалийн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баялаг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ард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түмний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мэдэлд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байх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зарчимд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нийцүүлэн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түүний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үр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өгөөжийн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дийлэнх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нь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ард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түмэнд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ногдож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байх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эрх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зүйн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үндсийг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хуулиар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hd w:val="clear" w:color="auto" w:fill="FFFFFF"/>
        </w:rPr>
        <w:t>тогтооно</w:t>
      </w:r>
      <w:proofErr w:type="spellEnd"/>
      <w:r w:rsidRPr="00DC34DE">
        <w:rPr>
          <w:rFonts w:ascii="Arial" w:hAnsi="Arial" w:cs="Arial"/>
          <w:color w:val="000000"/>
          <w:shd w:val="clear" w:color="auto" w:fill="FFFFFF"/>
        </w:rPr>
        <w:t>.</w:t>
      </w:r>
      <w:r w:rsidRPr="00DC34DE">
        <w:rPr>
          <w:rFonts w:ascii="Arial" w:hAnsi="Arial" w:cs="Arial"/>
          <w:color w:val="000000"/>
          <w:lang w:val="mn-MN"/>
        </w:rPr>
        <w:t>” гэж заасан.</w:t>
      </w:r>
    </w:p>
    <w:p w14:paraId="051C679E" w14:textId="77777777" w:rsidR="00AB506F" w:rsidRPr="00DC34DE" w:rsidRDefault="00AB506F" w:rsidP="00AB506F">
      <w:pPr>
        <w:pStyle w:val="NormalWeb"/>
        <w:shd w:val="clear" w:color="auto" w:fill="FFFFFF"/>
        <w:tabs>
          <w:tab w:val="left" w:pos="2250"/>
        </w:tabs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DBFB9F8" w14:textId="77777777" w:rsidR="00AB506F" w:rsidRPr="00DC34DE" w:rsidRDefault="00AB506F" w:rsidP="00AB506F">
      <w:pPr>
        <w:tabs>
          <w:tab w:val="left" w:pos="2250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Түүнчлэн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2020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24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дүгээр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тогтоолоор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баталсан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Засгийн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газрын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2020-2024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ажиллагааны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хөтөлбөр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”-т “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хариуцлагатай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нэмүү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өртөг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шингэсэн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үйлдвэрлэлийг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хөгжүүлж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олон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тулгуурт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эдийн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засгийн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бүтцийг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болгож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баялгийн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шударга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хуваарилалтын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зарчмыг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хэрэгжүүлнэ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.”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заасан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2F4E20F5" w14:textId="77777777" w:rsidR="00AB506F" w:rsidRPr="00DC34DE" w:rsidRDefault="00AB506F" w:rsidP="00AB506F">
      <w:pPr>
        <w:tabs>
          <w:tab w:val="left" w:pos="2250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35323E1" w14:textId="77777777" w:rsidR="00AB506F" w:rsidRPr="00DC34DE" w:rsidRDefault="00AB506F" w:rsidP="00AB506F">
      <w:pPr>
        <w:tabs>
          <w:tab w:val="left" w:pos="2250"/>
        </w:tabs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2014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18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дугаар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тогтоолоор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баталсан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Төрөөс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эрдэс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баялгийн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салбарт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баримтлах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бодлого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>”-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3.7.5</w:t>
      </w:r>
      <w:r w:rsidRPr="00DC34DE">
        <w:rPr>
          <w:rFonts w:ascii="Arial" w:eastAsia="Arial" w:hAnsi="Arial" w:cs="Arial"/>
          <w:color w:val="000000"/>
          <w:sz w:val="24"/>
          <w:szCs w:val="24"/>
        </w:rPr>
        <w:t>-д “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Эрдэс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баялгийн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гадаад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дотоодын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дээрх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борлуулалтыг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нээлттэй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оновчтой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өндөр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ашигтай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зарчимд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нийцсэн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аргаар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хийх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шударгаар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дотоодын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хөрөнгийн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хөгжүүлэх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экспортыг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нэгдсэн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бодлогоор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зохицуулах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зорилгоор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эрдэс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баялгийн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байгуулах;” гэж, 3.7.10-т “Ашигт малтмалыг олон улсын зах зээлийн үнээр борлуулах боломжийг бүрдүүлж, эрдэс баялгийн салбараас орох орлогыг нэмэгдүүлэх  бодлогын хүрээнд ашигт малтмалын нөөц ашигласны төлбөр тооцох арга, аргачлалыг боловсронгуй болгох; “ гэж тус тус гэж заасан.</w:t>
      </w:r>
    </w:p>
    <w:p w14:paraId="07945685" w14:textId="77777777" w:rsidR="00AB506F" w:rsidRPr="00DC34DE" w:rsidRDefault="00AB506F" w:rsidP="00AB50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0C7CF62" w14:textId="77777777" w:rsidR="00AB506F" w:rsidRDefault="00AB506F" w:rsidP="00AB50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C34DE">
        <w:rPr>
          <w:rFonts w:ascii="Arial" w:hAnsi="Arial" w:cs="Arial"/>
          <w:color w:val="000000"/>
          <w:sz w:val="24"/>
          <w:szCs w:val="24"/>
          <w:lang w:val="mn-MN"/>
        </w:rPr>
        <w:t xml:space="preserve">Уул уурхайн бүтээгдэхүүний биржийн тухай анхдагч хуулийн </w:t>
      </w:r>
      <w:r w:rsidRPr="00DC34DE">
        <w:rPr>
          <w:rFonts w:ascii="Arial" w:hAnsi="Arial" w:cs="Arial"/>
          <w:sz w:val="24"/>
          <w:szCs w:val="24"/>
          <w:lang w:val="mn-MN"/>
        </w:rPr>
        <w:t>төслийг боловсруулах үүрэг бүхий ажлын хэсэг Уул уурхай, хүнд үйлдвэрийн сайды</w:t>
      </w:r>
      <w:r>
        <w:rPr>
          <w:rFonts w:ascii="Arial" w:hAnsi="Arial" w:cs="Arial"/>
          <w:sz w:val="24"/>
          <w:szCs w:val="24"/>
          <w:lang w:val="mn-MN"/>
        </w:rPr>
        <w:t>н</w:t>
      </w:r>
      <w:r w:rsidRPr="00DC34DE">
        <w:rPr>
          <w:rFonts w:ascii="Arial" w:hAnsi="Arial" w:cs="Arial"/>
          <w:sz w:val="24"/>
          <w:szCs w:val="24"/>
          <w:lang w:val="mn-MN"/>
        </w:rPr>
        <w:t xml:space="preserve">  2021 оны А/93 дугаар тушаалаар Уул уурхай, хүнд үйлдвэрийн яам</w:t>
      </w:r>
      <w:r>
        <w:rPr>
          <w:rFonts w:ascii="Arial" w:hAnsi="Arial" w:cs="Arial"/>
          <w:sz w:val="24"/>
          <w:szCs w:val="24"/>
          <w:lang w:val="mn-MN"/>
        </w:rPr>
        <w:t>, Сангийн яам</w:t>
      </w:r>
      <w:r w:rsidRPr="00DC34DE">
        <w:rPr>
          <w:rFonts w:ascii="Arial" w:hAnsi="Arial" w:cs="Arial"/>
          <w:sz w:val="24"/>
          <w:szCs w:val="24"/>
          <w:lang w:val="mn-MN"/>
        </w:rPr>
        <w:t xml:space="preserve">ны холбогдох албан тушаалтнуудыг оролцуулан байгуулагдан ажилласан.   </w:t>
      </w:r>
    </w:p>
    <w:p w14:paraId="6C6BBCBD" w14:textId="77777777" w:rsidR="00AB506F" w:rsidRPr="00DC34DE" w:rsidRDefault="00AB506F" w:rsidP="00AB506F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C348C34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шударга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нээлттэй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бодит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боломжийг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хангах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экспортыг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нэгдсэн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бодлогоор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зохицуулах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замаар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салбарт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хөрөнгө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сонирхлыг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нэмэгдүүлэх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эдийн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засгийн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өсөлтөд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салбарын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хувь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нэмрийг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улам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өргөжүүлэх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шаардлага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тулгараад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06F39650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9DA326F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Сүүлийн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жилүүдэд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уурхай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DC34DE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t>олборлох</w:t>
      </w:r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салбар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өндөр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t>хурдацтай</w:t>
      </w:r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хөгжиж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2005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оноос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хойш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дотоодын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нийт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бүтээгдэхүүнд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салбарын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эзлэх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хувийн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жин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гаруй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хувьд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хүрсэн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DC34DE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t>Өнөөгийн байдлаар Монгол Улсын дотоодын нийт бүтээгдэхүүний 22 хувь, гадаадын шууд хөрөнгө оруулалтын 71</w:t>
      </w:r>
      <w:r w:rsidRPr="00DC34DE">
        <w:rPr>
          <w:rStyle w:val="FootnoteReference"/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footnoteReference w:id="1"/>
      </w:r>
      <w:r w:rsidRPr="00DC34DE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t xml:space="preserve"> хувь, экспортын 94 хувийг бүрдүүлж буйн хувьд энэ салбар нь манай улсын эдийн засгийн тулгуур </w:t>
      </w:r>
      <w:r w:rsidRPr="00DC34DE"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lastRenderedPageBreak/>
        <w:t xml:space="preserve">багана болж байна. Энэ ч агуулгаар уул уурхайн салбараас хүртэх орлогыг ил тод, хамгийн боломжит үнээр төвлөрүүлэх нь чухал юм. </w:t>
      </w:r>
    </w:p>
    <w:p w14:paraId="52CDAF14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7C27B8A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дотоод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гадаад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дараах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хүндрэлүүд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тулгарч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DC34DE">
        <w:rPr>
          <w:rFonts w:ascii="Arial" w:hAnsi="Arial" w:cs="Arial"/>
          <w:color w:val="000000"/>
          <w:sz w:val="24"/>
          <w:szCs w:val="24"/>
        </w:rPr>
        <w:t>байна.Үүнд</w:t>
      </w:r>
      <w:proofErr w:type="spellEnd"/>
      <w:proofErr w:type="gramEnd"/>
      <w:r w:rsidRPr="00DC34DE">
        <w:rPr>
          <w:rFonts w:ascii="Arial" w:hAnsi="Arial" w:cs="Arial"/>
          <w:color w:val="000000"/>
          <w:sz w:val="24"/>
          <w:szCs w:val="24"/>
        </w:rPr>
        <w:t>:</w:t>
      </w:r>
    </w:p>
    <w:p w14:paraId="3B0A3ED7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1319928D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бодит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худалдааны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нөхцөл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чанарын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талаарх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мэдээлэл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нээлттэй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бус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байдгаас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ашигтай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хэлцэл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хийх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боломж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муу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зардал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өндөр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5717F9E5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DDABBC1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борлуулах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байгуулалттай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болоогүй</w:t>
      </w:r>
      <w:proofErr w:type="spellEnd"/>
      <w:r>
        <w:rPr>
          <w:rFonts w:ascii="Arial" w:hAnsi="Arial" w:cs="Arial"/>
          <w:color w:val="000000"/>
          <w:sz w:val="24"/>
          <w:szCs w:val="24"/>
          <w:lang w:val="mn-MN"/>
        </w:rPr>
        <w:t>н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улмаас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ханш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дэлхийн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үнээс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үлэмж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доогуур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5B61B4BA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4E5F26B3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үндсэн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арилжаалагдах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борлуулалтын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үнэлгээ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тогтоогдож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хууль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тогтоомжийн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дагуу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албан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татвар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төлбөр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хураамж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ногдож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Гэвч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гэрээгээр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тохирсон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ханшнаас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үлэмж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зөрүүтэй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байдгаас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борлуулалтаас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олох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орлогыг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ихээхэн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бууруулж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35C86C8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7FAB73C1" w14:textId="77777777" w:rsidR="00AB506F" w:rsidRPr="00DC34DE" w:rsidRDefault="00AB506F" w:rsidP="00AB506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4DE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Бусад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зохицуулалт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туршлагыг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судлах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хүрээнд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чиглэлээр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БНХАУ-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туршлага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бараа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чадавхтай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холбоотой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учирч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бэрхшээл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түүнээс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урьдчилан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сэргийлэх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бараа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холбоотой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хяналт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хариуцлагын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асуудлыг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тодруулах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дэвшилтэд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механизм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нэвтрүүлэх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аргалчлал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зэргийг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харьцуулж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цаашид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хэрэгжүүлэх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ажиллагааг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судалсан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болно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6F84AFCB" w14:textId="77777777" w:rsidR="00AB506F" w:rsidRPr="00DC34DE" w:rsidRDefault="00AB506F" w:rsidP="00AB506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4DE">
        <w:rPr>
          <w:rFonts w:ascii="Arial" w:hAnsi="Arial" w:cs="Arial"/>
          <w:color w:val="000000"/>
          <w:sz w:val="24"/>
          <w:szCs w:val="24"/>
        </w:rPr>
        <w:tab/>
      </w:r>
    </w:p>
    <w:p w14:paraId="5058E22D" w14:textId="77777777" w:rsidR="00AB506F" w:rsidRPr="00DC34DE" w:rsidRDefault="00AB506F" w:rsidP="00AB506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4DE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Тухайлбал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Америкийн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Нэгдсэн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Чикакогийн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жишгээр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бэлэн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форвард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хэлцэл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хийж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туршлагатай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болсны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дараагаар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фьючерсын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худалдааг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хийхээр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зорьж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буй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бөгөөд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фьючерсийн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худалдаа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дээрх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эрсдлийг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бууруулах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нөхцөл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боломжтой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юм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Мөн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БНХАУ-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Шанхайн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металлын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фьючерсийн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зүйн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орчныг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судлан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хөрвөх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чадварыг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нэмэгдүүлэх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зуучлагчдын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зүйн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зохицуулалтыг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боловсронгуй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болгож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брокерийн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харилцааг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боловсронгуй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болгох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хүрээнд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туршлагыг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судалж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хэрэгжүүлэх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боломжтой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үзэж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7CE9B3AF" w14:textId="77777777" w:rsidR="00AB506F" w:rsidRPr="00DC34DE" w:rsidRDefault="00AB506F" w:rsidP="00AB506F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9F2A86" w14:textId="77777777" w:rsidR="00AB506F" w:rsidRPr="00DC34DE" w:rsidRDefault="00AB506F" w:rsidP="00AB506F">
      <w:pPr>
        <w:tabs>
          <w:tab w:val="left" w:pos="2250"/>
        </w:tabs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sz w:val="24"/>
          <w:szCs w:val="24"/>
          <w:lang w:eastAsia="zh-CN"/>
        </w:rPr>
      </w:pP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 xml:space="preserve">Дээр дурдсан нөхцөл шаардлагын хүрээнд Монгол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Үндсэн хуульд заагдсан төрийн нийтийн өмч болох газрын доорх баялгаас хүртэх үр өгөөжийг үндэсний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баялгийн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санд төвлөрүүлж, одоо ба ирээдүй үеийн иргэн бүрд тэгш, шударга хүртээх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зорилгоор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 xml:space="preserve">бүтээгдэхүүний үнэлгээг олон улсын зах зээлийн жишиг үнээр үнэлэн, түүнээс хүртэх үр ашгийг нэмэгдүүлж, борлуулалт, орлогод хяналт тавих зорилгоор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төслийг боловсруулах зайлшгүй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шаардлага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байна.</w:t>
      </w:r>
    </w:p>
    <w:p w14:paraId="712F2A86" w14:textId="77777777" w:rsidR="00AB506F" w:rsidRPr="00DC34DE" w:rsidRDefault="00AB506F" w:rsidP="00AB506F">
      <w:pPr>
        <w:tabs>
          <w:tab w:val="left" w:pos="2250"/>
        </w:tabs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sz w:val="24"/>
          <w:szCs w:val="24"/>
          <w:lang w:eastAsia="zh-CN"/>
        </w:rPr>
      </w:pPr>
    </w:p>
    <w:p w14:paraId="397F3A56" w14:textId="77777777" w:rsidR="00AB506F" w:rsidRDefault="00AB506F" w:rsidP="00AB506F">
      <w:pPr>
        <w:tabs>
          <w:tab w:val="left" w:pos="2250"/>
        </w:tabs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sz w:val="24"/>
          <w:szCs w:val="24"/>
          <w:lang w:eastAsia="zh-CN"/>
        </w:rPr>
      </w:pP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Энэхүү бирж нь төрийн өмчит компани хэлбэрээр үйл ажиллагаа явуулна.</w:t>
      </w:r>
    </w:p>
    <w:p w14:paraId="60EDBF32" w14:textId="77777777" w:rsidR="00AB506F" w:rsidRPr="003C3554" w:rsidRDefault="00AB506F" w:rsidP="00AB506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C34DE">
        <w:rPr>
          <w:rFonts w:ascii="Arial" w:hAnsi="Arial" w:cs="Arial"/>
          <w:color w:val="000000"/>
          <w:sz w:val="24"/>
          <w:szCs w:val="24"/>
        </w:rPr>
        <w:tab/>
      </w:r>
    </w:p>
    <w:p w14:paraId="1BCCC5B8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MS Mincho" w:hAnsi="Arial" w:cs="Arial"/>
          <w:sz w:val="24"/>
          <w:szCs w:val="24"/>
          <w:lang w:val="mn-MN" w:eastAsia="ja-JP"/>
        </w:rPr>
      </w:pPr>
      <w:r w:rsidRPr="00DC34DE">
        <w:rPr>
          <w:rFonts w:ascii="Arial" w:eastAsia="MS Mincho" w:hAnsi="Arial" w:cs="Arial"/>
          <w:sz w:val="24"/>
          <w:szCs w:val="24"/>
          <w:lang w:val="mn-MN" w:eastAsia="ja-JP"/>
        </w:rPr>
        <w:t xml:space="preserve">Дээрх дурдсан болон бусад асуудлыг цогцоор шийдвэрлэх зорилгоор Хууль тогтоомжийн тухай хуульд заасан шаардлагад нийцүүлэн Уул уурхайн бүтээгдэхүүний Биржийн тухай анхдагч хуулийн төслийг боловсруулав. </w:t>
      </w:r>
    </w:p>
    <w:p w14:paraId="19C9F48B" w14:textId="77777777" w:rsidR="00AB506F" w:rsidRPr="00DC34DE" w:rsidRDefault="00AB506F" w:rsidP="00AB506F">
      <w:pPr>
        <w:pStyle w:val="BodyText3"/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3B74405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lastRenderedPageBreak/>
        <w:t>Хууль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тогтоомжийн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23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дугаар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зүйлд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заасны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дагуу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арилжааг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шударга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нээлттэй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ил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зохион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байгуулж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бодит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үнэ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тогтоох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боломжийг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хангах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экспортыг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нэгдсэн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бодлогоор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зохицуулах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замаар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салбарт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хөрөнгө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сонирхлыг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нэмэгдүүлэх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эдийн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засгийн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өсөлтөд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салбарын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хувь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нэмрийг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улам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өргөжүүлэх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харилцааг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нарийвчлан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зохицуулах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шаардлагаар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анхдагч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хуулийн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төсөл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боловсруулах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бөгөөд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хуулийн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төсөл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нь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7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бүлэгтэй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  <w:shd w:val="clear" w:color="auto" w:fill="FFFFFF"/>
        </w:rPr>
        <w:t>байна</w:t>
      </w:r>
      <w:proofErr w:type="spellEnd"/>
      <w:r w:rsidRPr="00DC34D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14:paraId="58B9779D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5E2EAF5B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төсөлд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зүй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байгуулалтын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хэлбэрийг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асуудал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чиг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үүрэг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ажиллагааны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онцлог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харилцааг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зохицуулах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суурилсан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оруулахаар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бүртгэх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стандартыг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төрөл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төлбөр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тооцоог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гүйцэтгэх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баталгааг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хангах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оролцох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олгох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шударга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байдлыг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хангах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нийтэд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хүргэх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мэдээллийн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бүрдүүлэх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нийтэд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мэдээлэл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хүргэхтэй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холбогдсон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нарийвчилсан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харилцааг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дараах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байдлаар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тусгана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Үүнд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400A106C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D24DB52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DC34DE">
        <w:rPr>
          <w:rFonts w:ascii="Arial" w:hAnsi="Arial" w:cs="Arial"/>
          <w:sz w:val="24"/>
          <w:szCs w:val="24"/>
          <w:lang w:val="mn-MN"/>
        </w:rPr>
        <w:t>Хуулийн төслийн зохицуулах харилцаа, хамрах хүрээг дараах байдлаар тусгалаа. Үүнд:</w:t>
      </w:r>
    </w:p>
    <w:p w14:paraId="69FEBBB1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6C736C82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1.Хуулийн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зорилт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хууль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тогтоомж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үйлчлэх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хүрээ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нэр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томьёоны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тодорхойлолт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гэсэн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нийтлэг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үндэслэл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  </w:t>
      </w:r>
    </w:p>
    <w:p w14:paraId="2316B70E" w14:textId="77777777" w:rsidR="00AB506F" w:rsidRPr="00DC34DE" w:rsidRDefault="00AB506F" w:rsidP="00AB506F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79696E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2.Биржийн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зорилго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чиг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үүрэг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ажиллагааны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зарчим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бирж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байгуулах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нөхцөл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шаардлага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ажиллагааны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дүрэм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журам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; </w:t>
      </w:r>
    </w:p>
    <w:p w14:paraId="01CE7688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A60384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3.Биржийн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ажиллагааны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чиглэл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төрөл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арилжааны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нөхцөл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журам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түүний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зохион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байгуулалт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43E1BD11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1F050D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4.Биржийн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ажиллагаанд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оролцох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төрийн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байгууллагын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хэмжээг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тодорхойлно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2F118F54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B4478E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5.Биржийн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арилжаанд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оролцогчийн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үүрэг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хориглох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зүйлийг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тодорхойлно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229FBB6" w14:textId="77777777" w:rsidR="00AB506F" w:rsidRPr="00DC34DE" w:rsidRDefault="00AB506F" w:rsidP="00AB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AA48E3" w14:textId="77777777" w:rsidR="00AB506F" w:rsidRPr="00DC34DE" w:rsidRDefault="00AB506F" w:rsidP="00AB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34DE">
        <w:rPr>
          <w:rFonts w:ascii="Arial" w:eastAsia="Arial" w:hAnsi="Arial" w:cs="Arial"/>
          <w:color w:val="000000"/>
          <w:sz w:val="24"/>
          <w:szCs w:val="24"/>
          <w:lang w:val="mn-MN"/>
        </w:rPr>
        <w:t>6.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ажиллагаанд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тавих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хяналт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; </w:t>
      </w:r>
    </w:p>
    <w:p w14:paraId="32BB0927" w14:textId="77777777" w:rsidR="00AB506F" w:rsidRPr="00DC34DE" w:rsidRDefault="00AB506F" w:rsidP="00AB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C5AEB18" w14:textId="77777777" w:rsidR="00AB506F" w:rsidRPr="00DC34DE" w:rsidRDefault="00AB506F" w:rsidP="00AB50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DC34DE">
        <w:rPr>
          <w:rFonts w:ascii="Arial" w:eastAsia="Arial" w:hAnsi="Arial" w:cs="Arial"/>
          <w:color w:val="000000"/>
          <w:sz w:val="24"/>
          <w:szCs w:val="24"/>
        </w:rPr>
        <w:tab/>
      </w:r>
      <w:r w:rsidRPr="00DC34DE">
        <w:rPr>
          <w:rFonts w:ascii="Arial" w:eastAsia="Arial" w:hAnsi="Arial" w:cs="Arial"/>
          <w:color w:val="000000"/>
          <w:sz w:val="24"/>
          <w:szCs w:val="24"/>
          <w:lang w:val="mn-MN"/>
        </w:rPr>
        <w:t>7.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үйл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ажиллагаатай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холбоотой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маргаан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шийдвэрлэх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хууль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тогтоомж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зөрчигчдөд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хүлээлгэх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хариуцлага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хууль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хүчин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төгөлдөр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болох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  <w:lang w:val="mn-MN"/>
        </w:rPr>
        <w:t>.</w:t>
      </w:r>
    </w:p>
    <w:p w14:paraId="56F9CDF6" w14:textId="77777777" w:rsidR="00AB506F" w:rsidRPr="00DC34DE" w:rsidRDefault="00AB506F" w:rsidP="00AB506F">
      <w:pPr>
        <w:pStyle w:val="BodyText3"/>
        <w:tabs>
          <w:tab w:val="left" w:pos="0"/>
        </w:tabs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485F32D4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зүйн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орчин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бүрдэж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 xml:space="preserve">улмаар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нийлүүлэгч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худалдан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авагчийг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холбох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найдвартай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тогтолцоо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бодитой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ханш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хэлцлийн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мэдээлэл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олон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нээлттэй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зарлагдсанаар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хөрөнгө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оруулагчид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найдвартай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мэдээллээр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хангагдах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улмаар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өрсөлдөх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чадвар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нэмэгдэнэ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72DCE67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35401AA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борлуулалтын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хэмжээ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ил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болсноор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арилжаанаас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тооцох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татвар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хураамжийг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үндэслэлтэй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тогтоох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нөхцөл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бүрдэж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төсвийн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орлого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нэмэгдэнэ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Мөн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нийлүүлэх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гэрээний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lastRenderedPageBreak/>
        <w:t>үүргийн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хэрэгжилт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баталгаатай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болж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оролцогчдын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эрсдэл буурах,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хөрөнгө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оруулалтын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таатай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r w:rsidRPr="00DC34DE">
        <w:rPr>
          <w:rFonts w:ascii="Arial" w:hAnsi="Arial" w:cs="Arial"/>
          <w:noProof/>
          <w:color w:val="000000"/>
          <w:sz w:val="24"/>
          <w:szCs w:val="24"/>
          <w:lang w:eastAsia="zh-CN"/>
        </w:rPr>
        <w:t>орчин бий болох ач холбогдолтой</w:t>
      </w:r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8D08BBB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038D6EE3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байгуулагдсанаар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төлбөр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тооцоо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банк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санхүүгийн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байгууллагаар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дамжин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хийгдэж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гадаад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валютын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орлого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нэмэгдэж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ханш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тогтворжих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таатай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нөхцөл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бүрдэнэ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3E3BECC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31B8B20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Түүнчлэн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чанар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олон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стандартын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түвшинд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хүрч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сайжрах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бөгөөд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үүнийг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дагаад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техник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технологийн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шинэчлэл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хийгдэх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шинээр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ажлын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нөхцөл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бүрдэнэ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Мөн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дагалдан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арилжааны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зуучлагч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тээвэр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логистик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баталгаат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агуулах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даатгал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зэрэг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цогц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үйлчилгээ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болох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юм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Энэ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нь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зохион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байгуулалттай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зах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зээлийн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найдвартай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тогтвортой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ажиллагааг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дэмжихийн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зэрэгцээ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татварын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суурийг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нэмэгдүүлэх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ач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холбогдолтой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42B51D7F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93966EE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Нөгөө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талаас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арилжааг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амжилттай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явуулах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зорилгоор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уурхайн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бүтээгдэхүүний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гарал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үүсэл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ангилал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кодчилол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чанарын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шаардлага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зэргийг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нарийн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тогтоох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улмаар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биржийн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ажиллагааг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хангах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техник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технологи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хүний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нөөцийн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чадавхийг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сайжруулах</w:t>
      </w:r>
      <w:proofErr w:type="spellEnd"/>
      <w:r w:rsidRPr="00DC34D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eastAsia="Arial" w:hAnsi="Arial" w:cs="Arial"/>
          <w:color w:val="000000"/>
          <w:sz w:val="24"/>
          <w:szCs w:val="24"/>
        </w:rPr>
        <w:t>зайлшгүй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шаардлагатай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color w:val="000000"/>
          <w:sz w:val="24"/>
          <w:szCs w:val="24"/>
        </w:rPr>
        <w:t>байна</w:t>
      </w:r>
      <w:proofErr w:type="spellEnd"/>
      <w:r w:rsidRPr="00DC34DE">
        <w:rPr>
          <w:rFonts w:ascii="Arial" w:hAnsi="Arial" w:cs="Arial"/>
          <w:color w:val="000000"/>
          <w:sz w:val="24"/>
          <w:szCs w:val="24"/>
        </w:rPr>
        <w:t>.</w:t>
      </w:r>
    </w:p>
    <w:p w14:paraId="6A2E9179" w14:textId="77777777" w:rsidR="00AB506F" w:rsidRPr="00DC34DE" w:rsidRDefault="00AB506F" w:rsidP="00AB506F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178FC712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Энэхүү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төслийг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Үндсэн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хууль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Монгол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нэгдэн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орсон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олон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улсын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гэрээ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конвенц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болон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бусад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тогтоомжтой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нийцүүлж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боловсруул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val="mn-MN"/>
        </w:rPr>
        <w:t>сан</w:t>
      </w:r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01D4B78A" w14:textId="77777777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891CCDF" w14:textId="664A95B8" w:rsidR="00AB506F" w:rsidRPr="00DC34DE" w:rsidRDefault="00AB506F" w:rsidP="00AB506F">
      <w:pPr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төсөлтэй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холбогдуулан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Санхүүгийн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зохицуулах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хорооны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эрх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зүйн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байдлын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хуульд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нэмэлт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өөрчлөлт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оруулах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Зөрчлийн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хуульд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нэмэлт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оруулах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Зөрчил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шалган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шийдвэрлэх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тухай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хуульд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нэмэлт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оруулах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тухай</w:t>
      </w:r>
      <w:proofErr w:type="spellEnd"/>
      <w:r w:rsidR="000755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хуулийн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төслийг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тус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тус</w:t>
      </w:r>
      <w:proofErr w:type="spellEnd"/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DC34DE">
        <w:rPr>
          <w:rFonts w:ascii="Arial" w:hAnsi="Arial" w:cs="Arial"/>
          <w:bCs/>
          <w:color w:val="000000"/>
          <w:sz w:val="24"/>
          <w:szCs w:val="24"/>
        </w:rPr>
        <w:t>боловсруул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val="mn-MN"/>
        </w:rPr>
        <w:t>лаа</w:t>
      </w:r>
      <w:r w:rsidRPr="00DC34DE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6C6D7981" w14:textId="77777777" w:rsidR="00AB506F" w:rsidRPr="00DC34DE" w:rsidRDefault="00AB506F" w:rsidP="00AB506F">
      <w:pPr>
        <w:spacing w:after="0"/>
        <w:rPr>
          <w:rFonts w:ascii="Arial" w:hAnsi="Arial" w:cs="Arial"/>
          <w:sz w:val="24"/>
          <w:szCs w:val="24"/>
        </w:rPr>
      </w:pPr>
    </w:p>
    <w:p w14:paraId="04B7C6AF" w14:textId="4DD6F204" w:rsidR="00AB506F" w:rsidRDefault="004657F8" w:rsidP="004657F8">
      <w:pPr>
        <w:jc w:val="center"/>
      </w:pPr>
      <w:r>
        <w:rPr>
          <w:rFonts w:ascii="Arial" w:hAnsi="Arial" w:cs="Arial"/>
          <w:sz w:val="24"/>
          <w:szCs w:val="24"/>
          <w:lang w:val="mn-MN"/>
        </w:rPr>
        <w:t>МОНГОЛ УЛСЫН ЗАСГИЙН ГАЗАР</w:t>
      </w:r>
    </w:p>
    <w:sectPr w:rsidR="00AB506F" w:rsidSect="00DC34DE">
      <w:pgSz w:w="11907" w:h="16840" w:code="9"/>
      <w:pgMar w:top="130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4ED6" w14:textId="77777777" w:rsidR="00C931A6" w:rsidRDefault="00C931A6" w:rsidP="00AB506F">
      <w:pPr>
        <w:spacing w:after="0" w:line="240" w:lineRule="auto"/>
      </w:pPr>
      <w:r>
        <w:separator/>
      </w:r>
    </w:p>
  </w:endnote>
  <w:endnote w:type="continuationSeparator" w:id="0">
    <w:p w14:paraId="1F3CA3C4" w14:textId="77777777" w:rsidR="00C931A6" w:rsidRDefault="00C931A6" w:rsidP="00AB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5A98" w14:textId="77777777" w:rsidR="00C931A6" w:rsidRDefault="00C931A6" w:rsidP="00AB506F">
      <w:pPr>
        <w:spacing w:after="0" w:line="240" w:lineRule="auto"/>
      </w:pPr>
      <w:r>
        <w:separator/>
      </w:r>
    </w:p>
  </w:footnote>
  <w:footnote w:type="continuationSeparator" w:id="0">
    <w:p w14:paraId="32A5BAB5" w14:textId="77777777" w:rsidR="00C931A6" w:rsidRDefault="00C931A6" w:rsidP="00AB506F">
      <w:pPr>
        <w:spacing w:after="0" w:line="240" w:lineRule="auto"/>
      </w:pPr>
      <w:r>
        <w:continuationSeparator/>
      </w:r>
    </w:p>
  </w:footnote>
  <w:footnote w:id="1">
    <w:p w14:paraId="78CD1882" w14:textId="77777777" w:rsidR="00AB506F" w:rsidRDefault="00AB506F" w:rsidP="00AB506F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6F"/>
    <w:rsid w:val="00075569"/>
    <w:rsid w:val="003679CA"/>
    <w:rsid w:val="004657F8"/>
    <w:rsid w:val="005C3FB7"/>
    <w:rsid w:val="009442D1"/>
    <w:rsid w:val="00AB506F"/>
    <w:rsid w:val="00C931A6"/>
    <w:rsid w:val="00C93EC2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E477"/>
  <w15:chartTrackingRefBased/>
  <w15:docId w15:val="{861745EF-56CE-4BC5-A05D-B3FE0BA1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06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50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AB506F"/>
    <w:pPr>
      <w:spacing w:after="120" w:line="240" w:lineRule="auto"/>
    </w:pPr>
    <w:rPr>
      <w:rFonts w:ascii="Arial Mon" w:eastAsia="Calibri" w:hAnsi="Arial Mo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B506F"/>
    <w:rPr>
      <w:rFonts w:ascii="Arial Mon" w:eastAsia="Calibri" w:hAnsi="Arial Mo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06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506F"/>
    <w:pPr>
      <w:spacing w:after="0" w:line="240" w:lineRule="auto"/>
    </w:pPr>
    <w:rPr>
      <w:rFonts w:eastAsia="Calibri" w:cs="Calibri"/>
      <w:sz w:val="20"/>
      <w:szCs w:val="20"/>
      <w:lang w:val="mn-M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06F"/>
    <w:rPr>
      <w:rFonts w:ascii="Calibri" w:eastAsia="Calibri" w:hAnsi="Calibri" w:cs="Calibri"/>
      <w:sz w:val="20"/>
      <w:szCs w:val="20"/>
      <w:lang w:val="mn-MN"/>
    </w:rPr>
  </w:style>
  <w:style w:type="character" w:styleId="FootnoteReference">
    <w:name w:val="footnote reference"/>
    <w:uiPriority w:val="99"/>
    <w:semiHidden/>
    <w:unhideWhenUsed/>
    <w:rsid w:val="00AB5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Jadamba Damdindoo</dc:creator>
  <cp:keywords/>
  <dc:description/>
  <cp:lastModifiedBy>Jadamba Damdindoo</cp:lastModifiedBy>
  <cp:revision>4</cp:revision>
  <dcterms:created xsi:type="dcterms:W3CDTF">2021-12-17T06:09:00Z</dcterms:created>
  <dcterms:modified xsi:type="dcterms:W3CDTF">2021-12-28T08:52:00Z</dcterms:modified>
</cp:coreProperties>
</file>