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A52" w:rsidRDefault="00DA6A52" w:rsidP="00972984">
      <w:pPr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972984" w:rsidRPr="00BA68BE" w:rsidRDefault="00972984" w:rsidP="00972984">
      <w:pPr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BA68BE">
        <w:rPr>
          <w:rFonts w:ascii="Arial" w:hAnsi="Arial" w:cs="Arial"/>
          <w:color w:val="000000" w:themeColor="text1"/>
          <w:sz w:val="24"/>
          <w:szCs w:val="24"/>
          <w:lang w:val="mn-MN"/>
        </w:rPr>
        <w:t>Төсөл</w:t>
      </w:r>
    </w:p>
    <w:p w:rsidR="00972984" w:rsidRPr="00BA68BE" w:rsidRDefault="00972984" w:rsidP="00972984">
      <w:pPr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BA68BE">
        <w:rPr>
          <w:rFonts w:ascii="Arial" w:hAnsi="Arial" w:cs="Arial"/>
          <w:color w:val="000000" w:themeColor="text1"/>
          <w:sz w:val="24"/>
          <w:szCs w:val="24"/>
          <w:lang w:val="mn-MN"/>
        </w:rPr>
        <w:t>202</w:t>
      </w:r>
      <w:r w:rsidR="009F1F03" w:rsidRPr="00BA68BE">
        <w:rPr>
          <w:rFonts w:ascii="Arial" w:hAnsi="Arial" w:cs="Arial"/>
          <w:color w:val="000000" w:themeColor="text1"/>
          <w:sz w:val="24"/>
          <w:szCs w:val="24"/>
          <w:lang w:val="mn-MN"/>
        </w:rPr>
        <w:t>2</w:t>
      </w:r>
      <w:r w:rsidRPr="00BA68BE">
        <w:rPr>
          <w:rFonts w:ascii="Arial" w:hAnsi="Arial" w:cs="Arial"/>
          <w:color w:val="000000" w:themeColor="text1"/>
          <w:sz w:val="24"/>
          <w:szCs w:val="24"/>
          <w:lang w:val="mn-MN"/>
        </w:rPr>
        <w:t>.</w:t>
      </w:r>
      <w:r w:rsidR="00D55C2F">
        <w:rPr>
          <w:rFonts w:ascii="Arial" w:hAnsi="Arial" w:cs="Arial"/>
          <w:color w:val="000000" w:themeColor="text1"/>
          <w:sz w:val="24"/>
          <w:szCs w:val="24"/>
          <w:lang w:val="mn-MN"/>
        </w:rPr>
        <w:t>12</w:t>
      </w:r>
      <w:r w:rsidRPr="00BA68BE">
        <w:rPr>
          <w:rFonts w:ascii="Arial" w:hAnsi="Arial" w:cs="Arial"/>
          <w:color w:val="000000" w:themeColor="text1"/>
          <w:sz w:val="24"/>
          <w:szCs w:val="24"/>
          <w:lang w:val="mn-MN"/>
        </w:rPr>
        <w:t>.</w:t>
      </w:r>
      <w:r w:rsidR="00D55C2F">
        <w:rPr>
          <w:rFonts w:ascii="Arial" w:hAnsi="Arial" w:cs="Arial"/>
          <w:color w:val="000000" w:themeColor="text1"/>
          <w:sz w:val="24"/>
          <w:szCs w:val="24"/>
          <w:lang w:val="mn-MN"/>
        </w:rPr>
        <w:t>1</w:t>
      </w:r>
      <w:r w:rsidR="008B0608">
        <w:rPr>
          <w:rFonts w:ascii="Arial" w:hAnsi="Arial" w:cs="Arial"/>
          <w:color w:val="000000" w:themeColor="text1"/>
          <w:sz w:val="24"/>
          <w:szCs w:val="24"/>
          <w:lang w:val="mn-MN"/>
        </w:rPr>
        <w:t>3</w:t>
      </w:r>
    </w:p>
    <w:p w:rsidR="009F1F03" w:rsidRPr="00BA68BE" w:rsidRDefault="009F1F03" w:rsidP="00972984">
      <w:pPr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  <w:r w:rsidRPr="00BA68BE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 xml:space="preserve">Томьёолсон хувилбар </w:t>
      </w:r>
    </w:p>
    <w:p w:rsidR="009F1F03" w:rsidRPr="00BA68BE" w:rsidRDefault="009F1F03" w:rsidP="00972984">
      <w:pPr>
        <w:spacing w:after="0" w:line="240" w:lineRule="auto"/>
        <w:jc w:val="right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</w:p>
    <w:p w:rsidR="00972984" w:rsidRPr="00BA68BE" w:rsidRDefault="00972984" w:rsidP="00972984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  <w:r w:rsidRPr="00BA68BE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>МОНГОЛ УЛСЫН ХУУЛЬ</w:t>
      </w:r>
    </w:p>
    <w:p w:rsidR="00972984" w:rsidRPr="00BA68BE" w:rsidRDefault="00972984" w:rsidP="00972984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</w:p>
    <w:p w:rsidR="00972984" w:rsidRPr="00BA68BE" w:rsidRDefault="00972984" w:rsidP="0097298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9C569C">
        <w:rPr>
          <w:rFonts w:ascii="Arial" w:hAnsi="Arial" w:cs="Arial"/>
          <w:color w:val="000000" w:themeColor="text1"/>
          <w:sz w:val="24"/>
          <w:szCs w:val="24"/>
          <w:lang w:val="mn-MN"/>
        </w:rPr>
        <w:t>20</w:t>
      </w:r>
      <w:r w:rsidR="009F1F03" w:rsidRPr="009C569C">
        <w:rPr>
          <w:rFonts w:ascii="Arial" w:hAnsi="Arial" w:cs="Arial"/>
          <w:color w:val="000000" w:themeColor="text1"/>
          <w:sz w:val="24"/>
          <w:szCs w:val="24"/>
          <w:lang w:val="mn-MN"/>
        </w:rPr>
        <w:t>22</w:t>
      </w:r>
      <w:r w:rsidRPr="00BA68BE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оны ... дугаар                                                                                            Улаанбаатар</w:t>
      </w:r>
    </w:p>
    <w:p w:rsidR="00972984" w:rsidRPr="00BA68BE" w:rsidRDefault="00972984" w:rsidP="00972984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BA68BE">
        <w:rPr>
          <w:rFonts w:ascii="Arial" w:hAnsi="Arial" w:cs="Arial"/>
          <w:color w:val="000000" w:themeColor="text1"/>
          <w:sz w:val="24"/>
          <w:szCs w:val="24"/>
          <w:lang w:val="mn-MN"/>
        </w:rPr>
        <w:t>сарын ...-ны өдөр                                   Дугаар ...                                                     хот</w:t>
      </w:r>
    </w:p>
    <w:p w:rsidR="00972984" w:rsidRPr="00BA68BE" w:rsidRDefault="00972984" w:rsidP="003C04B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972984" w:rsidRPr="00BA68BE" w:rsidRDefault="00972984" w:rsidP="003C04B5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  <w:r w:rsidRPr="00BA68BE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 xml:space="preserve">ЭРҮҮГИЙН ХЭРЭГ ХЯНАН ШИЙДВЭРЛЭХ ТУХАЙ ХУУЛЬД </w:t>
      </w:r>
    </w:p>
    <w:p w:rsidR="00972984" w:rsidRPr="00BA68BE" w:rsidRDefault="00972984" w:rsidP="003C04B5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  <w:r w:rsidRPr="00BA68BE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>НЭМЭЛТ, ӨӨРЧЛӨЛТ ОРУУЛАХ ТУХАЙ</w:t>
      </w:r>
    </w:p>
    <w:p w:rsidR="00972984" w:rsidRPr="00BA68BE" w:rsidRDefault="00972984" w:rsidP="003C04B5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</w:p>
    <w:p w:rsidR="004D520D" w:rsidRDefault="00972984" w:rsidP="005E4C3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BA68BE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ab/>
        <w:t>1 дүгээр зүйл.</w:t>
      </w:r>
      <w:r w:rsidRPr="00BA68BE">
        <w:rPr>
          <w:rFonts w:ascii="Arial" w:hAnsi="Arial" w:cs="Arial"/>
          <w:color w:val="000000" w:themeColor="text1"/>
          <w:sz w:val="24"/>
          <w:szCs w:val="24"/>
          <w:lang w:val="mn-MN"/>
        </w:rPr>
        <w:t>Эрүүгийн хэрэг хянан шийдвэрлэх тухай хуульд доор дурдсан агуулгатай дараах хэсэг</w:t>
      </w:r>
      <w:r w:rsidR="00023725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Pr="00BA68BE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нэмсүгэй:  </w:t>
      </w:r>
    </w:p>
    <w:p w:rsidR="005E4C3B" w:rsidRPr="005E4C3B" w:rsidRDefault="005E4C3B" w:rsidP="005E4C3B">
      <w:pPr>
        <w:spacing w:after="0" w:line="240" w:lineRule="auto"/>
        <w:jc w:val="both"/>
        <w:rPr>
          <w:rStyle w:val="Bodytext2"/>
          <w:rFonts w:eastAsiaTheme="minorHAnsi"/>
          <w:color w:val="000000" w:themeColor="text1"/>
          <w:sz w:val="24"/>
          <w:szCs w:val="24"/>
          <w:shd w:val="clear" w:color="auto" w:fill="auto"/>
          <w:lang w:val="mn-MN"/>
        </w:rPr>
      </w:pPr>
    </w:p>
    <w:p w:rsidR="00CE0D82" w:rsidRPr="009C569C" w:rsidRDefault="00CE0D82" w:rsidP="003C04B5">
      <w:pPr>
        <w:pStyle w:val="Bodytext20"/>
        <w:shd w:val="clear" w:color="auto" w:fill="auto"/>
        <w:spacing w:after="0" w:line="240" w:lineRule="auto"/>
        <w:ind w:firstLine="720"/>
        <w:jc w:val="both"/>
        <w:rPr>
          <w:rStyle w:val="Bodytext2"/>
          <w:b/>
          <w:bCs/>
          <w:color w:val="000000" w:themeColor="text1"/>
          <w:lang w:val="mn-MN" w:eastAsia="mn-MN"/>
        </w:rPr>
      </w:pPr>
      <w:r w:rsidRPr="00BA68BE">
        <w:rPr>
          <w:rStyle w:val="Bodytext2"/>
          <w:color w:val="000000" w:themeColor="text1"/>
          <w:lang w:val="mn-MN" w:eastAsia="mn-MN"/>
        </w:rPr>
        <w:tab/>
      </w:r>
      <w:r w:rsidR="000002CD" w:rsidRPr="009C569C">
        <w:rPr>
          <w:rStyle w:val="Bodytext2"/>
          <w:b/>
          <w:bCs/>
          <w:color w:val="000000" w:themeColor="text1"/>
          <w:lang w:val="mn-MN" w:eastAsia="mn-MN"/>
        </w:rPr>
        <w:t>1</w:t>
      </w:r>
      <w:r w:rsidRPr="009C569C">
        <w:rPr>
          <w:rStyle w:val="Bodytext2"/>
          <w:b/>
          <w:bCs/>
          <w:color w:val="000000" w:themeColor="text1"/>
          <w:lang w:val="mn-MN" w:eastAsia="mn-MN"/>
        </w:rPr>
        <w:t>/17.1 дүгээр зүйлийн 6</w:t>
      </w:r>
      <w:r w:rsidR="00E84DD0" w:rsidRPr="009C569C">
        <w:rPr>
          <w:rStyle w:val="Bodytext2"/>
          <w:b/>
          <w:bCs/>
          <w:color w:val="000000" w:themeColor="text1"/>
          <w:lang w:val="mn-MN" w:eastAsia="mn-MN"/>
        </w:rPr>
        <w:t>, 7, 8</w:t>
      </w:r>
      <w:r w:rsidRPr="009C569C">
        <w:rPr>
          <w:rStyle w:val="Bodytext2"/>
          <w:b/>
          <w:bCs/>
          <w:color w:val="000000" w:themeColor="text1"/>
          <w:lang w:val="mn-MN" w:eastAsia="mn-MN"/>
        </w:rPr>
        <w:t xml:space="preserve"> дахь хэсэг:</w:t>
      </w:r>
    </w:p>
    <w:p w:rsidR="00CE0D82" w:rsidRPr="009C569C" w:rsidRDefault="00CE0D82" w:rsidP="003C04B5">
      <w:pPr>
        <w:pStyle w:val="Bodytext20"/>
        <w:shd w:val="clear" w:color="auto" w:fill="auto"/>
        <w:spacing w:after="0" w:line="240" w:lineRule="auto"/>
        <w:ind w:firstLine="720"/>
        <w:jc w:val="both"/>
        <w:rPr>
          <w:rStyle w:val="Bodytext2"/>
          <w:color w:val="000000" w:themeColor="text1"/>
          <w:lang w:val="mn-MN" w:eastAsia="mn-MN"/>
        </w:rPr>
      </w:pPr>
    </w:p>
    <w:p w:rsidR="00E84DD0" w:rsidRDefault="00CE0D82" w:rsidP="003C04B5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DC638B">
        <w:rPr>
          <w:rFonts w:ascii="Arial" w:eastAsia="Arial" w:hAnsi="Arial" w:cs="Arial"/>
          <w:color w:val="000000" w:themeColor="text1"/>
          <w:shd w:val="clear" w:color="auto" w:fill="FFFFFF"/>
          <w:lang w:val="mn-MN" w:eastAsia="mn-MN"/>
        </w:rPr>
        <w:t>“</w:t>
      </w:r>
      <w:r w:rsidR="00E84DD0" w:rsidRPr="00DC638B">
        <w:rPr>
          <w:rFonts w:ascii="Arial" w:hAnsi="Arial" w:cs="Arial"/>
          <w:lang w:val="mn-MN"/>
        </w:rPr>
        <w:t>6.Эрүүгийн хэргийг ердийн журмаар хянан шийдвэрлэх нь гэм буруугаа хүлээн зөвшөөрч, гэмт хэргийг нотлоход дэмжлэг үзүүлсэн хүнд Эрүүгийн хуулийн 6.7 дугаар зүйлд заасныг хэрэглэхэд хязгаарлалт болохгүй.</w:t>
      </w:r>
      <w:r w:rsidR="00605F03">
        <w:rPr>
          <w:rFonts w:ascii="Arial" w:hAnsi="Arial" w:cs="Arial"/>
          <w:lang w:val="mn-MN"/>
        </w:rPr>
        <w:t xml:space="preserve"> </w:t>
      </w:r>
    </w:p>
    <w:p w:rsidR="00E84DD0" w:rsidRPr="00E84DD0" w:rsidRDefault="00E84DD0" w:rsidP="003C04B5">
      <w:pPr>
        <w:pStyle w:val="NormalWeb"/>
        <w:spacing w:before="0" w:beforeAutospacing="0" w:after="0" w:afterAutospacing="0"/>
        <w:ind w:firstLine="720"/>
        <w:jc w:val="both"/>
        <w:rPr>
          <w:rFonts w:ascii="Arial" w:eastAsia="Arial" w:hAnsi="Arial" w:cs="Arial"/>
          <w:color w:val="000000" w:themeColor="text1"/>
          <w:shd w:val="clear" w:color="auto" w:fill="FFFFFF"/>
          <w:lang w:val="mn-MN" w:eastAsia="mn-MN"/>
        </w:rPr>
      </w:pPr>
    </w:p>
    <w:p w:rsidR="00E84DD0" w:rsidRPr="00E84DD0" w:rsidRDefault="00E84DD0" w:rsidP="003C04B5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E84DD0">
        <w:rPr>
          <w:rFonts w:ascii="Arial" w:hAnsi="Arial" w:cs="Arial"/>
          <w:sz w:val="24"/>
          <w:szCs w:val="24"/>
          <w:lang w:val="mn-MN"/>
        </w:rPr>
        <w:t xml:space="preserve">7.Яллагдагч хэргээ хялбаршуулсан журмаар хянан шийдвэрлүүлэхээр гаргасан хүсэлтийг хүлээн авсан мөрдөгч даруй прокурорт танилцуулж, мөрдөн байцаалтын ажиллагаа явуулна. </w:t>
      </w:r>
    </w:p>
    <w:p w:rsidR="00E84DD0" w:rsidRPr="007B6D79" w:rsidRDefault="00E84DD0" w:rsidP="003C04B5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7B6D79">
        <w:rPr>
          <w:rFonts w:ascii="Arial" w:hAnsi="Arial" w:cs="Arial"/>
          <w:sz w:val="24"/>
          <w:szCs w:val="24"/>
          <w:lang w:val="mn-MN"/>
        </w:rPr>
        <w:t xml:space="preserve">8.Эрүүгийн хуулийн </w:t>
      </w:r>
      <w:r w:rsidR="009C569C" w:rsidRPr="007B6D79">
        <w:rPr>
          <w:rFonts w:ascii="Arial" w:hAnsi="Arial" w:cs="Arial"/>
          <w:sz w:val="24"/>
          <w:szCs w:val="24"/>
          <w:lang w:val="mn-MN"/>
        </w:rPr>
        <w:t>Хорин хоёр</w:t>
      </w:r>
      <w:r w:rsidRPr="007B6D79">
        <w:rPr>
          <w:rFonts w:ascii="Arial" w:hAnsi="Arial" w:cs="Arial"/>
          <w:sz w:val="24"/>
          <w:szCs w:val="24"/>
          <w:lang w:val="mn-MN"/>
        </w:rPr>
        <w:t xml:space="preserve">дугаар </w:t>
      </w:r>
      <w:r w:rsidR="009C569C" w:rsidRPr="007B6D79">
        <w:rPr>
          <w:rFonts w:ascii="Arial" w:hAnsi="Arial" w:cs="Arial"/>
          <w:sz w:val="24"/>
          <w:szCs w:val="24"/>
          <w:lang w:val="mn-MN"/>
        </w:rPr>
        <w:t>бүлэгт</w:t>
      </w:r>
      <w:r w:rsidR="00D83B58" w:rsidRPr="007B6D79">
        <w:rPr>
          <w:rFonts w:ascii="Arial" w:hAnsi="Arial" w:cs="Arial"/>
          <w:sz w:val="24"/>
          <w:szCs w:val="24"/>
          <w:lang w:val="mn-MN"/>
        </w:rPr>
        <w:t xml:space="preserve"> </w:t>
      </w:r>
      <w:r w:rsidRPr="007B6D79">
        <w:rPr>
          <w:rFonts w:ascii="Arial" w:hAnsi="Arial" w:cs="Arial"/>
          <w:sz w:val="24"/>
          <w:szCs w:val="24"/>
          <w:lang w:val="mn-MN"/>
        </w:rPr>
        <w:t>заас</w:t>
      </w:r>
      <w:r w:rsidR="00D47C14" w:rsidRPr="007B6D79">
        <w:rPr>
          <w:rFonts w:ascii="Arial" w:hAnsi="Arial" w:cs="Arial"/>
          <w:sz w:val="24"/>
          <w:szCs w:val="24"/>
          <w:lang w:val="mn-MN"/>
        </w:rPr>
        <w:t xml:space="preserve">ан </w:t>
      </w:r>
      <w:r w:rsidRPr="007B6D79">
        <w:rPr>
          <w:rFonts w:ascii="Arial" w:hAnsi="Arial" w:cs="Arial"/>
          <w:sz w:val="24"/>
          <w:szCs w:val="24"/>
          <w:lang w:val="mn-MN"/>
        </w:rPr>
        <w:t>гэмт хэргийг хялбаршуулсан журмаар хянан шийдвэрлэхгүй.</w:t>
      </w:r>
      <w:r w:rsidR="00AB6365" w:rsidRPr="007B6D79">
        <w:rPr>
          <w:rFonts w:ascii="Arial" w:hAnsi="Arial" w:cs="Arial"/>
          <w:sz w:val="24"/>
          <w:szCs w:val="24"/>
          <w:lang w:val="mn-MN"/>
        </w:rPr>
        <w:t>”</w:t>
      </w:r>
    </w:p>
    <w:p w:rsidR="00153E8A" w:rsidRPr="009C569C" w:rsidRDefault="00A70D20" w:rsidP="003C04B5">
      <w:pPr>
        <w:pStyle w:val="NormalWeb"/>
        <w:spacing w:before="0" w:beforeAutospacing="0" w:after="0" w:afterAutospacing="0"/>
        <w:ind w:firstLine="720"/>
        <w:jc w:val="both"/>
        <w:rPr>
          <w:rFonts w:ascii="Arial" w:eastAsia="Arial" w:hAnsi="Arial" w:cs="Arial"/>
          <w:b/>
          <w:bCs/>
          <w:color w:val="000000" w:themeColor="text1"/>
          <w:shd w:val="clear" w:color="auto" w:fill="FFFFFF"/>
          <w:lang w:val="mn-MN" w:eastAsia="mn-MN"/>
        </w:rPr>
      </w:pPr>
      <w:r>
        <w:rPr>
          <w:rFonts w:ascii="Arial" w:eastAsia="Arial" w:hAnsi="Arial" w:cs="Arial"/>
          <w:b/>
          <w:bCs/>
          <w:color w:val="000000" w:themeColor="text1"/>
          <w:shd w:val="clear" w:color="auto" w:fill="FFFFFF"/>
          <w:lang w:val="mn-MN" w:eastAsia="mn-MN"/>
        </w:rPr>
        <w:tab/>
      </w:r>
      <w:r w:rsidR="000002CD" w:rsidRPr="009C569C">
        <w:rPr>
          <w:rFonts w:ascii="Arial" w:eastAsia="Arial" w:hAnsi="Arial" w:cs="Arial"/>
          <w:b/>
          <w:bCs/>
          <w:color w:val="000000" w:themeColor="text1"/>
          <w:shd w:val="clear" w:color="auto" w:fill="FFFFFF"/>
          <w:lang w:val="mn-MN" w:eastAsia="mn-MN"/>
        </w:rPr>
        <w:t>2</w:t>
      </w:r>
      <w:r w:rsidR="004D520D" w:rsidRPr="009C569C">
        <w:rPr>
          <w:rFonts w:ascii="Arial" w:eastAsia="Arial" w:hAnsi="Arial" w:cs="Arial"/>
          <w:b/>
          <w:bCs/>
          <w:color w:val="000000" w:themeColor="text1"/>
          <w:shd w:val="clear" w:color="auto" w:fill="FFFFFF"/>
          <w:lang w:val="mn-MN" w:eastAsia="mn-MN"/>
        </w:rPr>
        <w:t>/</w:t>
      </w:r>
      <w:r>
        <w:rPr>
          <w:rFonts w:ascii="Arial" w:eastAsia="Arial" w:hAnsi="Arial" w:cs="Arial"/>
          <w:b/>
          <w:bCs/>
          <w:color w:val="000000" w:themeColor="text1"/>
          <w:shd w:val="clear" w:color="auto" w:fill="FFFFFF"/>
          <w:lang w:val="mn-MN" w:eastAsia="mn-MN"/>
        </w:rPr>
        <w:t>17.2 дугаар зүйлийн 4, 5 дахь хэсэг</w:t>
      </w:r>
      <w:r w:rsidRPr="009C569C">
        <w:rPr>
          <w:rFonts w:ascii="Arial" w:eastAsia="Arial" w:hAnsi="Arial" w:cs="Arial"/>
          <w:b/>
          <w:bCs/>
          <w:color w:val="000000" w:themeColor="text1"/>
          <w:shd w:val="clear" w:color="auto" w:fill="FFFFFF"/>
          <w:lang w:val="mn-MN" w:eastAsia="mn-MN"/>
        </w:rPr>
        <w:t>:</w:t>
      </w:r>
    </w:p>
    <w:p w:rsidR="00A70D20" w:rsidRPr="009C569C" w:rsidRDefault="00A70D20" w:rsidP="003C04B5">
      <w:pPr>
        <w:pStyle w:val="NormalWeb"/>
        <w:spacing w:before="0" w:beforeAutospacing="0" w:after="0" w:afterAutospacing="0"/>
        <w:ind w:firstLine="720"/>
        <w:jc w:val="both"/>
        <w:rPr>
          <w:rFonts w:ascii="Arial" w:eastAsia="Arial" w:hAnsi="Arial" w:cs="Arial"/>
          <w:b/>
          <w:bCs/>
          <w:color w:val="000000" w:themeColor="text1"/>
          <w:shd w:val="clear" w:color="auto" w:fill="FFFFFF"/>
          <w:lang w:val="mn-MN" w:eastAsia="mn-MN"/>
        </w:rPr>
      </w:pPr>
    </w:p>
    <w:p w:rsidR="00A70D20" w:rsidRPr="00DC638B" w:rsidRDefault="00BB5B08" w:rsidP="003C04B5">
      <w:pPr>
        <w:spacing w:line="240" w:lineRule="auto"/>
        <w:ind w:firstLine="720"/>
        <w:jc w:val="both"/>
        <w:rPr>
          <w:rFonts w:ascii="Arial" w:hAnsi="Arial" w:cs="Arial"/>
          <w:bCs/>
          <w:sz w:val="24"/>
          <w:szCs w:val="24"/>
          <w:lang w:val="mn-MN"/>
        </w:rPr>
      </w:pPr>
      <w:r w:rsidRPr="00DC638B">
        <w:rPr>
          <w:rFonts w:ascii="Arial" w:hAnsi="Arial" w:cs="Arial"/>
          <w:bCs/>
          <w:sz w:val="24"/>
          <w:szCs w:val="24"/>
          <w:lang w:val="mn-MN"/>
        </w:rPr>
        <w:t>“</w:t>
      </w:r>
      <w:r w:rsidR="00A70D20" w:rsidRPr="00DC638B">
        <w:rPr>
          <w:rFonts w:ascii="Arial" w:hAnsi="Arial" w:cs="Arial"/>
          <w:bCs/>
          <w:sz w:val="24"/>
          <w:szCs w:val="24"/>
          <w:lang w:val="mn-MN"/>
        </w:rPr>
        <w:t>4.</w:t>
      </w:r>
      <w:r w:rsidR="00532BC3" w:rsidRPr="00DC638B">
        <w:rPr>
          <w:rFonts w:ascii="Arial" w:hAnsi="Arial" w:cs="Arial"/>
          <w:bCs/>
          <w:sz w:val="24"/>
          <w:szCs w:val="24"/>
          <w:lang w:val="mn-MN"/>
        </w:rPr>
        <w:t>Прокурор</w:t>
      </w:r>
      <w:r w:rsidR="00532BC3">
        <w:rPr>
          <w:rFonts w:ascii="Arial" w:hAnsi="Arial" w:cs="Arial"/>
          <w:bCs/>
          <w:sz w:val="24"/>
          <w:szCs w:val="24"/>
          <w:lang w:val="mn-MN"/>
        </w:rPr>
        <w:t xml:space="preserve"> х</w:t>
      </w:r>
      <w:r w:rsidR="00A70D20" w:rsidRPr="00DC638B">
        <w:rPr>
          <w:rFonts w:ascii="Arial" w:hAnsi="Arial" w:cs="Arial"/>
          <w:bCs/>
          <w:sz w:val="24"/>
          <w:szCs w:val="24"/>
          <w:lang w:val="mn-MN"/>
        </w:rPr>
        <w:t>эргээ хялбаршуулсан журмаар хянан шийдвэрлүүлэхээр гаргасан яллагдагчийн хүсэлтийг хүлээн авсан мөрдөгчид</w:t>
      </w:r>
      <w:r w:rsidR="00CD3742">
        <w:rPr>
          <w:rFonts w:ascii="Arial" w:hAnsi="Arial" w:cs="Arial"/>
          <w:bCs/>
          <w:sz w:val="24"/>
          <w:szCs w:val="24"/>
          <w:lang w:val="mn-MN"/>
        </w:rPr>
        <w:t xml:space="preserve"> </w:t>
      </w:r>
      <w:r w:rsidR="001757A0">
        <w:rPr>
          <w:rFonts w:ascii="Arial" w:hAnsi="Arial" w:cs="Arial"/>
          <w:bCs/>
          <w:sz w:val="24"/>
          <w:szCs w:val="24"/>
          <w:lang w:val="mn-MN"/>
        </w:rPr>
        <w:t>дараах мөрдөн шалгах ажиллагаа</w:t>
      </w:r>
      <w:r w:rsidR="00532BC3">
        <w:rPr>
          <w:rFonts w:ascii="Arial" w:hAnsi="Arial" w:cs="Arial"/>
          <w:bCs/>
          <w:sz w:val="24"/>
          <w:szCs w:val="24"/>
          <w:lang w:val="mn-MN"/>
        </w:rPr>
        <w:t xml:space="preserve">наас </w:t>
      </w:r>
      <w:r w:rsidR="00CD3742">
        <w:rPr>
          <w:rFonts w:ascii="Arial" w:hAnsi="Arial" w:cs="Arial"/>
          <w:bCs/>
          <w:sz w:val="24"/>
          <w:szCs w:val="24"/>
          <w:lang w:val="mn-MN"/>
        </w:rPr>
        <w:t xml:space="preserve">шаардлагатай гэж үзсэн ажиллагааг </w:t>
      </w:r>
      <w:r w:rsidR="00A70D20" w:rsidRPr="00DC638B">
        <w:rPr>
          <w:rFonts w:ascii="Arial" w:hAnsi="Arial" w:cs="Arial"/>
          <w:bCs/>
          <w:sz w:val="24"/>
          <w:szCs w:val="24"/>
          <w:lang w:val="mn-MN"/>
        </w:rPr>
        <w:t xml:space="preserve">явуулахыг даалгана. </w:t>
      </w:r>
    </w:p>
    <w:p w:rsidR="00A70D20" w:rsidRPr="00DC638B" w:rsidRDefault="00A70D20" w:rsidP="00532BC3">
      <w:pPr>
        <w:spacing w:line="240" w:lineRule="auto"/>
        <w:ind w:firstLine="1418"/>
        <w:jc w:val="both"/>
        <w:rPr>
          <w:rFonts w:ascii="Arial" w:hAnsi="Arial" w:cs="Arial"/>
          <w:bCs/>
          <w:sz w:val="24"/>
          <w:szCs w:val="24"/>
          <w:lang w:val="mn-MN"/>
        </w:rPr>
      </w:pPr>
      <w:r w:rsidRPr="00DC638B">
        <w:rPr>
          <w:rFonts w:ascii="Arial" w:hAnsi="Arial" w:cs="Arial"/>
          <w:bCs/>
          <w:sz w:val="24"/>
          <w:szCs w:val="24"/>
          <w:lang w:val="mn-MN"/>
        </w:rPr>
        <w:t>4.1.</w:t>
      </w:r>
      <w:r w:rsidR="00532BC3">
        <w:rPr>
          <w:rFonts w:ascii="Arial" w:hAnsi="Arial" w:cs="Arial"/>
          <w:bCs/>
          <w:sz w:val="24"/>
          <w:szCs w:val="24"/>
          <w:lang w:val="mn-MN"/>
        </w:rPr>
        <w:t>э</w:t>
      </w:r>
      <w:r w:rsidRPr="00DC638B">
        <w:rPr>
          <w:rFonts w:ascii="Arial" w:hAnsi="Arial" w:cs="Arial"/>
          <w:bCs/>
          <w:sz w:val="24"/>
          <w:szCs w:val="24"/>
          <w:lang w:val="mn-MN"/>
        </w:rPr>
        <w:t>нэ хуулийн 30.7 дугаар зүй</w:t>
      </w:r>
      <w:r w:rsidR="00BE5DF1" w:rsidRPr="00DC638B">
        <w:rPr>
          <w:rFonts w:ascii="Arial" w:hAnsi="Arial" w:cs="Arial"/>
          <w:bCs/>
          <w:sz w:val="24"/>
          <w:szCs w:val="24"/>
          <w:lang w:val="mn-MN"/>
        </w:rPr>
        <w:t>л</w:t>
      </w:r>
      <w:r w:rsidRPr="00DC638B">
        <w:rPr>
          <w:rFonts w:ascii="Arial" w:hAnsi="Arial" w:cs="Arial"/>
          <w:bCs/>
          <w:sz w:val="24"/>
          <w:szCs w:val="24"/>
          <w:lang w:val="mn-MN"/>
        </w:rPr>
        <w:t>д заасан мөрдөн шалгах ажиллагаа;</w:t>
      </w:r>
    </w:p>
    <w:p w:rsidR="00A70D20" w:rsidRPr="00DC638B" w:rsidRDefault="00A70D20" w:rsidP="003C04B5">
      <w:pPr>
        <w:spacing w:line="240" w:lineRule="auto"/>
        <w:ind w:firstLine="720"/>
        <w:jc w:val="both"/>
        <w:rPr>
          <w:rFonts w:ascii="Arial" w:hAnsi="Arial" w:cs="Arial"/>
          <w:bCs/>
          <w:sz w:val="24"/>
          <w:szCs w:val="24"/>
          <w:lang w:val="mn-MN"/>
        </w:rPr>
      </w:pPr>
      <w:r w:rsidRPr="00DC638B">
        <w:rPr>
          <w:rFonts w:ascii="Arial" w:hAnsi="Arial" w:cs="Arial"/>
          <w:bCs/>
          <w:sz w:val="24"/>
          <w:szCs w:val="24"/>
          <w:lang w:val="mn-MN"/>
        </w:rPr>
        <w:t xml:space="preserve">          4.2.</w:t>
      </w:r>
      <w:r w:rsidR="00532BC3">
        <w:rPr>
          <w:rFonts w:ascii="Arial" w:hAnsi="Arial" w:cs="Arial"/>
          <w:bCs/>
          <w:sz w:val="24"/>
          <w:szCs w:val="24"/>
          <w:lang w:val="mn-MN"/>
        </w:rPr>
        <w:t>э</w:t>
      </w:r>
      <w:r w:rsidRPr="00DC638B">
        <w:rPr>
          <w:rFonts w:ascii="Arial" w:hAnsi="Arial" w:cs="Arial"/>
          <w:bCs/>
          <w:sz w:val="24"/>
          <w:szCs w:val="24"/>
          <w:lang w:val="mn-MN"/>
        </w:rPr>
        <w:t>нэ хуулийн 22.1 дүгээр зүйлийн 3 дахь хэсэгт зааснаас бусад мөрдөгчийн бие даан явуулах мөрдөн шалгах ажиллагаа</w:t>
      </w:r>
      <w:r w:rsidR="00D60A96">
        <w:rPr>
          <w:rFonts w:ascii="Arial" w:hAnsi="Arial" w:cs="Arial"/>
          <w:bCs/>
          <w:sz w:val="24"/>
          <w:szCs w:val="24"/>
          <w:lang w:val="mn-MN"/>
        </w:rPr>
        <w:t>.”</w:t>
      </w:r>
    </w:p>
    <w:p w:rsidR="0031397E" w:rsidRPr="009C569C" w:rsidRDefault="000002CD" w:rsidP="003C04B5">
      <w:pPr>
        <w:spacing w:line="240" w:lineRule="auto"/>
        <w:ind w:left="720" w:firstLine="720"/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9C569C">
        <w:rPr>
          <w:rFonts w:ascii="Arial" w:hAnsi="Arial" w:cs="Arial"/>
          <w:b/>
          <w:sz w:val="24"/>
          <w:szCs w:val="24"/>
          <w:lang w:val="mn-MN"/>
        </w:rPr>
        <w:t>3</w:t>
      </w:r>
      <w:r w:rsidR="004D520D" w:rsidRPr="009C569C">
        <w:rPr>
          <w:rFonts w:ascii="Arial" w:hAnsi="Arial" w:cs="Arial"/>
          <w:b/>
          <w:sz w:val="24"/>
          <w:szCs w:val="24"/>
          <w:lang w:val="mn-MN"/>
        </w:rPr>
        <w:t>/</w:t>
      </w:r>
      <w:r w:rsidR="0031397E" w:rsidRPr="0031397E">
        <w:rPr>
          <w:rFonts w:ascii="Arial" w:hAnsi="Arial" w:cs="Arial"/>
          <w:b/>
          <w:sz w:val="24"/>
          <w:szCs w:val="24"/>
          <w:lang w:val="mn-MN"/>
        </w:rPr>
        <w:t xml:space="preserve">17.4 дүгээр зүйлийн 7, 8, 9 дэх </w:t>
      </w:r>
      <w:r w:rsidR="00023725">
        <w:rPr>
          <w:rFonts w:ascii="Arial" w:hAnsi="Arial" w:cs="Arial"/>
          <w:b/>
          <w:sz w:val="24"/>
          <w:szCs w:val="24"/>
          <w:lang w:val="mn-MN"/>
        </w:rPr>
        <w:t>хэсэг</w:t>
      </w:r>
      <w:r w:rsidR="0031397E" w:rsidRPr="009C569C">
        <w:rPr>
          <w:rFonts w:ascii="Arial" w:hAnsi="Arial" w:cs="Arial"/>
          <w:b/>
          <w:sz w:val="24"/>
          <w:szCs w:val="24"/>
          <w:lang w:val="mn-MN"/>
        </w:rPr>
        <w:t>:</w:t>
      </w:r>
    </w:p>
    <w:p w:rsidR="0031397E" w:rsidRPr="0031397E" w:rsidRDefault="0031397E" w:rsidP="003C04B5">
      <w:pPr>
        <w:spacing w:line="240" w:lineRule="auto"/>
        <w:ind w:firstLine="720"/>
        <w:jc w:val="both"/>
        <w:rPr>
          <w:rFonts w:ascii="Arial" w:hAnsi="Arial" w:cs="Arial"/>
          <w:bCs/>
          <w:sz w:val="24"/>
          <w:szCs w:val="24"/>
          <w:lang w:val="mn-MN"/>
        </w:rPr>
      </w:pPr>
      <w:r>
        <w:rPr>
          <w:rFonts w:ascii="Arial" w:hAnsi="Arial" w:cs="Arial"/>
          <w:bCs/>
          <w:sz w:val="24"/>
          <w:szCs w:val="24"/>
          <w:lang w:val="mn-MN"/>
        </w:rPr>
        <w:t>“</w:t>
      </w:r>
      <w:r w:rsidRPr="0031397E">
        <w:rPr>
          <w:rFonts w:ascii="Arial" w:hAnsi="Arial" w:cs="Arial"/>
          <w:bCs/>
          <w:sz w:val="24"/>
          <w:szCs w:val="24"/>
          <w:lang w:val="mn-MN"/>
        </w:rPr>
        <w:t>7.Шүүхийн шийдвэрт талууд, оролцогч гагцхүү Эрүүгийн хэрэг хянан шийдвэрлэх тухай хуулийг ноцтой зөрчсөн тохиолдолд давж заалдах гомдол, эсэргүүцэл гаргаж болно.</w:t>
      </w:r>
    </w:p>
    <w:p w:rsidR="0031397E" w:rsidRPr="0031397E" w:rsidRDefault="0031397E" w:rsidP="003C04B5">
      <w:pPr>
        <w:spacing w:line="240" w:lineRule="auto"/>
        <w:ind w:firstLine="720"/>
        <w:jc w:val="both"/>
        <w:rPr>
          <w:rFonts w:ascii="Arial" w:hAnsi="Arial" w:cs="Arial"/>
          <w:bCs/>
          <w:sz w:val="24"/>
          <w:szCs w:val="24"/>
          <w:lang w:val="mn-MN"/>
        </w:rPr>
      </w:pPr>
      <w:r w:rsidRPr="0031397E">
        <w:rPr>
          <w:rFonts w:ascii="Arial" w:hAnsi="Arial" w:cs="Arial"/>
          <w:bCs/>
          <w:sz w:val="24"/>
          <w:szCs w:val="24"/>
          <w:lang w:val="mn-MN"/>
        </w:rPr>
        <w:t xml:space="preserve">8.Энэ зүйлийн 7 дахь хэсэгт зааснаас бусад тохиолдолд гомдол, эсэргүүцэл гаргахгүй. </w:t>
      </w:r>
    </w:p>
    <w:p w:rsidR="00877D21" w:rsidRPr="00877D21" w:rsidRDefault="0031397E" w:rsidP="00ED06DF">
      <w:pPr>
        <w:spacing w:line="240" w:lineRule="auto"/>
        <w:ind w:firstLine="720"/>
        <w:jc w:val="both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31397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lastRenderedPageBreak/>
        <w:t>9.Хялбаршуулсан журмаар хэргийг хянан шийдвэрлэх шүүх хуралдааны дэг болон шүүхийн шийдвэрийг боловсруулах аргачлал, журмыг Улсын Дээд шүүх батална.</w:t>
      </w:r>
      <w:r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”</w:t>
      </w:r>
    </w:p>
    <w:p w:rsidR="00972984" w:rsidRPr="00A9682A" w:rsidRDefault="00972984" w:rsidP="007B6D79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BA68BE">
        <w:rPr>
          <w:rFonts w:ascii="Arial" w:hAnsi="Arial" w:cs="Arial"/>
          <w:b/>
          <w:bCs/>
          <w:color w:val="000000" w:themeColor="text1"/>
          <w:lang w:val="mn-MN"/>
        </w:rPr>
        <w:t>2 дугаар зүйл.</w:t>
      </w:r>
      <w:r w:rsidRPr="00BA68BE">
        <w:rPr>
          <w:rFonts w:ascii="Arial" w:hAnsi="Arial" w:cs="Arial"/>
          <w:color w:val="000000" w:themeColor="text1"/>
          <w:lang w:val="mn-MN"/>
        </w:rPr>
        <w:t xml:space="preserve">Эрүүгийн хэрэг хянан шийдвэрлэх тухай хуулийн </w:t>
      </w:r>
      <w:r w:rsidR="00431499">
        <w:rPr>
          <w:rFonts w:ascii="Arial" w:hAnsi="Arial" w:cs="Arial"/>
          <w:color w:val="000000" w:themeColor="text1"/>
          <w:lang w:val="mn-MN"/>
        </w:rPr>
        <w:t>1.5 дугаар зүйлийн 1 дэх хэсгийн 1.2 дахь заалтын “гэмт хэргийн” гэсний өмнө, 32.5 дугаар зүйлийн 1 дэх хэсгийн 1.5 дахь заалт, 34.19 дүгээр зүйлийн 1 дэх хэсгийн 1.2 дахь заалтын “гэмт хэргийг” гэсний өмнө “Эрүүгийн хуулийн 1.10 дүгээр зүйлийн 9</w:t>
      </w:r>
      <w:r w:rsidR="007B6D79">
        <w:rPr>
          <w:rFonts w:ascii="Arial" w:hAnsi="Arial" w:cs="Arial"/>
          <w:color w:val="000000" w:themeColor="text1"/>
          <w:lang w:val="mn-MN"/>
        </w:rPr>
        <w:t xml:space="preserve"> дэх хэсэгт зааснаас бусад тохиолдолд</w:t>
      </w:r>
      <w:r w:rsidR="00431499">
        <w:rPr>
          <w:rFonts w:ascii="Arial" w:hAnsi="Arial" w:cs="Arial"/>
          <w:color w:val="000000" w:themeColor="text1"/>
          <w:lang w:val="mn-MN"/>
        </w:rPr>
        <w:t>”</w:t>
      </w:r>
      <w:r w:rsidR="007B6D79">
        <w:rPr>
          <w:rFonts w:ascii="Arial" w:hAnsi="Arial" w:cs="Arial"/>
          <w:color w:val="000000" w:themeColor="text1"/>
          <w:lang w:val="mn-MN"/>
        </w:rPr>
        <w:t xml:space="preserve"> гэж,</w:t>
      </w:r>
      <w:r w:rsidR="00431499">
        <w:rPr>
          <w:rFonts w:ascii="Arial" w:hAnsi="Arial" w:cs="Arial"/>
          <w:color w:val="000000" w:themeColor="text1"/>
          <w:lang w:val="mn-MN"/>
        </w:rPr>
        <w:t xml:space="preserve"> </w:t>
      </w:r>
      <w:r w:rsidRPr="00BA68BE">
        <w:rPr>
          <w:rFonts w:ascii="Arial" w:hAnsi="Arial" w:cs="Arial"/>
          <w:color w:val="000000" w:themeColor="text1"/>
          <w:lang w:val="mn-MN"/>
        </w:rPr>
        <w:t xml:space="preserve">6.1 дүгээр зүйлийн </w:t>
      </w:r>
      <w:r w:rsidR="007B6D79">
        <w:rPr>
          <w:rFonts w:ascii="Arial" w:hAnsi="Arial" w:cs="Arial"/>
          <w:color w:val="000000" w:themeColor="text1"/>
          <w:lang w:val="mn-MN"/>
        </w:rPr>
        <w:t xml:space="preserve">2 дахь хэсгийн </w:t>
      </w:r>
      <w:r w:rsidR="00F3605A" w:rsidRPr="009C569C">
        <w:rPr>
          <w:rFonts w:ascii="Arial" w:hAnsi="Arial" w:cs="Arial"/>
          <w:noProof/>
          <w:color w:val="000000" w:themeColor="text1"/>
          <w:lang w:val="mn-MN"/>
        </w:rPr>
        <w:t>2.1 дэх заалтын “</w:t>
      </w:r>
      <w:r w:rsidR="00F3605A" w:rsidRPr="00BA68BE">
        <w:rPr>
          <w:rFonts w:ascii="Arial" w:hAnsi="Arial" w:cs="Arial"/>
          <w:color w:val="000000" w:themeColor="text1"/>
          <w:lang w:val="mn-MN"/>
        </w:rPr>
        <w:t>22.12/Хуулийн этгээдийн эрх мэдлийг урвуулан ашиглах/” гэсний дараа “</w:t>
      </w:r>
      <w:r w:rsidR="00F3605A" w:rsidRPr="00F3605A">
        <w:rPr>
          <w:rFonts w:ascii="Arial" w:hAnsi="Arial" w:cs="Arial"/>
          <w:bCs/>
          <w:color w:val="000000" w:themeColor="text1"/>
          <w:lang w:val="mn-MN"/>
        </w:rPr>
        <w:t>,</w:t>
      </w:r>
      <w:r w:rsidR="00F3605A">
        <w:rPr>
          <w:rFonts w:ascii="Arial" w:hAnsi="Arial" w:cs="Arial"/>
          <w:bCs/>
          <w:color w:val="000000" w:themeColor="text1"/>
          <w:lang w:val="mn-MN"/>
        </w:rPr>
        <w:t xml:space="preserve"> </w:t>
      </w:r>
      <w:r w:rsidR="00F3605A" w:rsidRPr="00BA68BE">
        <w:rPr>
          <w:rFonts w:ascii="Arial" w:hAnsi="Arial" w:cs="Arial"/>
          <w:bCs/>
          <w:color w:val="000000" w:themeColor="text1"/>
          <w:lang w:val="mn-MN"/>
        </w:rPr>
        <w:t>22.13/Хахууль авах/</w:t>
      </w:r>
      <w:r w:rsidR="007B6D79">
        <w:rPr>
          <w:rFonts w:ascii="Arial" w:hAnsi="Arial" w:cs="Arial"/>
          <w:bCs/>
          <w:color w:val="000000" w:themeColor="text1"/>
          <w:lang w:val="mn-MN"/>
        </w:rPr>
        <w:t xml:space="preserve"> гэж</w:t>
      </w:r>
      <w:r w:rsidR="009C569C">
        <w:rPr>
          <w:rFonts w:ascii="Arial" w:hAnsi="Arial" w:cs="Arial"/>
          <w:bCs/>
          <w:color w:val="000000" w:themeColor="text1"/>
          <w:lang w:val="mn-MN"/>
        </w:rPr>
        <w:t xml:space="preserve">, </w:t>
      </w:r>
      <w:r w:rsidR="009E4179">
        <w:rPr>
          <w:rFonts w:ascii="Arial" w:hAnsi="Arial" w:cs="Arial"/>
          <w:noProof/>
          <w:color w:val="000000" w:themeColor="text1"/>
          <w:lang w:val="mn-MN"/>
        </w:rPr>
        <w:t>17.1 дүгээр зүйлийн 3 дахь хэсгийн “нөхөн төлсөн” гэсний дараа “</w:t>
      </w:r>
      <w:r w:rsidR="008C449E">
        <w:rPr>
          <w:rFonts w:ascii="Arial" w:hAnsi="Arial" w:cs="Arial"/>
          <w:noProof/>
          <w:color w:val="000000" w:themeColor="text1"/>
          <w:lang w:val="mn-MN"/>
        </w:rPr>
        <w:t xml:space="preserve">, </w:t>
      </w:r>
      <w:r w:rsidR="008C449E" w:rsidRPr="00950EF1">
        <w:rPr>
          <w:rFonts w:ascii="Arial" w:hAnsi="Arial" w:cs="Arial"/>
          <w:noProof/>
          <w:color w:val="000000" w:themeColor="text1"/>
          <w:lang w:val="mn-MN"/>
        </w:rPr>
        <w:t>эсхүл нөхөн төлөхөө илэрхий</w:t>
      </w:r>
      <w:r w:rsidR="00950EF1">
        <w:rPr>
          <w:rFonts w:ascii="Arial" w:hAnsi="Arial" w:cs="Arial"/>
          <w:noProof/>
          <w:color w:val="000000" w:themeColor="text1"/>
          <w:lang w:val="mn-MN"/>
        </w:rPr>
        <w:t>л</w:t>
      </w:r>
      <w:r w:rsidR="008C449E" w:rsidRPr="00950EF1">
        <w:rPr>
          <w:rFonts w:ascii="Arial" w:hAnsi="Arial" w:cs="Arial"/>
          <w:noProof/>
          <w:color w:val="000000" w:themeColor="text1"/>
          <w:lang w:val="mn-MN"/>
        </w:rPr>
        <w:t>сэн</w:t>
      </w:r>
      <w:r w:rsidR="009E4179" w:rsidRPr="00950EF1">
        <w:rPr>
          <w:rFonts w:ascii="Arial" w:hAnsi="Arial" w:cs="Arial"/>
          <w:noProof/>
          <w:color w:val="000000" w:themeColor="text1"/>
          <w:lang w:val="mn-MN"/>
        </w:rPr>
        <w:t xml:space="preserve">” гэж, </w:t>
      </w:r>
      <w:r w:rsidR="00F868C7" w:rsidRPr="00950EF1">
        <w:rPr>
          <w:rFonts w:ascii="Arial" w:hAnsi="Arial" w:cs="Arial"/>
          <w:noProof/>
          <w:color w:val="000000" w:themeColor="text1"/>
          <w:lang w:val="mn-MN"/>
        </w:rPr>
        <w:t>17.2 дугаар зүйлийн 1 дэх хэсгийн “хүлээн зөв</w:t>
      </w:r>
      <w:r w:rsidR="00F868C7">
        <w:rPr>
          <w:rFonts w:ascii="Arial" w:hAnsi="Arial" w:cs="Arial"/>
          <w:noProof/>
          <w:color w:val="000000" w:themeColor="text1"/>
          <w:lang w:val="mn-MN"/>
        </w:rPr>
        <w:t xml:space="preserve">шөөрч,” гэсний дараа </w:t>
      </w:r>
      <w:r w:rsidR="00F868C7" w:rsidRPr="00F868C7">
        <w:rPr>
          <w:rFonts w:ascii="Arial" w:hAnsi="Arial" w:cs="Arial"/>
          <w:lang w:val="mn-MN"/>
        </w:rPr>
        <w:t xml:space="preserve">“мөрдөн шалгах ажиллагааг шуурхай явуулж гэмт хэргийг нотлоход дэмжлэг үзүүлэхээ илэрхийлж, гэмт хэргийн улмаас учруулсан хохирлоо нөхөн төлсөн, </w:t>
      </w:r>
      <w:r w:rsidR="008C449E">
        <w:rPr>
          <w:rFonts w:ascii="Arial" w:hAnsi="Arial" w:cs="Arial"/>
          <w:lang w:val="mn-MN"/>
        </w:rPr>
        <w:t xml:space="preserve">эсхүл нөхөн төлөхөө илэрхийлсэн </w:t>
      </w:r>
      <w:r w:rsidR="00F868C7" w:rsidRPr="00F868C7">
        <w:rPr>
          <w:rFonts w:ascii="Arial" w:hAnsi="Arial" w:cs="Arial"/>
          <w:lang w:val="mn-MN"/>
        </w:rPr>
        <w:t xml:space="preserve">бол” </w:t>
      </w:r>
      <w:r w:rsidR="00D15BBF" w:rsidRPr="00D15BBF">
        <w:rPr>
          <w:rFonts w:ascii="Arial" w:hAnsi="Arial" w:cs="Arial"/>
          <w:bCs/>
          <w:lang w:val="mn-MN"/>
        </w:rPr>
        <w:t>гэж</w:t>
      </w:r>
      <w:r w:rsidR="00460E69" w:rsidRPr="009C569C">
        <w:rPr>
          <w:rFonts w:ascii="Arial" w:hAnsi="Arial" w:cs="Arial"/>
          <w:color w:val="000000" w:themeColor="text1"/>
          <w:lang w:val="mn-MN"/>
        </w:rPr>
        <w:t xml:space="preserve"> </w:t>
      </w:r>
      <w:r w:rsidRPr="00BA68BE">
        <w:rPr>
          <w:rFonts w:ascii="Arial" w:hAnsi="Arial" w:cs="Arial"/>
          <w:color w:val="000000" w:themeColor="text1"/>
          <w:lang w:val="mn-MN"/>
        </w:rPr>
        <w:t>тус тус нэмсүгэй.</w:t>
      </w:r>
    </w:p>
    <w:p w:rsidR="00972984" w:rsidRPr="009C569C" w:rsidRDefault="00972984" w:rsidP="003C04B5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</w:p>
    <w:p w:rsidR="00972984" w:rsidRPr="00885590" w:rsidRDefault="00972984" w:rsidP="003C04B5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BA68BE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>3 дугаар зүйл.</w:t>
      </w:r>
      <w:r w:rsidRPr="00BA68BE">
        <w:rPr>
          <w:rFonts w:ascii="Arial" w:hAnsi="Arial" w:cs="Arial"/>
          <w:color w:val="000000" w:themeColor="text1"/>
          <w:sz w:val="24"/>
          <w:szCs w:val="24"/>
          <w:lang w:val="mn-MN"/>
        </w:rPr>
        <w:t>Эрүүгийн хэрэг хянан шийдвэрлэх тухай хуул</w:t>
      </w:r>
      <w:r w:rsidR="00BA68BE" w:rsidRPr="00BA68BE">
        <w:rPr>
          <w:rFonts w:ascii="Arial" w:hAnsi="Arial" w:cs="Arial"/>
          <w:color w:val="000000" w:themeColor="text1"/>
          <w:sz w:val="24"/>
          <w:szCs w:val="24"/>
          <w:lang w:val="mn-MN"/>
        </w:rPr>
        <w:t>ийн</w:t>
      </w:r>
      <w:r w:rsidRPr="00BA68BE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</w:t>
      </w:r>
      <w:r w:rsidR="00BA68BE" w:rsidRPr="00BA68BE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дараах </w:t>
      </w:r>
      <w:r w:rsidRPr="00BA68BE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хэсэг, заалтыг доор дурдсанаар өөрчлөн найруулсугай:   </w:t>
      </w:r>
    </w:p>
    <w:p w:rsidR="00D10115" w:rsidRPr="00D10115" w:rsidRDefault="00D10115" w:rsidP="003C04B5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:rsidR="003B21C9" w:rsidRPr="009C569C" w:rsidRDefault="003B21C9" w:rsidP="003C04B5">
      <w:pPr>
        <w:spacing w:line="240" w:lineRule="auto"/>
        <w:ind w:firstLine="720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ab/>
      </w:r>
      <w:r w:rsidR="00460E69" w:rsidRPr="009C569C">
        <w:rPr>
          <w:rFonts w:ascii="Arial" w:hAnsi="Arial" w:cs="Arial"/>
          <w:b/>
          <w:bCs/>
          <w:sz w:val="24"/>
          <w:szCs w:val="24"/>
          <w:lang w:val="mn-MN"/>
        </w:rPr>
        <w:t>1</w:t>
      </w:r>
      <w:r w:rsidR="00885590" w:rsidRPr="009C569C">
        <w:rPr>
          <w:rFonts w:ascii="Arial" w:hAnsi="Arial" w:cs="Arial"/>
          <w:b/>
          <w:bCs/>
          <w:sz w:val="24"/>
          <w:szCs w:val="24"/>
          <w:lang w:val="mn-MN"/>
        </w:rPr>
        <w:t>/</w:t>
      </w:r>
      <w:r w:rsidRPr="003B21C9">
        <w:rPr>
          <w:rFonts w:ascii="Arial" w:hAnsi="Arial" w:cs="Arial"/>
          <w:b/>
          <w:bCs/>
          <w:sz w:val="24"/>
          <w:szCs w:val="24"/>
          <w:lang w:val="mn-MN"/>
        </w:rPr>
        <w:t>17.1 дүгээр зүйлийн 1 дэх хэсэг</w:t>
      </w:r>
      <w:r w:rsidRPr="009C569C">
        <w:rPr>
          <w:rFonts w:ascii="Arial" w:hAnsi="Arial" w:cs="Arial"/>
          <w:b/>
          <w:bCs/>
          <w:sz w:val="24"/>
          <w:szCs w:val="24"/>
          <w:lang w:val="mn-MN"/>
        </w:rPr>
        <w:t>:</w:t>
      </w:r>
    </w:p>
    <w:p w:rsidR="00972984" w:rsidRPr="00885590" w:rsidRDefault="003B21C9" w:rsidP="003C04B5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“</w:t>
      </w:r>
      <w:r w:rsidRPr="003B21C9">
        <w:rPr>
          <w:rFonts w:ascii="Arial" w:hAnsi="Arial" w:cs="Arial"/>
          <w:sz w:val="24"/>
          <w:szCs w:val="24"/>
          <w:lang w:val="mn-MN"/>
        </w:rPr>
        <w:t>1.Яллагдагч гэмт хэрэг үйлдсэн гэм буруугаа хүлээн зөвшөөрч, мөрдөн шалгах ажиллагааг шуурхай явуулж гэмт хэргийг нотлоход дэмжлэг үзүүлэхээ илэрхийлж, гэмт хэргийн улмаас учруулсан хохирлоо нөхөн төлсөн,</w:t>
      </w:r>
      <w:r w:rsidR="00DC638B">
        <w:rPr>
          <w:rFonts w:ascii="Arial" w:hAnsi="Arial" w:cs="Arial"/>
          <w:sz w:val="24"/>
          <w:szCs w:val="24"/>
          <w:lang w:val="mn-MN"/>
        </w:rPr>
        <w:t xml:space="preserve"> эсхүл нөхөн төлөхөө илэрхийлсэн </w:t>
      </w:r>
      <w:r w:rsidRPr="003B21C9">
        <w:rPr>
          <w:rFonts w:ascii="Arial" w:hAnsi="Arial" w:cs="Arial"/>
          <w:sz w:val="24"/>
          <w:szCs w:val="24"/>
          <w:lang w:val="mn-MN"/>
        </w:rPr>
        <w:t>бол хэргээ хялбаршуулсан журмаар хянан шийдвэрлүүлэх тухай хүсэлтийг мөрдөгч, эсхүл прокурорт гаргаж болно.</w:t>
      </w:r>
      <w:r>
        <w:rPr>
          <w:rFonts w:ascii="Arial" w:hAnsi="Arial" w:cs="Arial"/>
          <w:sz w:val="24"/>
          <w:szCs w:val="24"/>
          <w:lang w:val="mn-MN"/>
        </w:rPr>
        <w:t>”</w:t>
      </w:r>
    </w:p>
    <w:p w:rsidR="00D2194C" w:rsidRPr="009C569C" w:rsidRDefault="00460E69" w:rsidP="003C04B5">
      <w:pPr>
        <w:spacing w:line="240" w:lineRule="auto"/>
        <w:ind w:left="720" w:firstLine="720"/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9C569C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>2</w:t>
      </w:r>
      <w:r w:rsidR="00885590" w:rsidRPr="009C569C"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  <w:t>/</w:t>
      </w:r>
      <w:r w:rsidR="00D2194C" w:rsidRPr="00D2194C">
        <w:rPr>
          <w:rFonts w:ascii="Arial" w:hAnsi="Arial" w:cs="Arial"/>
          <w:b/>
          <w:sz w:val="24"/>
          <w:szCs w:val="24"/>
          <w:lang w:val="mn-MN"/>
        </w:rPr>
        <w:t>33.1 дүгээр зүйлийн 6.6 дахь заалт</w:t>
      </w:r>
      <w:r w:rsidR="00D2194C" w:rsidRPr="009C569C">
        <w:rPr>
          <w:rFonts w:ascii="Arial" w:hAnsi="Arial" w:cs="Arial"/>
          <w:b/>
          <w:sz w:val="24"/>
          <w:szCs w:val="24"/>
          <w:lang w:val="mn-MN"/>
        </w:rPr>
        <w:t>:</w:t>
      </w:r>
    </w:p>
    <w:p w:rsidR="00D2194C" w:rsidRPr="00885590" w:rsidRDefault="00D2194C" w:rsidP="003C04B5">
      <w:pPr>
        <w:spacing w:line="240" w:lineRule="auto"/>
        <w:ind w:left="720" w:firstLine="720"/>
        <w:jc w:val="both"/>
        <w:rPr>
          <w:rFonts w:ascii="Arial" w:hAnsi="Arial" w:cs="Arial"/>
          <w:bCs/>
          <w:sz w:val="24"/>
          <w:szCs w:val="24"/>
          <w:lang w:val="mn-MN"/>
        </w:rPr>
      </w:pPr>
      <w:r w:rsidRPr="00D2194C">
        <w:rPr>
          <w:rFonts w:ascii="Arial" w:hAnsi="Arial" w:cs="Arial"/>
          <w:bCs/>
          <w:sz w:val="24"/>
          <w:szCs w:val="24"/>
          <w:lang w:val="mn-MN"/>
        </w:rPr>
        <w:t>“6.6.шүүх хуралдааныг хялбаршуулж явуулах тухай хүсэлт;”</w:t>
      </w:r>
    </w:p>
    <w:p w:rsidR="00972984" w:rsidRPr="009C569C" w:rsidRDefault="00972984" w:rsidP="009C569C">
      <w:pPr>
        <w:shd w:val="clear" w:color="auto" w:fill="FFFFFF"/>
        <w:ind w:right="-5" w:firstLine="720"/>
        <w:jc w:val="both"/>
        <w:rPr>
          <w:rFonts w:ascii="Arial" w:hAnsi="Arial" w:cs="Arial"/>
          <w:b/>
          <w:bCs/>
          <w:color w:val="FF0000"/>
          <w:lang w:val="mn-MN"/>
        </w:rPr>
      </w:pPr>
      <w:r w:rsidRPr="00BA68BE">
        <w:rPr>
          <w:rFonts w:ascii="Arial" w:hAnsi="Arial" w:cs="Arial"/>
          <w:b/>
          <w:bCs/>
          <w:color w:val="000000" w:themeColor="text1"/>
          <w:lang w:val="mn-MN"/>
        </w:rPr>
        <w:t>4 дүгээр зүйл.</w:t>
      </w:r>
      <w:r w:rsidRPr="00BA68BE">
        <w:rPr>
          <w:rFonts w:ascii="Arial" w:hAnsi="Arial" w:cs="Arial"/>
          <w:color w:val="000000" w:themeColor="text1"/>
          <w:lang w:val="mn-MN"/>
        </w:rPr>
        <w:t>Эрүүгийн хэрэг хянан шийдвэрлэх тухай хуулийн</w:t>
      </w:r>
      <w:r w:rsidR="00BC7E57">
        <w:rPr>
          <w:rStyle w:val="Strong"/>
          <w:rFonts w:ascii="Arial" w:eastAsia="Arial" w:hAnsi="Arial" w:cs="Arial"/>
          <w:b w:val="0"/>
          <w:bCs w:val="0"/>
          <w:noProof/>
          <w:color w:val="000000" w:themeColor="text1"/>
          <w:lang w:val="mn-MN"/>
        </w:rPr>
        <w:t xml:space="preserve"> </w:t>
      </w:r>
      <w:r w:rsidR="00306704" w:rsidRPr="00BA68BE">
        <w:rPr>
          <w:rFonts w:ascii="Arial" w:hAnsi="Arial" w:cs="Arial"/>
          <w:color w:val="000000" w:themeColor="text1"/>
          <w:lang w:val="mn-MN"/>
        </w:rPr>
        <w:t>6.1 дүгээр зүйлийн 2.1 дэх заалтын “22.4/Хахууль авах/,” гэснийг “22.4</w:t>
      </w:r>
      <w:r w:rsidR="00306704" w:rsidRPr="00BA68BE">
        <w:rPr>
          <w:rFonts w:ascii="Arial" w:hAnsi="Arial" w:cs="Arial"/>
          <w:bCs/>
          <w:color w:val="000000" w:themeColor="text1"/>
          <w:lang w:val="mn-MN"/>
        </w:rPr>
        <w:t>/Нийтийн албан тушаалтан хахууль авах/,”</w:t>
      </w:r>
      <w:r w:rsidR="009C569C">
        <w:rPr>
          <w:rFonts w:ascii="Arial" w:hAnsi="Arial" w:cs="Arial"/>
          <w:bCs/>
          <w:color w:val="000000" w:themeColor="text1"/>
          <w:lang w:val="mn-MN"/>
        </w:rPr>
        <w:t xml:space="preserve"> </w:t>
      </w:r>
      <w:r w:rsidR="00306704" w:rsidRPr="00BA68BE">
        <w:rPr>
          <w:rFonts w:ascii="Arial" w:hAnsi="Arial" w:cs="Arial"/>
          <w:bCs/>
          <w:color w:val="000000" w:themeColor="text1"/>
          <w:lang w:val="mn-MN"/>
        </w:rPr>
        <w:t>гэж,</w:t>
      </w:r>
      <w:r w:rsidR="00037E2F" w:rsidRPr="009C569C">
        <w:rPr>
          <w:rFonts w:ascii="Arial" w:hAnsi="Arial" w:cs="Arial"/>
          <w:color w:val="000000" w:themeColor="text1"/>
          <w:lang w:val="mn-MN"/>
        </w:rPr>
        <w:t xml:space="preserve"> </w:t>
      </w:r>
      <w:r w:rsidR="00CE0D82" w:rsidRPr="00BA68BE">
        <w:rPr>
          <w:rFonts w:ascii="Arial" w:hAnsi="Arial" w:cs="Arial"/>
          <w:color w:val="000000" w:themeColor="text1"/>
          <w:lang w:val="mn-MN"/>
        </w:rPr>
        <w:t>17.1</w:t>
      </w:r>
      <w:r w:rsidR="009E4179">
        <w:rPr>
          <w:rFonts w:ascii="Arial" w:hAnsi="Arial" w:cs="Arial"/>
          <w:color w:val="000000" w:themeColor="text1"/>
          <w:lang w:val="mn-MN"/>
        </w:rPr>
        <w:t xml:space="preserve"> дүгээр</w:t>
      </w:r>
      <w:r w:rsidR="00BD4C25">
        <w:rPr>
          <w:rFonts w:ascii="Arial" w:hAnsi="Arial" w:cs="Arial"/>
          <w:color w:val="000000" w:themeColor="text1"/>
          <w:lang w:val="mn-MN"/>
        </w:rPr>
        <w:t xml:space="preserve"> </w:t>
      </w:r>
      <w:r w:rsidR="00CE0D82" w:rsidRPr="00BA68BE">
        <w:rPr>
          <w:rFonts w:ascii="Arial" w:hAnsi="Arial" w:cs="Arial"/>
          <w:color w:val="000000" w:themeColor="text1"/>
          <w:lang w:val="mn-MN"/>
        </w:rPr>
        <w:t xml:space="preserve"> зүйлийн </w:t>
      </w:r>
      <w:r w:rsidR="009E4179">
        <w:rPr>
          <w:rFonts w:ascii="Arial" w:hAnsi="Arial" w:cs="Arial"/>
          <w:color w:val="000000" w:themeColor="text1"/>
          <w:lang w:val="mn-MN"/>
        </w:rPr>
        <w:t xml:space="preserve">2 дахь </w:t>
      </w:r>
      <w:r w:rsidR="00CE0D82" w:rsidRPr="00BA68BE">
        <w:rPr>
          <w:rFonts w:ascii="Arial" w:hAnsi="Arial" w:cs="Arial"/>
          <w:color w:val="000000" w:themeColor="text1"/>
          <w:lang w:val="mn-MN"/>
        </w:rPr>
        <w:t>хэсгийн</w:t>
      </w:r>
      <w:r w:rsidR="009E4179">
        <w:rPr>
          <w:rFonts w:ascii="Arial" w:hAnsi="Arial" w:cs="Arial"/>
          <w:color w:val="000000" w:themeColor="text1"/>
          <w:lang w:val="mn-MN"/>
        </w:rPr>
        <w:t xml:space="preserve"> “шүүхэд хэргийг” гэснийг “прокурор хэргийг шүүхэд” гэж</w:t>
      </w:r>
      <w:r w:rsidR="009E4179" w:rsidRPr="0031397E">
        <w:rPr>
          <w:rFonts w:ascii="Arial" w:hAnsi="Arial" w:cs="Arial"/>
          <w:color w:val="000000" w:themeColor="text1"/>
          <w:lang w:val="mn-MN"/>
        </w:rPr>
        <w:t xml:space="preserve">, </w:t>
      </w:r>
      <w:r w:rsidR="00CE0D82" w:rsidRPr="0031397E">
        <w:rPr>
          <w:rFonts w:ascii="Arial" w:hAnsi="Arial" w:cs="Arial"/>
          <w:color w:val="000000" w:themeColor="text1"/>
          <w:lang w:val="mn-MN"/>
        </w:rPr>
        <w:t xml:space="preserve"> </w:t>
      </w:r>
      <w:r w:rsidR="00626DD5" w:rsidRPr="0031397E">
        <w:rPr>
          <w:rFonts w:ascii="Arial" w:hAnsi="Arial" w:cs="Arial"/>
          <w:lang w:val="mn-MN"/>
        </w:rPr>
        <w:t xml:space="preserve">17.4 дүгээр зүйлийн 2 дахь хэсгийн “ял оногдуулах” гэснийг “эрүүгийн хариуцлага хүлээлгэх асуудлыг хэлэлцэх” гэж, </w:t>
      </w:r>
      <w:r w:rsidR="0031397E" w:rsidRPr="0031397E">
        <w:rPr>
          <w:rFonts w:ascii="Arial" w:hAnsi="Arial" w:cs="Arial"/>
          <w:bCs/>
          <w:lang w:val="mn-MN"/>
        </w:rPr>
        <w:t>мөн зүйлийн 6 дахь хэсгийн “</w:t>
      </w:r>
      <w:r w:rsidR="0031397E" w:rsidRPr="0031397E">
        <w:rPr>
          <w:rFonts w:ascii="Arial" w:hAnsi="Arial" w:cs="Arial"/>
          <w:lang w:val="mn-MN"/>
        </w:rPr>
        <w:t>хэргийг прокурорт буцаах шийдвэр гаргана.” гэснийг “хэргийг прокурорт буцаах, эсхүл буцаахгүйгээр ердийн журмаар шийдвэрлэнэ.”</w:t>
      </w:r>
      <w:r w:rsidR="001147C2">
        <w:rPr>
          <w:rFonts w:ascii="Arial" w:hAnsi="Arial" w:cs="Arial"/>
          <w:lang w:val="mn-MN"/>
        </w:rPr>
        <w:t xml:space="preserve"> гэж</w:t>
      </w:r>
      <w:r w:rsidR="00E87F42" w:rsidRPr="00E87F42">
        <w:rPr>
          <w:rFonts w:ascii="Arial" w:hAnsi="Arial" w:cs="Arial"/>
          <w:color w:val="000000" w:themeColor="text1"/>
          <w:lang w:val="mn-MN"/>
        </w:rPr>
        <w:t xml:space="preserve">, </w:t>
      </w:r>
      <w:r w:rsidR="002C799A" w:rsidRPr="0093551A">
        <w:rPr>
          <w:rStyle w:val="Bodytext2"/>
          <w:color w:val="000000" w:themeColor="text1"/>
          <w:lang w:val="mn-MN" w:eastAsia="mn-MN"/>
        </w:rPr>
        <w:t>33.1 дүгээр зүйлийн 7 дахь хэсгийн</w:t>
      </w:r>
      <w:r w:rsidR="002C799A" w:rsidRPr="0093551A">
        <w:rPr>
          <w:rFonts w:ascii="Arial" w:hAnsi="Arial" w:cs="Arial"/>
          <w:lang w:val="mn-MN"/>
        </w:rPr>
        <w:t xml:space="preserve"> “хялбаршуулсан журмаар хэрэг хянан шийдвэрлэх ажиллагааг даруй үргэлжлүүлэн явуулж болно.”</w:t>
      </w:r>
      <w:r w:rsidR="00DA6A52">
        <w:rPr>
          <w:rStyle w:val="Bodytext2"/>
          <w:color w:val="000000" w:themeColor="text1"/>
          <w:lang w:val="mn-MN" w:eastAsia="mn-MN"/>
        </w:rPr>
        <w:t xml:space="preserve"> </w:t>
      </w:r>
      <w:r w:rsidR="002C799A">
        <w:rPr>
          <w:rStyle w:val="Bodytext2"/>
          <w:color w:val="000000" w:themeColor="text1"/>
          <w:lang w:val="mn-MN" w:eastAsia="mn-MN"/>
        </w:rPr>
        <w:t xml:space="preserve">гэснийг </w:t>
      </w:r>
      <w:r w:rsidR="002C799A" w:rsidRPr="0093551A">
        <w:rPr>
          <w:rStyle w:val="Bodytext2"/>
          <w:color w:val="000000" w:themeColor="text1"/>
          <w:lang w:val="mn-MN" w:eastAsia="mn-MN"/>
        </w:rPr>
        <w:t>“</w:t>
      </w:r>
      <w:r w:rsidR="002C799A" w:rsidRPr="0093551A">
        <w:rPr>
          <w:rFonts w:ascii="Arial" w:hAnsi="Arial" w:cs="Arial"/>
          <w:lang w:val="mn-MN"/>
        </w:rPr>
        <w:t>эрүүгийн хариуцлага хүлээлгэх асуудлыг хэлэлцэх шүүх хуралдааныг даруй үргэлжлүүлэн явуулж болно.”</w:t>
      </w:r>
      <w:r w:rsidR="002C799A">
        <w:rPr>
          <w:rFonts w:ascii="Arial" w:hAnsi="Arial" w:cs="Arial"/>
          <w:lang w:val="mn-MN"/>
        </w:rPr>
        <w:t xml:space="preserve"> </w:t>
      </w:r>
      <w:r w:rsidR="00ED5E2B">
        <w:rPr>
          <w:rFonts w:ascii="Arial" w:hAnsi="Arial" w:cs="Arial"/>
          <w:lang w:val="mn-MN"/>
        </w:rPr>
        <w:t>г</w:t>
      </w:r>
      <w:r w:rsidR="002C799A" w:rsidRPr="0093551A">
        <w:rPr>
          <w:rFonts w:ascii="Arial" w:hAnsi="Arial" w:cs="Arial"/>
          <w:lang w:val="mn-MN"/>
        </w:rPr>
        <w:t>эж</w:t>
      </w:r>
      <w:r w:rsidR="00ED5E2B">
        <w:rPr>
          <w:rFonts w:ascii="Arial" w:hAnsi="Arial" w:cs="Arial"/>
          <w:lang w:val="mn-MN"/>
        </w:rPr>
        <w:t xml:space="preserve"> </w:t>
      </w:r>
      <w:r w:rsidRPr="00BA68BE">
        <w:rPr>
          <w:rFonts w:ascii="Arial" w:hAnsi="Arial" w:cs="Arial"/>
          <w:color w:val="000000" w:themeColor="text1"/>
          <w:lang w:val="mn-MN"/>
        </w:rPr>
        <w:t>тус тус өөрчилсүгэй.</w:t>
      </w:r>
    </w:p>
    <w:p w:rsidR="003C6617" w:rsidRPr="007A0017" w:rsidRDefault="003C6617" w:rsidP="003C04B5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top"/>
        <w:rPr>
          <w:rFonts w:ascii="Arial" w:eastAsia="Arial" w:hAnsi="Arial" w:cs="Arial"/>
          <w:iCs/>
          <w:noProof/>
          <w:color w:val="000000" w:themeColor="text1"/>
          <w:shd w:val="clear" w:color="auto" w:fill="FFFFFF"/>
          <w:lang w:val="mn-MN" w:eastAsia="mn-MN"/>
        </w:rPr>
      </w:pPr>
    </w:p>
    <w:p w:rsidR="00B839FC" w:rsidRPr="00A57E89" w:rsidRDefault="00ED5E2B" w:rsidP="00A57E89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7B6730">
        <w:rPr>
          <w:rFonts w:ascii="Arial" w:hAnsi="Arial" w:cs="Arial"/>
          <w:b/>
          <w:bCs/>
          <w:color w:val="000000" w:themeColor="text1"/>
          <w:lang w:val="mn-MN"/>
        </w:rPr>
        <w:t>5 дугаар зүйл.</w:t>
      </w:r>
      <w:r>
        <w:rPr>
          <w:rFonts w:ascii="Arial" w:hAnsi="Arial" w:cs="Arial"/>
          <w:color w:val="000000" w:themeColor="text1"/>
          <w:lang w:val="mn-MN"/>
        </w:rPr>
        <w:t xml:space="preserve">Энэ хуулийг Эрүүгийн хуульд нэмэлт, өөрчлөлт оруулах тухай </w:t>
      </w:r>
      <w:r w:rsidRPr="00B839FC">
        <w:rPr>
          <w:rFonts w:ascii="Arial" w:hAnsi="Arial" w:cs="Arial"/>
          <w:bCs/>
          <w:lang w:val="mn-MN"/>
        </w:rPr>
        <w:t>хууль хүчин төгөлдөр болсон өдрөөс эхлэн дагаж мөрдөнө</w:t>
      </w:r>
      <w:r w:rsidR="00B839FC" w:rsidRPr="00B839FC">
        <w:rPr>
          <w:rFonts w:ascii="Arial" w:hAnsi="Arial" w:cs="Arial"/>
          <w:bCs/>
          <w:lang w:val="mn-MN"/>
        </w:rPr>
        <w:t>.</w:t>
      </w:r>
    </w:p>
    <w:p w:rsidR="00972984" w:rsidRPr="00BA68BE" w:rsidRDefault="00972984" w:rsidP="003C04B5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972984" w:rsidRPr="00BA68BE" w:rsidRDefault="00972984" w:rsidP="003C04B5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BA68BE">
        <w:rPr>
          <w:rFonts w:ascii="Arial" w:hAnsi="Arial" w:cs="Arial"/>
          <w:color w:val="000000" w:themeColor="text1"/>
          <w:sz w:val="24"/>
          <w:szCs w:val="24"/>
          <w:lang w:val="mn-MN"/>
        </w:rPr>
        <w:t>Гарын үсэг</w:t>
      </w:r>
    </w:p>
    <w:p w:rsidR="00972984" w:rsidRPr="00BA68BE" w:rsidRDefault="00972984" w:rsidP="003C04B5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972984" w:rsidRPr="00BA68BE" w:rsidRDefault="00972984" w:rsidP="003C04B5">
      <w:pPr>
        <w:spacing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972984" w:rsidRPr="00BA68BE" w:rsidRDefault="00972984" w:rsidP="003C04B5">
      <w:pPr>
        <w:spacing w:line="240" w:lineRule="auto"/>
        <w:ind w:firstLine="720"/>
        <w:jc w:val="both"/>
        <w:rPr>
          <w:color w:val="000000" w:themeColor="text1"/>
          <w:sz w:val="24"/>
          <w:szCs w:val="24"/>
        </w:rPr>
      </w:pPr>
    </w:p>
    <w:p w:rsidR="003C04B5" w:rsidRPr="00972984" w:rsidRDefault="003C04B5">
      <w:pPr>
        <w:spacing w:line="240" w:lineRule="auto"/>
        <w:rPr>
          <w:sz w:val="24"/>
          <w:szCs w:val="24"/>
        </w:rPr>
      </w:pPr>
    </w:p>
    <w:sectPr w:rsidR="003C04B5" w:rsidRPr="00972984" w:rsidSect="00972984">
      <w:footerReference w:type="default" r:id="rId6"/>
      <w:type w:val="continuous"/>
      <w:pgSz w:w="12240" w:h="15840"/>
      <w:pgMar w:top="1134" w:right="851" w:bottom="1134" w:left="1701" w:header="706" w:footer="70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D4D" w:rsidRDefault="00404D4D">
      <w:pPr>
        <w:spacing w:after="0" w:line="240" w:lineRule="auto"/>
      </w:pPr>
      <w:r>
        <w:separator/>
      </w:r>
    </w:p>
  </w:endnote>
  <w:endnote w:type="continuationSeparator" w:id="0">
    <w:p w:rsidR="00404D4D" w:rsidRDefault="00404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481546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30155" w:rsidRDefault="00F2238E">
        <w:pPr>
          <w:pStyle w:val="Footer"/>
          <w:jc w:val="center"/>
        </w:pPr>
        <w:r>
          <w:fldChar w:fldCharType="begin"/>
        </w:r>
        <w:r w:rsidR="00EC0D69">
          <w:instrText xml:space="preserve"> PAGE   \* MERGEFORMAT </w:instrText>
        </w:r>
        <w:r>
          <w:fldChar w:fldCharType="separate"/>
        </w:r>
        <w:r w:rsidR="007B6D7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30155" w:rsidRDefault="007B6D7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D4D" w:rsidRDefault="00404D4D">
      <w:pPr>
        <w:spacing w:after="0" w:line="240" w:lineRule="auto"/>
      </w:pPr>
      <w:r>
        <w:separator/>
      </w:r>
    </w:p>
  </w:footnote>
  <w:footnote w:type="continuationSeparator" w:id="0">
    <w:p w:rsidR="00404D4D" w:rsidRDefault="00404D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2984"/>
    <w:rsid w:val="000002CD"/>
    <w:rsid w:val="000118B2"/>
    <w:rsid w:val="0001495C"/>
    <w:rsid w:val="00023725"/>
    <w:rsid w:val="00032CE9"/>
    <w:rsid w:val="00037E2F"/>
    <w:rsid w:val="00051B69"/>
    <w:rsid w:val="00063900"/>
    <w:rsid w:val="00071902"/>
    <w:rsid w:val="000811A3"/>
    <w:rsid w:val="00090D5E"/>
    <w:rsid w:val="00094455"/>
    <w:rsid w:val="000A3AF9"/>
    <w:rsid w:val="000E111D"/>
    <w:rsid w:val="000F20A5"/>
    <w:rsid w:val="001147C2"/>
    <w:rsid w:val="001321C2"/>
    <w:rsid w:val="001322FE"/>
    <w:rsid w:val="00134CDF"/>
    <w:rsid w:val="00153E8A"/>
    <w:rsid w:val="001722BF"/>
    <w:rsid w:val="001757A0"/>
    <w:rsid w:val="00175DC1"/>
    <w:rsid w:val="00181293"/>
    <w:rsid w:val="0019795D"/>
    <w:rsid w:val="001C3301"/>
    <w:rsid w:val="001C47F5"/>
    <w:rsid w:val="001E0995"/>
    <w:rsid w:val="0022459D"/>
    <w:rsid w:val="00232410"/>
    <w:rsid w:val="00237477"/>
    <w:rsid w:val="00244A75"/>
    <w:rsid w:val="00264E2B"/>
    <w:rsid w:val="00267DEC"/>
    <w:rsid w:val="0028693F"/>
    <w:rsid w:val="00287B32"/>
    <w:rsid w:val="002B63A0"/>
    <w:rsid w:val="002C2199"/>
    <w:rsid w:val="002C799A"/>
    <w:rsid w:val="003011F9"/>
    <w:rsid w:val="00306704"/>
    <w:rsid w:val="0031397E"/>
    <w:rsid w:val="0033768D"/>
    <w:rsid w:val="00370E41"/>
    <w:rsid w:val="00384215"/>
    <w:rsid w:val="003B14C3"/>
    <w:rsid w:val="003B21C9"/>
    <w:rsid w:val="003C04B5"/>
    <w:rsid w:val="003C6617"/>
    <w:rsid w:val="00403FFE"/>
    <w:rsid w:val="00404D4D"/>
    <w:rsid w:val="00431499"/>
    <w:rsid w:val="004345A2"/>
    <w:rsid w:val="00460E69"/>
    <w:rsid w:val="00460F6D"/>
    <w:rsid w:val="004A278D"/>
    <w:rsid w:val="004D3494"/>
    <w:rsid w:val="004D520D"/>
    <w:rsid w:val="005158CC"/>
    <w:rsid w:val="00532BC3"/>
    <w:rsid w:val="00561092"/>
    <w:rsid w:val="005638AE"/>
    <w:rsid w:val="00580D1D"/>
    <w:rsid w:val="00581358"/>
    <w:rsid w:val="00582EBE"/>
    <w:rsid w:val="005960F7"/>
    <w:rsid w:val="005A5C9C"/>
    <w:rsid w:val="005A6AF6"/>
    <w:rsid w:val="005C4621"/>
    <w:rsid w:val="005C606C"/>
    <w:rsid w:val="005E4C3B"/>
    <w:rsid w:val="005F3270"/>
    <w:rsid w:val="00605F03"/>
    <w:rsid w:val="00625315"/>
    <w:rsid w:val="00626DD5"/>
    <w:rsid w:val="00657C3C"/>
    <w:rsid w:val="00670E10"/>
    <w:rsid w:val="006A394A"/>
    <w:rsid w:val="006D3651"/>
    <w:rsid w:val="006D3C8B"/>
    <w:rsid w:val="006E44EC"/>
    <w:rsid w:val="0072048A"/>
    <w:rsid w:val="007640F6"/>
    <w:rsid w:val="007A0017"/>
    <w:rsid w:val="007B294D"/>
    <w:rsid w:val="007B2C55"/>
    <w:rsid w:val="007B6D79"/>
    <w:rsid w:val="007F347B"/>
    <w:rsid w:val="00801837"/>
    <w:rsid w:val="00877D21"/>
    <w:rsid w:val="00885590"/>
    <w:rsid w:val="008B0608"/>
    <w:rsid w:val="008C449E"/>
    <w:rsid w:val="008E110E"/>
    <w:rsid w:val="009042A5"/>
    <w:rsid w:val="0093551A"/>
    <w:rsid w:val="00942C63"/>
    <w:rsid w:val="00950EF1"/>
    <w:rsid w:val="00972984"/>
    <w:rsid w:val="00975AAB"/>
    <w:rsid w:val="00996D11"/>
    <w:rsid w:val="009C569C"/>
    <w:rsid w:val="009E4179"/>
    <w:rsid w:val="009F1F03"/>
    <w:rsid w:val="00A57C7F"/>
    <w:rsid w:val="00A57E89"/>
    <w:rsid w:val="00A70D20"/>
    <w:rsid w:val="00A9682A"/>
    <w:rsid w:val="00AB6365"/>
    <w:rsid w:val="00AC34D4"/>
    <w:rsid w:val="00AF0D38"/>
    <w:rsid w:val="00B040B7"/>
    <w:rsid w:val="00B24CC9"/>
    <w:rsid w:val="00B33C5F"/>
    <w:rsid w:val="00B545E0"/>
    <w:rsid w:val="00B56A6C"/>
    <w:rsid w:val="00B63ED6"/>
    <w:rsid w:val="00B81EC1"/>
    <w:rsid w:val="00B839FC"/>
    <w:rsid w:val="00B9466E"/>
    <w:rsid w:val="00BA68BE"/>
    <w:rsid w:val="00BB5B08"/>
    <w:rsid w:val="00BC05DE"/>
    <w:rsid w:val="00BC7306"/>
    <w:rsid w:val="00BC7E57"/>
    <w:rsid w:val="00BD4C25"/>
    <w:rsid w:val="00BE0589"/>
    <w:rsid w:val="00BE5DF1"/>
    <w:rsid w:val="00BF6CC0"/>
    <w:rsid w:val="00BF711E"/>
    <w:rsid w:val="00C23FA2"/>
    <w:rsid w:val="00C27EF0"/>
    <w:rsid w:val="00C4649D"/>
    <w:rsid w:val="00C62983"/>
    <w:rsid w:val="00C83708"/>
    <w:rsid w:val="00CA3200"/>
    <w:rsid w:val="00CB11B2"/>
    <w:rsid w:val="00CC547D"/>
    <w:rsid w:val="00CC68E3"/>
    <w:rsid w:val="00CD3742"/>
    <w:rsid w:val="00CE0152"/>
    <w:rsid w:val="00CE0D82"/>
    <w:rsid w:val="00D10115"/>
    <w:rsid w:val="00D15BBF"/>
    <w:rsid w:val="00D2194C"/>
    <w:rsid w:val="00D3005D"/>
    <w:rsid w:val="00D47C14"/>
    <w:rsid w:val="00D55C2F"/>
    <w:rsid w:val="00D60A96"/>
    <w:rsid w:val="00D6263F"/>
    <w:rsid w:val="00D83B58"/>
    <w:rsid w:val="00D84A06"/>
    <w:rsid w:val="00DA6A52"/>
    <w:rsid w:val="00DC638B"/>
    <w:rsid w:val="00DE4245"/>
    <w:rsid w:val="00E26EFE"/>
    <w:rsid w:val="00E7427F"/>
    <w:rsid w:val="00E75F9B"/>
    <w:rsid w:val="00E8124C"/>
    <w:rsid w:val="00E84DD0"/>
    <w:rsid w:val="00E87F42"/>
    <w:rsid w:val="00E9218C"/>
    <w:rsid w:val="00EC0D69"/>
    <w:rsid w:val="00ED06DF"/>
    <w:rsid w:val="00ED2989"/>
    <w:rsid w:val="00ED3470"/>
    <w:rsid w:val="00ED5E2B"/>
    <w:rsid w:val="00F0656F"/>
    <w:rsid w:val="00F16F63"/>
    <w:rsid w:val="00F2238E"/>
    <w:rsid w:val="00F3605A"/>
    <w:rsid w:val="00F76D65"/>
    <w:rsid w:val="00F804A9"/>
    <w:rsid w:val="00F868C7"/>
    <w:rsid w:val="00F963FB"/>
    <w:rsid w:val="00FB5FF9"/>
    <w:rsid w:val="00FC7156"/>
    <w:rsid w:val="00FD380B"/>
    <w:rsid w:val="00FD7F37"/>
    <w:rsid w:val="00FE30C4"/>
    <w:rsid w:val="00FF6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984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72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984"/>
    <w:rPr>
      <w:sz w:val="22"/>
      <w:szCs w:val="22"/>
      <w:lang w:val="en-US"/>
    </w:rPr>
  </w:style>
  <w:style w:type="character" w:customStyle="1" w:styleId="Bodytext2">
    <w:name w:val="Body text (2)_"/>
    <w:link w:val="Bodytext20"/>
    <w:uiPriority w:val="99"/>
    <w:rsid w:val="00972984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972984"/>
    <w:pPr>
      <w:widowControl w:val="0"/>
      <w:shd w:val="clear" w:color="auto" w:fill="FFFFFF"/>
      <w:spacing w:after="540" w:line="281" w:lineRule="exact"/>
      <w:jc w:val="center"/>
    </w:pPr>
    <w:rPr>
      <w:rFonts w:ascii="Arial" w:eastAsia="Arial" w:hAnsi="Arial" w:cs="Arial"/>
      <w:sz w:val="24"/>
      <w:szCs w:val="24"/>
    </w:rPr>
  </w:style>
  <w:style w:type="paragraph" w:customStyle="1" w:styleId="msghead">
    <w:name w:val="msg_head"/>
    <w:basedOn w:val="Normal"/>
    <w:rsid w:val="00972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972984"/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547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547D"/>
    <w:rPr>
      <w:rFonts w:ascii="Times New Roman" w:eastAsiaTheme="minorEastAsia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C547D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admin</cp:lastModifiedBy>
  <cp:revision>2</cp:revision>
  <cp:lastPrinted>2022-12-13T13:31:00Z</cp:lastPrinted>
  <dcterms:created xsi:type="dcterms:W3CDTF">2022-12-14T05:50:00Z</dcterms:created>
  <dcterms:modified xsi:type="dcterms:W3CDTF">2022-12-14T05:50:00Z</dcterms:modified>
</cp:coreProperties>
</file>