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2B8AC" w14:textId="77777777" w:rsidR="00CD5DC7" w:rsidRPr="007247FC" w:rsidRDefault="00533655" w:rsidP="00533655">
      <w:pPr>
        <w:jc w:val="center"/>
        <w:rPr>
          <w:rFonts w:ascii="Arial" w:hAnsi="Arial" w:cs="Arial"/>
          <w:b/>
          <w:sz w:val="22"/>
          <w:szCs w:val="22"/>
        </w:rPr>
      </w:pPr>
      <w:r w:rsidRPr="007247FC">
        <w:rPr>
          <w:rFonts w:ascii="Arial" w:hAnsi="Arial" w:cs="Arial"/>
          <w:b/>
          <w:sz w:val="22"/>
          <w:szCs w:val="22"/>
        </w:rPr>
        <w:t xml:space="preserve">НИЙГМИЙН ДААТГАЛЫН </w:t>
      </w:r>
      <w:r w:rsidR="003F6405" w:rsidRPr="007247FC">
        <w:rPr>
          <w:rFonts w:ascii="Arial" w:hAnsi="Arial" w:cs="Arial"/>
          <w:b/>
          <w:sz w:val="22"/>
          <w:szCs w:val="22"/>
        </w:rPr>
        <w:t xml:space="preserve">ЕРӨНХИЙ ХУУЛИЙН ТӨСӨЛД </w:t>
      </w:r>
      <w:r w:rsidRPr="007247FC">
        <w:rPr>
          <w:rFonts w:ascii="Arial" w:hAnsi="Arial" w:cs="Arial"/>
          <w:b/>
          <w:sz w:val="22"/>
          <w:szCs w:val="22"/>
        </w:rPr>
        <w:t xml:space="preserve">ЯАМД БОЛОН БУСАД </w:t>
      </w:r>
    </w:p>
    <w:p w14:paraId="6A9F7D3E" w14:textId="5E6379D2" w:rsidR="00533655" w:rsidRPr="007247FC" w:rsidRDefault="00533655" w:rsidP="00533655">
      <w:pPr>
        <w:jc w:val="center"/>
        <w:rPr>
          <w:rFonts w:ascii="Arial" w:hAnsi="Arial" w:cs="Arial"/>
          <w:b/>
          <w:sz w:val="22"/>
          <w:szCs w:val="22"/>
        </w:rPr>
      </w:pPr>
      <w:r w:rsidRPr="007247FC">
        <w:rPr>
          <w:rFonts w:ascii="Arial" w:hAnsi="Arial" w:cs="Arial"/>
          <w:b/>
          <w:sz w:val="22"/>
          <w:szCs w:val="22"/>
        </w:rPr>
        <w:t xml:space="preserve">БАЙГУУЛЛАГААС </w:t>
      </w:r>
      <w:r w:rsidR="003F6405" w:rsidRPr="007247FC">
        <w:rPr>
          <w:rFonts w:ascii="Arial" w:hAnsi="Arial" w:cs="Arial"/>
          <w:b/>
          <w:sz w:val="22"/>
          <w:szCs w:val="22"/>
        </w:rPr>
        <w:t xml:space="preserve">ИРҮҮЛСЭН САНАЛЫГ </w:t>
      </w:r>
      <w:r w:rsidRPr="007247FC">
        <w:rPr>
          <w:rFonts w:ascii="Arial" w:hAnsi="Arial" w:cs="Arial"/>
          <w:b/>
          <w:sz w:val="22"/>
          <w:szCs w:val="22"/>
        </w:rPr>
        <w:t>ТУСГАСАН БАЙДАЛ</w:t>
      </w:r>
    </w:p>
    <w:p w14:paraId="0394B587" w14:textId="77777777" w:rsidR="00533655" w:rsidRPr="007247FC" w:rsidRDefault="00533655" w:rsidP="00533655">
      <w:pPr>
        <w:rPr>
          <w:rFonts w:ascii="Arial" w:hAnsi="Arial" w:cs="Arial"/>
          <w:sz w:val="22"/>
          <w:szCs w:val="22"/>
        </w:rPr>
      </w:pPr>
    </w:p>
    <w:tbl>
      <w:tblPr>
        <w:tblW w:w="13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3"/>
        <w:gridCol w:w="1872"/>
        <w:gridCol w:w="5490"/>
        <w:gridCol w:w="5490"/>
      </w:tblGrid>
      <w:tr w:rsidR="00533655" w:rsidRPr="007247FC" w14:paraId="42FEAF77" w14:textId="77777777" w:rsidTr="00F42933">
        <w:trPr>
          <w:trHeight w:val="1160"/>
        </w:trPr>
        <w:tc>
          <w:tcPr>
            <w:tcW w:w="643" w:type="dxa"/>
            <w:vAlign w:val="center"/>
          </w:tcPr>
          <w:p w14:paraId="7B04B523" w14:textId="77777777" w:rsidR="00533655" w:rsidRPr="007247FC" w:rsidRDefault="00533655" w:rsidP="007F1157">
            <w:pPr>
              <w:jc w:val="center"/>
              <w:rPr>
                <w:rFonts w:ascii="Arial" w:hAnsi="Arial" w:cs="Arial"/>
                <w:bCs/>
                <w:sz w:val="22"/>
                <w:szCs w:val="22"/>
              </w:rPr>
            </w:pPr>
            <w:r w:rsidRPr="007247FC">
              <w:rPr>
                <w:rFonts w:ascii="Arial" w:hAnsi="Arial" w:cs="Arial"/>
                <w:bCs/>
                <w:sz w:val="22"/>
                <w:szCs w:val="22"/>
              </w:rPr>
              <w:t>№</w:t>
            </w:r>
          </w:p>
        </w:tc>
        <w:tc>
          <w:tcPr>
            <w:tcW w:w="1872" w:type="dxa"/>
            <w:vAlign w:val="center"/>
          </w:tcPr>
          <w:p w14:paraId="4461F05A" w14:textId="2CA0722F" w:rsidR="00533655" w:rsidRPr="007247FC" w:rsidRDefault="00DF1887" w:rsidP="00C63549">
            <w:pPr>
              <w:jc w:val="center"/>
              <w:rPr>
                <w:rFonts w:ascii="Arial" w:hAnsi="Arial" w:cs="Arial"/>
                <w:bCs/>
                <w:sz w:val="22"/>
                <w:szCs w:val="22"/>
              </w:rPr>
            </w:pPr>
            <w:r w:rsidRPr="007247FC">
              <w:rPr>
                <w:rFonts w:ascii="Arial" w:hAnsi="Arial" w:cs="Arial"/>
                <w:bCs/>
                <w:sz w:val="22"/>
                <w:szCs w:val="22"/>
              </w:rPr>
              <w:t>Яам, холбогдох бусад байгууллагын нэр, санал өгсөн бичгийн огноо, дугаар</w:t>
            </w:r>
          </w:p>
        </w:tc>
        <w:tc>
          <w:tcPr>
            <w:tcW w:w="5490" w:type="dxa"/>
            <w:vAlign w:val="center"/>
          </w:tcPr>
          <w:p w14:paraId="7C4E7FB6" w14:textId="77777777" w:rsidR="00533655" w:rsidRPr="007247FC" w:rsidRDefault="00533655" w:rsidP="007F1157">
            <w:pPr>
              <w:jc w:val="center"/>
              <w:rPr>
                <w:rFonts w:ascii="Arial" w:hAnsi="Arial" w:cs="Arial"/>
                <w:bCs/>
                <w:sz w:val="22"/>
                <w:szCs w:val="22"/>
              </w:rPr>
            </w:pPr>
            <w:r w:rsidRPr="007247FC">
              <w:rPr>
                <w:rFonts w:ascii="Arial" w:hAnsi="Arial" w:cs="Arial"/>
                <w:bCs/>
                <w:sz w:val="22"/>
                <w:szCs w:val="22"/>
              </w:rPr>
              <w:t>Саналын товч утга</w:t>
            </w:r>
          </w:p>
        </w:tc>
        <w:tc>
          <w:tcPr>
            <w:tcW w:w="5490" w:type="dxa"/>
            <w:vAlign w:val="center"/>
          </w:tcPr>
          <w:p w14:paraId="6A867335" w14:textId="77777777" w:rsidR="00533655" w:rsidRPr="007247FC" w:rsidRDefault="00533655" w:rsidP="003F6405">
            <w:pPr>
              <w:jc w:val="center"/>
              <w:rPr>
                <w:rFonts w:ascii="Arial" w:hAnsi="Arial" w:cs="Arial"/>
                <w:bCs/>
                <w:sz w:val="22"/>
                <w:szCs w:val="22"/>
              </w:rPr>
            </w:pPr>
            <w:r w:rsidRPr="007247FC">
              <w:rPr>
                <w:rFonts w:ascii="Arial" w:hAnsi="Arial" w:cs="Arial"/>
                <w:bCs/>
                <w:sz w:val="22"/>
                <w:szCs w:val="22"/>
              </w:rPr>
              <w:t>Саналыг тусгасан байдал</w:t>
            </w:r>
          </w:p>
        </w:tc>
      </w:tr>
      <w:tr w:rsidR="002260A1" w:rsidRPr="007247FC" w14:paraId="7B934C4E" w14:textId="77777777" w:rsidTr="00F42933">
        <w:trPr>
          <w:trHeight w:val="1160"/>
        </w:trPr>
        <w:tc>
          <w:tcPr>
            <w:tcW w:w="643" w:type="dxa"/>
            <w:vMerge w:val="restart"/>
            <w:vAlign w:val="center"/>
          </w:tcPr>
          <w:p w14:paraId="394581E6" w14:textId="034A5225" w:rsidR="002260A1" w:rsidRPr="007247FC" w:rsidRDefault="002260A1" w:rsidP="002260A1">
            <w:pPr>
              <w:jc w:val="center"/>
              <w:rPr>
                <w:rFonts w:ascii="Arial" w:hAnsi="Arial" w:cs="Arial"/>
                <w:bCs/>
                <w:sz w:val="22"/>
                <w:szCs w:val="22"/>
                <w:lang w:val="en-US"/>
              </w:rPr>
            </w:pPr>
            <w:r w:rsidRPr="007247FC">
              <w:rPr>
                <w:rFonts w:ascii="Arial" w:hAnsi="Arial" w:cs="Arial"/>
                <w:bCs/>
                <w:sz w:val="22"/>
                <w:szCs w:val="22"/>
                <w:lang w:val="en-US"/>
              </w:rPr>
              <w:t>1</w:t>
            </w:r>
          </w:p>
        </w:tc>
        <w:tc>
          <w:tcPr>
            <w:tcW w:w="1872" w:type="dxa"/>
            <w:vMerge w:val="restart"/>
            <w:vAlign w:val="center"/>
          </w:tcPr>
          <w:p w14:paraId="3A951704" w14:textId="5EC33EBA" w:rsidR="002260A1" w:rsidRPr="007247FC" w:rsidRDefault="002260A1" w:rsidP="002260A1">
            <w:pPr>
              <w:jc w:val="center"/>
              <w:rPr>
                <w:rFonts w:ascii="Arial" w:hAnsi="Arial" w:cs="Arial"/>
                <w:bCs/>
                <w:sz w:val="22"/>
                <w:szCs w:val="22"/>
                <w:lang w:val="en-US"/>
              </w:rPr>
            </w:pPr>
            <w:r w:rsidRPr="007247FC">
              <w:rPr>
                <w:rFonts w:ascii="Arial" w:hAnsi="Arial" w:cs="Arial"/>
                <w:bCs/>
                <w:sz w:val="22"/>
                <w:szCs w:val="22"/>
              </w:rPr>
              <w:t xml:space="preserve">Сангийн яам </w:t>
            </w:r>
            <w:r w:rsidRPr="007247FC">
              <w:rPr>
                <w:rFonts w:ascii="Arial" w:hAnsi="Arial" w:cs="Arial"/>
                <w:bCs/>
                <w:sz w:val="22"/>
                <w:szCs w:val="22"/>
                <w:lang w:val="en-US"/>
              </w:rPr>
              <w:t>(</w:t>
            </w:r>
            <w:r w:rsidRPr="007247FC">
              <w:rPr>
                <w:rFonts w:ascii="Arial" w:hAnsi="Arial" w:cs="Arial"/>
                <w:bCs/>
                <w:sz w:val="22"/>
                <w:szCs w:val="22"/>
              </w:rPr>
              <w:t>2022.12.30 01/3972</w:t>
            </w:r>
            <w:r w:rsidRPr="007247FC">
              <w:rPr>
                <w:rFonts w:ascii="Arial" w:hAnsi="Arial" w:cs="Arial"/>
                <w:bCs/>
                <w:sz w:val="22"/>
                <w:szCs w:val="22"/>
                <w:lang w:val="en-US"/>
              </w:rPr>
              <w:t>)</w:t>
            </w:r>
          </w:p>
        </w:tc>
        <w:tc>
          <w:tcPr>
            <w:tcW w:w="5490" w:type="dxa"/>
            <w:vAlign w:val="center"/>
          </w:tcPr>
          <w:p w14:paraId="04A0D2B8" w14:textId="7C815CC1" w:rsidR="002260A1" w:rsidRPr="007247FC" w:rsidRDefault="002260A1" w:rsidP="002260A1">
            <w:pPr>
              <w:jc w:val="both"/>
              <w:rPr>
                <w:rFonts w:ascii="Arial" w:hAnsi="Arial" w:cs="Arial"/>
                <w:bCs/>
                <w:sz w:val="22"/>
                <w:szCs w:val="22"/>
              </w:rPr>
            </w:pPr>
            <w:r w:rsidRPr="007247FC">
              <w:rPr>
                <w:rFonts w:ascii="Arial" w:hAnsi="Arial" w:cs="Arial"/>
                <w:bCs/>
                <w:sz w:val="22"/>
                <w:szCs w:val="22"/>
                <w:lang w:val="en-US"/>
              </w:rPr>
              <w:t>1</w:t>
            </w:r>
            <w:r w:rsidRPr="007247FC">
              <w:rPr>
                <w:rFonts w:ascii="Arial" w:hAnsi="Arial" w:cs="Arial"/>
                <w:bCs/>
                <w:sz w:val="22"/>
                <w:szCs w:val="22"/>
              </w:rPr>
              <w:t>.Төслийн 4</w:t>
            </w:r>
            <w:r w:rsidRPr="007247FC">
              <w:rPr>
                <w:rFonts w:ascii="Arial" w:hAnsi="Arial" w:cs="Arial"/>
                <w:bCs/>
                <w:sz w:val="22"/>
                <w:szCs w:val="22"/>
                <w:lang w:val="en-US"/>
              </w:rPr>
              <w:t xml:space="preserve"> </w:t>
            </w:r>
            <w:r w:rsidRPr="007247FC">
              <w:rPr>
                <w:rFonts w:ascii="Arial" w:hAnsi="Arial" w:cs="Arial"/>
                <w:bCs/>
                <w:sz w:val="22"/>
                <w:szCs w:val="22"/>
              </w:rPr>
              <w:t>дүгээр зүйлийн 4.1.5 дахь заалтад “нийгмийн даатгалын шимтгэл төлөгч” гэж... шимтгэл төлөх үүрэг хүлээсэн даатгуулагч, ажил олгогч, төр, хуулийн этгээдийг” гэж тодорхойлсон байна. Энэхүү тодорхойлолтод сайн дураар төлж байгаа даатгуулагч хамаарахгүй байгааг анхаарах</w:t>
            </w:r>
          </w:p>
        </w:tc>
        <w:tc>
          <w:tcPr>
            <w:tcW w:w="5490" w:type="dxa"/>
            <w:vAlign w:val="center"/>
          </w:tcPr>
          <w:p w14:paraId="28C07D4A" w14:textId="061C59E6" w:rsidR="002260A1" w:rsidRPr="002260A1" w:rsidRDefault="002260A1" w:rsidP="00C915C3">
            <w:pPr>
              <w:jc w:val="both"/>
              <w:rPr>
                <w:rFonts w:ascii="Arial" w:hAnsi="Arial" w:cs="Arial"/>
                <w:bCs/>
                <w:sz w:val="22"/>
                <w:szCs w:val="22"/>
              </w:rPr>
            </w:pPr>
            <w:r>
              <w:rPr>
                <w:rFonts w:ascii="Arial" w:hAnsi="Arial" w:cs="Arial"/>
                <w:bCs/>
                <w:sz w:val="22"/>
                <w:szCs w:val="22"/>
              </w:rPr>
              <w:t>Хуулийн төслийн 7.1-д “</w:t>
            </w:r>
            <w:proofErr w:type="spellStart"/>
            <w:r>
              <w:rPr>
                <w:rFonts w:ascii="Arial" w:hAnsi="Arial" w:cs="Arial"/>
                <w:bCs/>
                <w:sz w:val="22"/>
                <w:szCs w:val="22"/>
                <w:lang w:val="en-US"/>
              </w:rPr>
              <w:t>Нийгмийн</w:t>
            </w:r>
            <w:proofErr w:type="spellEnd"/>
            <w:r>
              <w:rPr>
                <w:rFonts w:ascii="Arial" w:hAnsi="Arial" w:cs="Arial"/>
                <w:bCs/>
                <w:sz w:val="22"/>
                <w:szCs w:val="22"/>
                <w:lang w:val="en-US"/>
              </w:rPr>
              <w:t xml:space="preserve"> </w:t>
            </w:r>
            <w:proofErr w:type="spellStart"/>
            <w:r>
              <w:rPr>
                <w:rFonts w:ascii="Arial" w:hAnsi="Arial" w:cs="Arial"/>
                <w:bCs/>
                <w:sz w:val="22"/>
                <w:szCs w:val="22"/>
                <w:lang w:val="en-US"/>
              </w:rPr>
              <w:t>даатгал</w:t>
            </w:r>
            <w:proofErr w:type="spellEnd"/>
            <w:r>
              <w:rPr>
                <w:rFonts w:ascii="Arial" w:hAnsi="Arial" w:cs="Arial"/>
                <w:bCs/>
                <w:sz w:val="22"/>
                <w:szCs w:val="22"/>
              </w:rPr>
              <w:t xml:space="preserve"> нь </w:t>
            </w:r>
            <w:r w:rsidRPr="005D2EBA">
              <w:rPr>
                <w:rFonts w:ascii="Arial" w:hAnsi="Arial" w:cs="Arial"/>
                <w:sz w:val="22"/>
              </w:rPr>
              <w:t>албан жур</w:t>
            </w:r>
            <w:r w:rsidRPr="004F5C5A">
              <w:rPr>
                <w:rFonts w:ascii="Arial" w:hAnsi="Arial" w:cs="Arial"/>
                <w:sz w:val="22"/>
              </w:rPr>
              <w:t>маар болон</w:t>
            </w:r>
            <w:r w:rsidRPr="005D2EBA">
              <w:rPr>
                <w:rFonts w:ascii="Arial" w:hAnsi="Arial" w:cs="Arial"/>
                <w:sz w:val="22"/>
              </w:rPr>
              <w:t xml:space="preserve"> сайн дур</w:t>
            </w:r>
            <w:r w:rsidRPr="004F5C5A">
              <w:rPr>
                <w:rFonts w:ascii="Arial" w:hAnsi="Arial" w:cs="Arial"/>
                <w:sz w:val="22"/>
              </w:rPr>
              <w:t>аар</w:t>
            </w:r>
            <w:r w:rsidRPr="005D2EBA">
              <w:rPr>
                <w:rFonts w:ascii="Arial" w:hAnsi="Arial" w:cs="Arial"/>
                <w:sz w:val="22"/>
              </w:rPr>
              <w:t xml:space="preserve"> </w:t>
            </w:r>
            <w:r>
              <w:rPr>
                <w:rFonts w:ascii="Arial" w:hAnsi="Arial" w:cs="Arial"/>
                <w:sz w:val="22"/>
              </w:rPr>
              <w:t xml:space="preserve">даатгуулах </w:t>
            </w:r>
            <w:r w:rsidRPr="005D2EBA">
              <w:rPr>
                <w:rFonts w:ascii="Arial" w:hAnsi="Arial" w:cs="Arial"/>
                <w:sz w:val="22"/>
              </w:rPr>
              <w:t>гэсэн хэлбэртэй</w:t>
            </w:r>
            <w:r>
              <w:rPr>
                <w:rFonts w:ascii="Arial" w:hAnsi="Arial" w:cs="Arial"/>
                <w:sz w:val="22"/>
              </w:rPr>
              <w:t xml:space="preserve"> байна” гэж тусгасан</w:t>
            </w:r>
            <w:r w:rsidR="00E16F75">
              <w:rPr>
                <w:rFonts w:ascii="Arial" w:hAnsi="Arial" w:cs="Arial"/>
                <w:sz w:val="22"/>
              </w:rPr>
              <w:t xml:space="preserve"> бөгөөд хуулийн төслийн </w:t>
            </w:r>
            <w:r w:rsidR="00E16F75" w:rsidRPr="007247FC">
              <w:rPr>
                <w:rFonts w:ascii="Arial" w:hAnsi="Arial" w:cs="Arial"/>
                <w:bCs/>
                <w:sz w:val="22"/>
                <w:szCs w:val="22"/>
              </w:rPr>
              <w:t xml:space="preserve">4.1.5 дахь заалтад </w:t>
            </w:r>
            <w:r w:rsidR="00E16F75">
              <w:rPr>
                <w:rFonts w:ascii="Arial" w:hAnsi="Arial" w:cs="Arial"/>
                <w:bCs/>
                <w:sz w:val="22"/>
                <w:szCs w:val="22"/>
              </w:rPr>
              <w:t>дурдсан “</w:t>
            </w:r>
            <w:r>
              <w:rPr>
                <w:rFonts w:ascii="Arial" w:hAnsi="Arial" w:cs="Arial"/>
                <w:bCs/>
                <w:sz w:val="22"/>
                <w:szCs w:val="22"/>
              </w:rPr>
              <w:t>даатгуулагч</w:t>
            </w:r>
            <w:r w:rsidR="00E16F75">
              <w:rPr>
                <w:rFonts w:ascii="Arial" w:hAnsi="Arial" w:cs="Arial"/>
                <w:bCs/>
                <w:sz w:val="22"/>
                <w:szCs w:val="22"/>
              </w:rPr>
              <w:t xml:space="preserve">” гэдэгт </w:t>
            </w:r>
            <w:r>
              <w:rPr>
                <w:rFonts w:ascii="Arial" w:hAnsi="Arial" w:cs="Arial"/>
                <w:bCs/>
                <w:sz w:val="22"/>
                <w:szCs w:val="22"/>
              </w:rPr>
              <w:t xml:space="preserve">албан журмаар болон сайн дураар даатгуулагч </w:t>
            </w:r>
            <w:r w:rsidR="00E16F75">
              <w:rPr>
                <w:rFonts w:ascii="Arial" w:hAnsi="Arial" w:cs="Arial"/>
                <w:bCs/>
                <w:sz w:val="22"/>
                <w:szCs w:val="22"/>
              </w:rPr>
              <w:t>аль аль нь хамаарах</w:t>
            </w:r>
            <w:r w:rsidR="00C915C3">
              <w:rPr>
                <w:rFonts w:ascii="Arial" w:hAnsi="Arial" w:cs="Arial"/>
                <w:bCs/>
                <w:sz w:val="22"/>
                <w:szCs w:val="22"/>
              </w:rPr>
              <w:t>аар заасан болно</w:t>
            </w:r>
            <w:r w:rsidR="00E16F75">
              <w:rPr>
                <w:rFonts w:ascii="Arial" w:hAnsi="Arial" w:cs="Arial"/>
                <w:bCs/>
                <w:sz w:val="22"/>
                <w:szCs w:val="22"/>
              </w:rPr>
              <w:t xml:space="preserve">. </w:t>
            </w:r>
          </w:p>
        </w:tc>
      </w:tr>
      <w:tr w:rsidR="002260A1" w:rsidRPr="007247FC" w14:paraId="219C873D" w14:textId="77777777" w:rsidTr="00F42933">
        <w:trPr>
          <w:trHeight w:val="1160"/>
        </w:trPr>
        <w:tc>
          <w:tcPr>
            <w:tcW w:w="643" w:type="dxa"/>
            <w:vMerge/>
            <w:vAlign w:val="center"/>
          </w:tcPr>
          <w:p w14:paraId="2521FA2D" w14:textId="77777777" w:rsidR="002260A1" w:rsidRPr="007247FC" w:rsidRDefault="002260A1" w:rsidP="002260A1">
            <w:pPr>
              <w:jc w:val="center"/>
              <w:rPr>
                <w:rFonts w:ascii="Arial" w:hAnsi="Arial" w:cs="Arial"/>
                <w:bCs/>
                <w:sz w:val="22"/>
                <w:szCs w:val="22"/>
              </w:rPr>
            </w:pPr>
          </w:p>
        </w:tc>
        <w:tc>
          <w:tcPr>
            <w:tcW w:w="1872" w:type="dxa"/>
            <w:vMerge/>
            <w:vAlign w:val="center"/>
          </w:tcPr>
          <w:p w14:paraId="2387677E" w14:textId="77777777" w:rsidR="002260A1" w:rsidRPr="007247FC" w:rsidRDefault="002260A1" w:rsidP="002260A1">
            <w:pPr>
              <w:jc w:val="center"/>
              <w:rPr>
                <w:rFonts w:ascii="Arial" w:hAnsi="Arial" w:cs="Arial"/>
                <w:bCs/>
                <w:sz w:val="22"/>
                <w:szCs w:val="22"/>
              </w:rPr>
            </w:pPr>
          </w:p>
        </w:tc>
        <w:tc>
          <w:tcPr>
            <w:tcW w:w="5490" w:type="dxa"/>
            <w:vAlign w:val="center"/>
          </w:tcPr>
          <w:p w14:paraId="1C9A09C4" w14:textId="0712BD79" w:rsidR="002260A1" w:rsidRPr="007247FC" w:rsidRDefault="002260A1" w:rsidP="002260A1">
            <w:pPr>
              <w:jc w:val="both"/>
              <w:rPr>
                <w:rFonts w:ascii="Arial" w:hAnsi="Arial" w:cs="Arial"/>
                <w:bCs/>
                <w:sz w:val="22"/>
                <w:szCs w:val="22"/>
              </w:rPr>
            </w:pPr>
            <w:r w:rsidRPr="007247FC">
              <w:rPr>
                <w:rFonts w:ascii="Arial" w:hAnsi="Arial" w:cs="Arial"/>
                <w:bCs/>
                <w:sz w:val="22"/>
                <w:szCs w:val="22"/>
              </w:rPr>
              <w:t>2.Нийгмийн даатгалын сангийн зорилго нь тухайн төрлийн даатгалын тохиолдол бий болсон тохиолдолд даатгуулагчид төлбөр олгох үндсэн зорилготой. Үүний дагуу төслийн 4.1.9 дэх заалтад “нийгмийн даатгалын сан” гэж тэтгэвэр, тэтгэмж, эрүүл мэндийн нөхөн сэргээлтийн зардлын төлбөр, үйлдвэрлэлийн осол, мэргэжлээс шалтгаалсан өвчнөөс урьдчилан сэргийлэх арга хэмжээний зардал олгох, шимтгэлийн хөнгөлөлт, чөлөөлөлт зарцуулах зорилгоор... мөнгөн хөрөнгийг ойлгоно” гэж заасан байна. Гэтэл төслийн 12.1.3 дахь заалтад Нийгмийн даатгалын үндэсний зөвлөл болон мэргэжлийн хорооны гишүүний урамшууллын зардлыг санхүүжүүлэхээр заасан нь уг сангийн хуульд заасан зорилготой нийцэхгүй байгааг анхаарах.</w:t>
            </w:r>
          </w:p>
        </w:tc>
        <w:tc>
          <w:tcPr>
            <w:tcW w:w="5490" w:type="dxa"/>
            <w:vAlign w:val="center"/>
          </w:tcPr>
          <w:p w14:paraId="1ADAB6A8" w14:textId="0E6A6427" w:rsidR="000C018E" w:rsidRPr="004F5C5A" w:rsidRDefault="00E16F75" w:rsidP="008B4280">
            <w:pPr>
              <w:autoSpaceDE w:val="0"/>
              <w:autoSpaceDN w:val="0"/>
              <w:jc w:val="both"/>
              <w:rPr>
                <w:rFonts w:ascii="Arial" w:eastAsia="MS Mincho" w:hAnsi="Arial" w:cs="Arial"/>
                <w:sz w:val="22"/>
              </w:rPr>
            </w:pPr>
            <w:r>
              <w:rPr>
                <w:rFonts w:ascii="Arial" w:eastAsia="Times New Roman" w:hAnsi="Arial" w:cs="Arial"/>
                <w:sz w:val="22"/>
              </w:rPr>
              <w:t>Саналыг тусгаж, хуул</w:t>
            </w:r>
            <w:r w:rsidR="008B4280">
              <w:rPr>
                <w:rFonts w:ascii="Arial" w:eastAsia="Times New Roman" w:hAnsi="Arial" w:cs="Arial"/>
                <w:sz w:val="22"/>
              </w:rPr>
              <w:t>ийн төсл</w:t>
            </w:r>
            <w:r w:rsidR="009C011A">
              <w:rPr>
                <w:rFonts w:ascii="Arial" w:eastAsia="Times New Roman" w:hAnsi="Arial" w:cs="Arial"/>
                <w:sz w:val="22"/>
              </w:rPr>
              <w:t xml:space="preserve">ийн 12 дугаар зүйлийг </w:t>
            </w:r>
            <w:r w:rsidR="000C018E">
              <w:rPr>
                <w:rFonts w:ascii="Arial" w:eastAsia="Times New Roman" w:hAnsi="Arial" w:cs="Arial"/>
                <w:sz w:val="22"/>
              </w:rPr>
              <w:t>“</w:t>
            </w:r>
            <w:r w:rsidR="000C018E" w:rsidRPr="004F5C5A">
              <w:rPr>
                <w:rFonts w:ascii="Arial" w:eastAsia="MS Mincho" w:hAnsi="Arial" w:cs="Arial"/>
                <w:sz w:val="22"/>
              </w:rPr>
              <w:t>1</w:t>
            </w:r>
            <w:r w:rsidR="000C018E">
              <w:rPr>
                <w:rFonts w:ascii="Arial" w:eastAsia="MS Mincho" w:hAnsi="Arial" w:cs="Arial"/>
                <w:sz w:val="22"/>
              </w:rPr>
              <w:t>2</w:t>
            </w:r>
            <w:r w:rsidR="000C018E" w:rsidRPr="004F5C5A">
              <w:rPr>
                <w:rFonts w:ascii="Arial" w:eastAsia="MS Mincho" w:hAnsi="Arial" w:cs="Arial"/>
                <w:sz w:val="22"/>
              </w:rPr>
              <w:t>.1.Нийгмийн даатгалын сангийн хөрөнгийг</w:t>
            </w:r>
            <w:r w:rsidR="000C018E" w:rsidRPr="004F5C5A">
              <w:rPr>
                <w:rFonts w:ascii="Arial" w:eastAsia="MS Mincho" w:hAnsi="Arial" w:cs="Arial"/>
                <w:color w:val="C00000"/>
                <w:sz w:val="22"/>
              </w:rPr>
              <w:t xml:space="preserve"> </w:t>
            </w:r>
            <w:r w:rsidR="000C018E">
              <w:rPr>
                <w:rFonts w:ascii="Arial" w:eastAsia="MS Mincho" w:hAnsi="Arial" w:cs="Arial"/>
                <w:sz w:val="22"/>
              </w:rPr>
              <w:t xml:space="preserve">дараах </w:t>
            </w:r>
            <w:r w:rsidR="000C018E" w:rsidRPr="004F5C5A">
              <w:rPr>
                <w:rFonts w:ascii="Arial" w:eastAsia="MS Mincho" w:hAnsi="Arial" w:cs="Arial"/>
                <w:sz w:val="22"/>
              </w:rPr>
              <w:t>зориулалтаар зарцуулна:</w:t>
            </w:r>
          </w:p>
          <w:p w14:paraId="539E1E6D" w14:textId="77777777" w:rsidR="000C018E" w:rsidRDefault="000C018E" w:rsidP="000C018E">
            <w:pPr>
              <w:autoSpaceDE w:val="0"/>
              <w:autoSpaceDN w:val="0"/>
              <w:ind w:firstLine="1134"/>
              <w:jc w:val="both"/>
              <w:rPr>
                <w:rFonts w:ascii="Arial" w:eastAsia="MS Mincho" w:hAnsi="Arial" w:cs="Arial"/>
                <w:sz w:val="22"/>
              </w:rPr>
            </w:pPr>
            <w:r w:rsidRPr="004F5C5A">
              <w:rPr>
                <w:rFonts w:ascii="Arial" w:eastAsia="MS Mincho" w:hAnsi="Arial" w:cs="Arial"/>
                <w:sz w:val="22"/>
              </w:rPr>
              <w:t>1</w:t>
            </w:r>
            <w:r>
              <w:rPr>
                <w:rFonts w:ascii="Arial" w:eastAsia="MS Mincho" w:hAnsi="Arial" w:cs="Arial"/>
                <w:sz w:val="22"/>
              </w:rPr>
              <w:t>2.1.1.тэтгэвэр, тэтгэмж олгох</w:t>
            </w:r>
            <w:r w:rsidRPr="004F5C5A">
              <w:rPr>
                <w:rFonts w:ascii="Arial" w:eastAsia="MS Mincho" w:hAnsi="Arial" w:cs="Arial"/>
                <w:sz w:val="22"/>
              </w:rPr>
              <w:t>;</w:t>
            </w:r>
          </w:p>
          <w:p w14:paraId="74021BCD" w14:textId="77777777" w:rsidR="000C018E" w:rsidRPr="00021266" w:rsidRDefault="000C018E" w:rsidP="000C018E">
            <w:pPr>
              <w:autoSpaceDE w:val="0"/>
              <w:autoSpaceDN w:val="0"/>
              <w:ind w:firstLine="1134"/>
              <w:jc w:val="both"/>
              <w:rPr>
                <w:rFonts w:ascii="Arial" w:eastAsia="MS Mincho" w:hAnsi="Arial" w:cs="Arial"/>
                <w:sz w:val="22"/>
              </w:rPr>
            </w:pPr>
            <w:r>
              <w:rPr>
                <w:rFonts w:ascii="Arial" w:eastAsia="MS Mincho" w:hAnsi="Arial" w:cs="Arial"/>
                <w:sz w:val="22"/>
              </w:rPr>
              <w:t xml:space="preserve">12.1.2.даатгуулагчийн </w:t>
            </w:r>
            <w:r w:rsidRPr="002618D6">
              <w:rPr>
                <w:rFonts w:ascii="Arial" w:eastAsia="MS Mincho" w:hAnsi="Arial" w:cs="Arial"/>
                <w:sz w:val="22"/>
              </w:rPr>
              <w:t>эрүүл мэндийн нөхөн сэргээлтийн зардлын төлбөр</w:t>
            </w:r>
            <w:r>
              <w:rPr>
                <w:rFonts w:ascii="Arial" w:eastAsia="Times New Roman" w:hAnsi="Arial" w:cs="Arial"/>
                <w:sz w:val="22"/>
              </w:rPr>
              <w:t>,</w:t>
            </w:r>
            <w:r w:rsidRPr="004F5C5A">
              <w:rPr>
                <w:rFonts w:ascii="Arial" w:eastAsia="Times New Roman" w:hAnsi="Arial" w:cs="Arial"/>
                <w:sz w:val="22"/>
              </w:rPr>
              <w:t xml:space="preserve"> үйлдвэрлэлийн осол, мэргэжлээс шалтгаалсан өвчнөөс урьдчилан сэргийлэх арга хэмжээ</w:t>
            </w:r>
            <w:r>
              <w:rPr>
                <w:rFonts w:ascii="Arial" w:eastAsia="Times New Roman" w:hAnsi="Arial" w:cs="Arial"/>
                <w:sz w:val="22"/>
              </w:rPr>
              <w:t>ний зардал олгох</w:t>
            </w:r>
            <w:r w:rsidRPr="004F5C5A">
              <w:rPr>
                <w:rFonts w:ascii="Arial" w:eastAsia="Times New Roman" w:hAnsi="Arial" w:cs="Arial"/>
                <w:sz w:val="22"/>
              </w:rPr>
              <w:t>, ажил олгогч</w:t>
            </w:r>
            <w:r>
              <w:rPr>
                <w:rFonts w:ascii="Arial" w:eastAsia="Times New Roman" w:hAnsi="Arial" w:cs="Arial"/>
                <w:sz w:val="22"/>
              </w:rPr>
              <w:t xml:space="preserve">ид шимтгэлийн </w:t>
            </w:r>
            <w:r w:rsidRPr="004F5C5A">
              <w:rPr>
                <w:rFonts w:ascii="Arial" w:eastAsia="Times New Roman" w:hAnsi="Arial" w:cs="Arial"/>
                <w:sz w:val="22"/>
              </w:rPr>
              <w:t>хөнгөлөлт, чөлөөлөлт</w:t>
            </w:r>
            <w:r>
              <w:rPr>
                <w:rFonts w:ascii="Arial" w:eastAsia="Times New Roman" w:hAnsi="Arial" w:cs="Arial"/>
                <w:sz w:val="22"/>
              </w:rPr>
              <w:t xml:space="preserve"> </w:t>
            </w:r>
            <w:r>
              <w:rPr>
                <w:rFonts w:ascii="Arial" w:eastAsia="MS Mincho" w:hAnsi="Arial" w:cs="Arial"/>
                <w:sz w:val="22"/>
              </w:rPr>
              <w:t>үзүүлэх</w:t>
            </w:r>
            <w:r w:rsidRPr="004F5C5A">
              <w:rPr>
                <w:rFonts w:ascii="Arial" w:eastAsia="MS Mincho" w:hAnsi="Arial" w:cs="Arial"/>
                <w:sz w:val="22"/>
              </w:rPr>
              <w:t>;</w:t>
            </w:r>
          </w:p>
          <w:p w14:paraId="0FF1905F" w14:textId="77777777" w:rsidR="000C018E" w:rsidRDefault="000C018E" w:rsidP="000C018E">
            <w:pPr>
              <w:autoSpaceDE w:val="0"/>
              <w:autoSpaceDN w:val="0"/>
              <w:ind w:firstLine="1170"/>
              <w:jc w:val="both"/>
              <w:rPr>
                <w:rFonts w:ascii="Arial" w:eastAsia="MS Mincho" w:hAnsi="Arial" w:cs="Arial"/>
                <w:sz w:val="22"/>
              </w:rPr>
            </w:pPr>
            <w:r>
              <w:rPr>
                <w:rFonts w:ascii="Arial" w:eastAsia="MS Mincho" w:hAnsi="Arial" w:cs="Arial"/>
                <w:sz w:val="22"/>
              </w:rPr>
              <w:t>12.1.3.банкны тэтгэвэр олгосон үйлчилгээний хөлс;</w:t>
            </w:r>
          </w:p>
          <w:p w14:paraId="45044CDD" w14:textId="314DF30A" w:rsidR="00E16F75" w:rsidRPr="0048434B" w:rsidRDefault="000C018E" w:rsidP="0048434B">
            <w:pPr>
              <w:autoSpaceDE w:val="0"/>
              <w:autoSpaceDN w:val="0"/>
              <w:ind w:firstLine="1170"/>
              <w:jc w:val="both"/>
              <w:rPr>
                <w:rFonts w:ascii="Arial" w:eastAsia="MS Mincho" w:hAnsi="Arial" w:cs="Arial"/>
                <w:sz w:val="22"/>
              </w:rPr>
            </w:pPr>
            <w:r>
              <w:rPr>
                <w:rFonts w:ascii="Arial" w:eastAsia="MS Mincho" w:hAnsi="Arial" w:cs="Arial"/>
                <w:sz w:val="22"/>
              </w:rPr>
              <w:t>12.1.4</w:t>
            </w:r>
            <w:r w:rsidRPr="008F08C2">
              <w:rPr>
                <w:rFonts w:ascii="Arial" w:eastAsia="MS Mincho" w:hAnsi="Arial" w:cs="Arial"/>
                <w:sz w:val="22"/>
              </w:rPr>
              <w:t>.</w:t>
            </w:r>
            <w:r>
              <w:rPr>
                <w:rFonts w:ascii="Arial" w:eastAsia="MS Mincho" w:hAnsi="Arial" w:cs="Arial"/>
                <w:sz w:val="22"/>
              </w:rPr>
              <w:t xml:space="preserve">энэ хуулийн 41 дүгээр зүйлд заасан </w:t>
            </w:r>
            <w:r w:rsidRPr="008F08C2">
              <w:rPr>
                <w:rFonts w:ascii="Arial" w:eastAsia="MS Mincho" w:hAnsi="Arial" w:cs="Arial"/>
                <w:sz w:val="22"/>
              </w:rPr>
              <w:t>сурталчилгаа, зөвлөн туслах үйлчилгээний зардлыг санхүүжүүлэх.</w:t>
            </w:r>
            <w:r>
              <w:rPr>
                <w:rFonts w:ascii="Arial" w:eastAsia="MS Mincho" w:hAnsi="Arial" w:cs="Arial"/>
                <w:sz w:val="22"/>
              </w:rPr>
              <w:t>” гэж</w:t>
            </w:r>
            <w:r w:rsidR="008B4280">
              <w:rPr>
                <w:rFonts w:ascii="Arial" w:eastAsia="MS Mincho" w:hAnsi="Arial" w:cs="Arial"/>
                <w:sz w:val="22"/>
              </w:rPr>
              <w:t xml:space="preserve"> өөрчлөв</w:t>
            </w:r>
            <w:r>
              <w:rPr>
                <w:rFonts w:ascii="Arial" w:eastAsia="MS Mincho" w:hAnsi="Arial" w:cs="Arial"/>
                <w:sz w:val="22"/>
              </w:rPr>
              <w:t xml:space="preserve">. </w:t>
            </w:r>
          </w:p>
          <w:p w14:paraId="5C75787F" w14:textId="77777777" w:rsidR="002260A1" w:rsidRPr="007247FC" w:rsidRDefault="002260A1" w:rsidP="002260A1">
            <w:pPr>
              <w:jc w:val="center"/>
              <w:rPr>
                <w:rFonts w:ascii="Arial" w:hAnsi="Arial" w:cs="Arial"/>
                <w:bCs/>
                <w:sz w:val="22"/>
                <w:szCs w:val="22"/>
              </w:rPr>
            </w:pPr>
          </w:p>
        </w:tc>
      </w:tr>
      <w:tr w:rsidR="002260A1" w:rsidRPr="007247FC" w14:paraId="67A6EA3F" w14:textId="77777777" w:rsidTr="00F42933">
        <w:trPr>
          <w:trHeight w:val="1160"/>
        </w:trPr>
        <w:tc>
          <w:tcPr>
            <w:tcW w:w="643" w:type="dxa"/>
            <w:vMerge/>
            <w:vAlign w:val="center"/>
          </w:tcPr>
          <w:p w14:paraId="1FC7924C" w14:textId="77777777" w:rsidR="002260A1" w:rsidRPr="007247FC" w:rsidRDefault="002260A1" w:rsidP="002260A1">
            <w:pPr>
              <w:jc w:val="center"/>
              <w:rPr>
                <w:rFonts w:ascii="Arial" w:hAnsi="Arial" w:cs="Arial"/>
                <w:bCs/>
                <w:sz w:val="22"/>
                <w:szCs w:val="22"/>
              </w:rPr>
            </w:pPr>
          </w:p>
        </w:tc>
        <w:tc>
          <w:tcPr>
            <w:tcW w:w="1872" w:type="dxa"/>
            <w:vMerge/>
            <w:vAlign w:val="center"/>
          </w:tcPr>
          <w:p w14:paraId="4644420E" w14:textId="77777777" w:rsidR="002260A1" w:rsidRPr="007247FC" w:rsidRDefault="002260A1" w:rsidP="002260A1">
            <w:pPr>
              <w:jc w:val="center"/>
              <w:rPr>
                <w:rFonts w:ascii="Arial" w:hAnsi="Arial" w:cs="Arial"/>
                <w:bCs/>
                <w:sz w:val="22"/>
                <w:szCs w:val="22"/>
              </w:rPr>
            </w:pPr>
          </w:p>
        </w:tc>
        <w:tc>
          <w:tcPr>
            <w:tcW w:w="5490" w:type="dxa"/>
            <w:vAlign w:val="center"/>
          </w:tcPr>
          <w:p w14:paraId="43A6E1C3" w14:textId="5EECED96" w:rsidR="002260A1" w:rsidRPr="007247FC" w:rsidRDefault="002260A1" w:rsidP="00C9107F">
            <w:pPr>
              <w:jc w:val="both"/>
              <w:rPr>
                <w:rFonts w:ascii="Arial" w:hAnsi="Arial" w:cs="Arial"/>
                <w:bCs/>
                <w:sz w:val="22"/>
                <w:szCs w:val="22"/>
              </w:rPr>
            </w:pPr>
            <w:r w:rsidRPr="007247FC">
              <w:rPr>
                <w:rFonts w:ascii="Arial" w:hAnsi="Arial" w:cs="Arial"/>
                <w:bCs/>
                <w:sz w:val="22"/>
                <w:szCs w:val="22"/>
              </w:rPr>
              <w:t xml:space="preserve">3.Төсөлд заасан хөрөнгө оруулж болох санхүүгийн хэрэгслийн төрлийг дахин авч үзэх, төслийн 13 дугаар зүйлийн 13.1.5-д сангийн хөрөнгийг А-аас доошгүй үнэлгээтэй гадаад улсын засгийн газрын үнэт цаасанд оруулахаар заасан байна. Нийгмийн даатгалын сан нь дотоодын санхүүгийн зах зээлийн хөгжилд хувь нэмэр оруулах институциональ хөрөнгө оруулагч байх нь зүйтэй тул хуулийн төслөөс гадаад улсын Засгийн газрын үнэт цаасанд байршуулахтай холбоотой зохицуулалтыг хасах. </w:t>
            </w:r>
            <w:r w:rsidRPr="007247FC">
              <w:rPr>
                <w:rFonts w:ascii="Arial" w:hAnsi="Arial" w:cs="Arial"/>
                <w:bCs/>
                <w:sz w:val="22"/>
                <w:szCs w:val="22"/>
              </w:rPr>
              <w:lastRenderedPageBreak/>
              <w:t>Нөгөөтээгүүр, А-аас доошгүй үнэлгээтэй гадаад улсын Засгийн газрын үнэт цаасанд байршуулах тохиолдолд даатгуулагчийн нэрийн дансны үлдэгдэлд төлөх хүүгийн зардлыг нөхөх хэмжээний орлого, өгөөж олох боломжгүй болно. Мөн төслийн 13.1 дэх хэсэгт ипотекийн зээлээр баталгаажсан үнэт цаасанд хөрөнгө оруулах тухай зохицуулалтыг нэмж тусгах</w:t>
            </w:r>
          </w:p>
        </w:tc>
        <w:tc>
          <w:tcPr>
            <w:tcW w:w="5490" w:type="dxa"/>
            <w:vAlign w:val="center"/>
          </w:tcPr>
          <w:p w14:paraId="04908AFD" w14:textId="77777777" w:rsidR="00C9107F" w:rsidRDefault="00C9107F" w:rsidP="001F2228">
            <w:pPr>
              <w:jc w:val="both"/>
              <w:rPr>
                <w:rFonts w:ascii="Arial" w:hAnsi="Arial" w:cs="Arial"/>
                <w:bCs/>
                <w:sz w:val="22"/>
                <w:szCs w:val="22"/>
              </w:rPr>
            </w:pPr>
          </w:p>
          <w:p w14:paraId="402B3626" w14:textId="0BDB9979" w:rsidR="00C9107F" w:rsidRPr="00C9107F" w:rsidRDefault="00C9107F" w:rsidP="00C9107F">
            <w:pPr>
              <w:autoSpaceDE w:val="0"/>
              <w:autoSpaceDN w:val="0"/>
              <w:jc w:val="both"/>
              <w:rPr>
                <w:rFonts w:ascii="Arial" w:eastAsia="Times New Roman" w:hAnsi="Arial" w:cs="Arial"/>
                <w:sz w:val="22"/>
              </w:rPr>
            </w:pPr>
            <w:r>
              <w:rPr>
                <w:rFonts w:ascii="Arial" w:eastAsia="Times New Roman" w:hAnsi="Arial" w:cs="Arial"/>
                <w:sz w:val="22"/>
              </w:rPr>
              <w:t>Саналыг тусгаж, “</w:t>
            </w:r>
            <w:r w:rsidRPr="00A609DE">
              <w:rPr>
                <w:rFonts w:ascii="Arial" w:eastAsia="Times New Roman" w:hAnsi="Arial" w:cs="Arial"/>
                <w:sz w:val="22"/>
              </w:rPr>
              <w:t>13.1.</w:t>
            </w:r>
            <w:r>
              <w:rPr>
                <w:rFonts w:ascii="Arial" w:eastAsia="Times New Roman" w:hAnsi="Arial" w:cs="Arial"/>
                <w:sz w:val="22"/>
              </w:rPr>
              <w:t>5</w:t>
            </w:r>
            <w:r w:rsidRPr="00A609DE">
              <w:rPr>
                <w:rFonts w:ascii="Arial" w:eastAsia="Times New Roman" w:hAnsi="Arial" w:cs="Arial"/>
                <w:sz w:val="22"/>
              </w:rPr>
              <w:t>.зээлжих зэрэглэл тогтоодог нэр хүнд бүхий олон улсын байгууллагаас A-аас доошгүй үнэлгээ авсан гадаад улсын Засгийн газрын үнэт цаас;</w:t>
            </w:r>
            <w:r>
              <w:rPr>
                <w:rFonts w:ascii="Arial" w:eastAsia="Times New Roman" w:hAnsi="Arial" w:cs="Arial"/>
                <w:sz w:val="22"/>
              </w:rPr>
              <w:t>” гэснийг “</w:t>
            </w:r>
            <w:r w:rsidRPr="00A609DE">
              <w:rPr>
                <w:rFonts w:ascii="Arial" w:eastAsia="Times New Roman" w:hAnsi="Arial" w:cs="Arial"/>
                <w:sz w:val="22"/>
              </w:rPr>
              <w:t>13.1.</w:t>
            </w:r>
            <w:r>
              <w:rPr>
                <w:rFonts w:ascii="Arial" w:eastAsia="Times New Roman" w:hAnsi="Arial" w:cs="Arial"/>
                <w:sz w:val="22"/>
              </w:rPr>
              <w:t>5</w:t>
            </w:r>
            <w:r w:rsidRPr="00A609DE">
              <w:rPr>
                <w:rFonts w:ascii="Arial" w:eastAsia="Times New Roman" w:hAnsi="Arial" w:cs="Arial"/>
                <w:sz w:val="22"/>
              </w:rPr>
              <w:t>.</w:t>
            </w:r>
            <w:r>
              <w:rPr>
                <w:rFonts w:ascii="Arial" w:eastAsia="Times New Roman" w:hAnsi="Arial" w:cs="Arial"/>
                <w:sz w:val="22"/>
              </w:rPr>
              <w:t xml:space="preserve">ипотекийн зээлээр баталгаажсан </w:t>
            </w:r>
            <w:r w:rsidRPr="00A609DE">
              <w:rPr>
                <w:rFonts w:ascii="Arial" w:eastAsia="Times New Roman" w:hAnsi="Arial" w:cs="Arial"/>
                <w:sz w:val="22"/>
              </w:rPr>
              <w:t>үнэт цаас</w:t>
            </w:r>
            <w:r>
              <w:rPr>
                <w:rFonts w:ascii="Arial" w:eastAsia="Times New Roman" w:hAnsi="Arial" w:cs="Arial"/>
                <w:sz w:val="22"/>
              </w:rPr>
              <w:t>” гэж өөрчлөв.</w:t>
            </w:r>
          </w:p>
          <w:p w14:paraId="742FC509" w14:textId="12315CB3" w:rsidR="00F42933" w:rsidRPr="00B01D5C" w:rsidRDefault="00F42933" w:rsidP="00B01D5C">
            <w:pPr>
              <w:autoSpaceDE w:val="0"/>
              <w:autoSpaceDN w:val="0"/>
              <w:ind w:firstLine="720"/>
              <w:jc w:val="both"/>
              <w:rPr>
                <w:rFonts w:ascii="Arial" w:eastAsia="MS Mincho" w:hAnsi="Arial" w:cs="Arial"/>
                <w:sz w:val="22"/>
              </w:rPr>
            </w:pPr>
            <w:r>
              <w:rPr>
                <w:rFonts w:ascii="Arial" w:eastAsia="MS Mincho" w:hAnsi="Arial" w:cs="Arial"/>
                <w:sz w:val="22"/>
              </w:rPr>
              <w:t xml:space="preserve"> </w:t>
            </w:r>
          </w:p>
        </w:tc>
      </w:tr>
      <w:tr w:rsidR="002260A1" w:rsidRPr="007247FC" w14:paraId="78D4A122" w14:textId="77777777" w:rsidTr="00F42933">
        <w:trPr>
          <w:trHeight w:val="1160"/>
        </w:trPr>
        <w:tc>
          <w:tcPr>
            <w:tcW w:w="643" w:type="dxa"/>
            <w:vMerge/>
            <w:vAlign w:val="center"/>
          </w:tcPr>
          <w:p w14:paraId="298611CB" w14:textId="77777777" w:rsidR="002260A1" w:rsidRPr="007247FC" w:rsidRDefault="002260A1" w:rsidP="002260A1">
            <w:pPr>
              <w:jc w:val="center"/>
              <w:rPr>
                <w:rFonts w:ascii="Arial" w:hAnsi="Arial" w:cs="Arial"/>
                <w:bCs/>
                <w:sz w:val="22"/>
                <w:szCs w:val="22"/>
              </w:rPr>
            </w:pPr>
          </w:p>
        </w:tc>
        <w:tc>
          <w:tcPr>
            <w:tcW w:w="1872" w:type="dxa"/>
            <w:vMerge/>
            <w:vAlign w:val="center"/>
          </w:tcPr>
          <w:p w14:paraId="1765524B" w14:textId="77777777" w:rsidR="002260A1" w:rsidRPr="007247FC" w:rsidRDefault="002260A1" w:rsidP="002260A1">
            <w:pPr>
              <w:jc w:val="center"/>
              <w:rPr>
                <w:rFonts w:ascii="Arial" w:hAnsi="Arial" w:cs="Arial"/>
                <w:bCs/>
                <w:sz w:val="22"/>
                <w:szCs w:val="22"/>
              </w:rPr>
            </w:pPr>
          </w:p>
        </w:tc>
        <w:tc>
          <w:tcPr>
            <w:tcW w:w="5490" w:type="dxa"/>
            <w:vAlign w:val="center"/>
          </w:tcPr>
          <w:p w14:paraId="2512CDE8" w14:textId="5AB2C131" w:rsidR="002260A1" w:rsidRPr="007247FC" w:rsidRDefault="002260A1" w:rsidP="002260A1">
            <w:pPr>
              <w:jc w:val="both"/>
              <w:rPr>
                <w:rFonts w:ascii="Arial" w:hAnsi="Arial" w:cs="Arial"/>
                <w:bCs/>
                <w:sz w:val="22"/>
                <w:szCs w:val="22"/>
              </w:rPr>
            </w:pPr>
            <w:r w:rsidRPr="007247FC">
              <w:rPr>
                <w:rFonts w:ascii="Arial" w:hAnsi="Arial" w:cs="Arial"/>
                <w:bCs/>
                <w:sz w:val="22"/>
                <w:szCs w:val="22"/>
              </w:rPr>
              <w:t>4.Төслийн 13 дугаар зүйлийн 13.3 дахь хэсэгт “Нийгмийн даатгалын сангийн чөлөөт үлдэгдлээр Засгийн газрын үнэт цаас худалдан авах хөрөнгийн хэмжээг нийгмийн даатгалын сангийн жил бүрийн төсөвт тусгаж, УИХ батлах”-аар заасан байна. Харин нийгмийн даатгалын сангийн чөлөөт эх үүсвэр болон Төв төрийн сангийн мөнгөн хөрөнгийн төсөөллийн хамаарлаас шалтгаалж үнэт цаас гаргах тохиолдолд нийгмийн даатгалын санд чөлөөт мөнгөн хөрөнгийн үлдэгдэл байхгүй байх тохиолдол гарахаар байна. Иймд тус заалтыг “Нийгмийн даатгалын сангийн чөлөөт үлдэгдлээр Засгийн газрын үнэт цаас худалдан авах тухайн жилийн хөрөнгийн хэмжээг нийгмийн даатгалын асуудал эрхэлсэн төрийн захиргааны төв байгууллага болон санхүү, төсвийн асуудал эрхэлсэн төрийн захиргааны төв байгууллага, нийгмийн даатгалын үндэсний зөвлөл хамтран гаргаж, Засгийн газар батална.” гэж өөрчлөн найруулах</w:t>
            </w:r>
          </w:p>
        </w:tc>
        <w:tc>
          <w:tcPr>
            <w:tcW w:w="5490" w:type="dxa"/>
            <w:vAlign w:val="center"/>
          </w:tcPr>
          <w:p w14:paraId="5D71FBC5" w14:textId="689AC341" w:rsidR="002260A1" w:rsidRPr="0048434B" w:rsidRDefault="00FA12E8" w:rsidP="0048434B">
            <w:pPr>
              <w:jc w:val="both"/>
              <w:rPr>
                <w:rFonts w:ascii="Arial" w:eastAsia="Times New Roman" w:hAnsi="Arial" w:cs="Arial"/>
                <w:sz w:val="22"/>
              </w:rPr>
            </w:pPr>
            <w:r>
              <w:rPr>
                <w:rFonts w:ascii="Arial" w:eastAsia="Times New Roman" w:hAnsi="Arial" w:cs="Arial"/>
                <w:sz w:val="22"/>
              </w:rPr>
              <w:t>Саналыг тусгаж</w:t>
            </w:r>
            <w:r w:rsidR="00425355">
              <w:rPr>
                <w:rFonts w:ascii="Arial" w:eastAsia="Times New Roman" w:hAnsi="Arial" w:cs="Arial"/>
                <w:sz w:val="22"/>
              </w:rPr>
              <w:t>,</w:t>
            </w:r>
            <w:r>
              <w:rPr>
                <w:rFonts w:ascii="Arial" w:eastAsia="Times New Roman" w:hAnsi="Arial" w:cs="Arial"/>
                <w:sz w:val="22"/>
              </w:rPr>
              <w:t xml:space="preserve"> хуулийн төслийн “13.3</w:t>
            </w:r>
            <w:r w:rsidRPr="00A609DE">
              <w:rPr>
                <w:rFonts w:ascii="Arial" w:eastAsia="Times New Roman" w:hAnsi="Arial" w:cs="Arial"/>
                <w:sz w:val="22"/>
              </w:rPr>
              <w:t>.Энэ зүйлийн 13.1.1, 13.1.2-т заасан үнэт цаас худалдан авах хөрөнгийн хэмжээг нийгмийн даатгалын сангийн жил бүрийн төсөвт тусгаж, Улсын Их Хурал батална.</w:t>
            </w:r>
            <w:r>
              <w:rPr>
                <w:rFonts w:ascii="Arial" w:eastAsia="Times New Roman" w:hAnsi="Arial" w:cs="Arial"/>
                <w:sz w:val="22"/>
              </w:rPr>
              <w:t>” гэснийг “13.2</w:t>
            </w:r>
            <w:r w:rsidRPr="00A609DE">
              <w:rPr>
                <w:rFonts w:ascii="Arial" w:eastAsia="Times New Roman" w:hAnsi="Arial" w:cs="Arial"/>
                <w:sz w:val="22"/>
              </w:rPr>
              <w:t xml:space="preserve">.Энэ зүйлийн 13.1.1, 13.1.2-т заасан үнэт цаас худалдан авах хөрөнгийн хэмжээг </w:t>
            </w:r>
            <w:r>
              <w:rPr>
                <w:rFonts w:ascii="Arial" w:eastAsia="Times New Roman" w:hAnsi="Arial" w:cs="Arial"/>
                <w:sz w:val="22"/>
              </w:rPr>
              <w:t xml:space="preserve">Нийгмийн даатгалын үндэсний зөвлөлийн саналыг үндэслэж, Засгийн газар </w:t>
            </w:r>
            <w:r w:rsidRPr="00A609DE">
              <w:rPr>
                <w:rFonts w:ascii="Arial" w:eastAsia="Times New Roman" w:hAnsi="Arial" w:cs="Arial"/>
                <w:sz w:val="22"/>
              </w:rPr>
              <w:t>батална.</w:t>
            </w:r>
            <w:r>
              <w:rPr>
                <w:rFonts w:ascii="Arial" w:eastAsia="Times New Roman" w:hAnsi="Arial" w:cs="Arial"/>
                <w:sz w:val="22"/>
              </w:rPr>
              <w:t xml:space="preserve">” гэж өөрчлөн найруулав. </w:t>
            </w:r>
          </w:p>
        </w:tc>
      </w:tr>
      <w:tr w:rsidR="002260A1" w:rsidRPr="007247FC" w14:paraId="0A50DD4E" w14:textId="77777777" w:rsidTr="00F42933">
        <w:trPr>
          <w:trHeight w:val="1160"/>
        </w:trPr>
        <w:tc>
          <w:tcPr>
            <w:tcW w:w="643" w:type="dxa"/>
            <w:vMerge/>
            <w:vAlign w:val="center"/>
          </w:tcPr>
          <w:p w14:paraId="1F912534" w14:textId="77777777" w:rsidR="002260A1" w:rsidRPr="007247FC" w:rsidRDefault="002260A1" w:rsidP="002260A1">
            <w:pPr>
              <w:jc w:val="center"/>
              <w:rPr>
                <w:rFonts w:ascii="Arial" w:hAnsi="Arial" w:cs="Arial"/>
                <w:bCs/>
                <w:sz w:val="22"/>
                <w:szCs w:val="22"/>
              </w:rPr>
            </w:pPr>
          </w:p>
        </w:tc>
        <w:tc>
          <w:tcPr>
            <w:tcW w:w="1872" w:type="dxa"/>
            <w:vMerge/>
            <w:vAlign w:val="center"/>
          </w:tcPr>
          <w:p w14:paraId="1E4CF12B" w14:textId="77777777" w:rsidR="002260A1" w:rsidRPr="007247FC" w:rsidRDefault="002260A1" w:rsidP="002260A1">
            <w:pPr>
              <w:jc w:val="center"/>
              <w:rPr>
                <w:rFonts w:ascii="Arial" w:hAnsi="Arial" w:cs="Arial"/>
                <w:bCs/>
                <w:sz w:val="22"/>
                <w:szCs w:val="22"/>
              </w:rPr>
            </w:pPr>
          </w:p>
        </w:tc>
        <w:tc>
          <w:tcPr>
            <w:tcW w:w="5490" w:type="dxa"/>
            <w:vAlign w:val="center"/>
          </w:tcPr>
          <w:p w14:paraId="08CCB7B8" w14:textId="599D4D7D" w:rsidR="002260A1" w:rsidRPr="007247FC" w:rsidRDefault="002260A1" w:rsidP="002260A1">
            <w:pPr>
              <w:jc w:val="both"/>
              <w:rPr>
                <w:rFonts w:ascii="Arial" w:hAnsi="Arial" w:cs="Arial"/>
                <w:bCs/>
                <w:sz w:val="22"/>
                <w:szCs w:val="22"/>
              </w:rPr>
            </w:pPr>
            <w:r w:rsidRPr="007247FC">
              <w:rPr>
                <w:rFonts w:ascii="Arial" w:hAnsi="Arial" w:cs="Arial"/>
                <w:bCs/>
                <w:sz w:val="22"/>
                <w:szCs w:val="22"/>
              </w:rPr>
              <w:t>5.Нийгмийн даатгалын сангийн хөрөнгийг тогтмол орлого олдог санхүүгийн хэрэгсэлд түлхүү байршуулах нь зүйтэй бөгөөд төслийн 13 дугаар зүйлийн 13.2 дахь хэсэгт зааснаар санхүүгийн хэрэгсэлд оруулах хөрөнгийн хэмжээг жил бүр батлахаар заасан байх тул төслийн 13.9 дэх хэсэгт заасан хязгаарлалтыг төслөөс хасах</w:t>
            </w:r>
          </w:p>
        </w:tc>
        <w:tc>
          <w:tcPr>
            <w:tcW w:w="5490" w:type="dxa"/>
            <w:vAlign w:val="center"/>
          </w:tcPr>
          <w:p w14:paraId="30B0D10E" w14:textId="11F3BA92" w:rsidR="002260A1" w:rsidRPr="0048434B" w:rsidRDefault="009613DE" w:rsidP="0048434B">
            <w:pPr>
              <w:autoSpaceDE w:val="0"/>
              <w:autoSpaceDN w:val="0"/>
              <w:jc w:val="both"/>
              <w:rPr>
                <w:rFonts w:ascii="Arial" w:eastAsia="Times New Roman" w:hAnsi="Arial" w:cs="Arial"/>
                <w:sz w:val="22"/>
              </w:rPr>
            </w:pPr>
            <w:r>
              <w:rPr>
                <w:rFonts w:ascii="Arial" w:eastAsia="Times New Roman" w:hAnsi="Arial" w:cs="Arial"/>
                <w:sz w:val="22"/>
                <w:szCs w:val="22"/>
              </w:rPr>
              <w:t>Саналыг тусгаж, х</w:t>
            </w:r>
            <w:r w:rsidR="002260A1" w:rsidRPr="007247FC">
              <w:rPr>
                <w:rFonts w:ascii="Arial" w:eastAsia="Times New Roman" w:hAnsi="Arial" w:cs="Arial"/>
                <w:sz w:val="22"/>
                <w:szCs w:val="22"/>
              </w:rPr>
              <w:t xml:space="preserve">уулийн төслийн </w:t>
            </w:r>
            <w:r>
              <w:rPr>
                <w:rFonts w:ascii="Arial" w:eastAsia="Times New Roman" w:hAnsi="Arial" w:cs="Arial"/>
                <w:sz w:val="22"/>
                <w:szCs w:val="22"/>
              </w:rPr>
              <w:t>“</w:t>
            </w:r>
            <w:r w:rsidRPr="00A609DE">
              <w:rPr>
                <w:rFonts w:ascii="Arial" w:eastAsia="Times New Roman" w:hAnsi="Arial" w:cs="Arial"/>
                <w:sz w:val="22"/>
              </w:rPr>
              <w:t>13.</w:t>
            </w:r>
            <w:r>
              <w:rPr>
                <w:rFonts w:ascii="Arial" w:eastAsia="Times New Roman" w:hAnsi="Arial" w:cs="Arial"/>
                <w:sz w:val="22"/>
              </w:rPr>
              <w:t xml:space="preserve">9.Энэ зүйлийн 13.1.5, </w:t>
            </w:r>
            <w:r w:rsidRPr="00A609DE">
              <w:rPr>
                <w:rFonts w:ascii="Arial" w:eastAsia="Times New Roman" w:hAnsi="Arial" w:cs="Arial"/>
                <w:sz w:val="22"/>
              </w:rPr>
              <w:t>13.1.</w:t>
            </w:r>
            <w:r>
              <w:rPr>
                <w:rFonts w:ascii="Arial" w:eastAsia="Times New Roman" w:hAnsi="Arial" w:cs="Arial"/>
                <w:sz w:val="22"/>
              </w:rPr>
              <w:t>6</w:t>
            </w:r>
            <w:r w:rsidRPr="00A609DE">
              <w:rPr>
                <w:rFonts w:ascii="Arial" w:eastAsia="Times New Roman" w:hAnsi="Arial" w:cs="Arial"/>
                <w:sz w:val="22"/>
              </w:rPr>
              <w:t>-д заасан хөрөнгө оруулалтын хэрэгсэлд хөрөнгө оруулах хэмжээ нь нийгмийн даатгалын сангийн чөлөөт үлдэгдлийн 15 хувиас ихгүй байна.</w:t>
            </w:r>
            <w:r>
              <w:rPr>
                <w:rFonts w:ascii="Arial" w:eastAsia="Times New Roman" w:hAnsi="Arial" w:cs="Arial"/>
                <w:sz w:val="22"/>
              </w:rPr>
              <w:t xml:space="preserve">” гэсэн хэсгийг хассан болно. </w:t>
            </w:r>
          </w:p>
        </w:tc>
      </w:tr>
      <w:tr w:rsidR="002260A1" w:rsidRPr="007247FC" w14:paraId="3E5D99AD" w14:textId="77777777" w:rsidTr="00F42933">
        <w:trPr>
          <w:trHeight w:val="1160"/>
        </w:trPr>
        <w:tc>
          <w:tcPr>
            <w:tcW w:w="643" w:type="dxa"/>
            <w:vMerge/>
            <w:vAlign w:val="center"/>
          </w:tcPr>
          <w:p w14:paraId="20BF599B" w14:textId="77777777" w:rsidR="002260A1" w:rsidRPr="007247FC" w:rsidRDefault="002260A1" w:rsidP="002260A1">
            <w:pPr>
              <w:jc w:val="center"/>
              <w:rPr>
                <w:rFonts w:ascii="Arial" w:hAnsi="Arial" w:cs="Arial"/>
                <w:bCs/>
                <w:sz w:val="22"/>
                <w:szCs w:val="22"/>
              </w:rPr>
            </w:pPr>
          </w:p>
        </w:tc>
        <w:tc>
          <w:tcPr>
            <w:tcW w:w="1872" w:type="dxa"/>
            <w:vMerge/>
            <w:vAlign w:val="center"/>
          </w:tcPr>
          <w:p w14:paraId="67DD519E" w14:textId="77777777" w:rsidR="002260A1" w:rsidRPr="007247FC" w:rsidRDefault="002260A1" w:rsidP="002260A1">
            <w:pPr>
              <w:jc w:val="center"/>
              <w:rPr>
                <w:rFonts w:ascii="Arial" w:hAnsi="Arial" w:cs="Arial"/>
                <w:bCs/>
                <w:sz w:val="22"/>
                <w:szCs w:val="22"/>
              </w:rPr>
            </w:pPr>
          </w:p>
        </w:tc>
        <w:tc>
          <w:tcPr>
            <w:tcW w:w="5490" w:type="dxa"/>
            <w:vAlign w:val="center"/>
          </w:tcPr>
          <w:p w14:paraId="30911116" w14:textId="04EEEE02" w:rsidR="002260A1" w:rsidRPr="007247FC" w:rsidRDefault="002260A1" w:rsidP="002260A1">
            <w:pPr>
              <w:jc w:val="both"/>
              <w:rPr>
                <w:rFonts w:ascii="Arial" w:hAnsi="Arial" w:cs="Arial"/>
                <w:bCs/>
                <w:sz w:val="22"/>
                <w:szCs w:val="22"/>
              </w:rPr>
            </w:pPr>
            <w:r w:rsidRPr="007247FC">
              <w:rPr>
                <w:rFonts w:ascii="Arial" w:hAnsi="Arial" w:cs="Arial"/>
                <w:bCs/>
                <w:sz w:val="22"/>
                <w:szCs w:val="22"/>
              </w:rPr>
              <w:t xml:space="preserve">6.Төсвийн тухай хуулийн 3 дугаар зүйлийн 3.4  дэх хэсэгт “Төсвийн харилцааг зөвхөн энэ хуулиар зохицуулах бөгөөд орон нутаг, салбарын үйл ажиллагаанд санхүүжилтийн эх үүсвэрийн хэмжээг хуульчлан тогтоох, түүнийг хуваарилах аливаа харилцаа үүнд нэгэн адил хамаарна.” гэж заасан </w:t>
            </w:r>
            <w:r w:rsidRPr="007247FC">
              <w:rPr>
                <w:rFonts w:ascii="Arial" w:hAnsi="Arial" w:cs="Arial"/>
                <w:bCs/>
                <w:sz w:val="22"/>
                <w:szCs w:val="22"/>
              </w:rPr>
              <w:lastRenderedPageBreak/>
              <w:t>тул төсвийн харилцааг зохицуулсан төслийн 14 дүгээр зүйлийг хасах</w:t>
            </w:r>
          </w:p>
        </w:tc>
        <w:tc>
          <w:tcPr>
            <w:tcW w:w="5490" w:type="dxa"/>
            <w:vAlign w:val="center"/>
          </w:tcPr>
          <w:p w14:paraId="4849480B" w14:textId="1FC54B75" w:rsidR="002260A1" w:rsidRPr="007247FC" w:rsidRDefault="002260A1" w:rsidP="008338C1">
            <w:pPr>
              <w:autoSpaceDE w:val="0"/>
              <w:autoSpaceDN w:val="0"/>
              <w:ind w:hanging="19"/>
              <w:jc w:val="both"/>
              <w:rPr>
                <w:rFonts w:ascii="Arial" w:hAnsi="Arial" w:cs="Arial"/>
                <w:bCs/>
                <w:sz w:val="22"/>
                <w:szCs w:val="22"/>
              </w:rPr>
            </w:pPr>
            <w:r w:rsidRPr="007247FC">
              <w:rPr>
                <w:rFonts w:ascii="Arial" w:eastAsia="Times New Roman" w:hAnsi="Arial" w:cs="Arial"/>
                <w:sz w:val="22"/>
                <w:szCs w:val="22"/>
              </w:rPr>
              <w:lastRenderedPageBreak/>
              <w:t xml:space="preserve">Хуулийн төслийн 14.1-д “Нийгмийн даатгалын сангийн төсвийг Төсвийн тухай хуулийн 8 дугаар зүйлийн 8.4-т заасан цаглабрын дагуу боловсруулна.” гэж </w:t>
            </w:r>
            <w:r w:rsidR="009613DE">
              <w:rPr>
                <w:rFonts w:ascii="Arial" w:eastAsia="Times New Roman" w:hAnsi="Arial" w:cs="Arial"/>
                <w:sz w:val="22"/>
                <w:szCs w:val="22"/>
              </w:rPr>
              <w:t xml:space="preserve">Төсвийн тухай хуулийг </w:t>
            </w:r>
            <w:r w:rsidR="008338C1">
              <w:rPr>
                <w:rFonts w:ascii="Arial" w:eastAsia="Times New Roman" w:hAnsi="Arial" w:cs="Arial"/>
                <w:sz w:val="22"/>
                <w:szCs w:val="22"/>
              </w:rPr>
              <w:t>э</w:t>
            </w:r>
            <w:r w:rsidR="009613DE">
              <w:rPr>
                <w:rFonts w:ascii="Arial" w:eastAsia="Times New Roman" w:hAnsi="Arial" w:cs="Arial"/>
                <w:sz w:val="22"/>
                <w:szCs w:val="22"/>
              </w:rPr>
              <w:t>ш</w:t>
            </w:r>
            <w:r w:rsidR="008338C1">
              <w:rPr>
                <w:rFonts w:ascii="Arial" w:eastAsia="Times New Roman" w:hAnsi="Arial" w:cs="Arial"/>
                <w:sz w:val="22"/>
                <w:szCs w:val="22"/>
              </w:rPr>
              <w:t>и</w:t>
            </w:r>
            <w:r w:rsidR="009613DE">
              <w:rPr>
                <w:rFonts w:ascii="Arial" w:eastAsia="Times New Roman" w:hAnsi="Arial" w:cs="Arial"/>
                <w:sz w:val="22"/>
                <w:szCs w:val="22"/>
              </w:rPr>
              <w:t xml:space="preserve">лсэн болно. </w:t>
            </w:r>
          </w:p>
        </w:tc>
      </w:tr>
      <w:tr w:rsidR="002260A1" w:rsidRPr="007247FC" w14:paraId="1AD7410C" w14:textId="77777777" w:rsidTr="00F42933">
        <w:trPr>
          <w:trHeight w:val="1160"/>
        </w:trPr>
        <w:tc>
          <w:tcPr>
            <w:tcW w:w="643" w:type="dxa"/>
            <w:vMerge/>
            <w:vAlign w:val="center"/>
          </w:tcPr>
          <w:p w14:paraId="2B726EC3" w14:textId="77777777" w:rsidR="002260A1" w:rsidRPr="007247FC" w:rsidRDefault="002260A1" w:rsidP="002260A1">
            <w:pPr>
              <w:jc w:val="center"/>
              <w:rPr>
                <w:rFonts w:ascii="Arial" w:hAnsi="Arial" w:cs="Arial"/>
                <w:bCs/>
                <w:sz w:val="22"/>
                <w:szCs w:val="22"/>
              </w:rPr>
            </w:pPr>
          </w:p>
        </w:tc>
        <w:tc>
          <w:tcPr>
            <w:tcW w:w="1872" w:type="dxa"/>
            <w:vMerge/>
            <w:vAlign w:val="center"/>
          </w:tcPr>
          <w:p w14:paraId="600FEED4" w14:textId="77777777" w:rsidR="002260A1" w:rsidRPr="007247FC" w:rsidRDefault="002260A1" w:rsidP="002260A1">
            <w:pPr>
              <w:jc w:val="center"/>
              <w:rPr>
                <w:rFonts w:ascii="Arial" w:hAnsi="Arial" w:cs="Arial"/>
                <w:bCs/>
                <w:sz w:val="22"/>
                <w:szCs w:val="22"/>
              </w:rPr>
            </w:pPr>
          </w:p>
        </w:tc>
        <w:tc>
          <w:tcPr>
            <w:tcW w:w="5490" w:type="dxa"/>
            <w:vAlign w:val="center"/>
          </w:tcPr>
          <w:p w14:paraId="5E4A1980" w14:textId="0A2E79FC" w:rsidR="002260A1" w:rsidRPr="007247FC" w:rsidRDefault="002260A1" w:rsidP="002260A1">
            <w:pPr>
              <w:jc w:val="both"/>
              <w:rPr>
                <w:rFonts w:ascii="Arial" w:hAnsi="Arial" w:cs="Arial"/>
                <w:bCs/>
                <w:sz w:val="22"/>
                <w:szCs w:val="22"/>
              </w:rPr>
            </w:pPr>
            <w:r w:rsidRPr="007247FC">
              <w:rPr>
                <w:rFonts w:ascii="Arial" w:hAnsi="Arial" w:cs="Arial"/>
                <w:color w:val="000000" w:themeColor="text1"/>
                <w:sz w:val="22"/>
                <w:szCs w:val="22"/>
              </w:rPr>
              <w:t>7.Татварыг тухайн татвар төлөгчийн олсон бүх орлогод ногдуулан төлдөг бөгөөд энэ нь тухай этгээдийн ирээдүйд хүртэх үр шимтэй холбоогүй байдаг. Харин нийгмийн даатгал нь тухайн этгээдийн ирээдүйд хүртэх үр шимтэй нягт холбоотой бөгөөд тухайн улс нь энэхүү хүртэх үр шимтэй нь уялдуулан тогтоодог. Гэтэл төслийн 19 дүгээр зүйлд тухайн этгээдийн бүх төрлийн орл</w:t>
            </w:r>
            <w:r w:rsidR="00A25580">
              <w:rPr>
                <w:rFonts w:ascii="Arial" w:hAnsi="Arial" w:cs="Arial"/>
                <w:color w:val="000000" w:themeColor="text1"/>
                <w:sz w:val="22"/>
                <w:szCs w:val="22"/>
              </w:rPr>
              <w:t>о</w:t>
            </w:r>
            <w:r w:rsidRPr="007247FC">
              <w:rPr>
                <w:rFonts w:ascii="Arial" w:hAnsi="Arial" w:cs="Arial"/>
                <w:color w:val="000000" w:themeColor="text1"/>
                <w:sz w:val="22"/>
                <w:szCs w:val="22"/>
              </w:rPr>
              <w:t>гоос нийгмийн даатгалын шимтгэл авахаар, тухайлбал унаа, хоол, урамшуулал, нүүрсний үнийн хөнгөлөлт зэрэг бүх төрлийн орлогоос шимтгэл авахаар тусгасан байна. Мөн эдгээр орлого нь татвар ногдох орлогод хамаарахаар байна. Иймд татвар болон нийгмийн даатгалын шимтгэлийн бодлоготой уялдуулан энэ асуудлыг дахин авч үзэх</w:t>
            </w:r>
          </w:p>
        </w:tc>
        <w:tc>
          <w:tcPr>
            <w:tcW w:w="5490" w:type="dxa"/>
            <w:vAlign w:val="center"/>
          </w:tcPr>
          <w:p w14:paraId="5BC11F36" w14:textId="22C98FF7" w:rsidR="002260A1" w:rsidRPr="007247FC" w:rsidRDefault="002260A1" w:rsidP="002260A1">
            <w:pPr>
              <w:jc w:val="both"/>
              <w:rPr>
                <w:rFonts w:ascii="Arial" w:hAnsi="Arial" w:cs="Arial"/>
                <w:bCs/>
                <w:sz w:val="22"/>
                <w:szCs w:val="22"/>
              </w:rPr>
            </w:pPr>
            <w:r w:rsidRPr="007247FC">
              <w:rPr>
                <w:rFonts w:ascii="Arial" w:hAnsi="Arial" w:cs="Arial"/>
                <w:sz w:val="22"/>
                <w:szCs w:val="22"/>
              </w:rPr>
              <w:t>Нийгмийн даатгалын сангаас олгох тэтгэвэр, тэтгэмжийн хэмжээ нь даатгуулагчийн шимтгэл ногдуулах цалин хөлс, түүнтэй адилтгах орлоготой шууд хамаардаг. Өнөөдрийн хүчин төгөлдөр мөрдөж буй хуулиар унаа, хоол, урамшуулал, нүүрсний үнийн хөнгөлөлт зэрэг бүх төрлийн мөнгөн хэлбэрийн орлогод шимтгэл ногдуулж байна. Унаа, хоол, урамшуулал, нүүрсний үнийн хөнгөлөлт зэрэг орлогод шимтгэл ногдуулахгүй байх тохиолдолд ажил олгогч нь цалин хөлсний зардлыг унаа хоол, урамшуулалд шингээж бага шимтгэл төлөх сөрөг үр дагавар үүснэ. Энэ нь даатгуулагчийн ирээдүйд авах тэтгэвэр, тэтгэмжийн хэмжээ бага тогтоогдох  эрсдэлийг бий болгоно.</w:t>
            </w:r>
          </w:p>
        </w:tc>
      </w:tr>
      <w:tr w:rsidR="002260A1" w:rsidRPr="007247FC" w14:paraId="41DFF65F" w14:textId="77777777" w:rsidTr="00F42933">
        <w:trPr>
          <w:trHeight w:val="1160"/>
        </w:trPr>
        <w:tc>
          <w:tcPr>
            <w:tcW w:w="643" w:type="dxa"/>
            <w:vMerge/>
            <w:vAlign w:val="center"/>
          </w:tcPr>
          <w:p w14:paraId="7F68B125" w14:textId="77777777" w:rsidR="002260A1" w:rsidRPr="007247FC" w:rsidRDefault="002260A1" w:rsidP="002260A1">
            <w:pPr>
              <w:jc w:val="center"/>
              <w:rPr>
                <w:rFonts w:ascii="Arial" w:hAnsi="Arial" w:cs="Arial"/>
                <w:bCs/>
                <w:sz w:val="22"/>
                <w:szCs w:val="22"/>
              </w:rPr>
            </w:pPr>
          </w:p>
        </w:tc>
        <w:tc>
          <w:tcPr>
            <w:tcW w:w="1872" w:type="dxa"/>
            <w:vMerge/>
            <w:vAlign w:val="center"/>
          </w:tcPr>
          <w:p w14:paraId="6E60DDBD" w14:textId="77777777" w:rsidR="002260A1" w:rsidRPr="007247FC" w:rsidRDefault="002260A1" w:rsidP="002260A1">
            <w:pPr>
              <w:jc w:val="center"/>
              <w:rPr>
                <w:rFonts w:ascii="Arial" w:hAnsi="Arial" w:cs="Arial"/>
                <w:bCs/>
                <w:sz w:val="22"/>
                <w:szCs w:val="22"/>
              </w:rPr>
            </w:pPr>
          </w:p>
        </w:tc>
        <w:tc>
          <w:tcPr>
            <w:tcW w:w="5490" w:type="dxa"/>
            <w:vAlign w:val="center"/>
          </w:tcPr>
          <w:p w14:paraId="15277AE6" w14:textId="340A7E02" w:rsidR="002260A1" w:rsidRPr="007247FC" w:rsidRDefault="002260A1" w:rsidP="002260A1">
            <w:pPr>
              <w:jc w:val="both"/>
              <w:rPr>
                <w:rFonts w:ascii="Arial" w:hAnsi="Arial" w:cs="Arial"/>
                <w:color w:val="000000" w:themeColor="text1"/>
                <w:sz w:val="22"/>
                <w:szCs w:val="22"/>
              </w:rPr>
            </w:pPr>
            <w:r w:rsidRPr="007247FC">
              <w:rPr>
                <w:rFonts w:ascii="Arial" w:hAnsi="Arial" w:cs="Arial"/>
                <w:color w:val="000000" w:themeColor="text1"/>
                <w:sz w:val="22"/>
                <w:szCs w:val="22"/>
              </w:rPr>
              <w:t>8.Төслийн 27 дугаар зүйлийн 26.7, 27.7 дахь хэсэгт даатгуулагчийн мөнгөжүүлсэн орлогыг хассан нэрийн дансны үлдэгдэл, шимтгэлийн орлогод хүү тооцох ба хүүг өмнөх оны инфляцын түвшин болон банк</w:t>
            </w:r>
            <w:r w:rsidR="00A25580">
              <w:rPr>
                <w:rFonts w:ascii="Arial" w:hAnsi="Arial" w:cs="Arial"/>
                <w:color w:val="000000" w:themeColor="text1"/>
                <w:sz w:val="22"/>
                <w:szCs w:val="22"/>
              </w:rPr>
              <w:t>н</w:t>
            </w:r>
            <w:r w:rsidRPr="007247FC">
              <w:rPr>
                <w:rFonts w:ascii="Arial" w:hAnsi="Arial" w:cs="Arial"/>
                <w:color w:val="000000" w:themeColor="text1"/>
                <w:sz w:val="22"/>
                <w:szCs w:val="22"/>
              </w:rPr>
              <w:t>уудаас албан ёсоор зарласан иргэдийн мөнгөн хадгаламжийн өмнөх жилийн дундаж хүүгийн хэмжээгээр тогтоохоор заажээ. Нэрийн дансны үлдэгдлийг бүрэн мөнгөжүүлээгүй байгаа нөхцөлд нэрийн дансны үлдэгдэлд тооцогдох хүүг улсын төсвөөс санхүүжүүлэх шаардлагатай тул уг зардлыг зохистой түвшинд байлгах, улсын төсөвт нэмэлт ачаалал үүсгэхгүй байхад анхаарч, үүнтэй холбогдуулан хүү тооцох аргачлалыг дахин тодорхойлох</w:t>
            </w:r>
            <w:r w:rsidRPr="007247FC">
              <w:rPr>
                <w:rFonts w:ascii="Arial" w:hAnsi="Arial" w:cs="Arial"/>
                <w:color w:val="000000" w:themeColor="text1"/>
                <w:sz w:val="22"/>
                <w:szCs w:val="22"/>
                <w:lang w:val="en-US"/>
              </w:rPr>
              <w:t>;</w:t>
            </w:r>
            <w:r w:rsidRPr="007247FC">
              <w:rPr>
                <w:rFonts w:ascii="Arial" w:hAnsi="Arial" w:cs="Arial"/>
                <w:color w:val="000000" w:themeColor="text1"/>
                <w:sz w:val="22"/>
                <w:szCs w:val="22"/>
              </w:rPr>
              <w:t xml:space="preserve">  </w:t>
            </w:r>
          </w:p>
        </w:tc>
        <w:tc>
          <w:tcPr>
            <w:tcW w:w="5490" w:type="dxa"/>
            <w:vAlign w:val="center"/>
          </w:tcPr>
          <w:p w14:paraId="26A277F0" w14:textId="4AF51A92" w:rsidR="002260A1" w:rsidRPr="007247FC" w:rsidRDefault="00A13189" w:rsidP="00425355">
            <w:pPr>
              <w:tabs>
                <w:tab w:val="left" w:pos="0"/>
                <w:tab w:val="left" w:pos="1134"/>
              </w:tabs>
              <w:autoSpaceDE w:val="0"/>
              <w:autoSpaceDN w:val="0"/>
              <w:jc w:val="both"/>
              <w:rPr>
                <w:rFonts w:ascii="Arial" w:hAnsi="Arial" w:cs="Arial"/>
                <w:sz w:val="22"/>
                <w:szCs w:val="22"/>
              </w:rPr>
            </w:pPr>
            <w:r>
              <w:rPr>
                <w:rFonts w:ascii="Arial" w:eastAsia="Arial" w:hAnsi="Arial" w:cs="Arial"/>
                <w:sz w:val="22"/>
              </w:rPr>
              <w:t>Т</w:t>
            </w:r>
            <w:r w:rsidRPr="005D2EBA">
              <w:rPr>
                <w:rFonts w:ascii="Arial" w:eastAsia="Arial" w:hAnsi="Arial" w:cs="Arial"/>
                <w:sz w:val="22"/>
              </w:rPr>
              <w:t>этгэврийн даатгалын нэрийн данс</w:t>
            </w:r>
            <w:r>
              <w:rPr>
                <w:rFonts w:ascii="Arial" w:eastAsia="Arial" w:hAnsi="Arial" w:cs="Arial"/>
                <w:sz w:val="22"/>
              </w:rPr>
              <w:t xml:space="preserve"> гэдэг нь </w:t>
            </w:r>
            <w:r>
              <w:rPr>
                <w:rFonts w:ascii="Arial" w:hAnsi="Arial" w:cs="Arial"/>
                <w:sz w:val="22"/>
              </w:rPr>
              <w:t xml:space="preserve">хийсвэр бүртгэл </w:t>
            </w:r>
            <w:r w:rsidR="00425355">
              <w:rPr>
                <w:rFonts w:ascii="Arial" w:hAnsi="Arial" w:cs="Arial"/>
                <w:sz w:val="22"/>
              </w:rPr>
              <w:t>бөгөөд</w:t>
            </w:r>
            <w:r>
              <w:rPr>
                <w:rFonts w:ascii="Arial" w:hAnsi="Arial" w:cs="Arial"/>
                <w:sz w:val="22"/>
              </w:rPr>
              <w:t xml:space="preserve"> </w:t>
            </w:r>
            <w:r w:rsidR="002260A1" w:rsidRPr="007247FC">
              <w:rPr>
                <w:rFonts w:ascii="Arial" w:hAnsi="Arial" w:cs="Arial"/>
                <w:sz w:val="22"/>
                <w:szCs w:val="22"/>
              </w:rPr>
              <w:t xml:space="preserve">УИХ-аас 1999 онд баталсан Тэтгэврийн даатгалын шимтгэлийн нэрийн дансны тухай хуулийн 6 дугаар зүйлийн 6.2-т “Нэрийн дансанд хүү тооцоход эхний үлдэгдэл, тухайн жилийн шимтгэлийн орлогын нийлбэрийг дундаж хөдөлмөрийн хөлсний сүүлийн 3 жилийн дундаж өсөлтийн хувиар үржүүлнэ.” гэж заасны дагуу </w:t>
            </w:r>
            <w:r>
              <w:rPr>
                <w:rFonts w:ascii="Arial" w:hAnsi="Arial" w:cs="Arial"/>
                <w:sz w:val="22"/>
                <w:szCs w:val="22"/>
              </w:rPr>
              <w:t>хүүг хийсвэрээр тооцож и</w:t>
            </w:r>
            <w:r w:rsidR="002260A1" w:rsidRPr="007247FC">
              <w:rPr>
                <w:rFonts w:ascii="Arial" w:hAnsi="Arial" w:cs="Arial"/>
                <w:sz w:val="22"/>
                <w:szCs w:val="22"/>
              </w:rPr>
              <w:t xml:space="preserve">рсэн. </w:t>
            </w:r>
            <w:r>
              <w:rPr>
                <w:rFonts w:ascii="Arial" w:eastAsia="Times New Roman" w:hAnsi="Arial" w:cs="Arial"/>
                <w:sz w:val="22"/>
                <w:szCs w:val="22"/>
              </w:rPr>
              <w:t xml:space="preserve">Иймд нэрийн дансны бүртгэл нь хийсвэр бүртгэл тул улсын төсөвт ачаалал үүсгэхгүй юм. </w:t>
            </w:r>
          </w:p>
        </w:tc>
      </w:tr>
      <w:tr w:rsidR="002260A1" w:rsidRPr="007247FC" w14:paraId="7B6A97D1" w14:textId="77777777" w:rsidTr="00F42933">
        <w:trPr>
          <w:trHeight w:val="1160"/>
        </w:trPr>
        <w:tc>
          <w:tcPr>
            <w:tcW w:w="643" w:type="dxa"/>
            <w:vMerge/>
            <w:vAlign w:val="center"/>
          </w:tcPr>
          <w:p w14:paraId="70177853" w14:textId="77777777" w:rsidR="002260A1" w:rsidRPr="007247FC" w:rsidRDefault="002260A1" w:rsidP="002260A1">
            <w:pPr>
              <w:jc w:val="center"/>
              <w:rPr>
                <w:rFonts w:ascii="Arial" w:hAnsi="Arial" w:cs="Arial"/>
                <w:bCs/>
                <w:sz w:val="22"/>
                <w:szCs w:val="22"/>
              </w:rPr>
            </w:pPr>
          </w:p>
        </w:tc>
        <w:tc>
          <w:tcPr>
            <w:tcW w:w="1872" w:type="dxa"/>
            <w:vMerge/>
            <w:vAlign w:val="center"/>
          </w:tcPr>
          <w:p w14:paraId="4F6FF6D2" w14:textId="77777777" w:rsidR="002260A1" w:rsidRPr="007247FC" w:rsidRDefault="002260A1" w:rsidP="002260A1">
            <w:pPr>
              <w:jc w:val="center"/>
              <w:rPr>
                <w:rFonts w:ascii="Arial" w:hAnsi="Arial" w:cs="Arial"/>
                <w:bCs/>
                <w:sz w:val="22"/>
                <w:szCs w:val="22"/>
              </w:rPr>
            </w:pPr>
          </w:p>
        </w:tc>
        <w:tc>
          <w:tcPr>
            <w:tcW w:w="5490" w:type="dxa"/>
            <w:vAlign w:val="center"/>
          </w:tcPr>
          <w:p w14:paraId="155CBB12" w14:textId="5DB6EE6C" w:rsidR="002260A1" w:rsidRPr="007247FC" w:rsidRDefault="002260A1" w:rsidP="002260A1">
            <w:pPr>
              <w:jc w:val="both"/>
              <w:rPr>
                <w:rFonts w:ascii="Arial" w:hAnsi="Arial" w:cs="Arial"/>
                <w:color w:val="000000" w:themeColor="text1"/>
                <w:sz w:val="22"/>
                <w:szCs w:val="22"/>
              </w:rPr>
            </w:pPr>
            <w:r w:rsidRPr="007247FC">
              <w:rPr>
                <w:rFonts w:ascii="Arial" w:hAnsi="Arial" w:cs="Arial"/>
                <w:color w:val="000000" w:themeColor="text1"/>
                <w:sz w:val="22"/>
                <w:szCs w:val="22"/>
              </w:rPr>
              <w:t xml:space="preserve">9.Төслийн 29 дүгээр зүйлийн 29.2 дахь хэсэгт Ирээдүйн өв сангаас улсын төсөвт шилжүүлсэн орлогын 30 хувьд ногдох хэсэг болон улсын төсвөөс олгох бусад орлого нь даатгуулагчийн нэрийн дансны мөнгөжүүлсэн орлогыг байршуулах, тэтгэврийн нөөц сангийн эх үүсвэр байхаар заажээ. Энэ нь улсын төсвийн орлогыг бууруулах үр </w:t>
            </w:r>
            <w:r w:rsidRPr="007247FC">
              <w:rPr>
                <w:rFonts w:ascii="Arial" w:hAnsi="Arial" w:cs="Arial"/>
                <w:color w:val="000000" w:themeColor="text1"/>
                <w:sz w:val="22"/>
                <w:szCs w:val="22"/>
              </w:rPr>
              <w:lastRenderedPageBreak/>
              <w:t>дагавартай бөгөөд төсвийн харилцааг өөрчлөхөөр байна. Уг асуудал нь хуулийн төслийн батлагдсан үзэл баримтлалд тусгагдаагүй, түүнчлэн Хууль тогтоомжийн тухай хуулийн дагуу Сангийн яамаар хянагдаагүй байх тул холбогдох зохицуулалтыг хуулийн төслөөс хасах</w:t>
            </w:r>
          </w:p>
        </w:tc>
        <w:tc>
          <w:tcPr>
            <w:tcW w:w="5490" w:type="dxa"/>
            <w:vAlign w:val="center"/>
          </w:tcPr>
          <w:p w14:paraId="032E99E8" w14:textId="1294D42E" w:rsidR="00A25580" w:rsidRDefault="00A25580" w:rsidP="00A25580">
            <w:pPr>
              <w:autoSpaceDE w:val="0"/>
              <w:autoSpaceDN w:val="0"/>
              <w:jc w:val="both"/>
              <w:rPr>
                <w:rFonts w:ascii="Arial" w:eastAsia="MS Mincho" w:hAnsi="Arial" w:cs="Arial"/>
                <w:sz w:val="22"/>
              </w:rPr>
            </w:pPr>
            <w:r>
              <w:rPr>
                <w:rFonts w:ascii="Arial" w:eastAsia="MS Mincho" w:hAnsi="Arial" w:cs="Arial"/>
                <w:sz w:val="22"/>
              </w:rPr>
              <w:lastRenderedPageBreak/>
              <w:t>Саналыг тусгаж,</w:t>
            </w:r>
            <w:r w:rsidR="006D1AF7">
              <w:rPr>
                <w:rFonts w:ascii="Arial" w:eastAsia="MS Mincho" w:hAnsi="Arial" w:cs="Arial"/>
                <w:sz w:val="22"/>
              </w:rPr>
              <w:t xml:space="preserve"> хуулийн төслийн </w:t>
            </w:r>
            <w:r>
              <w:rPr>
                <w:rFonts w:ascii="Arial" w:eastAsia="MS Mincho" w:hAnsi="Arial" w:cs="Arial"/>
                <w:sz w:val="22"/>
              </w:rPr>
              <w:t xml:space="preserve">29 дүгээр зүйлийн </w:t>
            </w:r>
            <w:r w:rsidR="006D1AF7">
              <w:rPr>
                <w:rFonts w:ascii="Arial" w:eastAsia="MS Mincho" w:hAnsi="Arial" w:cs="Arial"/>
                <w:sz w:val="22"/>
              </w:rPr>
              <w:t>29.2.1</w:t>
            </w:r>
            <w:r>
              <w:rPr>
                <w:rFonts w:ascii="Arial" w:eastAsia="MS Mincho" w:hAnsi="Arial" w:cs="Arial"/>
                <w:sz w:val="22"/>
              </w:rPr>
              <w:t>-ийг “</w:t>
            </w:r>
            <w:r w:rsidR="006D1AF7">
              <w:rPr>
                <w:rFonts w:ascii="Arial" w:eastAsia="MS Mincho" w:hAnsi="Arial" w:cs="Arial"/>
                <w:sz w:val="22"/>
              </w:rPr>
              <w:t xml:space="preserve">Ирээдүйн өв сангийн тухай хуулийн 9 дүгээр зүйлийн 9.6-д заасан улсын төсөвт шилжүүлсэн орлогын 30 хувьд ногдох хэсэг” гэснийг </w:t>
            </w:r>
            <w:r>
              <w:rPr>
                <w:rFonts w:ascii="Arial" w:eastAsia="MS Mincho" w:hAnsi="Arial" w:cs="Arial"/>
                <w:sz w:val="22"/>
              </w:rPr>
              <w:t>“Ирээдүйн өв сангийн тухай хуулийн 9 дүгээр зүйлийн 9.6-д заасан улсын төсөвт шилжүүлсэн орлогоос Засгийн газрын тогтоосон хэмжээгээр</w:t>
            </w:r>
            <w:r w:rsidRPr="00CC10B5">
              <w:rPr>
                <w:rFonts w:ascii="Arial" w:eastAsia="MS Mincho" w:hAnsi="Arial" w:cs="Arial"/>
                <w:sz w:val="22"/>
              </w:rPr>
              <w:t>;</w:t>
            </w:r>
            <w:r>
              <w:rPr>
                <w:rFonts w:ascii="Arial" w:eastAsia="MS Mincho" w:hAnsi="Arial" w:cs="Arial"/>
                <w:sz w:val="22"/>
              </w:rPr>
              <w:t xml:space="preserve">” </w:t>
            </w:r>
            <w:r>
              <w:rPr>
                <w:rFonts w:ascii="Arial" w:eastAsia="MS Mincho" w:hAnsi="Arial" w:cs="Arial"/>
                <w:sz w:val="22"/>
              </w:rPr>
              <w:lastRenderedPageBreak/>
              <w:t>гэж өөрчлөн найруулав.</w:t>
            </w:r>
          </w:p>
          <w:p w14:paraId="7D43A0E0" w14:textId="18D6D228" w:rsidR="006D1AF7" w:rsidRDefault="006D1AF7" w:rsidP="006D1AF7">
            <w:pPr>
              <w:autoSpaceDE w:val="0"/>
              <w:autoSpaceDN w:val="0"/>
              <w:jc w:val="both"/>
              <w:rPr>
                <w:rFonts w:ascii="Arial" w:eastAsia="MS Mincho" w:hAnsi="Arial" w:cs="Arial"/>
                <w:sz w:val="22"/>
              </w:rPr>
            </w:pPr>
          </w:p>
          <w:p w14:paraId="45DC1078" w14:textId="77777777" w:rsidR="006D1AF7" w:rsidRDefault="006D1AF7" w:rsidP="002260A1">
            <w:pPr>
              <w:jc w:val="both"/>
              <w:rPr>
                <w:rFonts w:ascii="Arial" w:hAnsi="Arial" w:cs="Arial"/>
                <w:color w:val="FF0000"/>
                <w:sz w:val="22"/>
                <w:szCs w:val="22"/>
              </w:rPr>
            </w:pPr>
          </w:p>
          <w:p w14:paraId="4814C130" w14:textId="77777777" w:rsidR="006D1AF7" w:rsidRDefault="006D1AF7" w:rsidP="002260A1">
            <w:pPr>
              <w:jc w:val="both"/>
              <w:rPr>
                <w:rFonts w:ascii="Arial" w:hAnsi="Arial" w:cs="Arial"/>
                <w:color w:val="FF0000"/>
                <w:sz w:val="22"/>
                <w:szCs w:val="22"/>
              </w:rPr>
            </w:pPr>
          </w:p>
          <w:p w14:paraId="571FE290" w14:textId="77777777" w:rsidR="006D1AF7" w:rsidRDefault="006D1AF7" w:rsidP="002260A1">
            <w:pPr>
              <w:jc w:val="both"/>
              <w:rPr>
                <w:rFonts w:ascii="Arial" w:hAnsi="Arial" w:cs="Arial"/>
                <w:color w:val="FF0000"/>
                <w:sz w:val="22"/>
                <w:szCs w:val="22"/>
              </w:rPr>
            </w:pPr>
          </w:p>
          <w:p w14:paraId="218160C8" w14:textId="1190D4D1" w:rsidR="002260A1" w:rsidRPr="00625F3E" w:rsidRDefault="002260A1" w:rsidP="002260A1">
            <w:pPr>
              <w:jc w:val="both"/>
              <w:rPr>
                <w:rFonts w:ascii="Arial" w:hAnsi="Arial" w:cs="Arial"/>
                <w:color w:val="FF0000"/>
                <w:sz w:val="22"/>
                <w:szCs w:val="22"/>
              </w:rPr>
            </w:pPr>
          </w:p>
        </w:tc>
      </w:tr>
      <w:tr w:rsidR="002260A1" w:rsidRPr="007247FC" w14:paraId="5870FC84" w14:textId="77777777" w:rsidTr="00F42933">
        <w:trPr>
          <w:trHeight w:val="1160"/>
        </w:trPr>
        <w:tc>
          <w:tcPr>
            <w:tcW w:w="643" w:type="dxa"/>
            <w:vMerge/>
            <w:vAlign w:val="center"/>
          </w:tcPr>
          <w:p w14:paraId="7E5F0458" w14:textId="77777777" w:rsidR="002260A1" w:rsidRPr="007247FC" w:rsidRDefault="002260A1" w:rsidP="002260A1">
            <w:pPr>
              <w:jc w:val="center"/>
              <w:rPr>
                <w:rFonts w:ascii="Arial" w:hAnsi="Arial" w:cs="Arial"/>
                <w:bCs/>
                <w:sz w:val="22"/>
                <w:szCs w:val="22"/>
              </w:rPr>
            </w:pPr>
          </w:p>
        </w:tc>
        <w:tc>
          <w:tcPr>
            <w:tcW w:w="1872" w:type="dxa"/>
            <w:vMerge/>
            <w:vAlign w:val="center"/>
          </w:tcPr>
          <w:p w14:paraId="1E369B68" w14:textId="77777777" w:rsidR="002260A1" w:rsidRPr="007247FC" w:rsidRDefault="002260A1" w:rsidP="002260A1">
            <w:pPr>
              <w:jc w:val="center"/>
              <w:rPr>
                <w:rFonts w:ascii="Arial" w:hAnsi="Arial" w:cs="Arial"/>
                <w:bCs/>
                <w:sz w:val="22"/>
                <w:szCs w:val="22"/>
              </w:rPr>
            </w:pPr>
          </w:p>
        </w:tc>
        <w:tc>
          <w:tcPr>
            <w:tcW w:w="5490" w:type="dxa"/>
            <w:vAlign w:val="center"/>
          </w:tcPr>
          <w:p w14:paraId="2FF4ACF0" w14:textId="51859D3D" w:rsidR="002260A1" w:rsidRPr="007247FC" w:rsidRDefault="002260A1" w:rsidP="0070477E">
            <w:pPr>
              <w:jc w:val="both"/>
              <w:rPr>
                <w:rFonts w:ascii="Arial" w:hAnsi="Arial" w:cs="Arial"/>
                <w:color w:val="000000" w:themeColor="text1"/>
                <w:sz w:val="22"/>
                <w:szCs w:val="22"/>
              </w:rPr>
            </w:pPr>
            <w:r w:rsidRPr="007247FC">
              <w:rPr>
                <w:rFonts w:ascii="Arial" w:hAnsi="Arial" w:cs="Arial"/>
                <w:color w:val="000000" w:themeColor="text1"/>
                <w:sz w:val="22"/>
                <w:szCs w:val="22"/>
              </w:rPr>
              <w:t>10.Төслийн 29 дүгээр зүйлийн 29.2.1 дэх заалтад ажилтан ажил олгогчийн төлөх шимтгэлийн 2 хувийг тэтгэврийн нөөц сан бүрдүүлэх эх үүсвэр байхаар тусгасан нь энэ хэмжээгээр тэтгэврийн даатгалын сангийн орлого, эх үүсвэр</w:t>
            </w:r>
            <w:r w:rsidR="0070477E">
              <w:rPr>
                <w:rFonts w:ascii="Arial" w:hAnsi="Arial" w:cs="Arial"/>
                <w:color w:val="000000" w:themeColor="text1"/>
                <w:sz w:val="22"/>
                <w:szCs w:val="22"/>
              </w:rPr>
              <w:t xml:space="preserve"> дутагдах эрсдэлтэй байна</w:t>
            </w:r>
            <w:r w:rsidRPr="007247FC">
              <w:rPr>
                <w:rFonts w:ascii="Arial" w:hAnsi="Arial" w:cs="Arial"/>
                <w:color w:val="000000" w:themeColor="text1"/>
                <w:sz w:val="22"/>
                <w:szCs w:val="22"/>
              </w:rPr>
              <w:t>. Иймд уг заалтыг хэрэгжүүлэхдээ тэтгэврийн даатгалын орлого, зарлагын зохистой харьцаанд тулгуурлан улсын төсвөөс нэмж татаас авахгүй байхаар хэрэгжүүлэх агуулга бүхий заалтыг Хуулийн дагаж мөрдөх журмын хэсэгт нэмж тусгах</w:t>
            </w:r>
          </w:p>
        </w:tc>
        <w:tc>
          <w:tcPr>
            <w:tcW w:w="5490" w:type="dxa"/>
            <w:vAlign w:val="center"/>
          </w:tcPr>
          <w:p w14:paraId="0E4897C6" w14:textId="0745DB91" w:rsidR="005E7A69" w:rsidRDefault="005E7A69" w:rsidP="00173A24">
            <w:pPr>
              <w:autoSpaceDE w:val="0"/>
              <w:autoSpaceDN w:val="0"/>
              <w:jc w:val="both"/>
              <w:rPr>
                <w:rFonts w:ascii="Arial" w:eastAsia="Times New Roman" w:hAnsi="Arial" w:cs="Arial"/>
                <w:sz w:val="22"/>
              </w:rPr>
            </w:pPr>
            <w:r>
              <w:rPr>
                <w:rFonts w:ascii="Arial" w:hAnsi="Arial" w:cs="Arial"/>
                <w:sz w:val="22"/>
                <w:szCs w:val="22"/>
              </w:rPr>
              <w:t>Саналыг тусгаж, хуулийн төслийн 46 дугаар зүйлд “</w:t>
            </w:r>
            <w:r w:rsidR="00173A24">
              <w:rPr>
                <w:rFonts w:ascii="Arial" w:eastAsia="Times New Roman" w:hAnsi="Arial" w:cs="Arial"/>
                <w:sz w:val="22"/>
              </w:rPr>
              <w:t>46.3.Тэтгэврийн даатгалын сангийн орлого, зарлагын зохистой харьцаанд үндэслэн энэ хуулийн 29.3.1 дэх заалтыг хэрэгжүүлнэ.</w:t>
            </w:r>
            <w:r>
              <w:rPr>
                <w:rFonts w:ascii="Arial" w:eastAsia="Times New Roman" w:hAnsi="Arial" w:cs="Arial"/>
                <w:sz w:val="22"/>
              </w:rPr>
              <w:t xml:space="preserve">” гэж нэмж тусгав. </w:t>
            </w:r>
          </w:p>
          <w:p w14:paraId="589B49F4" w14:textId="6269C21C" w:rsidR="002260A1" w:rsidRPr="007247FC" w:rsidRDefault="00064C24" w:rsidP="002260A1">
            <w:pPr>
              <w:jc w:val="both"/>
              <w:rPr>
                <w:rFonts w:ascii="Arial" w:hAnsi="Arial" w:cs="Arial"/>
                <w:sz w:val="22"/>
                <w:szCs w:val="22"/>
              </w:rPr>
            </w:pPr>
            <w:r>
              <w:rPr>
                <w:rFonts w:ascii="Arial" w:hAnsi="Arial" w:cs="Arial"/>
                <w:sz w:val="22"/>
                <w:szCs w:val="22"/>
              </w:rPr>
              <w:t xml:space="preserve"> </w:t>
            </w:r>
          </w:p>
        </w:tc>
      </w:tr>
      <w:tr w:rsidR="002260A1" w:rsidRPr="007247FC" w14:paraId="149223B8" w14:textId="77777777" w:rsidTr="00F42933">
        <w:trPr>
          <w:trHeight w:val="1160"/>
        </w:trPr>
        <w:tc>
          <w:tcPr>
            <w:tcW w:w="643" w:type="dxa"/>
            <w:vMerge/>
            <w:vAlign w:val="center"/>
          </w:tcPr>
          <w:p w14:paraId="3801452F" w14:textId="77777777" w:rsidR="002260A1" w:rsidRPr="007247FC" w:rsidRDefault="002260A1" w:rsidP="002260A1">
            <w:pPr>
              <w:jc w:val="center"/>
              <w:rPr>
                <w:rFonts w:ascii="Arial" w:hAnsi="Arial" w:cs="Arial"/>
                <w:bCs/>
                <w:sz w:val="22"/>
                <w:szCs w:val="22"/>
              </w:rPr>
            </w:pPr>
          </w:p>
        </w:tc>
        <w:tc>
          <w:tcPr>
            <w:tcW w:w="1872" w:type="dxa"/>
            <w:vMerge/>
            <w:vAlign w:val="center"/>
          </w:tcPr>
          <w:p w14:paraId="23C7F9D0" w14:textId="77777777" w:rsidR="002260A1" w:rsidRPr="007247FC" w:rsidRDefault="002260A1" w:rsidP="002260A1">
            <w:pPr>
              <w:jc w:val="center"/>
              <w:rPr>
                <w:rFonts w:ascii="Arial" w:hAnsi="Arial" w:cs="Arial"/>
                <w:bCs/>
                <w:sz w:val="22"/>
                <w:szCs w:val="22"/>
              </w:rPr>
            </w:pPr>
          </w:p>
        </w:tc>
        <w:tc>
          <w:tcPr>
            <w:tcW w:w="5490" w:type="dxa"/>
            <w:vAlign w:val="center"/>
          </w:tcPr>
          <w:p w14:paraId="49C75CF4" w14:textId="271ED61D" w:rsidR="002260A1" w:rsidRPr="007247FC" w:rsidRDefault="002260A1" w:rsidP="002260A1">
            <w:pPr>
              <w:jc w:val="both"/>
              <w:rPr>
                <w:rFonts w:ascii="Arial" w:hAnsi="Arial" w:cs="Arial"/>
                <w:color w:val="000000" w:themeColor="text1"/>
                <w:sz w:val="22"/>
                <w:szCs w:val="22"/>
              </w:rPr>
            </w:pPr>
            <w:r w:rsidRPr="007247FC">
              <w:rPr>
                <w:rFonts w:ascii="Arial" w:hAnsi="Arial" w:cs="Arial"/>
                <w:color w:val="000000" w:themeColor="text1"/>
                <w:sz w:val="22"/>
                <w:szCs w:val="22"/>
              </w:rPr>
              <w:t>11.Төслийн 42 дугаар зүйлийн 42.3 дахь хэсэгт төв болон салбар зөвлөлийн бүрэлдэхүүнийг 7-9 хүний бүрэлдэхүүнтэй байхаар тусгасан байна. Зөвлөлийн бүрэлдэхүүн 7-9-ийн хооронд хэд байхыг шийдэх бүрэн эрхтэй субъектийг тодорхойлж өгөөгүй байна. Түүнчлэн 8 хүний бүрэлдэхүүнтэй болсон тохиолдолд олонх болж шийдвэр гаргаж чадахгүй нөхцөл үүсэх эрсдэлтэй тул сондгой тоогоор хэдэн хүний бүрэлдэхүүнтэй байхыг тодорхой тусгах</w:t>
            </w:r>
          </w:p>
        </w:tc>
        <w:tc>
          <w:tcPr>
            <w:tcW w:w="5490" w:type="dxa"/>
            <w:vAlign w:val="center"/>
          </w:tcPr>
          <w:p w14:paraId="0045E5EB" w14:textId="700D7B3E" w:rsidR="002260A1" w:rsidRPr="0048434B" w:rsidRDefault="0070477E" w:rsidP="0048434B">
            <w:pPr>
              <w:autoSpaceDE w:val="0"/>
              <w:autoSpaceDN w:val="0"/>
              <w:jc w:val="both"/>
              <w:rPr>
                <w:rFonts w:ascii="Arial" w:eastAsia="MS Mincho" w:hAnsi="Arial" w:cs="Arial"/>
                <w:sz w:val="22"/>
                <w:lang w:val="hsb-DE"/>
              </w:rPr>
            </w:pPr>
            <w:r>
              <w:rPr>
                <w:rFonts w:ascii="Arial" w:hAnsi="Arial" w:cs="Arial"/>
                <w:sz w:val="22"/>
                <w:szCs w:val="22"/>
              </w:rPr>
              <w:t xml:space="preserve">Саналыг тусгаж, хуулийн төслийн </w:t>
            </w:r>
            <w:r w:rsidRPr="00390A0D">
              <w:rPr>
                <w:rFonts w:ascii="Arial" w:eastAsia="MS Mincho" w:hAnsi="Arial" w:cs="Arial"/>
                <w:sz w:val="22"/>
                <w:lang w:val="hsb-DE"/>
              </w:rPr>
              <w:t>4</w:t>
            </w:r>
            <w:r>
              <w:rPr>
                <w:rFonts w:ascii="Arial" w:eastAsia="MS Mincho" w:hAnsi="Arial" w:cs="Arial"/>
                <w:sz w:val="22"/>
              </w:rPr>
              <w:t>2</w:t>
            </w:r>
            <w:r>
              <w:rPr>
                <w:rFonts w:ascii="Arial" w:eastAsia="MS Mincho" w:hAnsi="Arial" w:cs="Arial"/>
                <w:sz w:val="22"/>
                <w:lang w:val="hsb-DE"/>
              </w:rPr>
              <w:t>.</w:t>
            </w:r>
            <w:r>
              <w:rPr>
                <w:rFonts w:ascii="Arial" w:eastAsia="MS Mincho" w:hAnsi="Arial" w:cs="Arial"/>
                <w:sz w:val="22"/>
              </w:rPr>
              <w:t>3 дахь хэсгийг “</w:t>
            </w:r>
            <w:r w:rsidRPr="00390A0D">
              <w:rPr>
                <w:rFonts w:ascii="Arial" w:eastAsia="MS Mincho" w:hAnsi="Arial" w:cs="Arial"/>
                <w:sz w:val="22"/>
                <w:lang w:val="hsb-DE"/>
              </w:rPr>
              <w:t xml:space="preserve">Төв зөвлөл болон салбар </w:t>
            </w:r>
            <w:r w:rsidRPr="00390A0D">
              <w:rPr>
                <w:rFonts w:ascii="Arial" w:eastAsia="MS Mincho" w:hAnsi="Arial" w:cs="Arial"/>
                <w:sz w:val="22"/>
              </w:rPr>
              <w:t>з</w:t>
            </w:r>
            <w:r w:rsidRPr="00390A0D">
              <w:rPr>
                <w:rFonts w:ascii="Arial" w:eastAsia="MS Mincho" w:hAnsi="Arial" w:cs="Arial"/>
                <w:sz w:val="22"/>
                <w:lang w:val="hsb-DE"/>
              </w:rPr>
              <w:t xml:space="preserve">өвлөл нь </w:t>
            </w:r>
            <w:r>
              <w:rPr>
                <w:rFonts w:ascii="Arial" w:eastAsia="MS Mincho" w:hAnsi="Arial" w:cs="Arial"/>
                <w:sz w:val="22"/>
                <w:lang w:val="hsb-DE"/>
              </w:rPr>
              <w:t>9 хүний бүрэлдэхүүнтэй</w:t>
            </w:r>
            <w:r>
              <w:rPr>
                <w:rFonts w:ascii="Arial" w:eastAsia="MS Mincho" w:hAnsi="Arial" w:cs="Arial"/>
                <w:sz w:val="22"/>
              </w:rPr>
              <w:t>...” гэж өөрчлөв.</w:t>
            </w:r>
          </w:p>
        </w:tc>
      </w:tr>
      <w:tr w:rsidR="002260A1" w:rsidRPr="007247FC" w14:paraId="33D278BF" w14:textId="77777777" w:rsidTr="00173A24">
        <w:trPr>
          <w:trHeight w:val="530"/>
        </w:trPr>
        <w:tc>
          <w:tcPr>
            <w:tcW w:w="643" w:type="dxa"/>
            <w:vMerge/>
            <w:vAlign w:val="center"/>
          </w:tcPr>
          <w:p w14:paraId="183EB464" w14:textId="77777777" w:rsidR="002260A1" w:rsidRPr="007247FC" w:rsidRDefault="002260A1" w:rsidP="002260A1">
            <w:pPr>
              <w:jc w:val="center"/>
              <w:rPr>
                <w:rFonts w:ascii="Arial" w:hAnsi="Arial" w:cs="Arial"/>
                <w:bCs/>
                <w:sz w:val="22"/>
                <w:szCs w:val="22"/>
              </w:rPr>
            </w:pPr>
          </w:p>
        </w:tc>
        <w:tc>
          <w:tcPr>
            <w:tcW w:w="1872" w:type="dxa"/>
            <w:vMerge/>
            <w:vAlign w:val="center"/>
          </w:tcPr>
          <w:p w14:paraId="389B11A2" w14:textId="77777777" w:rsidR="002260A1" w:rsidRPr="007247FC" w:rsidRDefault="002260A1" w:rsidP="002260A1">
            <w:pPr>
              <w:jc w:val="center"/>
              <w:rPr>
                <w:rFonts w:ascii="Arial" w:hAnsi="Arial" w:cs="Arial"/>
                <w:bCs/>
                <w:sz w:val="22"/>
                <w:szCs w:val="22"/>
              </w:rPr>
            </w:pPr>
          </w:p>
        </w:tc>
        <w:tc>
          <w:tcPr>
            <w:tcW w:w="5490" w:type="dxa"/>
            <w:vAlign w:val="center"/>
          </w:tcPr>
          <w:p w14:paraId="30003B42" w14:textId="1C1E12C3" w:rsidR="002260A1" w:rsidRPr="007247FC" w:rsidRDefault="002260A1" w:rsidP="008A1F66">
            <w:pPr>
              <w:jc w:val="both"/>
              <w:rPr>
                <w:rFonts w:ascii="Arial" w:hAnsi="Arial" w:cs="Arial"/>
                <w:color w:val="000000" w:themeColor="text1"/>
                <w:sz w:val="22"/>
                <w:szCs w:val="22"/>
              </w:rPr>
            </w:pPr>
            <w:r w:rsidRPr="007247FC">
              <w:rPr>
                <w:rFonts w:ascii="Arial" w:hAnsi="Arial" w:cs="Arial"/>
                <w:color w:val="000000" w:themeColor="text1"/>
                <w:sz w:val="22"/>
                <w:szCs w:val="22"/>
              </w:rPr>
              <w:t>12.Шинэ сэргэлтийн бодлогын үйл ажиллагааны хөтөлбөрийн 6.3.4-т "Монгол банк, Санхүүгийн зохицуулах хороо, татвар, гааль, нийгмийн даатгал болон эрүүл мэндийн даатгалаас бусад чиглэлээр төлөвлөгөөт хяналт шалгалтыг бууруулж, төрийн хяналт шалгалтыг эрсдэлд суурилж хэрэгжүүлэх, зөвлөн туслах хэв шинжтэй болгох“ гэж заасныг анхаарч хуулийн төсөлд хяналт, шалгалтын процесс, үйл ажиллагааг нарийвчлан тусгах. Ийнхүү хяналт шалгалтын процесс, үйл ажиллагааг хуульд тусгахдаа эрсдэлд суурилсан хяналт шалгалтын тогтолцоог нэвтрүүлэх чиглэлээр анхаарах</w:t>
            </w:r>
          </w:p>
        </w:tc>
        <w:tc>
          <w:tcPr>
            <w:tcW w:w="5490" w:type="dxa"/>
            <w:vAlign w:val="center"/>
          </w:tcPr>
          <w:p w14:paraId="13EE30CA" w14:textId="35B82FF8" w:rsidR="002260A1" w:rsidRPr="0048434B" w:rsidRDefault="002A5AAC" w:rsidP="002260A1">
            <w:pPr>
              <w:jc w:val="both"/>
              <w:rPr>
                <w:rFonts w:ascii="Arial" w:eastAsia="MS Mincho" w:hAnsi="Arial" w:cs="Arial"/>
                <w:sz w:val="22"/>
              </w:rPr>
            </w:pPr>
            <w:r>
              <w:rPr>
                <w:rFonts w:ascii="Arial" w:hAnsi="Arial" w:cs="Arial"/>
                <w:sz w:val="22"/>
                <w:szCs w:val="22"/>
              </w:rPr>
              <w:t xml:space="preserve">Саналыг тусгаж, хуулийн төслийн </w:t>
            </w:r>
            <w:r w:rsidRPr="005E0F7E">
              <w:rPr>
                <w:rFonts w:ascii="Arial" w:eastAsia="MS Mincho" w:hAnsi="Arial" w:cs="Arial"/>
                <w:sz w:val="22"/>
                <w:lang w:val="hsb-DE"/>
              </w:rPr>
              <w:t>3</w:t>
            </w:r>
            <w:r>
              <w:rPr>
                <w:rFonts w:ascii="Arial" w:eastAsia="MS Mincho" w:hAnsi="Arial" w:cs="Arial"/>
                <w:sz w:val="22"/>
              </w:rPr>
              <w:t>7 дугаар зүйлд “37</w:t>
            </w:r>
            <w:r w:rsidRPr="005E0F7E">
              <w:rPr>
                <w:rFonts w:ascii="Arial" w:eastAsia="MS Mincho" w:hAnsi="Arial" w:cs="Arial"/>
                <w:sz w:val="22"/>
                <w:lang w:val="hsb-DE"/>
              </w:rPr>
              <w:t>.1</w:t>
            </w:r>
            <w:r w:rsidR="00917B66">
              <w:rPr>
                <w:rFonts w:ascii="Arial" w:eastAsia="MS Mincho" w:hAnsi="Arial" w:cs="Arial"/>
                <w:sz w:val="22"/>
              </w:rPr>
              <w:t>3</w:t>
            </w:r>
            <w:r>
              <w:rPr>
                <w:rFonts w:ascii="Arial" w:eastAsia="MS Mincho" w:hAnsi="Arial" w:cs="Arial"/>
                <w:sz w:val="22"/>
              </w:rPr>
              <w:t xml:space="preserve">.5.нийгмийн даатгалын </w:t>
            </w:r>
            <w:r w:rsidRPr="005E0F7E">
              <w:rPr>
                <w:rFonts w:ascii="Arial" w:eastAsia="MS Mincho" w:hAnsi="Arial" w:cs="Arial"/>
                <w:sz w:val="22"/>
                <w:lang w:val="hsb-DE"/>
              </w:rPr>
              <w:t>бай</w:t>
            </w:r>
            <w:r>
              <w:rPr>
                <w:rFonts w:ascii="Arial" w:eastAsia="MS Mincho" w:hAnsi="Arial" w:cs="Arial"/>
                <w:sz w:val="22"/>
              </w:rPr>
              <w:t>г</w:t>
            </w:r>
            <w:r w:rsidRPr="005E0F7E">
              <w:rPr>
                <w:rFonts w:ascii="Arial" w:eastAsia="MS Mincho" w:hAnsi="Arial" w:cs="Arial"/>
                <w:sz w:val="22"/>
                <w:lang w:val="hsb-DE"/>
              </w:rPr>
              <w:t xml:space="preserve">ууллагын </w:t>
            </w:r>
            <w:r>
              <w:rPr>
                <w:rFonts w:ascii="Arial" w:eastAsia="MS Mincho" w:hAnsi="Arial" w:cs="Arial"/>
                <w:sz w:val="22"/>
              </w:rPr>
              <w:t>ү</w:t>
            </w:r>
            <w:r w:rsidRPr="005E0F7E">
              <w:rPr>
                <w:rFonts w:ascii="Arial" w:eastAsia="MS Mincho" w:hAnsi="Arial" w:cs="Arial"/>
                <w:sz w:val="22"/>
                <w:lang w:val="hsb-DE"/>
              </w:rPr>
              <w:t>йл ажиллагаанд дотоод аудит, шинжилгээ, үнэлгээ хийх, э</w:t>
            </w:r>
            <w:r>
              <w:rPr>
                <w:rFonts w:ascii="Arial" w:eastAsia="MS Mincho" w:hAnsi="Arial" w:cs="Arial"/>
                <w:sz w:val="22"/>
                <w:lang w:val="hsb-DE"/>
              </w:rPr>
              <w:t>рсдэлийн удирдлагыг хэрэгжүүлэх”</w:t>
            </w:r>
            <w:r>
              <w:rPr>
                <w:rFonts w:ascii="Arial" w:eastAsia="MS Mincho" w:hAnsi="Arial" w:cs="Arial"/>
                <w:sz w:val="22"/>
              </w:rPr>
              <w:t xml:space="preserve"> гэсэн заалт нэмж тусгав.</w:t>
            </w:r>
          </w:p>
        </w:tc>
      </w:tr>
      <w:tr w:rsidR="002260A1" w:rsidRPr="007247FC" w14:paraId="368813B7" w14:textId="77777777" w:rsidTr="001C52CB">
        <w:trPr>
          <w:trHeight w:val="440"/>
        </w:trPr>
        <w:tc>
          <w:tcPr>
            <w:tcW w:w="643" w:type="dxa"/>
            <w:vMerge/>
            <w:vAlign w:val="center"/>
          </w:tcPr>
          <w:p w14:paraId="530E565B" w14:textId="77777777" w:rsidR="002260A1" w:rsidRPr="007247FC" w:rsidRDefault="002260A1" w:rsidP="002260A1">
            <w:pPr>
              <w:jc w:val="center"/>
              <w:rPr>
                <w:rFonts w:ascii="Arial" w:hAnsi="Arial" w:cs="Arial"/>
                <w:bCs/>
                <w:sz w:val="22"/>
                <w:szCs w:val="22"/>
              </w:rPr>
            </w:pPr>
          </w:p>
        </w:tc>
        <w:tc>
          <w:tcPr>
            <w:tcW w:w="1872" w:type="dxa"/>
            <w:vMerge/>
            <w:vAlign w:val="center"/>
          </w:tcPr>
          <w:p w14:paraId="6813BB7F" w14:textId="77777777" w:rsidR="002260A1" w:rsidRPr="007247FC" w:rsidRDefault="002260A1" w:rsidP="002260A1">
            <w:pPr>
              <w:jc w:val="center"/>
              <w:rPr>
                <w:rFonts w:ascii="Arial" w:hAnsi="Arial" w:cs="Arial"/>
                <w:bCs/>
                <w:sz w:val="22"/>
                <w:szCs w:val="22"/>
              </w:rPr>
            </w:pPr>
          </w:p>
        </w:tc>
        <w:tc>
          <w:tcPr>
            <w:tcW w:w="5490" w:type="dxa"/>
            <w:vAlign w:val="center"/>
          </w:tcPr>
          <w:p w14:paraId="580CDA31" w14:textId="2CDDE6C7" w:rsidR="002260A1" w:rsidRPr="007247FC" w:rsidRDefault="002260A1" w:rsidP="002260A1">
            <w:pPr>
              <w:jc w:val="both"/>
              <w:rPr>
                <w:rFonts w:ascii="Arial" w:hAnsi="Arial" w:cs="Arial"/>
                <w:color w:val="000000" w:themeColor="text1"/>
                <w:sz w:val="22"/>
                <w:szCs w:val="22"/>
              </w:rPr>
            </w:pPr>
            <w:r w:rsidRPr="007247FC">
              <w:rPr>
                <w:rFonts w:ascii="Arial" w:hAnsi="Arial" w:cs="Arial"/>
                <w:color w:val="000000" w:themeColor="text1"/>
                <w:sz w:val="22"/>
                <w:szCs w:val="22"/>
              </w:rPr>
              <w:t>13.Нийгмийн даатг</w:t>
            </w:r>
            <w:r w:rsidRPr="006B03FD">
              <w:rPr>
                <w:rFonts w:ascii="Arial" w:hAnsi="Arial" w:cs="Arial"/>
                <w:color w:val="auto"/>
                <w:sz w:val="22"/>
                <w:szCs w:val="22"/>
              </w:rPr>
              <w:t xml:space="preserve">алын шимтгэлийн дахин ногдуулалтад </w:t>
            </w:r>
            <w:r w:rsidRPr="007247FC">
              <w:rPr>
                <w:rFonts w:ascii="Arial" w:hAnsi="Arial" w:cs="Arial"/>
                <w:color w:val="000000" w:themeColor="text1"/>
                <w:sz w:val="22"/>
                <w:szCs w:val="22"/>
              </w:rPr>
              <w:t>хөөн хэлэлцэх хугацаа заагаагүй байгааг анхаарч төсөлд тусгах;</w:t>
            </w:r>
          </w:p>
        </w:tc>
        <w:tc>
          <w:tcPr>
            <w:tcW w:w="5490" w:type="dxa"/>
            <w:vAlign w:val="center"/>
          </w:tcPr>
          <w:p w14:paraId="001B6897" w14:textId="46E6013A" w:rsidR="008A1F66" w:rsidRPr="006B03FD" w:rsidRDefault="006B03FD" w:rsidP="006B03FD">
            <w:pPr>
              <w:jc w:val="both"/>
              <w:rPr>
                <w:rFonts w:ascii="Arial" w:hAnsi="Arial" w:cs="Arial"/>
                <w:sz w:val="22"/>
                <w:shd w:val="clear" w:color="auto" w:fill="FFFFFF"/>
              </w:rPr>
            </w:pPr>
            <w:r>
              <w:rPr>
                <w:rFonts w:ascii="Arial" w:hAnsi="Arial" w:cs="Arial"/>
                <w:sz w:val="22"/>
                <w:szCs w:val="22"/>
              </w:rPr>
              <w:t>Нийгмийн даатгалын харилцаанд даатгуулагч 10-30 жил нийгмийн даатгалын шимтгэл төлж, дунджаар 20 гаруй жил тэтгэвэр тогтоолгон авдаг бөгөөд х</w:t>
            </w:r>
            <w:r w:rsidR="00173A24">
              <w:rPr>
                <w:rFonts w:ascii="Arial" w:eastAsia="Times New Roman" w:hAnsi="Arial" w:cs="Arial"/>
                <w:sz w:val="22"/>
              </w:rPr>
              <w:t xml:space="preserve">уулийн төслийн 31 дүгээр зүйлд </w:t>
            </w:r>
            <w:r w:rsidR="00173A24" w:rsidRPr="004F5C5A">
              <w:rPr>
                <w:rFonts w:ascii="Arial" w:eastAsia="MS Mincho" w:hAnsi="Arial" w:cs="Arial"/>
                <w:sz w:val="22"/>
              </w:rPr>
              <w:t xml:space="preserve">нийгмийн даатгалын </w:t>
            </w:r>
            <w:r w:rsidR="00173A24" w:rsidRPr="004F5C5A">
              <w:rPr>
                <w:rFonts w:ascii="Arial" w:eastAsia="Times New Roman" w:hAnsi="Arial" w:cs="Arial"/>
                <w:sz w:val="22"/>
              </w:rPr>
              <w:t>шимтгэл</w:t>
            </w:r>
            <w:r w:rsidR="00173A24">
              <w:rPr>
                <w:rFonts w:ascii="Arial" w:eastAsia="Times New Roman" w:hAnsi="Arial" w:cs="Arial"/>
                <w:sz w:val="22"/>
              </w:rPr>
              <w:t>ийг</w:t>
            </w:r>
            <w:r w:rsidR="00173A24" w:rsidRPr="004F5C5A">
              <w:rPr>
                <w:rFonts w:ascii="Arial" w:eastAsia="Times New Roman" w:hAnsi="Arial" w:cs="Arial"/>
                <w:sz w:val="22"/>
              </w:rPr>
              <w:t xml:space="preserve"> нөхөн төлүүлэх</w:t>
            </w:r>
            <w:r>
              <w:rPr>
                <w:rFonts w:ascii="Arial" w:eastAsia="Times New Roman" w:hAnsi="Arial" w:cs="Arial"/>
                <w:sz w:val="22"/>
              </w:rPr>
              <w:t xml:space="preserve">, </w:t>
            </w:r>
            <w:r w:rsidR="00173A24">
              <w:rPr>
                <w:rFonts w:ascii="Arial" w:eastAsia="Times New Roman" w:hAnsi="Arial" w:cs="Arial"/>
                <w:sz w:val="22"/>
              </w:rPr>
              <w:t>шимтгэлд тооцсон</w:t>
            </w:r>
            <w:r w:rsidR="00173A24" w:rsidRPr="004F5C5A">
              <w:rPr>
                <w:rFonts w:ascii="Arial" w:eastAsia="Times New Roman" w:hAnsi="Arial" w:cs="Arial"/>
                <w:sz w:val="22"/>
              </w:rPr>
              <w:t xml:space="preserve"> </w:t>
            </w:r>
            <w:r w:rsidR="00173A24">
              <w:rPr>
                <w:rFonts w:ascii="Arial" w:eastAsia="Times New Roman" w:hAnsi="Arial" w:cs="Arial"/>
                <w:sz w:val="22"/>
              </w:rPr>
              <w:t>алданги, торгуул</w:t>
            </w:r>
            <w:r>
              <w:rPr>
                <w:rFonts w:ascii="Arial" w:eastAsia="Times New Roman" w:hAnsi="Arial" w:cs="Arial"/>
                <w:sz w:val="22"/>
              </w:rPr>
              <w:t xml:space="preserve">ь, </w:t>
            </w:r>
            <w:r w:rsidR="00173A24" w:rsidRPr="004F5C5A">
              <w:rPr>
                <w:rFonts w:ascii="Arial" w:eastAsia="Times New Roman" w:hAnsi="Arial" w:cs="Arial"/>
                <w:sz w:val="22"/>
              </w:rPr>
              <w:t>шимтгэлийн өр</w:t>
            </w:r>
            <w:r>
              <w:rPr>
                <w:rFonts w:ascii="Arial" w:eastAsia="Times New Roman" w:hAnsi="Arial" w:cs="Arial"/>
                <w:sz w:val="22"/>
              </w:rPr>
              <w:t xml:space="preserve">, </w:t>
            </w:r>
            <w:r w:rsidR="00173A24">
              <w:rPr>
                <w:rFonts w:ascii="Arial" w:hAnsi="Arial" w:cs="Arial"/>
                <w:sz w:val="22"/>
                <w:shd w:val="clear" w:color="auto" w:fill="FFFFFF"/>
              </w:rPr>
              <w:t xml:space="preserve"> </w:t>
            </w:r>
            <w:r w:rsidR="00173A24" w:rsidRPr="00A151E0">
              <w:rPr>
                <w:rFonts w:ascii="Arial" w:hAnsi="Arial" w:cs="Arial"/>
                <w:sz w:val="22"/>
                <w:shd w:val="clear" w:color="auto" w:fill="FFFFFF"/>
              </w:rPr>
              <w:t>үндэслэлгүй илүү авсан</w:t>
            </w:r>
            <w:r w:rsidR="00173A24">
              <w:rPr>
                <w:rFonts w:ascii="Arial" w:hAnsi="Arial" w:cs="Arial"/>
                <w:sz w:val="22"/>
                <w:shd w:val="clear" w:color="auto" w:fill="FFFFFF"/>
              </w:rPr>
              <w:t xml:space="preserve"> тэтгэвэр, тэтгэмжийг </w:t>
            </w:r>
            <w:r>
              <w:rPr>
                <w:rFonts w:ascii="Arial" w:hAnsi="Arial" w:cs="Arial"/>
                <w:sz w:val="22"/>
                <w:shd w:val="clear" w:color="auto" w:fill="FFFFFF"/>
              </w:rPr>
              <w:t xml:space="preserve">нөхөн </w:t>
            </w:r>
            <w:r w:rsidR="00173A24">
              <w:rPr>
                <w:rFonts w:ascii="Arial" w:hAnsi="Arial" w:cs="Arial"/>
                <w:sz w:val="22"/>
                <w:shd w:val="clear" w:color="auto" w:fill="FFFFFF"/>
              </w:rPr>
              <w:t>төлүүлэх</w:t>
            </w:r>
            <w:r>
              <w:rPr>
                <w:rFonts w:ascii="Arial" w:hAnsi="Arial" w:cs="Arial"/>
                <w:sz w:val="22"/>
                <w:shd w:val="clear" w:color="auto" w:fill="FFFFFF"/>
              </w:rPr>
              <w:t xml:space="preserve"> тохиолдолд хөөн хэлэлцэх хугацаагүй байхаар тусгасан. Харин нийгмийн даатгалын бусад харилцаа </w:t>
            </w:r>
            <w:r w:rsidR="00173A24" w:rsidRPr="002B4236">
              <w:rPr>
                <w:rFonts w:ascii="Arial" w:hAnsi="Arial" w:cs="Arial"/>
                <w:sz w:val="22"/>
                <w:shd w:val="clear" w:color="auto" w:fill="FFFFFF"/>
              </w:rPr>
              <w:t>Иргэний хуулийн 75 дугаар зүйлийн 75.1-д заас</w:t>
            </w:r>
            <w:r>
              <w:rPr>
                <w:rFonts w:ascii="Arial" w:hAnsi="Arial" w:cs="Arial"/>
                <w:sz w:val="22"/>
                <w:shd w:val="clear" w:color="auto" w:fill="FFFFFF"/>
              </w:rPr>
              <w:t>а</w:t>
            </w:r>
            <w:r w:rsidR="00173A24" w:rsidRPr="002B4236">
              <w:rPr>
                <w:rFonts w:ascii="Arial" w:hAnsi="Arial" w:cs="Arial"/>
                <w:sz w:val="22"/>
                <w:shd w:val="clear" w:color="auto" w:fill="FFFFFF"/>
              </w:rPr>
              <w:t xml:space="preserve">н </w:t>
            </w:r>
            <w:r>
              <w:rPr>
                <w:rFonts w:ascii="Arial" w:hAnsi="Arial" w:cs="Arial"/>
                <w:sz w:val="22"/>
                <w:shd w:val="clear" w:color="auto" w:fill="FFFFFF"/>
              </w:rPr>
              <w:t>10 жилийн хөөн хэлэлцэх хугацаа</w:t>
            </w:r>
            <w:r w:rsidR="00173A24" w:rsidRPr="002B4236">
              <w:rPr>
                <w:rFonts w:ascii="Arial" w:hAnsi="Arial" w:cs="Arial"/>
                <w:sz w:val="22"/>
                <w:shd w:val="clear" w:color="auto" w:fill="FFFFFF"/>
              </w:rPr>
              <w:t>г баримт</w:t>
            </w:r>
            <w:r>
              <w:rPr>
                <w:rFonts w:ascii="Arial" w:hAnsi="Arial" w:cs="Arial"/>
                <w:sz w:val="22"/>
                <w:shd w:val="clear" w:color="auto" w:fill="FFFFFF"/>
              </w:rPr>
              <w:t xml:space="preserve">лахаар тусгасан болно. </w:t>
            </w:r>
            <w:r w:rsidR="00173A24" w:rsidRPr="002B4236">
              <w:rPr>
                <w:rFonts w:ascii="Arial" w:hAnsi="Arial" w:cs="Arial"/>
                <w:sz w:val="22"/>
                <w:shd w:val="clear" w:color="auto" w:fill="FFFFFF"/>
              </w:rPr>
              <w:t xml:space="preserve"> </w:t>
            </w:r>
          </w:p>
        </w:tc>
      </w:tr>
      <w:tr w:rsidR="002260A1" w:rsidRPr="007247FC" w14:paraId="2A945BA2" w14:textId="77777777" w:rsidTr="00F42933">
        <w:trPr>
          <w:trHeight w:val="1160"/>
        </w:trPr>
        <w:tc>
          <w:tcPr>
            <w:tcW w:w="643" w:type="dxa"/>
            <w:vMerge/>
            <w:vAlign w:val="center"/>
          </w:tcPr>
          <w:p w14:paraId="266E00F3" w14:textId="77777777" w:rsidR="002260A1" w:rsidRPr="007247FC" w:rsidRDefault="002260A1" w:rsidP="002260A1">
            <w:pPr>
              <w:jc w:val="center"/>
              <w:rPr>
                <w:rFonts w:ascii="Arial" w:hAnsi="Arial" w:cs="Arial"/>
                <w:bCs/>
                <w:sz w:val="22"/>
                <w:szCs w:val="22"/>
              </w:rPr>
            </w:pPr>
          </w:p>
        </w:tc>
        <w:tc>
          <w:tcPr>
            <w:tcW w:w="1872" w:type="dxa"/>
            <w:vMerge/>
            <w:vAlign w:val="center"/>
          </w:tcPr>
          <w:p w14:paraId="652724DF" w14:textId="77777777" w:rsidR="002260A1" w:rsidRPr="007247FC" w:rsidRDefault="002260A1" w:rsidP="002260A1">
            <w:pPr>
              <w:jc w:val="center"/>
              <w:rPr>
                <w:rFonts w:ascii="Arial" w:hAnsi="Arial" w:cs="Arial"/>
                <w:bCs/>
                <w:sz w:val="22"/>
                <w:szCs w:val="22"/>
              </w:rPr>
            </w:pPr>
          </w:p>
        </w:tc>
        <w:tc>
          <w:tcPr>
            <w:tcW w:w="5490" w:type="dxa"/>
            <w:vAlign w:val="center"/>
          </w:tcPr>
          <w:p w14:paraId="29BE5A80" w14:textId="2304561C" w:rsidR="002260A1" w:rsidRPr="007247FC" w:rsidRDefault="002260A1" w:rsidP="002260A1">
            <w:pPr>
              <w:jc w:val="both"/>
              <w:rPr>
                <w:rFonts w:ascii="Arial" w:hAnsi="Arial" w:cs="Arial"/>
                <w:bCs/>
                <w:sz w:val="22"/>
                <w:szCs w:val="22"/>
              </w:rPr>
            </w:pPr>
            <w:r w:rsidRPr="007247FC">
              <w:rPr>
                <w:rFonts w:ascii="Arial" w:hAnsi="Arial" w:cs="Arial"/>
                <w:bCs/>
                <w:sz w:val="22"/>
                <w:szCs w:val="22"/>
              </w:rPr>
              <w:t>14.Төслийн 37 дугаар зүйлийн 37.14 дэх хэсэгт дараах агуулга бүхий 37.14.13 дахь заалт нэмэх, "37.14.13.Татварын албатай цахимаар мэдээлэл харилцан солилцох;"</w:t>
            </w:r>
          </w:p>
        </w:tc>
        <w:tc>
          <w:tcPr>
            <w:tcW w:w="5490" w:type="dxa"/>
            <w:vAlign w:val="center"/>
          </w:tcPr>
          <w:p w14:paraId="06A2B207" w14:textId="7E3B7C47" w:rsidR="002260A1" w:rsidRPr="004D1BE3" w:rsidRDefault="004D1BE3" w:rsidP="004D1BE3">
            <w:pPr>
              <w:jc w:val="both"/>
              <w:rPr>
                <w:rFonts w:ascii="Arial" w:hAnsi="Arial" w:cs="Arial"/>
                <w:bCs/>
                <w:sz w:val="22"/>
                <w:szCs w:val="22"/>
                <w:highlight w:val="yellow"/>
              </w:rPr>
            </w:pPr>
            <w:r w:rsidRPr="005F5C29">
              <w:rPr>
                <w:rFonts w:ascii="Arial" w:hAnsi="Arial" w:cs="Arial"/>
                <w:bCs/>
                <w:sz w:val="22"/>
                <w:szCs w:val="22"/>
              </w:rPr>
              <w:t xml:space="preserve">Саналыг тусгаж, 37 дугаар зүйлд "37.14.13.татварын албатай цахимаар мэдээлэл харилцан солилцох;" гэсэн заалт нэмж тусгав. </w:t>
            </w:r>
          </w:p>
        </w:tc>
      </w:tr>
      <w:tr w:rsidR="002260A1" w:rsidRPr="007247FC" w14:paraId="60CDF43B" w14:textId="77777777" w:rsidTr="00E4768A">
        <w:trPr>
          <w:trHeight w:val="719"/>
        </w:trPr>
        <w:tc>
          <w:tcPr>
            <w:tcW w:w="643" w:type="dxa"/>
            <w:vMerge/>
            <w:vAlign w:val="center"/>
          </w:tcPr>
          <w:p w14:paraId="754EF22A" w14:textId="77777777" w:rsidR="002260A1" w:rsidRPr="007247FC" w:rsidRDefault="002260A1" w:rsidP="002260A1">
            <w:pPr>
              <w:jc w:val="center"/>
              <w:rPr>
                <w:rFonts w:ascii="Arial" w:hAnsi="Arial" w:cs="Arial"/>
                <w:bCs/>
                <w:sz w:val="22"/>
                <w:szCs w:val="22"/>
              </w:rPr>
            </w:pPr>
          </w:p>
        </w:tc>
        <w:tc>
          <w:tcPr>
            <w:tcW w:w="1872" w:type="dxa"/>
            <w:vMerge/>
            <w:vAlign w:val="center"/>
          </w:tcPr>
          <w:p w14:paraId="70AD274C" w14:textId="77777777" w:rsidR="002260A1" w:rsidRPr="007247FC" w:rsidRDefault="002260A1" w:rsidP="002260A1">
            <w:pPr>
              <w:jc w:val="center"/>
              <w:rPr>
                <w:rFonts w:ascii="Arial" w:hAnsi="Arial" w:cs="Arial"/>
                <w:bCs/>
                <w:sz w:val="22"/>
                <w:szCs w:val="22"/>
              </w:rPr>
            </w:pPr>
          </w:p>
        </w:tc>
        <w:tc>
          <w:tcPr>
            <w:tcW w:w="5490" w:type="dxa"/>
            <w:vAlign w:val="center"/>
          </w:tcPr>
          <w:p w14:paraId="3DC97A22" w14:textId="4C23748A" w:rsidR="002260A1" w:rsidRPr="007247FC" w:rsidRDefault="002260A1" w:rsidP="002260A1">
            <w:pPr>
              <w:jc w:val="both"/>
              <w:rPr>
                <w:rFonts w:ascii="Arial" w:hAnsi="Arial" w:cs="Arial"/>
                <w:bCs/>
                <w:sz w:val="22"/>
                <w:szCs w:val="22"/>
              </w:rPr>
            </w:pPr>
            <w:r w:rsidRPr="007247FC">
              <w:rPr>
                <w:rFonts w:ascii="Arial" w:hAnsi="Arial" w:cs="Arial"/>
                <w:bCs/>
                <w:sz w:val="22"/>
                <w:szCs w:val="22"/>
              </w:rPr>
              <w:t>15.Төслийн 38-дугаар зүйлийн 38.10.1 дэх заалтын "татварын" гэснийг хасах;</w:t>
            </w:r>
          </w:p>
        </w:tc>
        <w:tc>
          <w:tcPr>
            <w:tcW w:w="5490" w:type="dxa"/>
            <w:vAlign w:val="center"/>
          </w:tcPr>
          <w:p w14:paraId="755F3700" w14:textId="26E219A1" w:rsidR="002260A1" w:rsidRPr="007247FC" w:rsidRDefault="00E9512A" w:rsidP="00E9512A">
            <w:pPr>
              <w:jc w:val="both"/>
              <w:rPr>
                <w:rFonts w:ascii="Arial" w:hAnsi="Arial" w:cs="Arial"/>
                <w:bCs/>
                <w:sz w:val="22"/>
                <w:szCs w:val="22"/>
              </w:rPr>
            </w:pPr>
            <w:r>
              <w:rPr>
                <w:rFonts w:ascii="Arial" w:eastAsia="Times New Roman" w:hAnsi="Arial" w:cs="Arial"/>
                <w:sz w:val="22"/>
              </w:rPr>
              <w:t>Саналыг тусгаж, х</w:t>
            </w:r>
            <w:r w:rsidR="004D1BE3">
              <w:rPr>
                <w:rFonts w:ascii="Arial" w:eastAsia="Times New Roman" w:hAnsi="Arial" w:cs="Arial"/>
                <w:sz w:val="22"/>
              </w:rPr>
              <w:t xml:space="preserve">уулийн төслийн 38.10.1 дэх </w:t>
            </w:r>
            <w:r>
              <w:rPr>
                <w:rFonts w:ascii="Arial" w:eastAsia="Times New Roman" w:hAnsi="Arial" w:cs="Arial"/>
                <w:sz w:val="22"/>
              </w:rPr>
              <w:t>заалтаас “</w:t>
            </w:r>
            <w:r w:rsidR="004D1BE3" w:rsidRPr="004F5C5A">
              <w:rPr>
                <w:rFonts w:ascii="Arial" w:eastAsia="Times New Roman" w:hAnsi="Arial" w:cs="Arial"/>
                <w:sz w:val="22"/>
              </w:rPr>
              <w:t>татварын</w:t>
            </w:r>
            <w:r>
              <w:rPr>
                <w:rFonts w:ascii="Arial" w:eastAsia="Times New Roman" w:hAnsi="Arial" w:cs="Arial"/>
                <w:sz w:val="22"/>
              </w:rPr>
              <w:t xml:space="preserve">” гэснийг хасав. </w:t>
            </w:r>
          </w:p>
        </w:tc>
      </w:tr>
      <w:tr w:rsidR="002260A1" w:rsidRPr="007247FC" w14:paraId="3610F8EB" w14:textId="77777777" w:rsidTr="00F42933">
        <w:trPr>
          <w:trHeight w:val="1160"/>
        </w:trPr>
        <w:tc>
          <w:tcPr>
            <w:tcW w:w="643" w:type="dxa"/>
            <w:vMerge/>
            <w:vAlign w:val="center"/>
          </w:tcPr>
          <w:p w14:paraId="7FBDF70B" w14:textId="77777777" w:rsidR="002260A1" w:rsidRPr="007247FC" w:rsidRDefault="002260A1" w:rsidP="002260A1">
            <w:pPr>
              <w:jc w:val="center"/>
              <w:rPr>
                <w:rFonts w:ascii="Arial" w:hAnsi="Arial" w:cs="Arial"/>
                <w:bCs/>
                <w:sz w:val="22"/>
                <w:szCs w:val="22"/>
              </w:rPr>
            </w:pPr>
          </w:p>
        </w:tc>
        <w:tc>
          <w:tcPr>
            <w:tcW w:w="1872" w:type="dxa"/>
            <w:vMerge/>
            <w:vAlign w:val="center"/>
          </w:tcPr>
          <w:p w14:paraId="35BB5AFB" w14:textId="77777777" w:rsidR="002260A1" w:rsidRPr="007247FC" w:rsidRDefault="002260A1" w:rsidP="002260A1">
            <w:pPr>
              <w:jc w:val="center"/>
              <w:rPr>
                <w:rFonts w:ascii="Arial" w:hAnsi="Arial" w:cs="Arial"/>
                <w:bCs/>
                <w:sz w:val="22"/>
                <w:szCs w:val="22"/>
              </w:rPr>
            </w:pPr>
          </w:p>
        </w:tc>
        <w:tc>
          <w:tcPr>
            <w:tcW w:w="5490" w:type="dxa"/>
            <w:vAlign w:val="center"/>
          </w:tcPr>
          <w:p w14:paraId="6F9E1DEE" w14:textId="2415FD42" w:rsidR="002260A1" w:rsidRPr="007247FC" w:rsidRDefault="002260A1" w:rsidP="00C50472">
            <w:pPr>
              <w:jc w:val="both"/>
              <w:rPr>
                <w:rFonts w:ascii="Arial" w:hAnsi="Arial" w:cs="Arial"/>
                <w:bCs/>
                <w:sz w:val="22"/>
                <w:szCs w:val="22"/>
              </w:rPr>
            </w:pPr>
            <w:r w:rsidRPr="007247FC">
              <w:rPr>
                <w:rFonts w:ascii="Arial" w:hAnsi="Arial" w:cs="Arial"/>
                <w:bCs/>
                <w:sz w:val="22"/>
                <w:szCs w:val="22"/>
              </w:rPr>
              <w:t>16.Төслийн 37 дугаар зүйлд дараах агуулга бүхий 37.16 дахь хэсэг нэмэх: "37.16.Энэ хуулийн 37.14.13 -т заасан мэдээлэл харилцан солилцох журмыг нийгмийн даатгалын асуудал хариуцсан төрийн захиргааны байгууллагын болон татварын асуудал хариуцсан төрийн захиргааны байгууллагын дарга нар хамтран батална."</w:t>
            </w:r>
          </w:p>
        </w:tc>
        <w:tc>
          <w:tcPr>
            <w:tcW w:w="5490" w:type="dxa"/>
            <w:vAlign w:val="center"/>
          </w:tcPr>
          <w:p w14:paraId="1FEF2FFE" w14:textId="71C2BCCA" w:rsidR="002260A1" w:rsidRPr="006B03FD" w:rsidRDefault="005F5C29" w:rsidP="00917B66">
            <w:pPr>
              <w:pStyle w:val="FootnoteText"/>
              <w:jc w:val="both"/>
              <w:rPr>
                <w:rFonts w:ascii="Arial" w:hAnsi="Arial" w:cs="Arial"/>
                <w:bCs/>
                <w:sz w:val="22"/>
                <w:szCs w:val="22"/>
                <w:lang w:val="mn-MN"/>
              </w:rPr>
            </w:pPr>
            <w:r w:rsidRPr="00765CA9">
              <w:rPr>
                <w:rFonts w:ascii="Arial" w:eastAsia="MS Mincho" w:hAnsi="Arial" w:cs="Arial"/>
                <w:sz w:val="22"/>
                <w:szCs w:val="22"/>
                <w:lang w:val="mn-MN"/>
              </w:rPr>
              <w:t>Саналыг тусгаж, хуулий</w:t>
            </w:r>
            <w:r w:rsidR="00917B66">
              <w:rPr>
                <w:rFonts w:ascii="Arial" w:eastAsia="MS Mincho" w:hAnsi="Arial" w:cs="Arial"/>
                <w:sz w:val="22"/>
                <w:szCs w:val="22"/>
                <w:lang w:val="mn-MN"/>
              </w:rPr>
              <w:t>н төслийн 37 дугаар зүйлд “37.16</w:t>
            </w:r>
            <w:r w:rsidRPr="00765CA9">
              <w:rPr>
                <w:rFonts w:ascii="Arial" w:eastAsia="MS Mincho" w:hAnsi="Arial" w:cs="Arial"/>
                <w:sz w:val="22"/>
                <w:szCs w:val="22"/>
                <w:lang w:val="mn-MN"/>
              </w:rPr>
              <w:t>.</w:t>
            </w:r>
            <w:proofErr w:type="spellStart"/>
            <w:r w:rsidRPr="00765CA9">
              <w:rPr>
                <w:rFonts w:ascii="Arial" w:hAnsi="Arial" w:cs="Arial"/>
                <w:bCs/>
                <w:sz w:val="22"/>
                <w:szCs w:val="22"/>
              </w:rPr>
              <w:t>Энэ</w:t>
            </w:r>
            <w:proofErr w:type="spellEnd"/>
            <w:r w:rsidRPr="00765CA9">
              <w:rPr>
                <w:rFonts w:ascii="Arial" w:hAnsi="Arial" w:cs="Arial"/>
                <w:bCs/>
                <w:sz w:val="22"/>
                <w:szCs w:val="22"/>
              </w:rPr>
              <w:t xml:space="preserve"> </w:t>
            </w:r>
            <w:proofErr w:type="spellStart"/>
            <w:r w:rsidRPr="00765CA9">
              <w:rPr>
                <w:rFonts w:ascii="Arial" w:hAnsi="Arial" w:cs="Arial"/>
                <w:bCs/>
                <w:sz w:val="22"/>
                <w:szCs w:val="22"/>
              </w:rPr>
              <w:t>хуулийн</w:t>
            </w:r>
            <w:proofErr w:type="spellEnd"/>
            <w:r w:rsidRPr="00765CA9">
              <w:rPr>
                <w:rFonts w:ascii="Arial" w:hAnsi="Arial" w:cs="Arial"/>
                <w:bCs/>
                <w:sz w:val="22"/>
                <w:szCs w:val="22"/>
              </w:rPr>
              <w:t xml:space="preserve"> 37.1</w:t>
            </w:r>
            <w:r w:rsidR="00917B66">
              <w:rPr>
                <w:rFonts w:ascii="Arial" w:hAnsi="Arial" w:cs="Arial"/>
                <w:bCs/>
                <w:sz w:val="22"/>
                <w:szCs w:val="22"/>
                <w:lang w:val="mn-MN"/>
              </w:rPr>
              <w:t>4</w:t>
            </w:r>
            <w:r w:rsidRPr="00765CA9">
              <w:rPr>
                <w:rFonts w:ascii="Arial" w:hAnsi="Arial" w:cs="Arial"/>
                <w:bCs/>
                <w:sz w:val="22"/>
                <w:szCs w:val="22"/>
              </w:rPr>
              <w:t xml:space="preserve">.13-т </w:t>
            </w:r>
            <w:proofErr w:type="spellStart"/>
            <w:r w:rsidRPr="00765CA9">
              <w:rPr>
                <w:rFonts w:ascii="Arial" w:hAnsi="Arial" w:cs="Arial"/>
                <w:bCs/>
                <w:sz w:val="22"/>
                <w:szCs w:val="22"/>
              </w:rPr>
              <w:t>заасан</w:t>
            </w:r>
            <w:proofErr w:type="spellEnd"/>
            <w:r w:rsidRPr="00765CA9">
              <w:rPr>
                <w:rFonts w:ascii="Arial" w:hAnsi="Arial" w:cs="Arial"/>
                <w:bCs/>
                <w:sz w:val="22"/>
                <w:szCs w:val="22"/>
              </w:rPr>
              <w:t xml:space="preserve"> </w:t>
            </w:r>
            <w:proofErr w:type="spellStart"/>
            <w:r w:rsidRPr="00765CA9">
              <w:rPr>
                <w:rFonts w:ascii="Arial" w:hAnsi="Arial" w:cs="Arial"/>
                <w:bCs/>
                <w:sz w:val="22"/>
                <w:szCs w:val="22"/>
              </w:rPr>
              <w:t>мэдээлэл</w:t>
            </w:r>
            <w:proofErr w:type="spellEnd"/>
            <w:r w:rsidRPr="00765CA9">
              <w:rPr>
                <w:rFonts w:ascii="Arial" w:hAnsi="Arial" w:cs="Arial"/>
                <w:bCs/>
                <w:sz w:val="22"/>
                <w:szCs w:val="22"/>
              </w:rPr>
              <w:t xml:space="preserve"> </w:t>
            </w:r>
            <w:proofErr w:type="spellStart"/>
            <w:r w:rsidRPr="00765CA9">
              <w:rPr>
                <w:rFonts w:ascii="Arial" w:hAnsi="Arial" w:cs="Arial"/>
                <w:bCs/>
                <w:sz w:val="22"/>
                <w:szCs w:val="22"/>
              </w:rPr>
              <w:t>харилцан</w:t>
            </w:r>
            <w:proofErr w:type="spellEnd"/>
            <w:r w:rsidRPr="00765CA9">
              <w:rPr>
                <w:rFonts w:ascii="Arial" w:hAnsi="Arial" w:cs="Arial"/>
                <w:bCs/>
                <w:sz w:val="22"/>
                <w:szCs w:val="22"/>
              </w:rPr>
              <w:t xml:space="preserve"> </w:t>
            </w:r>
            <w:proofErr w:type="spellStart"/>
            <w:r w:rsidRPr="00765CA9">
              <w:rPr>
                <w:rFonts w:ascii="Arial" w:hAnsi="Arial" w:cs="Arial"/>
                <w:bCs/>
                <w:sz w:val="22"/>
                <w:szCs w:val="22"/>
              </w:rPr>
              <w:t>солилцох</w:t>
            </w:r>
            <w:proofErr w:type="spellEnd"/>
            <w:r w:rsidRPr="00765CA9">
              <w:rPr>
                <w:rFonts w:ascii="Arial" w:hAnsi="Arial" w:cs="Arial"/>
                <w:bCs/>
                <w:sz w:val="22"/>
                <w:szCs w:val="22"/>
                <w:lang w:val="mn-MN"/>
              </w:rPr>
              <w:t xml:space="preserve"> журмыг </w:t>
            </w:r>
            <w:proofErr w:type="spellStart"/>
            <w:r w:rsidRPr="00765CA9">
              <w:rPr>
                <w:rFonts w:ascii="Arial" w:hAnsi="Arial" w:cs="Arial"/>
                <w:bCs/>
                <w:sz w:val="22"/>
                <w:szCs w:val="22"/>
              </w:rPr>
              <w:t>нийгмийн</w:t>
            </w:r>
            <w:proofErr w:type="spellEnd"/>
            <w:r w:rsidRPr="00765CA9">
              <w:rPr>
                <w:rFonts w:ascii="Arial" w:hAnsi="Arial" w:cs="Arial"/>
                <w:bCs/>
                <w:sz w:val="22"/>
                <w:szCs w:val="22"/>
              </w:rPr>
              <w:t xml:space="preserve"> </w:t>
            </w:r>
            <w:proofErr w:type="spellStart"/>
            <w:r w:rsidRPr="00765CA9">
              <w:rPr>
                <w:rFonts w:ascii="Arial" w:hAnsi="Arial" w:cs="Arial"/>
                <w:bCs/>
                <w:sz w:val="22"/>
                <w:szCs w:val="22"/>
              </w:rPr>
              <w:t>даатгалын</w:t>
            </w:r>
            <w:proofErr w:type="spellEnd"/>
            <w:r w:rsidRPr="00765CA9">
              <w:rPr>
                <w:rFonts w:ascii="Arial" w:hAnsi="Arial" w:cs="Arial"/>
                <w:bCs/>
                <w:sz w:val="22"/>
                <w:szCs w:val="22"/>
              </w:rPr>
              <w:t xml:space="preserve"> </w:t>
            </w:r>
            <w:proofErr w:type="spellStart"/>
            <w:r w:rsidRPr="00765CA9">
              <w:rPr>
                <w:rFonts w:ascii="Arial" w:hAnsi="Arial" w:cs="Arial"/>
                <w:bCs/>
                <w:sz w:val="22"/>
                <w:szCs w:val="22"/>
              </w:rPr>
              <w:t>болон</w:t>
            </w:r>
            <w:proofErr w:type="spellEnd"/>
            <w:r w:rsidRPr="00765CA9">
              <w:rPr>
                <w:rFonts w:ascii="Arial" w:hAnsi="Arial" w:cs="Arial"/>
                <w:bCs/>
                <w:sz w:val="22"/>
                <w:szCs w:val="22"/>
              </w:rPr>
              <w:t xml:space="preserve"> </w:t>
            </w:r>
            <w:proofErr w:type="spellStart"/>
            <w:r w:rsidRPr="00765CA9">
              <w:rPr>
                <w:rFonts w:ascii="Arial" w:hAnsi="Arial" w:cs="Arial"/>
                <w:bCs/>
                <w:sz w:val="22"/>
                <w:szCs w:val="22"/>
              </w:rPr>
              <w:t>татварын</w:t>
            </w:r>
            <w:proofErr w:type="spellEnd"/>
            <w:r w:rsidRPr="00765CA9">
              <w:rPr>
                <w:rFonts w:ascii="Arial" w:hAnsi="Arial" w:cs="Arial"/>
                <w:bCs/>
                <w:sz w:val="22"/>
                <w:szCs w:val="22"/>
              </w:rPr>
              <w:t xml:space="preserve"> </w:t>
            </w:r>
            <w:proofErr w:type="spellStart"/>
            <w:r w:rsidRPr="00765CA9">
              <w:rPr>
                <w:rFonts w:ascii="Arial" w:hAnsi="Arial" w:cs="Arial"/>
                <w:bCs/>
                <w:sz w:val="22"/>
                <w:szCs w:val="22"/>
              </w:rPr>
              <w:t>асуудал</w:t>
            </w:r>
            <w:proofErr w:type="spellEnd"/>
            <w:r w:rsidRPr="00765CA9">
              <w:rPr>
                <w:rFonts w:ascii="Arial" w:hAnsi="Arial" w:cs="Arial"/>
                <w:bCs/>
                <w:sz w:val="22"/>
                <w:szCs w:val="22"/>
              </w:rPr>
              <w:t xml:space="preserve"> </w:t>
            </w:r>
            <w:r w:rsidRPr="00765CA9">
              <w:rPr>
                <w:rFonts w:ascii="Arial" w:hAnsi="Arial" w:cs="Arial"/>
                <w:bCs/>
                <w:sz w:val="22"/>
                <w:szCs w:val="22"/>
                <w:lang w:val="mn-MN"/>
              </w:rPr>
              <w:t>эрхэлсэн</w:t>
            </w:r>
            <w:r w:rsidRPr="00765CA9">
              <w:rPr>
                <w:rFonts w:ascii="Arial" w:hAnsi="Arial" w:cs="Arial"/>
                <w:bCs/>
                <w:sz w:val="22"/>
                <w:szCs w:val="22"/>
              </w:rPr>
              <w:t xml:space="preserve"> </w:t>
            </w:r>
            <w:proofErr w:type="spellStart"/>
            <w:r w:rsidRPr="00765CA9">
              <w:rPr>
                <w:rFonts w:ascii="Arial" w:hAnsi="Arial" w:cs="Arial"/>
                <w:bCs/>
                <w:sz w:val="22"/>
                <w:szCs w:val="22"/>
              </w:rPr>
              <w:t>төрийн</w:t>
            </w:r>
            <w:proofErr w:type="spellEnd"/>
            <w:r w:rsidRPr="00765CA9">
              <w:rPr>
                <w:rFonts w:ascii="Arial" w:hAnsi="Arial" w:cs="Arial"/>
                <w:bCs/>
                <w:sz w:val="22"/>
                <w:szCs w:val="22"/>
              </w:rPr>
              <w:t xml:space="preserve"> </w:t>
            </w:r>
            <w:proofErr w:type="spellStart"/>
            <w:r w:rsidRPr="00765CA9">
              <w:rPr>
                <w:rFonts w:ascii="Arial" w:hAnsi="Arial" w:cs="Arial"/>
                <w:bCs/>
                <w:sz w:val="22"/>
                <w:szCs w:val="22"/>
              </w:rPr>
              <w:t>захиргааны</w:t>
            </w:r>
            <w:proofErr w:type="spellEnd"/>
            <w:r w:rsidRPr="00765CA9">
              <w:rPr>
                <w:rFonts w:ascii="Arial" w:hAnsi="Arial" w:cs="Arial"/>
                <w:bCs/>
                <w:sz w:val="22"/>
                <w:szCs w:val="22"/>
              </w:rPr>
              <w:t xml:space="preserve"> </w:t>
            </w:r>
            <w:proofErr w:type="spellStart"/>
            <w:r w:rsidRPr="00765CA9">
              <w:rPr>
                <w:rFonts w:ascii="Arial" w:hAnsi="Arial" w:cs="Arial"/>
                <w:bCs/>
                <w:sz w:val="22"/>
                <w:szCs w:val="22"/>
              </w:rPr>
              <w:t>байгууллагын</w:t>
            </w:r>
            <w:proofErr w:type="spellEnd"/>
            <w:r w:rsidRPr="00765CA9">
              <w:rPr>
                <w:rFonts w:ascii="Arial" w:hAnsi="Arial" w:cs="Arial"/>
                <w:bCs/>
                <w:sz w:val="22"/>
                <w:szCs w:val="22"/>
              </w:rPr>
              <w:t xml:space="preserve"> </w:t>
            </w:r>
            <w:proofErr w:type="spellStart"/>
            <w:r w:rsidRPr="00765CA9">
              <w:rPr>
                <w:rFonts w:ascii="Arial" w:hAnsi="Arial" w:cs="Arial"/>
                <w:bCs/>
                <w:sz w:val="22"/>
                <w:szCs w:val="22"/>
              </w:rPr>
              <w:t>дарга</w:t>
            </w:r>
            <w:proofErr w:type="spellEnd"/>
            <w:r w:rsidRPr="00765CA9">
              <w:rPr>
                <w:rFonts w:ascii="Arial" w:hAnsi="Arial" w:cs="Arial"/>
                <w:bCs/>
                <w:sz w:val="22"/>
                <w:szCs w:val="22"/>
              </w:rPr>
              <w:t xml:space="preserve">  </w:t>
            </w:r>
            <w:proofErr w:type="spellStart"/>
            <w:r w:rsidRPr="00765CA9">
              <w:rPr>
                <w:rFonts w:ascii="Arial" w:hAnsi="Arial" w:cs="Arial"/>
                <w:bCs/>
                <w:sz w:val="22"/>
                <w:szCs w:val="22"/>
              </w:rPr>
              <w:t>хамтран</w:t>
            </w:r>
            <w:proofErr w:type="spellEnd"/>
            <w:r w:rsidRPr="00765CA9">
              <w:rPr>
                <w:rFonts w:ascii="Arial" w:hAnsi="Arial" w:cs="Arial"/>
                <w:bCs/>
                <w:sz w:val="22"/>
                <w:szCs w:val="22"/>
              </w:rPr>
              <w:t xml:space="preserve"> </w:t>
            </w:r>
            <w:proofErr w:type="spellStart"/>
            <w:r w:rsidRPr="00765CA9">
              <w:rPr>
                <w:rFonts w:ascii="Arial" w:hAnsi="Arial" w:cs="Arial"/>
                <w:bCs/>
                <w:sz w:val="22"/>
                <w:szCs w:val="22"/>
              </w:rPr>
              <w:t>батална</w:t>
            </w:r>
            <w:proofErr w:type="spellEnd"/>
            <w:r w:rsidRPr="00765CA9">
              <w:rPr>
                <w:rFonts w:ascii="Arial" w:hAnsi="Arial" w:cs="Arial"/>
                <w:bCs/>
                <w:sz w:val="22"/>
                <w:szCs w:val="22"/>
              </w:rPr>
              <w:t>.</w:t>
            </w:r>
            <w:r w:rsidRPr="00765CA9">
              <w:rPr>
                <w:rFonts w:ascii="Arial" w:hAnsi="Arial" w:cs="Arial"/>
                <w:bCs/>
                <w:sz w:val="22"/>
                <w:szCs w:val="22"/>
                <w:lang w:val="mn-MN"/>
              </w:rPr>
              <w:t>”</w:t>
            </w:r>
            <w:r>
              <w:rPr>
                <w:rFonts w:ascii="Arial" w:hAnsi="Arial" w:cs="Arial"/>
                <w:bCs/>
                <w:sz w:val="22"/>
                <w:szCs w:val="22"/>
                <w:lang w:val="mn-MN"/>
              </w:rPr>
              <w:t xml:space="preserve"> гэж нэмж тусгав.</w:t>
            </w:r>
          </w:p>
        </w:tc>
      </w:tr>
      <w:tr w:rsidR="002260A1" w:rsidRPr="007247FC" w14:paraId="79BAA8B0" w14:textId="77777777" w:rsidTr="006B03FD">
        <w:trPr>
          <w:trHeight w:val="800"/>
        </w:trPr>
        <w:tc>
          <w:tcPr>
            <w:tcW w:w="643" w:type="dxa"/>
            <w:vAlign w:val="center"/>
          </w:tcPr>
          <w:p w14:paraId="5312B227" w14:textId="03609A00" w:rsidR="002260A1" w:rsidRPr="007247FC" w:rsidRDefault="002260A1" w:rsidP="002260A1">
            <w:pPr>
              <w:jc w:val="center"/>
              <w:rPr>
                <w:rFonts w:ascii="Arial" w:hAnsi="Arial" w:cs="Arial"/>
                <w:bCs/>
                <w:sz w:val="22"/>
                <w:szCs w:val="22"/>
                <w:lang w:val="en-US"/>
              </w:rPr>
            </w:pPr>
            <w:r w:rsidRPr="007247FC">
              <w:rPr>
                <w:rFonts w:ascii="Arial" w:hAnsi="Arial" w:cs="Arial"/>
                <w:bCs/>
                <w:sz w:val="22"/>
                <w:szCs w:val="22"/>
                <w:lang w:val="en-US"/>
              </w:rPr>
              <w:t>2</w:t>
            </w:r>
          </w:p>
        </w:tc>
        <w:tc>
          <w:tcPr>
            <w:tcW w:w="1872" w:type="dxa"/>
            <w:vAlign w:val="center"/>
          </w:tcPr>
          <w:p w14:paraId="0B79BA5E" w14:textId="0D47D866" w:rsidR="002260A1" w:rsidRPr="007247FC" w:rsidRDefault="002260A1" w:rsidP="002260A1">
            <w:pPr>
              <w:jc w:val="center"/>
              <w:rPr>
                <w:rFonts w:ascii="Arial" w:hAnsi="Arial" w:cs="Arial"/>
                <w:bCs/>
                <w:sz w:val="22"/>
                <w:szCs w:val="22"/>
              </w:rPr>
            </w:pPr>
            <w:r w:rsidRPr="007247FC">
              <w:rPr>
                <w:rFonts w:ascii="Arial" w:hAnsi="Arial" w:cs="Arial"/>
                <w:bCs/>
                <w:sz w:val="22"/>
                <w:szCs w:val="22"/>
              </w:rPr>
              <w:t>Эдийн засаг, хөгжлийн яам</w:t>
            </w:r>
          </w:p>
          <w:p w14:paraId="24237B9B" w14:textId="645A652A" w:rsidR="002260A1" w:rsidRPr="007247FC" w:rsidRDefault="002260A1" w:rsidP="002260A1">
            <w:pPr>
              <w:jc w:val="center"/>
              <w:rPr>
                <w:rFonts w:ascii="Arial" w:hAnsi="Arial" w:cs="Arial"/>
                <w:bCs/>
                <w:sz w:val="22"/>
                <w:szCs w:val="22"/>
              </w:rPr>
            </w:pPr>
            <w:r w:rsidRPr="007247FC">
              <w:rPr>
                <w:rFonts w:ascii="Arial" w:hAnsi="Arial" w:cs="Arial"/>
                <w:sz w:val="22"/>
                <w:szCs w:val="22"/>
              </w:rPr>
              <w:t>(2022.</w:t>
            </w:r>
            <w:r w:rsidRPr="007247FC">
              <w:rPr>
                <w:rFonts w:ascii="Arial" w:hAnsi="Arial" w:cs="Arial"/>
                <w:sz w:val="22"/>
                <w:szCs w:val="22"/>
                <w:lang w:val="en-US"/>
              </w:rPr>
              <w:t>12</w:t>
            </w:r>
            <w:r w:rsidRPr="007247FC">
              <w:rPr>
                <w:rFonts w:ascii="Arial" w:hAnsi="Arial" w:cs="Arial"/>
                <w:sz w:val="22"/>
                <w:szCs w:val="22"/>
              </w:rPr>
              <w:t>.</w:t>
            </w:r>
            <w:r w:rsidRPr="007247FC">
              <w:rPr>
                <w:rFonts w:ascii="Arial" w:hAnsi="Arial" w:cs="Arial"/>
                <w:sz w:val="22"/>
                <w:szCs w:val="22"/>
                <w:lang w:val="en-US"/>
              </w:rPr>
              <w:t xml:space="preserve">26 </w:t>
            </w:r>
            <w:r w:rsidRPr="007247FC">
              <w:rPr>
                <w:rFonts w:ascii="Arial" w:hAnsi="Arial" w:cs="Arial"/>
                <w:sz w:val="22"/>
                <w:szCs w:val="22"/>
              </w:rPr>
              <w:t>№</w:t>
            </w:r>
            <w:r w:rsidRPr="007247FC">
              <w:rPr>
                <w:rFonts w:ascii="Arial" w:hAnsi="Arial" w:cs="Arial"/>
                <w:sz w:val="22"/>
                <w:szCs w:val="22"/>
                <w:lang w:val="en-US"/>
              </w:rPr>
              <w:t>01/1657</w:t>
            </w:r>
            <w:r w:rsidRPr="007247FC">
              <w:rPr>
                <w:rFonts w:ascii="Arial" w:hAnsi="Arial" w:cs="Arial"/>
                <w:sz w:val="22"/>
                <w:szCs w:val="22"/>
              </w:rPr>
              <w:t>)</w:t>
            </w:r>
          </w:p>
          <w:p w14:paraId="38607E73" w14:textId="77777777" w:rsidR="002260A1" w:rsidRPr="007247FC" w:rsidRDefault="002260A1" w:rsidP="002260A1">
            <w:pPr>
              <w:jc w:val="center"/>
              <w:rPr>
                <w:rFonts w:ascii="Arial" w:hAnsi="Arial" w:cs="Arial"/>
                <w:bCs/>
                <w:sz w:val="22"/>
                <w:szCs w:val="22"/>
              </w:rPr>
            </w:pPr>
          </w:p>
          <w:p w14:paraId="0F496839" w14:textId="232C5864" w:rsidR="002260A1" w:rsidRPr="007247FC" w:rsidRDefault="002260A1" w:rsidP="002260A1">
            <w:pPr>
              <w:jc w:val="center"/>
              <w:rPr>
                <w:rFonts w:ascii="Arial" w:hAnsi="Arial" w:cs="Arial"/>
                <w:bCs/>
                <w:sz w:val="22"/>
                <w:szCs w:val="22"/>
              </w:rPr>
            </w:pPr>
          </w:p>
        </w:tc>
        <w:tc>
          <w:tcPr>
            <w:tcW w:w="5490" w:type="dxa"/>
            <w:vAlign w:val="center"/>
          </w:tcPr>
          <w:p w14:paraId="0E301552" w14:textId="241E1D5E" w:rsidR="002260A1" w:rsidRPr="007247FC" w:rsidRDefault="002260A1" w:rsidP="002260A1">
            <w:pPr>
              <w:jc w:val="both"/>
              <w:rPr>
                <w:rFonts w:ascii="Arial" w:hAnsi="Arial" w:cs="Arial"/>
                <w:sz w:val="22"/>
                <w:szCs w:val="22"/>
              </w:rPr>
            </w:pPr>
            <w:r w:rsidRPr="007247FC">
              <w:rPr>
                <w:rFonts w:ascii="Arial" w:hAnsi="Arial" w:cs="Arial"/>
                <w:sz w:val="22"/>
                <w:szCs w:val="22"/>
              </w:rPr>
              <w:t>Нийгмийн даатгалын тогтолцоо бие даасан, зөв институтийн бүтэц, зохицуулалтад шилжиж, сангийн удирдлага, хөрөнгийг удирдахад баримтлах зарчим, хөрөнгө оруулалтын стратеги, тайлагналт, ил тод байдал болон хяналтын тогтолцоо бүрэн төлөвшиж, санхүүгийн сахилга бат бүрдэх хүртэл сангийн чөлөөт үлдэгдлийг зөвхөн төв төрийн санд байршуулж, Засгийн газрын үнэт цаасны хүүгээр өгөөж тооцдог байх, хөрөнгийн чадварлаг удирдлагын үйл ажиллагаа тогтворжсоны дараа хувийн тэтгэврийн сангийн үйл ажиллагааг эхлүүлэх нь зүйтэй гэж үзэж байна.</w:t>
            </w:r>
          </w:p>
        </w:tc>
        <w:tc>
          <w:tcPr>
            <w:tcW w:w="5490" w:type="dxa"/>
            <w:vAlign w:val="center"/>
          </w:tcPr>
          <w:p w14:paraId="0EB77286" w14:textId="0169D214" w:rsidR="006B03FD" w:rsidRPr="00A609DE" w:rsidRDefault="006B03FD" w:rsidP="006B03FD">
            <w:pPr>
              <w:autoSpaceDE w:val="0"/>
              <w:autoSpaceDN w:val="0"/>
              <w:jc w:val="both"/>
              <w:rPr>
                <w:rFonts w:ascii="Arial" w:eastAsia="Times New Roman" w:hAnsi="Arial" w:cs="Arial"/>
                <w:sz w:val="22"/>
              </w:rPr>
            </w:pPr>
            <w:r>
              <w:rPr>
                <w:rFonts w:ascii="Arial" w:hAnsi="Arial" w:cs="Arial"/>
                <w:bCs/>
                <w:sz w:val="22"/>
                <w:szCs w:val="22"/>
              </w:rPr>
              <w:t>Саналыг тусгаж, хуулийн төслийн 13 дугаар зүйлд “1</w:t>
            </w:r>
            <w:r w:rsidRPr="00A44856">
              <w:rPr>
                <w:rFonts w:ascii="Arial" w:eastAsia="Times New Roman" w:hAnsi="Arial" w:cs="Arial"/>
                <w:sz w:val="22"/>
              </w:rPr>
              <w:t>3.3.</w:t>
            </w:r>
            <w:r w:rsidRPr="00A44856">
              <w:rPr>
                <w:rFonts w:ascii="Arial" w:hAnsi="Arial" w:cs="Arial"/>
                <w:sz w:val="22"/>
              </w:rPr>
              <w:t>Энэ зүйлийн 13.1.3-т заасан мөнгөн хадгаламжид тооцох хүүгийн хэмжээ нь Засгийн газрын үнэт цаасны хүү</w:t>
            </w:r>
            <w:r>
              <w:rPr>
                <w:rFonts w:ascii="Arial" w:hAnsi="Arial" w:cs="Arial"/>
                <w:sz w:val="22"/>
              </w:rPr>
              <w:t xml:space="preserve">гийн хэмжээтэй тэнцүү байна.” гэж нэмж тусгав.  </w:t>
            </w:r>
          </w:p>
          <w:p w14:paraId="65AEB09F" w14:textId="732EFEE7" w:rsidR="002260A1" w:rsidRPr="007247FC" w:rsidRDefault="002260A1" w:rsidP="002260A1">
            <w:pPr>
              <w:jc w:val="both"/>
              <w:rPr>
                <w:rFonts w:ascii="Arial" w:eastAsia="Times New Roman" w:hAnsi="Arial" w:cs="Arial"/>
                <w:sz w:val="22"/>
                <w:szCs w:val="22"/>
              </w:rPr>
            </w:pPr>
            <w:r w:rsidRPr="007247FC">
              <w:rPr>
                <w:rFonts w:ascii="Arial" w:eastAsia="Times New Roman" w:hAnsi="Arial" w:cs="Arial"/>
                <w:sz w:val="22"/>
                <w:szCs w:val="22"/>
              </w:rPr>
              <w:t xml:space="preserve">УИХ-д </w:t>
            </w:r>
            <w:r w:rsidR="006B03FD" w:rsidRPr="007247FC">
              <w:rPr>
                <w:rFonts w:ascii="Arial" w:eastAsia="Times New Roman" w:hAnsi="Arial" w:cs="Arial"/>
                <w:sz w:val="22"/>
                <w:szCs w:val="22"/>
              </w:rPr>
              <w:t xml:space="preserve">2021 онд </w:t>
            </w:r>
            <w:r w:rsidRPr="007247FC">
              <w:rPr>
                <w:rFonts w:ascii="Arial" w:eastAsia="Times New Roman" w:hAnsi="Arial" w:cs="Arial"/>
                <w:sz w:val="22"/>
                <w:szCs w:val="22"/>
              </w:rPr>
              <w:t xml:space="preserve">өргөн мэдүүлсэн Хувийн нэмэлт тэтгэврийн тухай хуулийн төсөлд иргэн хувийн нэмэлт тэтгэврийн хөтөлбөрт сайн дурын үндсэн дээр хамрагдах бөгөөд уг хувийн тэтгэврийн сангийн үйл ажиллагааг хөрөнгө оруулалтын менежментийн компани удирдахаар тусгасан тул нийгмийн даатгалын сангийн үйл ажиллагаанд хамаарахгүй болно. </w:t>
            </w:r>
          </w:p>
        </w:tc>
      </w:tr>
      <w:tr w:rsidR="002260A1" w:rsidRPr="007247FC" w14:paraId="1739488D" w14:textId="77777777" w:rsidTr="00F42933">
        <w:tc>
          <w:tcPr>
            <w:tcW w:w="643" w:type="dxa"/>
            <w:vMerge w:val="restart"/>
            <w:vAlign w:val="center"/>
          </w:tcPr>
          <w:p w14:paraId="3F9E41B2" w14:textId="2D18CAAE" w:rsidR="002260A1" w:rsidRPr="007247FC" w:rsidRDefault="002260A1" w:rsidP="002260A1">
            <w:pPr>
              <w:jc w:val="center"/>
              <w:rPr>
                <w:rFonts w:ascii="Arial" w:hAnsi="Arial" w:cs="Arial"/>
                <w:sz w:val="22"/>
                <w:szCs w:val="22"/>
                <w:lang w:val="en-US"/>
              </w:rPr>
            </w:pPr>
            <w:r w:rsidRPr="007247FC">
              <w:rPr>
                <w:rFonts w:ascii="Arial" w:hAnsi="Arial" w:cs="Arial"/>
                <w:sz w:val="22"/>
                <w:szCs w:val="22"/>
                <w:lang w:val="en-US"/>
              </w:rPr>
              <w:t>3</w:t>
            </w:r>
          </w:p>
        </w:tc>
        <w:tc>
          <w:tcPr>
            <w:tcW w:w="1872" w:type="dxa"/>
            <w:vMerge w:val="restart"/>
            <w:vAlign w:val="center"/>
          </w:tcPr>
          <w:p w14:paraId="36BF554A" w14:textId="465BB88E" w:rsidR="002260A1" w:rsidRPr="007247FC" w:rsidRDefault="002260A1" w:rsidP="002260A1">
            <w:pPr>
              <w:jc w:val="center"/>
              <w:rPr>
                <w:rFonts w:ascii="Arial" w:hAnsi="Arial" w:cs="Arial"/>
                <w:sz w:val="22"/>
                <w:szCs w:val="22"/>
              </w:rPr>
            </w:pPr>
            <w:r w:rsidRPr="007247FC">
              <w:rPr>
                <w:rFonts w:ascii="Arial" w:hAnsi="Arial" w:cs="Arial"/>
                <w:sz w:val="22"/>
                <w:szCs w:val="22"/>
              </w:rPr>
              <w:t xml:space="preserve">Эрүүл мэндийн </w:t>
            </w:r>
            <w:r w:rsidRPr="007247FC">
              <w:rPr>
                <w:rFonts w:ascii="Arial" w:hAnsi="Arial" w:cs="Arial"/>
                <w:sz w:val="22"/>
                <w:szCs w:val="22"/>
              </w:rPr>
              <w:lastRenderedPageBreak/>
              <w:t>яам</w:t>
            </w:r>
          </w:p>
          <w:p w14:paraId="354B1EDC" w14:textId="5CC1C4C4" w:rsidR="002260A1" w:rsidRPr="007247FC" w:rsidRDefault="002260A1" w:rsidP="002260A1">
            <w:pPr>
              <w:jc w:val="center"/>
              <w:rPr>
                <w:rFonts w:ascii="Arial" w:hAnsi="Arial" w:cs="Arial"/>
                <w:sz w:val="22"/>
                <w:szCs w:val="22"/>
              </w:rPr>
            </w:pPr>
            <w:r w:rsidRPr="007247FC">
              <w:rPr>
                <w:rFonts w:ascii="Arial" w:hAnsi="Arial" w:cs="Arial"/>
                <w:sz w:val="22"/>
                <w:szCs w:val="22"/>
              </w:rPr>
              <w:t>(2022.12.26</w:t>
            </w:r>
            <w:r w:rsidRPr="007247FC">
              <w:rPr>
                <w:rFonts w:ascii="Arial" w:hAnsi="Arial" w:cs="Arial"/>
                <w:sz w:val="22"/>
                <w:szCs w:val="22"/>
                <w:lang w:val="en-US"/>
              </w:rPr>
              <w:t xml:space="preserve"> </w:t>
            </w:r>
            <w:r w:rsidRPr="007247FC">
              <w:rPr>
                <w:rFonts w:ascii="Arial" w:hAnsi="Arial" w:cs="Arial"/>
                <w:sz w:val="22"/>
                <w:szCs w:val="22"/>
              </w:rPr>
              <w:t>№</w:t>
            </w:r>
            <w:r w:rsidRPr="007247FC">
              <w:rPr>
                <w:rFonts w:ascii="Arial" w:hAnsi="Arial" w:cs="Arial"/>
                <w:sz w:val="22"/>
                <w:szCs w:val="22"/>
                <w:lang w:val="en-US"/>
              </w:rPr>
              <w:t>1</w:t>
            </w:r>
            <w:r w:rsidRPr="007247FC">
              <w:rPr>
                <w:rFonts w:ascii="Arial" w:hAnsi="Arial" w:cs="Arial"/>
                <w:sz w:val="22"/>
                <w:szCs w:val="22"/>
              </w:rPr>
              <w:t>а</w:t>
            </w:r>
            <w:r w:rsidRPr="007247FC">
              <w:rPr>
                <w:rFonts w:ascii="Arial" w:hAnsi="Arial" w:cs="Arial"/>
                <w:sz w:val="22"/>
                <w:szCs w:val="22"/>
                <w:lang w:val="en-US"/>
              </w:rPr>
              <w:t>/5</w:t>
            </w:r>
            <w:r w:rsidRPr="007247FC">
              <w:rPr>
                <w:rFonts w:ascii="Arial" w:hAnsi="Arial" w:cs="Arial"/>
                <w:sz w:val="22"/>
                <w:szCs w:val="22"/>
              </w:rPr>
              <w:t>8</w:t>
            </w:r>
            <w:r w:rsidRPr="007247FC">
              <w:rPr>
                <w:rFonts w:ascii="Arial" w:hAnsi="Arial" w:cs="Arial"/>
                <w:sz w:val="22"/>
                <w:szCs w:val="22"/>
                <w:lang w:val="en-US"/>
              </w:rPr>
              <w:t>3</w:t>
            </w:r>
            <w:r w:rsidRPr="007247FC">
              <w:rPr>
                <w:rFonts w:ascii="Arial" w:hAnsi="Arial" w:cs="Arial"/>
                <w:sz w:val="22"/>
                <w:szCs w:val="22"/>
              </w:rPr>
              <w:t>0)</w:t>
            </w:r>
          </w:p>
        </w:tc>
        <w:tc>
          <w:tcPr>
            <w:tcW w:w="5490" w:type="dxa"/>
            <w:vAlign w:val="center"/>
          </w:tcPr>
          <w:p w14:paraId="1DEBA58E" w14:textId="19BB7724" w:rsidR="002260A1" w:rsidRPr="007247FC" w:rsidRDefault="002260A1" w:rsidP="002260A1">
            <w:pPr>
              <w:jc w:val="both"/>
              <w:rPr>
                <w:rFonts w:ascii="Arial" w:hAnsi="Arial" w:cs="Arial"/>
                <w:sz w:val="22"/>
                <w:szCs w:val="22"/>
              </w:rPr>
            </w:pPr>
            <w:r w:rsidRPr="007247FC">
              <w:rPr>
                <w:rFonts w:ascii="Arial" w:hAnsi="Arial" w:cs="Arial"/>
                <w:sz w:val="22"/>
                <w:szCs w:val="22"/>
              </w:rPr>
              <w:lastRenderedPageBreak/>
              <w:t xml:space="preserve">1.Эрүүл мэндийн даатгалын сангийн 2018, 2019, </w:t>
            </w:r>
            <w:r w:rsidRPr="007247FC">
              <w:rPr>
                <w:rFonts w:ascii="Arial" w:hAnsi="Arial" w:cs="Arial"/>
                <w:sz w:val="22"/>
                <w:szCs w:val="22"/>
              </w:rPr>
              <w:lastRenderedPageBreak/>
              <w:t>2020, 2021, 2022 оны төсвийн тухай хуулийн 2 дугаар зүйлийн 2.1 дэх хэсгийн “Нийгмийн даатгалын тухай” гэснийг “Нийгмийн даатгалын ерөнхий” гэж өөрчлөх шаардлагагүй. Учир нь эдгээр хуулийн зорилт нь Нийгмийн даатгалын санд тухайн оны төсвийн жилд төвлөрүүлэх орлого, зарцуулах төсвийн хэмжээ, төсөв зарцуулах эрх олгохтой холбогдсон харилцааг зохицуулдаг бөгөөд тухай онд Нийгмийн даатгалын тухай хууль үйлчилж байсан тул өөрчлөхгүй байх;</w:t>
            </w:r>
          </w:p>
        </w:tc>
        <w:tc>
          <w:tcPr>
            <w:tcW w:w="5490" w:type="dxa"/>
            <w:vMerge w:val="restart"/>
            <w:vAlign w:val="center"/>
          </w:tcPr>
          <w:p w14:paraId="743B04EF" w14:textId="2284CB86" w:rsidR="002260A1" w:rsidRPr="007247FC" w:rsidRDefault="002260A1" w:rsidP="00765CA9">
            <w:pPr>
              <w:autoSpaceDE w:val="0"/>
              <w:autoSpaceDN w:val="0"/>
              <w:jc w:val="both"/>
              <w:rPr>
                <w:rFonts w:ascii="Arial" w:hAnsi="Arial" w:cs="Arial"/>
                <w:sz w:val="22"/>
                <w:szCs w:val="22"/>
              </w:rPr>
            </w:pPr>
            <w:r w:rsidRPr="007247FC">
              <w:rPr>
                <w:rFonts w:ascii="Arial" w:hAnsi="Arial" w:cs="Arial"/>
                <w:sz w:val="22"/>
                <w:szCs w:val="22"/>
              </w:rPr>
              <w:lastRenderedPageBreak/>
              <w:t>Саналыг тусгав.</w:t>
            </w:r>
          </w:p>
        </w:tc>
      </w:tr>
      <w:tr w:rsidR="002260A1" w:rsidRPr="007247FC" w14:paraId="75DBF7D3" w14:textId="77777777" w:rsidTr="00F42933">
        <w:tc>
          <w:tcPr>
            <w:tcW w:w="643" w:type="dxa"/>
            <w:vMerge/>
            <w:vAlign w:val="center"/>
          </w:tcPr>
          <w:p w14:paraId="0BA1094A" w14:textId="77777777" w:rsidR="002260A1" w:rsidRPr="007247FC" w:rsidRDefault="002260A1" w:rsidP="002260A1">
            <w:pPr>
              <w:jc w:val="center"/>
              <w:rPr>
                <w:rFonts w:ascii="Arial" w:hAnsi="Arial" w:cs="Arial"/>
                <w:sz w:val="22"/>
                <w:szCs w:val="22"/>
              </w:rPr>
            </w:pPr>
          </w:p>
        </w:tc>
        <w:tc>
          <w:tcPr>
            <w:tcW w:w="1872" w:type="dxa"/>
            <w:vMerge/>
            <w:vAlign w:val="center"/>
          </w:tcPr>
          <w:p w14:paraId="3BEE1AF9" w14:textId="77777777" w:rsidR="002260A1" w:rsidRPr="007247FC" w:rsidRDefault="002260A1" w:rsidP="002260A1">
            <w:pPr>
              <w:jc w:val="both"/>
              <w:rPr>
                <w:rFonts w:ascii="Arial" w:hAnsi="Arial" w:cs="Arial"/>
                <w:sz w:val="22"/>
                <w:szCs w:val="22"/>
              </w:rPr>
            </w:pPr>
          </w:p>
        </w:tc>
        <w:tc>
          <w:tcPr>
            <w:tcW w:w="5490" w:type="dxa"/>
            <w:vAlign w:val="center"/>
          </w:tcPr>
          <w:p w14:paraId="388D9A0D" w14:textId="326A4AF3" w:rsidR="002260A1" w:rsidRPr="007247FC" w:rsidRDefault="002260A1" w:rsidP="002260A1">
            <w:pPr>
              <w:jc w:val="both"/>
              <w:rPr>
                <w:rFonts w:ascii="Arial" w:hAnsi="Arial" w:cs="Arial"/>
                <w:sz w:val="22"/>
                <w:szCs w:val="22"/>
              </w:rPr>
            </w:pPr>
            <w:r w:rsidRPr="007247FC">
              <w:rPr>
                <w:rFonts w:ascii="Arial" w:hAnsi="Arial" w:cs="Arial"/>
                <w:sz w:val="22"/>
                <w:szCs w:val="22"/>
              </w:rPr>
              <w:t xml:space="preserve">2.Эрүүл мэндийн даатгалын сангийн 2023 оны төсвийн тухай хуульд өөрчлөлт оруулах тухай гэсэн боловч, 1 дүгээр зүйл. Эрүүл мэндийн даатгалын сангийн 2018 оны төсвийн тухай хууль гэж оруулсан байгааг засах, нягтлах; </w:t>
            </w:r>
          </w:p>
        </w:tc>
        <w:tc>
          <w:tcPr>
            <w:tcW w:w="5490" w:type="dxa"/>
            <w:vMerge/>
            <w:vAlign w:val="center"/>
          </w:tcPr>
          <w:p w14:paraId="2B5BA52A" w14:textId="3DA31EFB" w:rsidR="002260A1" w:rsidRPr="007247FC" w:rsidRDefault="002260A1" w:rsidP="00765CA9">
            <w:pPr>
              <w:jc w:val="both"/>
              <w:rPr>
                <w:rFonts w:ascii="Arial" w:hAnsi="Arial" w:cs="Arial"/>
                <w:sz w:val="22"/>
                <w:szCs w:val="22"/>
              </w:rPr>
            </w:pPr>
          </w:p>
        </w:tc>
      </w:tr>
      <w:tr w:rsidR="002260A1" w:rsidRPr="007247FC" w14:paraId="683EB851" w14:textId="77777777" w:rsidTr="00F42933">
        <w:tc>
          <w:tcPr>
            <w:tcW w:w="643" w:type="dxa"/>
            <w:vMerge/>
            <w:vAlign w:val="center"/>
          </w:tcPr>
          <w:p w14:paraId="3A612335" w14:textId="77777777" w:rsidR="002260A1" w:rsidRPr="007247FC" w:rsidRDefault="002260A1" w:rsidP="002260A1">
            <w:pPr>
              <w:jc w:val="center"/>
              <w:rPr>
                <w:rFonts w:ascii="Arial" w:hAnsi="Arial" w:cs="Arial"/>
                <w:sz w:val="22"/>
                <w:szCs w:val="22"/>
              </w:rPr>
            </w:pPr>
          </w:p>
        </w:tc>
        <w:tc>
          <w:tcPr>
            <w:tcW w:w="1872" w:type="dxa"/>
            <w:vMerge/>
            <w:vAlign w:val="center"/>
          </w:tcPr>
          <w:p w14:paraId="3B9088D6" w14:textId="77777777" w:rsidR="002260A1" w:rsidRPr="007247FC" w:rsidRDefault="002260A1" w:rsidP="002260A1">
            <w:pPr>
              <w:jc w:val="both"/>
              <w:rPr>
                <w:rFonts w:ascii="Arial" w:hAnsi="Arial" w:cs="Arial"/>
                <w:sz w:val="22"/>
                <w:szCs w:val="22"/>
              </w:rPr>
            </w:pPr>
          </w:p>
        </w:tc>
        <w:tc>
          <w:tcPr>
            <w:tcW w:w="5490" w:type="dxa"/>
            <w:vAlign w:val="center"/>
          </w:tcPr>
          <w:p w14:paraId="32DE58C1" w14:textId="66DE1A2D" w:rsidR="002260A1" w:rsidRPr="007247FC" w:rsidRDefault="002260A1" w:rsidP="002260A1">
            <w:pPr>
              <w:jc w:val="both"/>
              <w:rPr>
                <w:rFonts w:ascii="Arial" w:hAnsi="Arial" w:cs="Arial"/>
                <w:sz w:val="22"/>
                <w:szCs w:val="22"/>
              </w:rPr>
            </w:pPr>
            <w:r w:rsidRPr="007247FC">
              <w:rPr>
                <w:rFonts w:ascii="Arial" w:hAnsi="Arial" w:cs="Arial"/>
                <w:sz w:val="22"/>
                <w:szCs w:val="22"/>
              </w:rPr>
              <w:t xml:space="preserve">3.Нийгмийн даатгалын ерөнхий хуулийн шинэчилсэн найруулгын төсөлтэй хамт өргөн мэдүүлэх хуулийн төсөлд, тухайлбал: Эрүүл мэндийн даатгалын тухай хуульд өөрчлөлт оруулах тухай хуулийн төслийн 1 дүгээр зүйл. ...19 дүгээр зүйлийн 19.3 дах хэсгийн “19.1.1, 19.1.2,” гэснийг 6.1.1, 6.1.11-т заасан эрүүл мэндийн даатгалд хамрагдах бүлгийн даатгуулагчийн шимтгэл” гэж тус тус өөрчилсүгэй гэж оруулсан байна. Одоогийн хүчин төгөлдөр мөрдөгдөж байгаа Эрүүл мэндийн даатгалын тухай хуулийн 19.3.Энэ хуулийн 19.1.1, 19.1.2, 19.1.8-д заасан шимтгэл, алдангийг цуглуулах, төвлөрүүлэх үйл ажиллагааг нийгмийн даатгалын байгууллага гүйцэтгэх бөгөөд үүнтэй холбогдсон харилцааг Нийгмийн даатгалын тухай хуулиар зохицуулна гэж заасан байдаг. Гэтэл хуулийн төсөл дээр19.1.8 дахь хэсгийг тусгаагүй орхигдуулсан буюу  “19.1.1, 19.1.2,” гэж заасан байгаа тул эргэж нягталж харах, мөн шимтгэл, алдангийг цуглуулах, төвлөрүүлэх үйл ажиллагааг нийгмийн даатгалын байгууллага гүйцэтгэх талаарх зохицуулалтыг хуулийн төсөлд хэвээр үлдээх;  </w:t>
            </w:r>
          </w:p>
        </w:tc>
        <w:tc>
          <w:tcPr>
            <w:tcW w:w="5490" w:type="dxa"/>
            <w:vAlign w:val="center"/>
          </w:tcPr>
          <w:p w14:paraId="16FFA3E1" w14:textId="4D27E620" w:rsidR="002260A1" w:rsidRPr="007247FC" w:rsidRDefault="002260A1" w:rsidP="00765CA9">
            <w:pPr>
              <w:pStyle w:val="NormalWeb"/>
              <w:jc w:val="both"/>
              <w:rPr>
                <w:rFonts w:ascii="Arial" w:eastAsia="Courier New" w:hAnsi="Arial" w:cs="Arial"/>
                <w:color w:val="000000"/>
                <w:sz w:val="22"/>
                <w:szCs w:val="22"/>
                <w:lang w:val="mn-MN" w:eastAsia="mn-MN" w:bidi="mn-MN"/>
              </w:rPr>
            </w:pPr>
            <w:r w:rsidRPr="007247FC">
              <w:rPr>
                <w:rFonts w:ascii="Arial" w:eastAsia="Courier New" w:hAnsi="Arial" w:cs="Arial"/>
                <w:color w:val="000000"/>
                <w:sz w:val="22"/>
                <w:szCs w:val="22"/>
                <w:lang w:val="mn-MN" w:eastAsia="mn-MN" w:bidi="mn-MN"/>
              </w:rPr>
              <w:t xml:space="preserve">Нийгмийн даатгалын ерөнхий хуулийн шинэчилсэн найруулгын төсөлтэй хамт өргөн мэдүүлэх Эрүүл мэндийн даатгалын тухай хуульд өөрчлөлт оруулах тухай хуулийн төслийн 1 дүгээр зүйлд заасан “...19 дүгээр зүйлийн 19.3 дах хэсгийн “19.1.1, 19.1.2,” гэснийг 6.1.1, 6.1.11-т заасан эрүүл мэндийн даатгалд хамрагдах бүлгийн даатгуулагчийн шимтгэл” гэсэн нь “19.3.Энэ хуулийн 6.1.1, 6.1.11-т заасан эрүүл мэндийн даатгалд хамрагдах бүлгийн даатгуулагчийн шимтгэл, 19.1.8-д заасан шимтгэл, алдангийг цуглуулах, төвлөрүүлэх үйл ажиллагааг нийгмийн даатгалын байгууллага гүйцэтгэх бөгөөд үүнтэй холбогдсон харилцааг Нийгмийн даатгалын тухай хуулиар зохицуулна.” гэж өөрчлөн найруулагдана.  Өөрөөр хэлбэл 19.1.8 дахь заалт орхигдоогүй болно. </w:t>
            </w:r>
          </w:p>
        </w:tc>
      </w:tr>
      <w:tr w:rsidR="002260A1" w:rsidRPr="007247FC" w14:paraId="788D86DE" w14:textId="77777777" w:rsidTr="00F42933">
        <w:tc>
          <w:tcPr>
            <w:tcW w:w="643" w:type="dxa"/>
            <w:vAlign w:val="center"/>
          </w:tcPr>
          <w:p w14:paraId="5CD9AB43" w14:textId="26FD054F" w:rsidR="002260A1" w:rsidRPr="007247FC" w:rsidRDefault="002260A1" w:rsidP="002260A1">
            <w:pPr>
              <w:jc w:val="center"/>
              <w:rPr>
                <w:rFonts w:ascii="Arial" w:hAnsi="Arial" w:cs="Arial"/>
                <w:sz w:val="22"/>
                <w:szCs w:val="22"/>
                <w:lang w:val="en-US"/>
              </w:rPr>
            </w:pPr>
            <w:r w:rsidRPr="007247FC">
              <w:rPr>
                <w:rFonts w:ascii="Arial" w:hAnsi="Arial" w:cs="Arial"/>
                <w:sz w:val="22"/>
                <w:szCs w:val="22"/>
                <w:lang w:val="en-US"/>
              </w:rPr>
              <w:t>4</w:t>
            </w:r>
          </w:p>
        </w:tc>
        <w:tc>
          <w:tcPr>
            <w:tcW w:w="1872" w:type="dxa"/>
            <w:vAlign w:val="center"/>
          </w:tcPr>
          <w:p w14:paraId="0952DAC4" w14:textId="77777777" w:rsidR="002260A1" w:rsidRPr="007247FC" w:rsidRDefault="002260A1" w:rsidP="002260A1">
            <w:pPr>
              <w:jc w:val="center"/>
              <w:rPr>
                <w:rFonts w:ascii="Arial" w:hAnsi="Arial" w:cs="Arial"/>
                <w:sz w:val="22"/>
                <w:szCs w:val="22"/>
              </w:rPr>
            </w:pPr>
            <w:r w:rsidRPr="007247FC">
              <w:rPr>
                <w:rFonts w:ascii="Arial" w:hAnsi="Arial" w:cs="Arial"/>
                <w:sz w:val="22"/>
                <w:szCs w:val="22"/>
              </w:rPr>
              <w:t>Барилга, хот байгуулалтын яам</w:t>
            </w:r>
          </w:p>
          <w:p w14:paraId="258C0D4C" w14:textId="6663A405" w:rsidR="002260A1" w:rsidRPr="007247FC" w:rsidRDefault="002260A1" w:rsidP="002260A1">
            <w:pPr>
              <w:jc w:val="center"/>
              <w:rPr>
                <w:rFonts w:ascii="Arial" w:hAnsi="Arial" w:cs="Arial"/>
                <w:sz w:val="22"/>
                <w:szCs w:val="22"/>
              </w:rPr>
            </w:pPr>
            <w:r w:rsidRPr="007247FC">
              <w:rPr>
                <w:rFonts w:ascii="Arial" w:hAnsi="Arial" w:cs="Arial"/>
                <w:sz w:val="22"/>
                <w:szCs w:val="22"/>
              </w:rPr>
              <w:t xml:space="preserve">(2022.12.23 </w:t>
            </w:r>
            <w:r w:rsidRPr="007247FC">
              <w:rPr>
                <w:rFonts w:ascii="Arial" w:hAnsi="Arial" w:cs="Arial"/>
                <w:sz w:val="22"/>
                <w:szCs w:val="22"/>
              </w:rPr>
              <w:lastRenderedPageBreak/>
              <w:t>№</w:t>
            </w:r>
            <w:r w:rsidRPr="007247FC">
              <w:rPr>
                <w:rFonts w:ascii="Arial" w:hAnsi="Arial" w:cs="Arial"/>
                <w:sz w:val="22"/>
                <w:szCs w:val="22"/>
                <w:lang w:val="en-US"/>
              </w:rPr>
              <w:t>1/</w:t>
            </w:r>
            <w:r w:rsidRPr="007247FC">
              <w:rPr>
                <w:rFonts w:ascii="Arial" w:hAnsi="Arial" w:cs="Arial"/>
                <w:sz w:val="22"/>
                <w:szCs w:val="22"/>
              </w:rPr>
              <w:t>5943)</w:t>
            </w:r>
          </w:p>
        </w:tc>
        <w:tc>
          <w:tcPr>
            <w:tcW w:w="5490" w:type="dxa"/>
            <w:vAlign w:val="center"/>
          </w:tcPr>
          <w:p w14:paraId="08E6DBED" w14:textId="01E41846" w:rsidR="002260A1" w:rsidRPr="007247FC" w:rsidRDefault="002260A1" w:rsidP="002260A1">
            <w:pPr>
              <w:jc w:val="both"/>
              <w:rPr>
                <w:rFonts w:ascii="Arial" w:hAnsi="Arial" w:cs="Arial"/>
                <w:sz w:val="22"/>
                <w:szCs w:val="22"/>
              </w:rPr>
            </w:pPr>
            <w:r w:rsidRPr="007247FC">
              <w:rPr>
                <w:rFonts w:ascii="Arial" w:hAnsi="Arial" w:cs="Arial"/>
                <w:sz w:val="22"/>
                <w:szCs w:val="22"/>
              </w:rPr>
              <w:lastRenderedPageBreak/>
              <w:t>Хуулийн төсөлд тусгайлан өгөх саналгүй байна.</w:t>
            </w:r>
          </w:p>
        </w:tc>
        <w:tc>
          <w:tcPr>
            <w:tcW w:w="5490" w:type="dxa"/>
            <w:vAlign w:val="center"/>
          </w:tcPr>
          <w:p w14:paraId="1B8FD93C" w14:textId="27365CB7" w:rsidR="002260A1" w:rsidRPr="007247FC" w:rsidRDefault="002260A1" w:rsidP="002260A1">
            <w:pPr>
              <w:jc w:val="both"/>
              <w:rPr>
                <w:rFonts w:ascii="Arial" w:hAnsi="Arial" w:cs="Arial"/>
                <w:sz w:val="22"/>
                <w:szCs w:val="22"/>
              </w:rPr>
            </w:pPr>
          </w:p>
        </w:tc>
      </w:tr>
      <w:tr w:rsidR="002260A1" w:rsidRPr="007247FC" w14:paraId="08973F55" w14:textId="77777777" w:rsidTr="00F42933">
        <w:tc>
          <w:tcPr>
            <w:tcW w:w="643" w:type="dxa"/>
            <w:vAlign w:val="center"/>
          </w:tcPr>
          <w:p w14:paraId="60B2D2F4" w14:textId="3C88B6DF" w:rsidR="002260A1" w:rsidRPr="007247FC" w:rsidRDefault="002260A1" w:rsidP="002260A1">
            <w:pPr>
              <w:jc w:val="center"/>
              <w:rPr>
                <w:rFonts w:ascii="Arial" w:hAnsi="Arial" w:cs="Arial"/>
                <w:sz w:val="22"/>
                <w:szCs w:val="22"/>
                <w:lang w:val="en-US"/>
              </w:rPr>
            </w:pPr>
            <w:r w:rsidRPr="007247FC">
              <w:rPr>
                <w:rFonts w:ascii="Arial" w:hAnsi="Arial" w:cs="Arial"/>
                <w:sz w:val="22"/>
                <w:szCs w:val="22"/>
                <w:lang w:val="en-US"/>
              </w:rPr>
              <w:t>5</w:t>
            </w:r>
          </w:p>
        </w:tc>
        <w:tc>
          <w:tcPr>
            <w:tcW w:w="1872" w:type="dxa"/>
            <w:vAlign w:val="center"/>
          </w:tcPr>
          <w:p w14:paraId="4753C830" w14:textId="0B7B3918" w:rsidR="002260A1" w:rsidRPr="007247FC" w:rsidRDefault="002260A1" w:rsidP="002260A1">
            <w:pPr>
              <w:jc w:val="center"/>
              <w:rPr>
                <w:rFonts w:ascii="Arial" w:hAnsi="Arial" w:cs="Arial"/>
                <w:sz w:val="22"/>
                <w:szCs w:val="22"/>
              </w:rPr>
            </w:pPr>
            <w:r w:rsidRPr="007247FC">
              <w:rPr>
                <w:rFonts w:ascii="Arial" w:hAnsi="Arial" w:cs="Arial"/>
                <w:sz w:val="22"/>
                <w:szCs w:val="22"/>
              </w:rPr>
              <w:t>Байгаль орчин, аялал, жуулчлалын яам 2022.12.27 №01/7609)</w:t>
            </w:r>
          </w:p>
        </w:tc>
        <w:tc>
          <w:tcPr>
            <w:tcW w:w="5490" w:type="dxa"/>
            <w:vAlign w:val="center"/>
          </w:tcPr>
          <w:p w14:paraId="7433A257" w14:textId="2EE129B8" w:rsidR="002260A1" w:rsidRPr="007247FC" w:rsidRDefault="002260A1" w:rsidP="002260A1">
            <w:pPr>
              <w:jc w:val="both"/>
              <w:rPr>
                <w:rFonts w:ascii="Arial" w:hAnsi="Arial" w:cs="Arial"/>
                <w:sz w:val="22"/>
                <w:szCs w:val="22"/>
              </w:rPr>
            </w:pPr>
            <w:r w:rsidRPr="007247FC">
              <w:rPr>
                <w:rFonts w:ascii="Arial" w:hAnsi="Arial" w:cs="Arial"/>
                <w:sz w:val="22"/>
                <w:szCs w:val="22"/>
              </w:rPr>
              <w:t>Хуулийн төсөлд тусгайлан өгөх саналгүй байна.</w:t>
            </w:r>
          </w:p>
        </w:tc>
        <w:tc>
          <w:tcPr>
            <w:tcW w:w="5490" w:type="dxa"/>
            <w:vAlign w:val="center"/>
          </w:tcPr>
          <w:p w14:paraId="7BE7D9B0" w14:textId="77777777" w:rsidR="002260A1" w:rsidRPr="007247FC" w:rsidRDefault="002260A1" w:rsidP="002260A1">
            <w:pPr>
              <w:jc w:val="both"/>
              <w:rPr>
                <w:rFonts w:ascii="Arial" w:hAnsi="Arial" w:cs="Arial"/>
                <w:sz w:val="22"/>
                <w:szCs w:val="22"/>
              </w:rPr>
            </w:pPr>
          </w:p>
        </w:tc>
      </w:tr>
      <w:tr w:rsidR="002260A1" w:rsidRPr="007247FC" w14:paraId="6D16E1BF" w14:textId="77777777" w:rsidTr="00F42933">
        <w:tc>
          <w:tcPr>
            <w:tcW w:w="643" w:type="dxa"/>
            <w:vMerge w:val="restart"/>
            <w:vAlign w:val="center"/>
          </w:tcPr>
          <w:p w14:paraId="4F20C441" w14:textId="1A0DE842" w:rsidR="002260A1" w:rsidRPr="007247FC" w:rsidRDefault="002260A1" w:rsidP="002260A1">
            <w:pPr>
              <w:jc w:val="center"/>
              <w:rPr>
                <w:rFonts w:ascii="Arial" w:hAnsi="Arial" w:cs="Arial"/>
                <w:sz w:val="22"/>
                <w:szCs w:val="22"/>
                <w:lang w:val="en-US"/>
              </w:rPr>
            </w:pPr>
            <w:r w:rsidRPr="007247FC">
              <w:rPr>
                <w:rFonts w:ascii="Arial" w:hAnsi="Arial" w:cs="Arial"/>
                <w:sz w:val="22"/>
                <w:szCs w:val="22"/>
                <w:lang w:val="en-US"/>
              </w:rPr>
              <w:t>6</w:t>
            </w:r>
          </w:p>
          <w:p w14:paraId="2BAEC246" w14:textId="1C4BBDA0" w:rsidR="002260A1" w:rsidRPr="007247FC" w:rsidRDefault="002260A1" w:rsidP="002260A1">
            <w:pPr>
              <w:jc w:val="center"/>
              <w:rPr>
                <w:rFonts w:ascii="Arial" w:hAnsi="Arial" w:cs="Arial"/>
                <w:sz w:val="22"/>
                <w:szCs w:val="22"/>
                <w:lang w:val="en-US"/>
              </w:rPr>
            </w:pPr>
          </w:p>
        </w:tc>
        <w:tc>
          <w:tcPr>
            <w:tcW w:w="1872" w:type="dxa"/>
            <w:vMerge w:val="restart"/>
            <w:vAlign w:val="center"/>
          </w:tcPr>
          <w:p w14:paraId="6A5FC25B" w14:textId="6B31CF46" w:rsidR="002260A1" w:rsidRPr="007247FC" w:rsidRDefault="002260A1" w:rsidP="002260A1">
            <w:pPr>
              <w:jc w:val="center"/>
              <w:rPr>
                <w:rFonts w:ascii="Arial" w:hAnsi="Arial" w:cs="Arial"/>
                <w:sz w:val="22"/>
                <w:szCs w:val="22"/>
                <w:lang w:val="en-US"/>
              </w:rPr>
            </w:pPr>
            <w:r w:rsidRPr="007247FC">
              <w:rPr>
                <w:rFonts w:ascii="Arial" w:hAnsi="Arial" w:cs="Arial"/>
                <w:sz w:val="22"/>
                <w:szCs w:val="22"/>
              </w:rPr>
              <w:t xml:space="preserve">Гадаад харилцааны яам </w:t>
            </w:r>
            <w:r w:rsidRPr="007247FC">
              <w:rPr>
                <w:rFonts w:ascii="Arial" w:hAnsi="Arial" w:cs="Arial"/>
                <w:sz w:val="22"/>
                <w:szCs w:val="22"/>
                <w:lang w:val="en-US"/>
              </w:rPr>
              <w:t>(</w:t>
            </w:r>
            <w:r w:rsidRPr="007247FC">
              <w:rPr>
                <w:rFonts w:ascii="Arial" w:hAnsi="Arial" w:cs="Arial"/>
                <w:sz w:val="22"/>
                <w:szCs w:val="22"/>
              </w:rPr>
              <w:t>2022.12.27 08/6759</w:t>
            </w:r>
            <w:r w:rsidRPr="007247FC">
              <w:rPr>
                <w:rFonts w:ascii="Arial" w:hAnsi="Arial" w:cs="Arial"/>
                <w:sz w:val="22"/>
                <w:szCs w:val="22"/>
                <w:lang w:val="en-US"/>
              </w:rPr>
              <w:t>)</w:t>
            </w:r>
          </w:p>
        </w:tc>
        <w:tc>
          <w:tcPr>
            <w:tcW w:w="5490" w:type="dxa"/>
            <w:vAlign w:val="center"/>
          </w:tcPr>
          <w:p w14:paraId="76B00F79" w14:textId="436D2709" w:rsidR="002260A1" w:rsidRPr="007247FC" w:rsidRDefault="002260A1" w:rsidP="002260A1">
            <w:pPr>
              <w:jc w:val="both"/>
              <w:rPr>
                <w:rFonts w:ascii="Arial" w:hAnsi="Arial" w:cs="Arial"/>
                <w:sz w:val="22"/>
                <w:szCs w:val="22"/>
                <w:lang w:val="en-US"/>
              </w:rPr>
            </w:pPr>
            <w:r w:rsidRPr="007247FC">
              <w:rPr>
                <w:rFonts w:ascii="Arial" w:hAnsi="Arial" w:cs="Arial"/>
                <w:sz w:val="22"/>
                <w:szCs w:val="22"/>
                <w:lang w:val="en-US"/>
              </w:rPr>
              <w:t xml:space="preserve">1.“Консулын </w:t>
            </w:r>
            <w:proofErr w:type="spellStart"/>
            <w:r w:rsidRPr="007247FC">
              <w:rPr>
                <w:rFonts w:ascii="Arial" w:hAnsi="Arial" w:cs="Arial"/>
                <w:sz w:val="22"/>
                <w:szCs w:val="22"/>
                <w:lang w:val="en-US"/>
              </w:rPr>
              <w:t>газар</w:t>
            </w:r>
            <w:proofErr w:type="spellEnd"/>
            <w:r w:rsidRPr="007247FC">
              <w:rPr>
                <w:rFonts w:ascii="Arial" w:hAnsi="Arial" w:cs="Arial"/>
                <w:sz w:val="22"/>
                <w:szCs w:val="22"/>
                <w:lang w:val="en-US"/>
              </w:rPr>
              <w:t xml:space="preserve">” </w:t>
            </w:r>
            <w:proofErr w:type="spellStart"/>
            <w:r w:rsidRPr="007247FC">
              <w:rPr>
                <w:rFonts w:ascii="Arial" w:hAnsi="Arial" w:cs="Arial"/>
                <w:sz w:val="22"/>
                <w:szCs w:val="22"/>
                <w:lang w:val="en-US"/>
              </w:rPr>
              <w:t>нь</w:t>
            </w:r>
            <w:proofErr w:type="spellEnd"/>
            <w:r w:rsidRPr="007247FC">
              <w:rPr>
                <w:rFonts w:ascii="Arial" w:hAnsi="Arial" w:cs="Arial"/>
                <w:sz w:val="22"/>
                <w:szCs w:val="22"/>
                <w:lang w:val="en-US"/>
              </w:rPr>
              <w:t xml:space="preserve"> </w:t>
            </w:r>
            <w:proofErr w:type="spellStart"/>
            <w:r w:rsidRPr="007247FC">
              <w:rPr>
                <w:rFonts w:ascii="Arial" w:hAnsi="Arial" w:cs="Arial"/>
                <w:sz w:val="22"/>
                <w:szCs w:val="22"/>
                <w:lang w:val="en-US"/>
              </w:rPr>
              <w:t>Дипломат</w:t>
            </w:r>
            <w:proofErr w:type="spellEnd"/>
            <w:r w:rsidRPr="007247FC">
              <w:rPr>
                <w:rFonts w:ascii="Arial" w:hAnsi="Arial" w:cs="Arial"/>
                <w:sz w:val="22"/>
                <w:szCs w:val="22"/>
                <w:lang w:val="en-US"/>
              </w:rPr>
              <w:t xml:space="preserve"> </w:t>
            </w:r>
            <w:proofErr w:type="spellStart"/>
            <w:r w:rsidRPr="007247FC">
              <w:rPr>
                <w:rFonts w:ascii="Arial" w:hAnsi="Arial" w:cs="Arial"/>
                <w:sz w:val="22"/>
                <w:szCs w:val="22"/>
                <w:lang w:val="en-US"/>
              </w:rPr>
              <w:t>албаны</w:t>
            </w:r>
            <w:proofErr w:type="spellEnd"/>
            <w:r w:rsidRPr="007247FC">
              <w:rPr>
                <w:rFonts w:ascii="Arial" w:hAnsi="Arial" w:cs="Arial"/>
                <w:sz w:val="22"/>
                <w:szCs w:val="22"/>
                <w:lang w:val="en-US"/>
              </w:rPr>
              <w:t xml:space="preserve"> </w:t>
            </w:r>
            <w:proofErr w:type="spellStart"/>
            <w:r w:rsidRPr="007247FC">
              <w:rPr>
                <w:rFonts w:ascii="Arial" w:hAnsi="Arial" w:cs="Arial"/>
                <w:sz w:val="22"/>
                <w:szCs w:val="22"/>
                <w:lang w:val="en-US"/>
              </w:rPr>
              <w:t>тухай</w:t>
            </w:r>
            <w:proofErr w:type="spellEnd"/>
            <w:r w:rsidRPr="007247FC">
              <w:rPr>
                <w:rFonts w:ascii="Arial" w:hAnsi="Arial" w:cs="Arial"/>
                <w:sz w:val="22"/>
                <w:szCs w:val="22"/>
                <w:lang w:val="en-US"/>
              </w:rPr>
              <w:t xml:space="preserve"> </w:t>
            </w:r>
            <w:proofErr w:type="spellStart"/>
            <w:r w:rsidRPr="007247FC">
              <w:rPr>
                <w:rFonts w:ascii="Arial" w:hAnsi="Arial" w:cs="Arial"/>
                <w:sz w:val="22"/>
                <w:szCs w:val="22"/>
                <w:lang w:val="en-US"/>
              </w:rPr>
              <w:t>хуулийн</w:t>
            </w:r>
            <w:proofErr w:type="spellEnd"/>
            <w:r w:rsidRPr="007247FC">
              <w:rPr>
                <w:rFonts w:ascii="Arial" w:hAnsi="Arial" w:cs="Arial"/>
                <w:sz w:val="22"/>
                <w:szCs w:val="22"/>
                <w:lang w:val="en-US"/>
              </w:rPr>
              <w:t xml:space="preserve"> 6.1 </w:t>
            </w:r>
            <w:proofErr w:type="spellStart"/>
            <w:r w:rsidRPr="007247FC">
              <w:rPr>
                <w:rFonts w:ascii="Arial" w:hAnsi="Arial" w:cs="Arial"/>
                <w:sz w:val="22"/>
                <w:szCs w:val="22"/>
                <w:lang w:val="en-US"/>
              </w:rPr>
              <w:t>дэх</w:t>
            </w:r>
            <w:proofErr w:type="spellEnd"/>
            <w:r w:rsidRPr="007247FC">
              <w:rPr>
                <w:rFonts w:ascii="Arial" w:hAnsi="Arial" w:cs="Arial"/>
                <w:sz w:val="22"/>
                <w:szCs w:val="22"/>
                <w:lang w:val="en-US"/>
              </w:rPr>
              <w:t xml:space="preserve"> </w:t>
            </w:r>
            <w:proofErr w:type="spellStart"/>
            <w:r w:rsidRPr="007247FC">
              <w:rPr>
                <w:rFonts w:ascii="Arial" w:hAnsi="Arial" w:cs="Arial"/>
                <w:sz w:val="22"/>
                <w:szCs w:val="22"/>
                <w:lang w:val="en-US"/>
              </w:rPr>
              <w:t>хэсэгт</w:t>
            </w:r>
            <w:proofErr w:type="spellEnd"/>
            <w:r w:rsidRPr="007247FC">
              <w:rPr>
                <w:rFonts w:ascii="Arial" w:hAnsi="Arial" w:cs="Arial"/>
                <w:sz w:val="22"/>
                <w:szCs w:val="22"/>
                <w:lang w:val="en-US"/>
              </w:rPr>
              <w:t xml:space="preserve"> </w:t>
            </w:r>
            <w:proofErr w:type="spellStart"/>
            <w:r w:rsidRPr="007247FC">
              <w:rPr>
                <w:rFonts w:ascii="Arial" w:hAnsi="Arial" w:cs="Arial"/>
                <w:sz w:val="22"/>
                <w:szCs w:val="22"/>
                <w:lang w:val="en-US"/>
              </w:rPr>
              <w:t>заасны</w:t>
            </w:r>
            <w:proofErr w:type="spellEnd"/>
            <w:r w:rsidRPr="007247FC">
              <w:rPr>
                <w:rFonts w:ascii="Arial" w:hAnsi="Arial" w:cs="Arial"/>
                <w:sz w:val="22"/>
                <w:szCs w:val="22"/>
                <w:lang w:val="en-US"/>
              </w:rPr>
              <w:t xml:space="preserve"> </w:t>
            </w:r>
            <w:proofErr w:type="spellStart"/>
            <w:r w:rsidRPr="007247FC">
              <w:rPr>
                <w:rFonts w:ascii="Arial" w:hAnsi="Arial" w:cs="Arial"/>
                <w:sz w:val="22"/>
                <w:szCs w:val="22"/>
                <w:lang w:val="en-US"/>
              </w:rPr>
              <w:t>дагуу</w:t>
            </w:r>
            <w:proofErr w:type="spellEnd"/>
            <w:r w:rsidRPr="007247FC">
              <w:rPr>
                <w:rFonts w:ascii="Arial" w:hAnsi="Arial" w:cs="Arial"/>
                <w:sz w:val="22"/>
                <w:szCs w:val="22"/>
                <w:lang w:val="en-US"/>
              </w:rPr>
              <w:t xml:space="preserve"> </w:t>
            </w:r>
            <w:proofErr w:type="spellStart"/>
            <w:r w:rsidRPr="007247FC">
              <w:rPr>
                <w:rFonts w:ascii="Arial" w:hAnsi="Arial" w:cs="Arial"/>
                <w:sz w:val="22"/>
                <w:szCs w:val="22"/>
                <w:lang w:val="en-US"/>
              </w:rPr>
              <w:t>хилийн</w:t>
            </w:r>
            <w:proofErr w:type="spellEnd"/>
            <w:r w:rsidRPr="007247FC">
              <w:rPr>
                <w:rFonts w:ascii="Arial" w:hAnsi="Arial" w:cs="Arial"/>
                <w:sz w:val="22"/>
                <w:szCs w:val="22"/>
                <w:lang w:val="en-US"/>
              </w:rPr>
              <w:t xml:space="preserve"> </w:t>
            </w:r>
            <w:proofErr w:type="spellStart"/>
            <w:r w:rsidRPr="007247FC">
              <w:rPr>
                <w:rFonts w:ascii="Arial" w:hAnsi="Arial" w:cs="Arial"/>
                <w:sz w:val="22"/>
                <w:szCs w:val="22"/>
                <w:lang w:val="en-US"/>
              </w:rPr>
              <w:t>чанадад</w:t>
            </w:r>
            <w:proofErr w:type="spellEnd"/>
            <w:r w:rsidRPr="007247FC">
              <w:rPr>
                <w:rFonts w:ascii="Arial" w:hAnsi="Arial" w:cs="Arial"/>
                <w:sz w:val="22"/>
                <w:szCs w:val="22"/>
                <w:lang w:val="en-US"/>
              </w:rPr>
              <w:t xml:space="preserve"> </w:t>
            </w:r>
            <w:proofErr w:type="spellStart"/>
            <w:r w:rsidRPr="007247FC">
              <w:rPr>
                <w:rFonts w:ascii="Arial" w:hAnsi="Arial" w:cs="Arial"/>
                <w:sz w:val="22"/>
                <w:szCs w:val="22"/>
                <w:lang w:val="en-US"/>
              </w:rPr>
              <w:t>ажиллаж</w:t>
            </w:r>
            <w:proofErr w:type="spellEnd"/>
            <w:r w:rsidRPr="007247FC">
              <w:rPr>
                <w:rFonts w:ascii="Arial" w:hAnsi="Arial" w:cs="Arial"/>
                <w:sz w:val="22"/>
                <w:szCs w:val="22"/>
                <w:lang w:val="en-US"/>
              </w:rPr>
              <w:t xml:space="preserve"> </w:t>
            </w:r>
            <w:proofErr w:type="spellStart"/>
            <w:r w:rsidRPr="007247FC">
              <w:rPr>
                <w:rFonts w:ascii="Arial" w:hAnsi="Arial" w:cs="Arial"/>
                <w:sz w:val="22"/>
                <w:szCs w:val="22"/>
                <w:lang w:val="en-US"/>
              </w:rPr>
              <w:t>байгаа</w:t>
            </w:r>
            <w:proofErr w:type="spellEnd"/>
            <w:r w:rsidRPr="007247FC">
              <w:rPr>
                <w:rFonts w:ascii="Arial" w:hAnsi="Arial" w:cs="Arial"/>
                <w:sz w:val="22"/>
                <w:szCs w:val="22"/>
                <w:lang w:val="en-US"/>
              </w:rPr>
              <w:t xml:space="preserve"> </w:t>
            </w:r>
            <w:proofErr w:type="spellStart"/>
            <w:r w:rsidRPr="007247FC">
              <w:rPr>
                <w:rFonts w:ascii="Arial" w:hAnsi="Arial" w:cs="Arial"/>
                <w:sz w:val="22"/>
                <w:szCs w:val="22"/>
                <w:lang w:val="en-US"/>
              </w:rPr>
              <w:t>Дипломат</w:t>
            </w:r>
            <w:proofErr w:type="spellEnd"/>
            <w:r w:rsidRPr="007247FC">
              <w:rPr>
                <w:rFonts w:ascii="Arial" w:hAnsi="Arial" w:cs="Arial"/>
                <w:sz w:val="22"/>
                <w:szCs w:val="22"/>
                <w:lang w:val="en-US"/>
              </w:rPr>
              <w:t xml:space="preserve"> </w:t>
            </w:r>
            <w:proofErr w:type="spellStart"/>
            <w:r w:rsidRPr="007247FC">
              <w:rPr>
                <w:rFonts w:ascii="Arial" w:hAnsi="Arial" w:cs="Arial"/>
                <w:sz w:val="22"/>
                <w:szCs w:val="22"/>
                <w:lang w:val="en-US"/>
              </w:rPr>
              <w:t>төлөөлөгчийн</w:t>
            </w:r>
            <w:proofErr w:type="spellEnd"/>
            <w:r w:rsidRPr="007247FC">
              <w:rPr>
                <w:rFonts w:ascii="Arial" w:hAnsi="Arial" w:cs="Arial"/>
                <w:sz w:val="22"/>
                <w:szCs w:val="22"/>
                <w:lang w:val="en-US"/>
              </w:rPr>
              <w:t xml:space="preserve"> </w:t>
            </w:r>
            <w:proofErr w:type="spellStart"/>
            <w:r w:rsidRPr="007247FC">
              <w:rPr>
                <w:rFonts w:ascii="Arial" w:hAnsi="Arial" w:cs="Arial"/>
                <w:sz w:val="22"/>
                <w:szCs w:val="22"/>
                <w:lang w:val="en-US"/>
              </w:rPr>
              <w:t>газарт</w:t>
            </w:r>
            <w:proofErr w:type="spellEnd"/>
            <w:r w:rsidRPr="007247FC">
              <w:rPr>
                <w:rFonts w:ascii="Arial" w:hAnsi="Arial" w:cs="Arial"/>
                <w:sz w:val="22"/>
                <w:szCs w:val="22"/>
                <w:lang w:val="en-US"/>
              </w:rPr>
              <w:t xml:space="preserve"> </w:t>
            </w:r>
            <w:proofErr w:type="spellStart"/>
            <w:r w:rsidRPr="007247FC">
              <w:rPr>
                <w:rFonts w:ascii="Arial" w:hAnsi="Arial" w:cs="Arial"/>
                <w:sz w:val="22"/>
                <w:szCs w:val="22"/>
                <w:lang w:val="en-US"/>
              </w:rPr>
              <w:t>хамаарах</w:t>
            </w:r>
            <w:proofErr w:type="spellEnd"/>
            <w:r w:rsidRPr="007247FC">
              <w:rPr>
                <w:rFonts w:ascii="Arial" w:hAnsi="Arial" w:cs="Arial"/>
                <w:sz w:val="22"/>
                <w:szCs w:val="22"/>
                <w:lang w:val="en-US"/>
              </w:rPr>
              <w:t xml:space="preserve"> </w:t>
            </w:r>
            <w:proofErr w:type="spellStart"/>
            <w:r w:rsidRPr="007247FC">
              <w:rPr>
                <w:rFonts w:ascii="Arial" w:hAnsi="Arial" w:cs="Arial"/>
                <w:sz w:val="22"/>
                <w:szCs w:val="22"/>
                <w:lang w:val="en-US"/>
              </w:rPr>
              <w:t>тул</w:t>
            </w:r>
            <w:proofErr w:type="spellEnd"/>
            <w:r w:rsidRPr="007247FC">
              <w:rPr>
                <w:rFonts w:ascii="Arial" w:hAnsi="Arial" w:cs="Arial"/>
                <w:sz w:val="22"/>
                <w:szCs w:val="22"/>
                <w:lang w:val="en-US"/>
              </w:rPr>
              <w:t xml:space="preserve"> </w:t>
            </w:r>
            <w:proofErr w:type="spellStart"/>
            <w:r w:rsidRPr="007247FC">
              <w:rPr>
                <w:rFonts w:ascii="Arial" w:hAnsi="Arial" w:cs="Arial"/>
                <w:sz w:val="22"/>
                <w:szCs w:val="22"/>
                <w:lang w:val="en-US"/>
              </w:rPr>
              <w:t>төслийн</w:t>
            </w:r>
            <w:proofErr w:type="spellEnd"/>
            <w:r w:rsidRPr="007247FC">
              <w:rPr>
                <w:rFonts w:ascii="Arial" w:hAnsi="Arial" w:cs="Arial"/>
                <w:sz w:val="22"/>
                <w:szCs w:val="22"/>
                <w:lang w:val="en-US"/>
              </w:rPr>
              <w:t xml:space="preserve"> 7.4.6, 21.3, 21.30-д </w:t>
            </w:r>
            <w:proofErr w:type="spellStart"/>
            <w:r w:rsidRPr="007247FC">
              <w:rPr>
                <w:rFonts w:ascii="Arial" w:hAnsi="Arial" w:cs="Arial"/>
                <w:sz w:val="22"/>
                <w:szCs w:val="22"/>
                <w:lang w:val="en-US"/>
              </w:rPr>
              <w:t>дурдсан</w:t>
            </w:r>
            <w:proofErr w:type="spellEnd"/>
            <w:r w:rsidRPr="007247FC">
              <w:rPr>
                <w:rFonts w:ascii="Arial" w:hAnsi="Arial" w:cs="Arial"/>
                <w:sz w:val="22"/>
                <w:szCs w:val="22"/>
                <w:lang w:val="en-US"/>
              </w:rPr>
              <w:t xml:space="preserve"> </w:t>
            </w:r>
            <w:proofErr w:type="spellStart"/>
            <w:r w:rsidRPr="007247FC">
              <w:rPr>
                <w:rFonts w:ascii="Arial" w:hAnsi="Arial" w:cs="Arial"/>
                <w:sz w:val="22"/>
                <w:szCs w:val="22"/>
                <w:lang w:val="en-US"/>
              </w:rPr>
              <w:t>нэр</w:t>
            </w:r>
            <w:proofErr w:type="spellEnd"/>
            <w:r w:rsidRPr="007247FC">
              <w:rPr>
                <w:rFonts w:ascii="Arial" w:hAnsi="Arial" w:cs="Arial"/>
                <w:sz w:val="22"/>
                <w:szCs w:val="22"/>
                <w:lang w:val="en-US"/>
              </w:rPr>
              <w:t xml:space="preserve"> </w:t>
            </w:r>
            <w:proofErr w:type="spellStart"/>
            <w:r w:rsidRPr="007247FC">
              <w:rPr>
                <w:rFonts w:ascii="Arial" w:hAnsi="Arial" w:cs="Arial"/>
                <w:sz w:val="22"/>
                <w:szCs w:val="22"/>
                <w:lang w:val="en-US"/>
              </w:rPr>
              <w:t>томьёог</w:t>
            </w:r>
            <w:proofErr w:type="spellEnd"/>
            <w:r w:rsidRPr="007247FC">
              <w:rPr>
                <w:rFonts w:ascii="Arial" w:hAnsi="Arial" w:cs="Arial"/>
                <w:sz w:val="22"/>
                <w:szCs w:val="22"/>
                <w:lang w:val="en-US"/>
              </w:rPr>
              <w:t xml:space="preserve"> </w:t>
            </w:r>
            <w:proofErr w:type="spellStart"/>
            <w:r w:rsidRPr="007247FC">
              <w:rPr>
                <w:rFonts w:ascii="Arial" w:hAnsi="Arial" w:cs="Arial"/>
                <w:sz w:val="22"/>
                <w:szCs w:val="22"/>
                <w:lang w:val="en-US"/>
              </w:rPr>
              <w:t>жигдлэх</w:t>
            </w:r>
            <w:proofErr w:type="spellEnd"/>
            <w:r w:rsidRPr="007247FC">
              <w:rPr>
                <w:rFonts w:ascii="Arial" w:hAnsi="Arial" w:cs="Arial"/>
                <w:sz w:val="22"/>
                <w:szCs w:val="22"/>
                <w:lang w:val="en-US"/>
              </w:rPr>
              <w:t xml:space="preserve"> </w:t>
            </w:r>
            <w:proofErr w:type="spellStart"/>
            <w:r w:rsidRPr="007247FC">
              <w:rPr>
                <w:rFonts w:ascii="Arial" w:hAnsi="Arial" w:cs="Arial"/>
                <w:sz w:val="22"/>
                <w:szCs w:val="22"/>
                <w:lang w:val="en-US"/>
              </w:rPr>
              <w:t>буюу</w:t>
            </w:r>
            <w:proofErr w:type="spellEnd"/>
            <w:r w:rsidRPr="007247FC">
              <w:rPr>
                <w:rFonts w:ascii="Arial" w:hAnsi="Arial" w:cs="Arial"/>
                <w:sz w:val="22"/>
                <w:szCs w:val="22"/>
                <w:lang w:val="en-US"/>
              </w:rPr>
              <w:t xml:space="preserve"> </w:t>
            </w:r>
            <w:proofErr w:type="spellStart"/>
            <w:r w:rsidRPr="007247FC">
              <w:rPr>
                <w:rFonts w:ascii="Arial" w:hAnsi="Arial" w:cs="Arial"/>
                <w:sz w:val="22"/>
                <w:szCs w:val="22"/>
                <w:lang w:val="en-US"/>
              </w:rPr>
              <w:t>эдгээр</w:t>
            </w:r>
            <w:proofErr w:type="spellEnd"/>
            <w:r w:rsidRPr="007247FC">
              <w:rPr>
                <w:rFonts w:ascii="Arial" w:hAnsi="Arial" w:cs="Arial"/>
                <w:sz w:val="22"/>
                <w:szCs w:val="22"/>
                <w:lang w:val="en-US"/>
              </w:rPr>
              <w:t xml:space="preserve"> </w:t>
            </w:r>
            <w:proofErr w:type="spellStart"/>
            <w:r w:rsidRPr="007247FC">
              <w:rPr>
                <w:rFonts w:ascii="Arial" w:hAnsi="Arial" w:cs="Arial"/>
                <w:sz w:val="22"/>
                <w:szCs w:val="22"/>
                <w:lang w:val="en-US"/>
              </w:rPr>
              <w:t>заалтын</w:t>
            </w:r>
            <w:proofErr w:type="spellEnd"/>
            <w:r w:rsidRPr="007247FC">
              <w:rPr>
                <w:rFonts w:ascii="Arial" w:hAnsi="Arial" w:cs="Arial"/>
                <w:sz w:val="22"/>
                <w:szCs w:val="22"/>
                <w:lang w:val="en-US"/>
              </w:rPr>
              <w:t xml:space="preserve"> </w:t>
            </w:r>
            <w:proofErr w:type="spellStart"/>
            <w:r w:rsidRPr="007247FC">
              <w:rPr>
                <w:rFonts w:ascii="Arial" w:hAnsi="Arial" w:cs="Arial"/>
                <w:sz w:val="22"/>
                <w:szCs w:val="22"/>
                <w:lang w:val="en-US"/>
              </w:rPr>
              <w:t>холбогдох</w:t>
            </w:r>
            <w:proofErr w:type="spellEnd"/>
            <w:r w:rsidRPr="007247FC">
              <w:rPr>
                <w:rFonts w:ascii="Arial" w:hAnsi="Arial" w:cs="Arial"/>
                <w:sz w:val="22"/>
                <w:szCs w:val="22"/>
                <w:lang w:val="en-US"/>
              </w:rPr>
              <w:t xml:space="preserve"> </w:t>
            </w:r>
            <w:proofErr w:type="spellStart"/>
            <w:r w:rsidRPr="007247FC">
              <w:rPr>
                <w:rFonts w:ascii="Arial" w:hAnsi="Arial" w:cs="Arial"/>
                <w:sz w:val="22"/>
                <w:szCs w:val="22"/>
                <w:lang w:val="en-US"/>
              </w:rPr>
              <w:t>хэсгийг</w:t>
            </w:r>
            <w:proofErr w:type="spellEnd"/>
            <w:r w:rsidRPr="007247FC">
              <w:rPr>
                <w:rFonts w:ascii="Arial" w:hAnsi="Arial" w:cs="Arial"/>
                <w:sz w:val="22"/>
                <w:szCs w:val="22"/>
                <w:lang w:val="en-US"/>
              </w:rPr>
              <w:t xml:space="preserve"> “</w:t>
            </w:r>
            <w:proofErr w:type="spellStart"/>
            <w:r w:rsidRPr="007247FC">
              <w:rPr>
                <w:rFonts w:ascii="Arial" w:hAnsi="Arial" w:cs="Arial"/>
                <w:sz w:val="22"/>
                <w:szCs w:val="22"/>
                <w:lang w:val="en-US"/>
              </w:rPr>
              <w:t>Монгол</w:t>
            </w:r>
            <w:proofErr w:type="spellEnd"/>
            <w:r w:rsidRPr="007247FC">
              <w:rPr>
                <w:rFonts w:ascii="Arial" w:hAnsi="Arial" w:cs="Arial"/>
                <w:sz w:val="22"/>
                <w:szCs w:val="22"/>
                <w:lang w:val="en-US"/>
              </w:rPr>
              <w:t xml:space="preserve"> </w:t>
            </w:r>
            <w:proofErr w:type="spellStart"/>
            <w:r w:rsidRPr="007247FC">
              <w:rPr>
                <w:rFonts w:ascii="Arial" w:hAnsi="Arial" w:cs="Arial"/>
                <w:sz w:val="22"/>
                <w:szCs w:val="22"/>
                <w:lang w:val="en-US"/>
              </w:rPr>
              <w:t>Улсаас</w:t>
            </w:r>
            <w:proofErr w:type="spellEnd"/>
            <w:r w:rsidRPr="007247FC">
              <w:rPr>
                <w:rFonts w:ascii="Arial" w:hAnsi="Arial" w:cs="Arial"/>
                <w:sz w:val="22"/>
                <w:szCs w:val="22"/>
                <w:lang w:val="en-US"/>
              </w:rPr>
              <w:t xml:space="preserve"> </w:t>
            </w:r>
            <w:proofErr w:type="spellStart"/>
            <w:r w:rsidRPr="007247FC">
              <w:rPr>
                <w:rFonts w:ascii="Arial" w:hAnsi="Arial" w:cs="Arial"/>
                <w:sz w:val="22"/>
                <w:szCs w:val="22"/>
                <w:lang w:val="en-US"/>
              </w:rPr>
              <w:t>хилийн</w:t>
            </w:r>
            <w:proofErr w:type="spellEnd"/>
            <w:r w:rsidRPr="007247FC">
              <w:rPr>
                <w:rFonts w:ascii="Arial" w:hAnsi="Arial" w:cs="Arial"/>
                <w:sz w:val="22"/>
                <w:szCs w:val="22"/>
                <w:lang w:val="en-US"/>
              </w:rPr>
              <w:t xml:space="preserve"> </w:t>
            </w:r>
            <w:proofErr w:type="spellStart"/>
            <w:r w:rsidRPr="007247FC">
              <w:rPr>
                <w:rFonts w:ascii="Arial" w:hAnsi="Arial" w:cs="Arial"/>
                <w:sz w:val="22"/>
                <w:szCs w:val="22"/>
                <w:lang w:val="en-US"/>
              </w:rPr>
              <w:t>чанадад</w:t>
            </w:r>
            <w:proofErr w:type="spellEnd"/>
            <w:r w:rsidRPr="007247FC">
              <w:rPr>
                <w:rFonts w:ascii="Arial" w:hAnsi="Arial" w:cs="Arial"/>
                <w:sz w:val="22"/>
                <w:szCs w:val="22"/>
                <w:lang w:val="en-US"/>
              </w:rPr>
              <w:t xml:space="preserve"> </w:t>
            </w:r>
            <w:proofErr w:type="spellStart"/>
            <w:r w:rsidRPr="007247FC">
              <w:rPr>
                <w:rFonts w:ascii="Arial" w:hAnsi="Arial" w:cs="Arial"/>
                <w:sz w:val="22"/>
                <w:szCs w:val="22"/>
                <w:lang w:val="en-US"/>
              </w:rPr>
              <w:t>ажиллаж</w:t>
            </w:r>
            <w:proofErr w:type="spellEnd"/>
            <w:r w:rsidRPr="007247FC">
              <w:rPr>
                <w:rFonts w:ascii="Arial" w:hAnsi="Arial" w:cs="Arial"/>
                <w:sz w:val="22"/>
                <w:szCs w:val="22"/>
                <w:lang w:val="en-US"/>
              </w:rPr>
              <w:t xml:space="preserve"> </w:t>
            </w:r>
            <w:proofErr w:type="spellStart"/>
            <w:r w:rsidRPr="007247FC">
              <w:rPr>
                <w:rFonts w:ascii="Arial" w:hAnsi="Arial" w:cs="Arial"/>
                <w:sz w:val="22"/>
                <w:szCs w:val="22"/>
                <w:lang w:val="en-US"/>
              </w:rPr>
              <w:t>байгаа</w:t>
            </w:r>
            <w:proofErr w:type="spellEnd"/>
            <w:r w:rsidRPr="007247FC">
              <w:rPr>
                <w:rFonts w:ascii="Arial" w:hAnsi="Arial" w:cs="Arial"/>
                <w:sz w:val="22"/>
                <w:szCs w:val="22"/>
                <w:lang w:val="en-US"/>
              </w:rPr>
              <w:t xml:space="preserve"> </w:t>
            </w:r>
            <w:proofErr w:type="spellStart"/>
            <w:r w:rsidRPr="007247FC">
              <w:rPr>
                <w:rFonts w:ascii="Arial" w:hAnsi="Arial" w:cs="Arial"/>
                <w:sz w:val="22"/>
                <w:szCs w:val="22"/>
                <w:lang w:val="en-US"/>
              </w:rPr>
              <w:t>Дипломат</w:t>
            </w:r>
            <w:proofErr w:type="spellEnd"/>
            <w:r w:rsidRPr="007247FC">
              <w:rPr>
                <w:rFonts w:ascii="Arial" w:hAnsi="Arial" w:cs="Arial"/>
                <w:sz w:val="22"/>
                <w:szCs w:val="22"/>
                <w:lang w:val="en-US"/>
              </w:rPr>
              <w:t xml:space="preserve"> </w:t>
            </w:r>
            <w:proofErr w:type="spellStart"/>
            <w:r w:rsidRPr="007247FC">
              <w:rPr>
                <w:rFonts w:ascii="Arial" w:hAnsi="Arial" w:cs="Arial"/>
                <w:sz w:val="22"/>
                <w:szCs w:val="22"/>
                <w:lang w:val="en-US"/>
              </w:rPr>
              <w:t>төлөөлөгчийн</w:t>
            </w:r>
            <w:proofErr w:type="spellEnd"/>
            <w:r w:rsidRPr="007247FC">
              <w:rPr>
                <w:rFonts w:ascii="Arial" w:hAnsi="Arial" w:cs="Arial"/>
                <w:sz w:val="22"/>
                <w:szCs w:val="22"/>
                <w:lang w:val="en-US"/>
              </w:rPr>
              <w:t xml:space="preserve"> </w:t>
            </w:r>
            <w:proofErr w:type="spellStart"/>
            <w:r w:rsidRPr="007247FC">
              <w:rPr>
                <w:rFonts w:ascii="Arial" w:hAnsi="Arial" w:cs="Arial"/>
                <w:sz w:val="22"/>
                <w:szCs w:val="22"/>
                <w:lang w:val="en-US"/>
              </w:rPr>
              <w:t>газар</w:t>
            </w:r>
            <w:proofErr w:type="spellEnd"/>
            <w:r w:rsidRPr="007247FC">
              <w:rPr>
                <w:rFonts w:ascii="Arial" w:hAnsi="Arial" w:cs="Arial"/>
                <w:sz w:val="22"/>
                <w:szCs w:val="22"/>
                <w:lang w:val="en-US"/>
              </w:rPr>
              <w:t xml:space="preserve">” </w:t>
            </w:r>
            <w:proofErr w:type="spellStart"/>
            <w:r w:rsidRPr="007247FC">
              <w:rPr>
                <w:rFonts w:ascii="Arial" w:hAnsi="Arial" w:cs="Arial"/>
                <w:sz w:val="22"/>
                <w:szCs w:val="22"/>
                <w:lang w:val="en-US"/>
              </w:rPr>
              <w:t>гэж</w:t>
            </w:r>
            <w:proofErr w:type="spellEnd"/>
            <w:r w:rsidRPr="007247FC">
              <w:rPr>
                <w:rFonts w:ascii="Arial" w:hAnsi="Arial" w:cs="Arial"/>
                <w:sz w:val="22"/>
                <w:szCs w:val="22"/>
                <w:lang w:val="en-US"/>
              </w:rPr>
              <w:t xml:space="preserve"> </w:t>
            </w:r>
            <w:proofErr w:type="spellStart"/>
            <w:r w:rsidRPr="007247FC">
              <w:rPr>
                <w:rFonts w:ascii="Arial" w:hAnsi="Arial" w:cs="Arial"/>
                <w:sz w:val="22"/>
                <w:szCs w:val="22"/>
                <w:lang w:val="en-US"/>
              </w:rPr>
              <w:t>тус</w:t>
            </w:r>
            <w:proofErr w:type="spellEnd"/>
            <w:r w:rsidRPr="007247FC">
              <w:rPr>
                <w:rFonts w:ascii="Arial" w:hAnsi="Arial" w:cs="Arial"/>
                <w:sz w:val="22"/>
                <w:szCs w:val="22"/>
                <w:lang w:val="en-US"/>
              </w:rPr>
              <w:t xml:space="preserve"> </w:t>
            </w:r>
            <w:proofErr w:type="spellStart"/>
            <w:r w:rsidRPr="007247FC">
              <w:rPr>
                <w:rFonts w:ascii="Arial" w:hAnsi="Arial" w:cs="Arial"/>
                <w:sz w:val="22"/>
                <w:szCs w:val="22"/>
                <w:lang w:val="en-US"/>
              </w:rPr>
              <w:t>тус</w:t>
            </w:r>
            <w:proofErr w:type="spellEnd"/>
            <w:r w:rsidRPr="007247FC">
              <w:rPr>
                <w:rFonts w:ascii="Arial" w:hAnsi="Arial" w:cs="Arial"/>
                <w:sz w:val="22"/>
                <w:szCs w:val="22"/>
                <w:lang w:val="en-US"/>
              </w:rPr>
              <w:t xml:space="preserve"> </w:t>
            </w:r>
            <w:proofErr w:type="spellStart"/>
            <w:r w:rsidRPr="007247FC">
              <w:rPr>
                <w:rFonts w:ascii="Arial" w:hAnsi="Arial" w:cs="Arial"/>
                <w:sz w:val="22"/>
                <w:szCs w:val="22"/>
                <w:lang w:val="en-US"/>
              </w:rPr>
              <w:t>өөрчлөх</w:t>
            </w:r>
            <w:proofErr w:type="spellEnd"/>
            <w:r w:rsidRPr="007247FC">
              <w:rPr>
                <w:rFonts w:ascii="Arial" w:hAnsi="Arial" w:cs="Arial"/>
                <w:sz w:val="22"/>
                <w:szCs w:val="22"/>
                <w:lang w:val="en-US"/>
              </w:rPr>
              <w:t>;</w:t>
            </w:r>
          </w:p>
        </w:tc>
        <w:tc>
          <w:tcPr>
            <w:tcW w:w="5490" w:type="dxa"/>
          </w:tcPr>
          <w:p w14:paraId="5B4E7CCE" w14:textId="1CA1F547" w:rsidR="002260A1" w:rsidRPr="007247FC" w:rsidRDefault="0048434B" w:rsidP="00751DD5">
            <w:pPr>
              <w:jc w:val="both"/>
              <w:rPr>
                <w:rFonts w:ascii="Arial" w:hAnsi="Arial" w:cs="Arial"/>
                <w:sz w:val="22"/>
                <w:szCs w:val="22"/>
              </w:rPr>
            </w:pPr>
            <w:r>
              <w:rPr>
                <w:rFonts w:ascii="Arial" w:hAnsi="Arial" w:cs="Arial"/>
                <w:sz w:val="22"/>
                <w:szCs w:val="22"/>
              </w:rPr>
              <w:t>Саналыг тусгаж, х</w:t>
            </w:r>
            <w:r w:rsidR="002260A1" w:rsidRPr="007247FC">
              <w:rPr>
                <w:rFonts w:ascii="Arial" w:hAnsi="Arial" w:cs="Arial"/>
                <w:sz w:val="22"/>
                <w:szCs w:val="22"/>
              </w:rPr>
              <w:t xml:space="preserve">уулийн төслийн </w:t>
            </w:r>
            <w:r w:rsidR="002260A1" w:rsidRPr="007247FC">
              <w:rPr>
                <w:rFonts w:ascii="Arial" w:hAnsi="Arial" w:cs="Arial"/>
                <w:sz w:val="22"/>
                <w:szCs w:val="22"/>
                <w:lang w:val="en-US"/>
              </w:rPr>
              <w:t>7.4.6, 21.3, 21.29</w:t>
            </w:r>
            <w:r w:rsidR="002260A1" w:rsidRPr="007247FC">
              <w:rPr>
                <w:rFonts w:ascii="Arial" w:hAnsi="Arial" w:cs="Arial"/>
                <w:sz w:val="22"/>
                <w:szCs w:val="22"/>
              </w:rPr>
              <w:t xml:space="preserve"> дэх хэсэг, заалтуудад </w:t>
            </w:r>
            <w:r w:rsidR="002260A1" w:rsidRPr="007247FC">
              <w:rPr>
                <w:rFonts w:ascii="Arial" w:hAnsi="Arial" w:cs="Arial"/>
                <w:sz w:val="22"/>
                <w:szCs w:val="22"/>
                <w:lang w:val="en-US"/>
              </w:rPr>
              <w:t>“</w:t>
            </w:r>
            <w:proofErr w:type="spellStart"/>
            <w:r w:rsidR="002260A1" w:rsidRPr="007247FC">
              <w:rPr>
                <w:rFonts w:ascii="Arial" w:hAnsi="Arial" w:cs="Arial"/>
                <w:sz w:val="22"/>
                <w:szCs w:val="22"/>
                <w:lang w:val="en-US"/>
              </w:rPr>
              <w:t>Монгол</w:t>
            </w:r>
            <w:proofErr w:type="spellEnd"/>
            <w:r w:rsidR="002260A1" w:rsidRPr="007247FC">
              <w:rPr>
                <w:rFonts w:ascii="Arial" w:hAnsi="Arial" w:cs="Arial"/>
                <w:sz w:val="22"/>
                <w:szCs w:val="22"/>
                <w:lang w:val="en-US"/>
              </w:rPr>
              <w:t xml:space="preserve"> </w:t>
            </w:r>
            <w:proofErr w:type="spellStart"/>
            <w:r w:rsidR="002260A1" w:rsidRPr="007247FC">
              <w:rPr>
                <w:rFonts w:ascii="Arial" w:hAnsi="Arial" w:cs="Arial"/>
                <w:sz w:val="22"/>
                <w:szCs w:val="22"/>
                <w:lang w:val="en-US"/>
              </w:rPr>
              <w:t>Улсаас</w:t>
            </w:r>
            <w:proofErr w:type="spellEnd"/>
            <w:r w:rsidR="002260A1" w:rsidRPr="007247FC">
              <w:rPr>
                <w:rFonts w:ascii="Arial" w:hAnsi="Arial" w:cs="Arial"/>
                <w:sz w:val="22"/>
                <w:szCs w:val="22"/>
                <w:lang w:val="en-US"/>
              </w:rPr>
              <w:t xml:space="preserve"> </w:t>
            </w:r>
            <w:proofErr w:type="spellStart"/>
            <w:r w:rsidR="002260A1" w:rsidRPr="007247FC">
              <w:rPr>
                <w:rFonts w:ascii="Arial" w:hAnsi="Arial" w:cs="Arial"/>
                <w:sz w:val="22"/>
                <w:szCs w:val="22"/>
                <w:lang w:val="en-US"/>
              </w:rPr>
              <w:t>хилийн</w:t>
            </w:r>
            <w:proofErr w:type="spellEnd"/>
            <w:r w:rsidR="002260A1" w:rsidRPr="007247FC">
              <w:rPr>
                <w:rFonts w:ascii="Arial" w:hAnsi="Arial" w:cs="Arial"/>
                <w:sz w:val="22"/>
                <w:szCs w:val="22"/>
                <w:lang w:val="en-US"/>
              </w:rPr>
              <w:t xml:space="preserve"> </w:t>
            </w:r>
            <w:proofErr w:type="spellStart"/>
            <w:r w:rsidR="002260A1" w:rsidRPr="007247FC">
              <w:rPr>
                <w:rFonts w:ascii="Arial" w:hAnsi="Arial" w:cs="Arial"/>
                <w:sz w:val="22"/>
                <w:szCs w:val="22"/>
                <w:lang w:val="en-US"/>
              </w:rPr>
              <w:t>чанадад</w:t>
            </w:r>
            <w:proofErr w:type="spellEnd"/>
            <w:r w:rsidR="002260A1" w:rsidRPr="007247FC">
              <w:rPr>
                <w:rFonts w:ascii="Arial" w:hAnsi="Arial" w:cs="Arial"/>
                <w:sz w:val="22"/>
                <w:szCs w:val="22"/>
                <w:lang w:val="en-US"/>
              </w:rPr>
              <w:t xml:space="preserve"> </w:t>
            </w:r>
            <w:proofErr w:type="spellStart"/>
            <w:r w:rsidR="002260A1" w:rsidRPr="007247FC">
              <w:rPr>
                <w:rFonts w:ascii="Arial" w:hAnsi="Arial" w:cs="Arial"/>
                <w:sz w:val="22"/>
                <w:szCs w:val="22"/>
                <w:lang w:val="en-US"/>
              </w:rPr>
              <w:t>ажиллаж</w:t>
            </w:r>
            <w:proofErr w:type="spellEnd"/>
            <w:r w:rsidR="002260A1" w:rsidRPr="007247FC">
              <w:rPr>
                <w:rFonts w:ascii="Arial" w:hAnsi="Arial" w:cs="Arial"/>
                <w:sz w:val="22"/>
                <w:szCs w:val="22"/>
                <w:lang w:val="en-US"/>
              </w:rPr>
              <w:t xml:space="preserve"> </w:t>
            </w:r>
            <w:proofErr w:type="spellStart"/>
            <w:r w:rsidR="002260A1" w:rsidRPr="007247FC">
              <w:rPr>
                <w:rFonts w:ascii="Arial" w:hAnsi="Arial" w:cs="Arial"/>
                <w:sz w:val="22"/>
                <w:szCs w:val="22"/>
                <w:lang w:val="en-US"/>
              </w:rPr>
              <w:t>байгаа</w:t>
            </w:r>
            <w:proofErr w:type="spellEnd"/>
            <w:r w:rsidR="002260A1" w:rsidRPr="007247FC">
              <w:rPr>
                <w:rFonts w:ascii="Arial" w:hAnsi="Arial" w:cs="Arial"/>
                <w:sz w:val="22"/>
                <w:szCs w:val="22"/>
                <w:lang w:val="en-US"/>
              </w:rPr>
              <w:t xml:space="preserve"> </w:t>
            </w:r>
            <w:proofErr w:type="spellStart"/>
            <w:r w:rsidR="002260A1" w:rsidRPr="007247FC">
              <w:rPr>
                <w:rFonts w:ascii="Arial" w:hAnsi="Arial" w:cs="Arial"/>
                <w:sz w:val="22"/>
                <w:szCs w:val="22"/>
                <w:lang w:val="en-US"/>
              </w:rPr>
              <w:t>Дипломат</w:t>
            </w:r>
            <w:proofErr w:type="spellEnd"/>
            <w:r w:rsidR="002260A1" w:rsidRPr="007247FC">
              <w:rPr>
                <w:rFonts w:ascii="Arial" w:hAnsi="Arial" w:cs="Arial"/>
                <w:sz w:val="22"/>
                <w:szCs w:val="22"/>
                <w:lang w:val="en-US"/>
              </w:rPr>
              <w:t xml:space="preserve"> </w:t>
            </w:r>
            <w:proofErr w:type="spellStart"/>
            <w:r w:rsidR="002260A1" w:rsidRPr="007247FC">
              <w:rPr>
                <w:rFonts w:ascii="Arial" w:hAnsi="Arial" w:cs="Arial"/>
                <w:sz w:val="22"/>
                <w:szCs w:val="22"/>
                <w:lang w:val="en-US"/>
              </w:rPr>
              <w:t>төлөөлөгчийн</w:t>
            </w:r>
            <w:proofErr w:type="spellEnd"/>
            <w:r w:rsidR="002260A1" w:rsidRPr="007247FC">
              <w:rPr>
                <w:rFonts w:ascii="Arial" w:hAnsi="Arial" w:cs="Arial"/>
                <w:sz w:val="22"/>
                <w:szCs w:val="22"/>
                <w:lang w:val="en-US"/>
              </w:rPr>
              <w:t xml:space="preserve"> </w:t>
            </w:r>
            <w:proofErr w:type="spellStart"/>
            <w:r w:rsidR="002260A1" w:rsidRPr="007247FC">
              <w:rPr>
                <w:rFonts w:ascii="Arial" w:hAnsi="Arial" w:cs="Arial"/>
                <w:sz w:val="22"/>
                <w:szCs w:val="22"/>
                <w:lang w:val="en-US"/>
              </w:rPr>
              <w:t>газар</w:t>
            </w:r>
            <w:proofErr w:type="spellEnd"/>
            <w:r w:rsidR="002260A1" w:rsidRPr="007247FC">
              <w:rPr>
                <w:rFonts w:ascii="Arial" w:hAnsi="Arial" w:cs="Arial"/>
                <w:sz w:val="22"/>
                <w:szCs w:val="22"/>
                <w:lang w:val="en-US"/>
              </w:rPr>
              <w:t>”</w:t>
            </w:r>
            <w:r w:rsidR="002260A1" w:rsidRPr="007247FC">
              <w:rPr>
                <w:rFonts w:ascii="Arial" w:hAnsi="Arial" w:cs="Arial"/>
                <w:sz w:val="22"/>
                <w:szCs w:val="22"/>
              </w:rPr>
              <w:t xml:space="preserve"> гэж тусгав. </w:t>
            </w:r>
          </w:p>
        </w:tc>
      </w:tr>
      <w:tr w:rsidR="002260A1" w:rsidRPr="007247FC" w14:paraId="05D7F9B7" w14:textId="77777777" w:rsidTr="00F42933">
        <w:tc>
          <w:tcPr>
            <w:tcW w:w="643" w:type="dxa"/>
            <w:vMerge/>
            <w:vAlign w:val="center"/>
          </w:tcPr>
          <w:p w14:paraId="77AD150B" w14:textId="77777777" w:rsidR="002260A1" w:rsidRPr="007247FC" w:rsidRDefault="002260A1" w:rsidP="002260A1">
            <w:pPr>
              <w:jc w:val="center"/>
              <w:rPr>
                <w:rFonts w:ascii="Arial" w:hAnsi="Arial" w:cs="Arial"/>
                <w:sz w:val="22"/>
                <w:szCs w:val="22"/>
              </w:rPr>
            </w:pPr>
          </w:p>
        </w:tc>
        <w:tc>
          <w:tcPr>
            <w:tcW w:w="1872" w:type="dxa"/>
            <w:vMerge/>
            <w:vAlign w:val="center"/>
          </w:tcPr>
          <w:p w14:paraId="460D2CAC" w14:textId="77777777" w:rsidR="002260A1" w:rsidRPr="007247FC" w:rsidRDefault="002260A1" w:rsidP="002260A1">
            <w:pPr>
              <w:jc w:val="center"/>
              <w:rPr>
                <w:rFonts w:ascii="Arial" w:hAnsi="Arial" w:cs="Arial"/>
                <w:sz w:val="22"/>
                <w:szCs w:val="22"/>
              </w:rPr>
            </w:pPr>
          </w:p>
        </w:tc>
        <w:tc>
          <w:tcPr>
            <w:tcW w:w="5490" w:type="dxa"/>
            <w:vAlign w:val="center"/>
          </w:tcPr>
          <w:p w14:paraId="5F06310C" w14:textId="77777777" w:rsidR="002260A1" w:rsidRPr="007247FC" w:rsidRDefault="002260A1" w:rsidP="002260A1">
            <w:pPr>
              <w:jc w:val="both"/>
              <w:rPr>
                <w:rFonts w:ascii="Arial" w:hAnsi="Arial" w:cs="Arial"/>
                <w:sz w:val="22"/>
                <w:szCs w:val="22"/>
              </w:rPr>
            </w:pPr>
            <w:r w:rsidRPr="007247FC">
              <w:rPr>
                <w:rFonts w:ascii="Arial" w:hAnsi="Arial" w:cs="Arial"/>
                <w:sz w:val="22"/>
                <w:szCs w:val="22"/>
              </w:rPr>
              <w:t>2.Төслийн 7.8-д “тэтгэвэр авагч” гэсний дараа “7.4.6-д зааснаас бусад даатгуулагч” гэж нэмэх;</w:t>
            </w:r>
          </w:p>
          <w:p w14:paraId="0277AF0F" w14:textId="77777777" w:rsidR="002260A1" w:rsidRPr="007247FC" w:rsidRDefault="002260A1" w:rsidP="002260A1">
            <w:pPr>
              <w:jc w:val="both"/>
              <w:rPr>
                <w:rFonts w:ascii="Arial" w:hAnsi="Arial" w:cs="Arial"/>
                <w:sz w:val="22"/>
                <w:szCs w:val="22"/>
              </w:rPr>
            </w:pPr>
          </w:p>
        </w:tc>
        <w:tc>
          <w:tcPr>
            <w:tcW w:w="5490" w:type="dxa"/>
            <w:vAlign w:val="center"/>
          </w:tcPr>
          <w:p w14:paraId="44838D7E" w14:textId="39465EA0" w:rsidR="002260A1" w:rsidRPr="007247FC" w:rsidRDefault="002260A1" w:rsidP="002260A1">
            <w:pPr>
              <w:jc w:val="both"/>
              <w:rPr>
                <w:rFonts w:ascii="Arial" w:hAnsi="Arial" w:cs="Arial"/>
                <w:sz w:val="22"/>
                <w:szCs w:val="22"/>
              </w:rPr>
            </w:pPr>
            <w:r w:rsidRPr="007247FC">
              <w:rPr>
                <w:rFonts w:ascii="Arial" w:hAnsi="Arial" w:cs="Arial"/>
                <w:sz w:val="22"/>
                <w:szCs w:val="22"/>
              </w:rPr>
              <w:t xml:space="preserve">Хуулийн төслийн 7.4.6-д заасан “Монгол Улсаас хилийн чанадад ажиллаж байгаа Дипломат төлөөлөгчийн газар, төрийн байгууллагын төлөөний болон төлөөлөгчийн газрын ажилтны хөдөлмөр эрхлээгүй, өндөр насны тэтгэвэр тогтоолгоогүй нөхөр, эхнэр;” нь албан журмаар даатгуулах тул бусад албан журмаар даатгуулагчийн адил сайн дураар давхар даатгуулахгүй, харин өөрөө хүсвэл хувийн нэмэлт тэтгэврийн санд даатгуулах боломжтой юм. </w:t>
            </w:r>
          </w:p>
        </w:tc>
      </w:tr>
      <w:tr w:rsidR="002260A1" w:rsidRPr="007247FC" w14:paraId="7968165A" w14:textId="77777777" w:rsidTr="00F42933">
        <w:tc>
          <w:tcPr>
            <w:tcW w:w="643" w:type="dxa"/>
            <w:vMerge/>
            <w:vAlign w:val="center"/>
          </w:tcPr>
          <w:p w14:paraId="086BDA2F" w14:textId="77777777" w:rsidR="002260A1" w:rsidRPr="007247FC" w:rsidRDefault="002260A1" w:rsidP="002260A1">
            <w:pPr>
              <w:jc w:val="center"/>
              <w:rPr>
                <w:rFonts w:ascii="Arial" w:hAnsi="Arial" w:cs="Arial"/>
                <w:sz w:val="22"/>
                <w:szCs w:val="22"/>
              </w:rPr>
            </w:pPr>
          </w:p>
        </w:tc>
        <w:tc>
          <w:tcPr>
            <w:tcW w:w="1872" w:type="dxa"/>
            <w:vMerge/>
            <w:vAlign w:val="center"/>
          </w:tcPr>
          <w:p w14:paraId="2C9DF08D" w14:textId="77777777" w:rsidR="002260A1" w:rsidRPr="007247FC" w:rsidRDefault="002260A1" w:rsidP="002260A1">
            <w:pPr>
              <w:jc w:val="center"/>
              <w:rPr>
                <w:rFonts w:ascii="Arial" w:hAnsi="Arial" w:cs="Arial"/>
                <w:sz w:val="22"/>
                <w:szCs w:val="22"/>
              </w:rPr>
            </w:pPr>
          </w:p>
        </w:tc>
        <w:tc>
          <w:tcPr>
            <w:tcW w:w="5490" w:type="dxa"/>
            <w:vAlign w:val="center"/>
          </w:tcPr>
          <w:p w14:paraId="422222E5" w14:textId="70E9A0AB" w:rsidR="002260A1" w:rsidRPr="007247FC" w:rsidRDefault="002260A1" w:rsidP="002260A1">
            <w:pPr>
              <w:jc w:val="both"/>
              <w:rPr>
                <w:rFonts w:ascii="Arial" w:hAnsi="Arial" w:cs="Arial"/>
                <w:sz w:val="22"/>
                <w:szCs w:val="22"/>
              </w:rPr>
            </w:pPr>
            <w:r w:rsidRPr="007247FC">
              <w:rPr>
                <w:rFonts w:ascii="Arial" w:hAnsi="Arial" w:cs="Arial"/>
                <w:sz w:val="22"/>
                <w:szCs w:val="22"/>
              </w:rPr>
              <w:t>3.Төслийн 7.7-д “7.1-7.6” гэснийг “7.2-7.5” гэж 18.1-д “7.6” гэснийг “7.5” гэж, 21.27-д “шимтгэл төлөх үед мөрдөж байгаа сарын хөдөлмөрийн хөлсний доод” гэснийг “энэ хуулийн 21.30-д заасан цалин хөлсний” гэж тус тус өөрчлөх;</w:t>
            </w:r>
          </w:p>
        </w:tc>
        <w:tc>
          <w:tcPr>
            <w:tcW w:w="5490" w:type="dxa"/>
          </w:tcPr>
          <w:p w14:paraId="2C409301" w14:textId="66D7371F" w:rsidR="002260A1" w:rsidRPr="007247FC" w:rsidRDefault="002260A1" w:rsidP="002260A1">
            <w:pPr>
              <w:jc w:val="both"/>
              <w:rPr>
                <w:rFonts w:ascii="Arial" w:hAnsi="Arial" w:cs="Arial"/>
                <w:sz w:val="22"/>
                <w:szCs w:val="22"/>
              </w:rPr>
            </w:pPr>
            <w:r w:rsidRPr="007247FC">
              <w:rPr>
                <w:rFonts w:ascii="Arial" w:hAnsi="Arial" w:cs="Arial"/>
                <w:sz w:val="22"/>
                <w:szCs w:val="22"/>
              </w:rPr>
              <w:t>Хуулийн төслийн 7.7, 18.1-д саналыг тус тус тусгав.</w:t>
            </w:r>
          </w:p>
          <w:p w14:paraId="32A18495" w14:textId="292C3004" w:rsidR="002260A1" w:rsidRPr="007247FC" w:rsidRDefault="002260A1" w:rsidP="002260A1">
            <w:pPr>
              <w:jc w:val="both"/>
              <w:rPr>
                <w:rFonts w:ascii="Arial" w:hAnsi="Arial" w:cs="Arial"/>
                <w:sz w:val="22"/>
                <w:szCs w:val="22"/>
              </w:rPr>
            </w:pPr>
            <w:r w:rsidRPr="007247FC">
              <w:rPr>
                <w:rFonts w:ascii="Arial" w:hAnsi="Arial" w:cs="Arial"/>
                <w:sz w:val="22"/>
                <w:szCs w:val="22"/>
              </w:rPr>
              <w:t xml:space="preserve">Хуулийн төслийн </w:t>
            </w:r>
            <w:r w:rsidRPr="007247FC">
              <w:rPr>
                <w:rFonts w:ascii="Arial" w:eastAsia="MS Mincho" w:hAnsi="Arial" w:cs="Arial"/>
                <w:bCs/>
                <w:sz w:val="22"/>
                <w:szCs w:val="22"/>
              </w:rPr>
              <w:t xml:space="preserve">21.27-д заасан “ ... цаг уурын хүнд нөхцөл бүхий улсад ажилласан өсгөн тооцсон хугацаа” буюу бусад салбарын өсгөн тооцсон хугацааны тэтгэврийн даатгалын шимтгэлийг шимтгэл төлөх үед мөрдөж байгаа сарын хөдөлмөрийн хөлсний доод хэмжээнээс тооцож байгаа болно.  Энэ нь даатгуулагчийн тэтгэвэр тооцох цалин хөлсний хэмжээнд нөлөөлөхгүй юм. </w:t>
            </w:r>
          </w:p>
        </w:tc>
      </w:tr>
      <w:tr w:rsidR="002260A1" w:rsidRPr="007247FC" w14:paraId="3CC63DC9" w14:textId="77777777" w:rsidTr="00F42933">
        <w:tc>
          <w:tcPr>
            <w:tcW w:w="643" w:type="dxa"/>
            <w:vMerge/>
            <w:vAlign w:val="center"/>
          </w:tcPr>
          <w:p w14:paraId="34F56341" w14:textId="77777777" w:rsidR="002260A1" w:rsidRPr="007247FC" w:rsidRDefault="002260A1" w:rsidP="002260A1">
            <w:pPr>
              <w:jc w:val="center"/>
              <w:rPr>
                <w:rFonts w:ascii="Arial" w:hAnsi="Arial" w:cs="Arial"/>
                <w:sz w:val="22"/>
                <w:szCs w:val="22"/>
              </w:rPr>
            </w:pPr>
          </w:p>
        </w:tc>
        <w:tc>
          <w:tcPr>
            <w:tcW w:w="1872" w:type="dxa"/>
            <w:vMerge/>
            <w:vAlign w:val="center"/>
          </w:tcPr>
          <w:p w14:paraId="44ED8C34" w14:textId="77777777" w:rsidR="002260A1" w:rsidRPr="007247FC" w:rsidRDefault="002260A1" w:rsidP="002260A1">
            <w:pPr>
              <w:jc w:val="center"/>
              <w:rPr>
                <w:rFonts w:ascii="Arial" w:hAnsi="Arial" w:cs="Arial"/>
                <w:sz w:val="22"/>
                <w:szCs w:val="22"/>
              </w:rPr>
            </w:pPr>
          </w:p>
        </w:tc>
        <w:tc>
          <w:tcPr>
            <w:tcW w:w="5490" w:type="dxa"/>
            <w:vAlign w:val="center"/>
          </w:tcPr>
          <w:p w14:paraId="68288DB1" w14:textId="4DC5C438" w:rsidR="002260A1" w:rsidRPr="007247FC" w:rsidRDefault="002260A1" w:rsidP="002260A1">
            <w:pPr>
              <w:jc w:val="both"/>
              <w:rPr>
                <w:rFonts w:ascii="Arial" w:hAnsi="Arial" w:cs="Arial"/>
                <w:sz w:val="22"/>
                <w:szCs w:val="22"/>
              </w:rPr>
            </w:pPr>
            <w:r w:rsidRPr="007247FC">
              <w:rPr>
                <w:rFonts w:ascii="Arial" w:hAnsi="Arial" w:cs="Arial"/>
                <w:sz w:val="22"/>
                <w:szCs w:val="22"/>
              </w:rPr>
              <w:t>4.Төслийн 21.13-т “тухайн үед мөрдөж байгаа сарын хөдөлмөрийн хөлсний доод хэмжээнээс даатгуулагчийн болон ажил олгогчийн төлөх шимтгэлийн хувьд хэмжээгээр тооцож, улсын төсвөөс” гэснийг “төрийн албан хаагчийн үндсэн цалингийн дундаж хэмжээгээр тооцож, нөхөр буюу эхнэрийн ажиллаж байгаа ажил олгогч нь” гэж өөрчлөх;</w:t>
            </w:r>
          </w:p>
        </w:tc>
        <w:tc>
          <w:tcPr>
            <w:tcW w:w="5490" w:type="dxa"/>
            <w:vAlign w:val="center"/>
          </w:tcPr>
          <w:p w14:paraId="76D0A13B" w14:textId="7A51067E" w:rsidR="002260A1" w:rsidRPr="007247FC" w:rsidRDefault="002260A1" w:rsidP="002260A1">
            <w:pPr>
              <w:jc w:val="both"/>
              <w:rPr>
                <w:rFonts w:ascii="Arial" w:hAnsi="Arial" w:cs="Arial"/>
                <w:sz w:val="22"/>
                <w:szCs w:val="22"/>
              </w:rPr>
            </w:pPr>
            <w:r w:rsidRPr="007247FC">
              <w:rPr>
                <w:rFonts w:ascii="Arial" w:hAnsi="Arial" w:cs="Arial"/>
                <w:sz w:val="22"/>
                <w:szCs w:val="22"/>
              </w:rPr>
              <w:t xml:space="preserve">Улсын төсвийн зардал нэмэгдэх тул саналыг тусгах боломжгүй юм. </w:t>
            </w:r>
          </w:p>
        </w:tc>
      </w:tr>
      <w:tr w:rsidR="002260A1" w:rsidRPr="007247FC" w14:paraId="2CE1DCC4" w14:textId="77777777" w:rsidTr="00F42933">
        <w:tc>
          <w:tcPr>
            <w:tcW w:w="643" w:type="dxa"/>
            <w:vMerge/>
            <w:vAlign w:val="center"/>
          </w:tcPr>
          <w:p w14:paraId="6011A3B4" w14:textId="6FDF0DE3" w:rsidR="002260A1" w:rsidRPr="007247FC" w:rsidRDefault="002260A1" w:rsidP="002260A1">
            <w:pPr>
              <w:jc w:val="center"/>
              <w:rPr>
                <w:rFonts w:ascii="Arial" w:hAnsi="Arial" w:cs="Arial"/>
                <w:sz w:val="22"/>
                <w:szCs w:val="22"/>
              </w:rPr>
            </w:pPr>
          </w:p>
        </w:tc>
        <w:tc>
          <w:tcPr>
            <w:tcW w:w="1872" w:type="dxa"/>
            <w:vMerge/>
            <w:vAlign w:val="center"/>
          </w:tcPr>
          <w:p w14:paraId="1FC21E2A" w14:textId="416003D1" w:rsidR="002260A1" w:rsidRPr="007247FC" w:rsidRDefault="002260A1" w:rsidP="002260A1">
            <w:pPr>
              <w:jc w:val="center"/>
              <w:rPr>
                <w:rFonts w:ascii="Arial" w:hAnsi="Arial" w:cs="Arial"/>
                <w:sz w:val="22"/>
                <w:szCs w:val="22"/>
              </w:rPr>
            </w:pPr>
          </w:p>
        </w:tc>
        <w:tc>
          <w:tcPr>
            <w:tcW w:w="5490" w:type="dxa"/>
            <w:vAlign w:val="center"/>
          </w:tcPr>
          <w:p w14:paraId="750BE8B4" w14:textId="7C58DC0C" w:rsidR="002260A1" w:rsidRPr="007247FC" w:rsidRDefault="002260A1" w:rsidP="002260A1">
            <w:pPr>
              <w:jc w:val="both"/>
              <w:rPr>
                <w:rFonts w:ascii="Arial" w:hAnsi="Arial" w:cs="Arial"/>
                <w:sz w:val="22"/>
                <w:szCs w:val="22"/>
              </w:rPr>
            </w:pPr>
            <w:r w:rsidRPr="007247FC">
              <w:rPr>
                <w:rFonts w:ascii="Arial" w:hAnsi="Arial" w:cs="Arial"/>
                <w:sz w:val="22"/>
                <w:szCs w:val="22"/>
              </w:rPr>
              <w:t>5.Дагалдуулан боловсруулсан Дипломат албаны тухай хуульд өөрчлөлт оруулах тухай хуулийн төслийн 1 дүгээр зүйлийг “Дипломат албаны тухай хуулийн 23 дугаар зүйлийн 23.2 дахь хэсгийн “төр хариуцна.” гэснийг “эхнэр буюу нөхрийн ажиллаж байгаа ажил олгогч нь хариуцаж, Нийгмийн даатгалын ерөнхий хуульд заасны дагуу төлнө.” гэж өөрчилсүгэй” гэж өөрчлөн найруулах зэрэг болно.</w:t>
            </w:r>
          </w:p>
        </w:tc>
        <w:tc>
          <w:tcPr>
            <w:tcW w:w="5490" w:type="dxa"/>
            <w:vAlign w:val="center"/>
          </w:tcPr>
          <w:p w14:paraId="177C40DC" w14:textId="33C2C665" w:rsidR="002260A1" w:rsidRPr="007247FC" w:rsidRDefault="002260A1" w:rsidP="002260A1">
            <w:pPr>
              <w:jc w:val="both"/>
              <w:rPr>
                <w:rFonts w:ascii="Arial" w:hAnsi="Arial" w:cs="Arial"/>
                <w:sz w:val="22"/>
                <w:szCs w:val="22"/>
              </w:rPr>
            </w:pPr>
            <w:r w:rsidRPr="007247FC">
              <w:rPr>
                <w:rFonts w:ascii="Arial" w:hAnsi="Arial" w:cs="Arial"/>
                <w:sz w:val="22"/>
                <w:szCs w:val="22"/>
              </w:rPr>
              <w:t>Саналыг тусгав.</w:t>
            </w:r>
          </w:p>
          <w:p w14:paraId="5241D626" w14:textId="19A3577C" w:rsidR="002260A1" w:rsidRPr="007247FC" w:rsidRDefault="002260A1" w:rsidP="002260A1">
            <w:pPr>
              <w:jc w:val="both"/>
              <w:rPr>
                <w:rFonts w:ascii="Arial" w:hAnsi="Arial" w:cs="Arial"/>
                <w:sz w:val="22"/>
                <w:szCs w:val="22"/>
              </w:rPr>
            </w:pPr>
            <w:r w:rsidRPr="007247FC">
              <w:rPr>
                <w:rFonts w:ascii="Arial" w:hAnsi="Arial" w:cs="Arial"/>
                <w:sz w:val="22"/>
                <w:szCs w:val="22"/>
              </w:rPr>
              <w:t>Хуулийн төслийн 21.15, дагах хуулийн “төр хариуцна.” гэснийг “эхнэр буюу нөхрийн ажиллаж байгаа ажил олгогч нь хариуцаж, Нийгмийн даатгалын ерөнхий хуульд заасны дагуу төлнө.” гэж өөрчилсүгэй”</w:t>
            </w:r>
          </w:p>
          <w:p w14:paraId="64EB2B1D" w14:textId="77777777" w:rsidR="002260A1" w:rsidRPr="007247FC" w:rsidRDefault="002260A1" w:rsidP="002260A1">
            <w:pPr>
              <w:jc w:val="both"/>
              <w:rPr>
                <w:rFonts w:ascii="Arial" w:hAnsi="Arial" w:cs="Arial"/>
                <w:sz w:val="22"/>
                <w:szCs w:val="22"/>
              </w:rPr>
            </w:pPr>
          </w:p>
        </w:tc>
      </w:tr>
      <w:tr w:rsidR="002260A1" w:rsidRPr="007247FC" w14:paraId="1302A329" w14:textId="77777777" w:rsidTr="00F42933">
        <w:tc>
          <w:tcPr>
            <w:tcW w:w="643" w:type="dxa"/>
            <w:vMerge w:val="restart"/>
            <w:vAlign w:val="center"/>
          </w:tcPr>
          <w:p w14:paraId="60651A9F" w14:textId="1D12E0C6" w:rsidR="002260A1" w:rsidRPr="007247FC" w:rsidRDefault="002260A1" w:rsidP="002260A1">
            <w:pPr>
              <w:jc w:val="center"/>
              <w:rPr>
                <w:rFonts w:ascii="Arial" w:hAnsi="Arial" w:cs="Arial"/>
                <w:sz w:val="22"/>
                <w:szCs w:val="22"/>
                <w:lang w:val="en-US"/>
              </w:rPr>
            </w:pPr>
            <w:r w:rsidRPr="007247FC">
              <w:rPr>
                <w:rFonts w:ascii="Arial" w:hAnsi="Arial" w:cs="Arial"/>
                <w:sz w:val="22"/>
                <w:szCs w:val="22"/>
                <w:lang w:val="en-US"/>
              </w:rPr>
              <w:t>7</w:t>
            </w:r>
          </w:p>
        </w:tc>
        <w:tc>
          <w:tcPr>
            <w:tcW w:w="1872" w:type="dxa"/>
            <w:vMerge w:val="restart"/>
            <w:vAlign w:val="center"/>
          </w:tcPr>
          <w:p w14:paraId="21BB290B" w14:textId="4D50A953" w:rsidR="002260A1" w:rsidRPr="007247FC" w:rsidRDefault="002260A1" w:rsidP="002260A1">
            <w:pPr>
              <w:jc w:val="center"/>
              <w:rPr>
                <w:rFonts w:ascii="Arial" w:hAnsi="Arial" w:cs="Arial"/>
                <w:sz w:val="22"/>
                <w:szCs w:val="22"/>
                <w:lang w:val="en-US"/>
              </w:rPr>
            </w:pPr>
            <w:r w:rsidRPr="007247FC">
              <w:rPr>
                <w:rFonts w:ascii="Arial" w:hAnsi="Arial" w:cs="Arial"/>
                <w:sz w:val="22"/>
                <w:szCs w:val="22"/>
              </w:rPr>
              <w:t>Батлан хамгаалах яам</w:t>
            </w:r>
            <w:r w:rsidRPr="007247FC">
              <w:rPr>
                <w:rFonts w:ascii="Arial" w:hAnsi="Arial" w:cs="Arial"/>
                <w:sz w:val="22"/>
                <w:szCs w:val="22"/>
                <w:lang w:val="en-US"/>
              </w:rPr>
              <w:t xml:space="preserve"> (</w:t>
            </w:r>
            <w:r w:rsidRPr="007247FC">
              <w:rPr>
                <w:rFonts w:ascii="Arial" w:hAnsi="Arial" w:cs="Arial"/>
                <w:sz w:val="22"/>
                <w:szCs w:val="22"/>
              </w:rPr>
              <w:t xml:space="preserve">2022.12.27 </w:t>
            </w:r>
            <w:r w:rsidRPr="007247FC">
              <w:rPr>
                <w:rFonts w:ascii="Arial" w:hAnsi="Arial" w:cs="Arial"/>
                <w:sz w:val="22"/>
                <w:szCs w:val="22"/>
                <w:lang w:val="en-US"/>
              </w:rPr>
              <w:t>1</w:t>
            </w:r>
            <w:r w:rsidRPr="007247FC">
              <w:rPr>
                <w:rFonts w:ascii="Arial" w:hAnsi="Arial" w:cs="Arial"/>
                <w:sz w:val="22"/>
                <w:szCs w:val="22"/>
              </w:rPr>
              <w:t>а/4759</w:t>
            </w:r>
            <w:r w:rsidRPr="007247FC">
              <w:rPr>
                <w:rFonts w:ascii="Arial" w:hAnsi="Arial" w:cs="Arial"/>
                <w:sz w:val="22"/>
                <w:szCs w:val="22"/>
                <w:lang w:val="en-US"/>
              </w:rPr>
              <w:t>)</w:t>
            </w:r>
          </w:p>
        </w:tc>
        <w:tc>
          <w:tcPr>
            <w:tcW w:w="5490" w:type="dxa"/>
            <w:vAlign w:val="center"/>
          </w:tcPr>
          <w:p w14:paraId="24225853" w14:textId="293B10A6" w:rsidR="002260A1" w:rsidRPr="007247FC" w:rsidRDefault="002260A1" w:rsidP="002260A1">
            <w:pPr>
              <w:pStyle w:val="NormalWeb"/>
              <w:spacing w:before="0" w:beforeAutospacing="0" w:after="0" w:afterAutospacing="0"/>
              <w:ind w:hanging="14"/>
              <w:jc w:val="both"/>
              <w:rPr>
                <w:rFonts w:ascii="Arial" w:hAnsi="Arial" w:cs="Arial"/>
                <w:sz w:val="22"/>
                <w:szCs w:val="22"/>
                <w:lang w:val="mn-MN"/>
              </w:rPr>
            </w:pPr>
            <w:r w:rsidRPr="007247FC">
              <w:rPr>
                <w:rFonts w:ascii="Arial" w:hAnsi="Arial" w:cs="Arial"/>
                <w:sz w:val="22"/>
                <w:szCs w:val="22"/>
                <w:lang w:val="mn-MN"/>
              </w:rPr>
              <w:t>1.Хуулийн төслийн 2 дугаар зүйлийн 2.2 дахь хэсгийг “Монгол Улсын олон улсын гэрээнд энэ хуульд зааснаас өөрөөр заасан бол олон улсын гэрээний заалтыг дагаж мөрдөнө.” гэж, 23 дугаар зүйлийн 23.1.5 дахь заалтыг “Цэргийн алба хаагчийн тэтгэвэр, тэтгэмжийн тухай хуулийн 6 дугаар зүйлийн 3 дахь хэсэгт заасны дагуу тооцсон хугацаа;” гэж, 35 дугаар зүйлийн 35.11.3 дахь заалтын “..., дүгнэлт, шийдвэр гаргах;” гэснийг “..., энэ хуулийн 12.1-т заасан зориулалтаар зарцуулах шийдвэр гаргах;” гэж, 44 дүгээр зүйлийн 44.7 дахь хэсгийг “Энэ хуулийг зөрчсөн албан тушаалтан, иргэний үйлдэл нь гэмт хэргийн шинжтэй бол Эрүүгийн хууль, зөрчлийн шинжтэй бол Зөрчлийн тухай хуульд заасан хариуцлага хүлээлгэнэ.” гэж тус тус өөрчлөн найруулах;</w:t>
            </w:r>
          </w:p>
        </w:tc>
        <w:tc>
          <w:tcPr>
            <w:tcW w:w="5490" w:type="dxa"/>
          </w:tcPr>
          <w:p w14:paraId="45D27E4B" w14:textId="328B9B53" w:rsidR="002260A1" w:rsidRPr="007247FC" w:rsidRDefault="002260A1" w:rsidP="002260A1">
            <w:pPr>
              <w:autoSpaceDE w:val="0"/>
              <w:autoSpaceDN w:val="0"/>
              <w:jc w:val="both"/>
              <w:rPr>
                <w:rFonts w:ascii="Arial" w:eastAsia="Times New Roman" w:hAnsi="Arial" w:cs="Arial"/>
                <w:sz w:val="22"/>
                <w:szCs w:val="22"/>
              </w:rPr>
            </w:pPr>
            <w:r w:rsidRPr="007247FC">
              <w:rPr>
                <w:rFonts w:ascii="Arial" w:hAnsi="Arial" w:cs="Arial"/>
                <w:sz w:val="22"/>
                <w:szCs w:val="22"/>
              </w:rPr>
              <w:t xml:space="preserve">Саналыг тусгаж хуулийн төслийн </w:t>
            </w:r>
            <w:r w:rsidRPr="007247FC">
              <w:rPr>
                <w:rFonts w:ascii="Arial" w:eastAsia="Times New Roman" w:hAnsi="Arial" w:cs="Arial"/>
                <w:sz w:val="22"/>
                <w:szCs w:val="22"/>
              </w:rPr>
              <w:t>2.2 дахь хэсгийг “Монгол Улсын олон улсын гэрээнд нийгмийн даатгалын хууль тогтоомжоос өөрөөр заасан бол олон улсын гэрээний заалтыг дагаж мөрдөнө.” гэж өөрчлөв.</w:t>
            </w:r>
          </w:p>
          <w:p w14:paraId="30D2892F" w14:textId="77777777" w:rsidR="002260A1" w:rsidRPr="007247FC" w:rsidRDefault="002260A1" w:rsidP="002260A1">
            <w:pPr>
              <w:autoSpaceDE w:val="0"/>
              <w:autoSpaceDN w:val="0"/>
              <w:jc w:val="both"/>
              <w:rPr>
                <w:rFonts w:ascii="Arial" w:eastAsia="Times New Roman" w:hAnsi="Arial" w:cs="Arial"/>
                <w:sz w:val="22"/>
                <w:szCs w:val="22"/>
              </w:rPr>
            </w:pPr>
          </w:p>
          <w:p w14:paraId="2D70BDDF" w14:textId="0AE33FAB" w:rsidR="002260A1" w:rsidRPr="007247FC" w:rsidRDefault="002260A1" w:rsidP="002260A1">
            <w:pPr>
              <w:jc w:val="both"/>
              <w:rPr>
                <w:rFonts w:ascii="Arial" w:hAnsi="Arial" w:cs="Arial"/>
                <w:sz w:val="22"/>
                <w:szCs w:val="22"/>
              </w:rPr>
            </w:pPr>
            <w:r w:rsidRPr="007247FC">
              <w:rPr>
                <w:rFonts w:ascii="Arial" w:eastAsia="Times New Roman" w:hAnsi="Arial" w:cs="Arial"/>
                <w:sz w:val="22"/>
                <w:szCs w:val="22"/>
              </w:rPr>
              <w:t>23 дугаар зүйлийн 23.1.5 дахь заалт нь агуулгын хувьд адил байх тул өөрчлөх шаардлагагүй болно.</w:t>
            </w:r>
            <w:r w:rsidRPr="007247FC">
              <w:rPr>
                <w:rFonts w:ascii="Arial" w:hAnsi="Arial" w:cs="Arial"/>
                <w:sz w:val="22"/>
                <w:szCs w:val="22"/>
              </w:rPr>
              <w:t xml:space="preserve"> </w:t>
            </w:r>
          </w:p>
          <w:p w14:paraId="289D3875" w14:textId="77777777" w:rsidR="002260A1" w:rsidRPr="007247FC" w:rsidRDefault="002260A1" w:rsidP="002260A1">
            <w:pPr>
              <w:autoSpaceDE w:val="0"/>
              <w:autoSpaceDN w:val="0"/>
              <w:jc w:val="both"/>
              <w:rPr>
                <w:rFonts w:ascii="Arial" w:eastAsia="Times New Roman" w:hAnsi="Arial" w:cs="Arial"/>
                <w:sz w:val="22"/>
                <w:szCs w:val="22"/>
              </w:rPr>
            </w:pPr>
          </w:p>
          <w:p w14:paraId="5E52CA24" w14:textId="178BDB0A" w:rsidR="002260A1" w:rsidRPr="007247FC" w:rsidRDefault="002260A1" w:rsidP="002260A1">
            <w:pPr>
              <w:autoSpaceDE w:val="0"/>
              <w:autoSpaceDN w:val="0"/>
              <w:jc w:val="both"/>
              <w:rPr>
                <w:rFonts w:ascii="Arial" w:eastAsia="MS Mincho" w:hAnsi="Arial" w:cs="Arial"/>
                <w:sz w:val="22"/>
                <w:szCs w:val="22"/>
              </w:rPr>
            </w:pPr>
            <w:r w:rsidRPr="007247FC">
              <w:rPr>
                <w:rFonts w:ascii="Arial" w:eastAsia="Times New Roman" w:hAnsi="Arial" w:cs="Arial"/>
                <w:sz w:val="22"/>
                <w:szCs w:val="22"/>
              </w:rPr>
              <w:t>35 дугаар зүйлийн 35.11.3 дахь заалтын тухайд 12.1-ийг ишлэх шаардлагагүй юм. Нийгмийн даатгалын үндэсний зөвлөл нь 12.1-д заасан сангийн зарцуулалттай холбоотой шийдвэр гаргах эрхгүй болно.</w:t>
            </w:r>
            <w:r w:rsidRPr="007247FC">
              <w:rPr>
                <w:rFonts w:ascii="Arial" w:eastAsia="MS Mincho" w:hAnsi="Arial" w:cs="Arial"/>
                <w:sz w:val="22"/>
                <w:szCs w:val="22"/>
              </w:rPr>
              <w:t xml:space="preserve"> </w:t>
            </w:r>
          </w:p>
          <w:p w14:paraId="316398B2" w14:textId="77777777" w:rsidR="002260A1" w:rsidRPr="007247FC" w:rsidRDefault="002260A1" w:rsidP="002260A1">
            <w:pPr>
              <w:autoSpaceDE w:val="0"/>
              <w:autoSpaceDN w:val="0"/>
              <w:jc w:val="both"/>
              <w:rPr>
                <w:rFonts w:ascii="Arial" w:hAnsi="Arial" w:cs="Arial"/>
                <w:sz w:val="22"/>
                <w:szCs w:val="22"/>
              </w:rPr>
            </w:pPr>
          </w:p>
          <w:p w14:paraId="54A32D03" w14:textId="3AFAA4F3" w:rsidR="002260A1" w:rsidRPr="007247FC" w:rsidRDefault="002260A1" w:rsidP="002260A1">
            <w:pPr>
              <w:jc w:val="both"/>
              <w:rPr>
                <w:rFonts w:ascii="Arial" w:eastAsia="Times New Roman" w:hAnsi="Arial" w:cs="Arial"/>
                <w:sz w:val="22"/>
                <w:szCs w:val="22"/>
              </w:rPr>
            </w:pPr>
            <w:r w:rsidRPr="007247FC">
              <w:rPr>
                <w:rFonts w:ascii="Arial" w:eastAsia="Times New Roman" w:hAnsi="Arial" w:cs="Arial"/>
                <w:sz w:val="22"/>
                <w:szCs w:val="22"/>
              </w:rPr>
              <w:t xml:space="preserve">44 дүгээр зүйлийн 44.7 дахь хэсгийн тухайд агуулгын хувьд адил байх тул өөрчлөх шаардлагагүй болно. </w:t>
            </w:r>
          </w:p>
        </w:tc>
      </w:tr>
      <w:tr w:rsidR="002260A1" w:rsidRPr="007247FC" w14:paraId="406B00C3" w14:textId="77777777" w:rsidTr="00F42933">
        <w:tc>
          <w:tcPr>
            <w:tcW w:w="643" w:type="dxa"/>
            <w:vMerge/>
            <w:vAlign w:val="center"/>
          </w:tcPr>
          <w:p w14:paraId="7B7C116F" w14:textId="77777777" w:rsidR="002260A1" w:rsidRPr="007247FC" w:rsidRDefault="002260A1" w:rsidP="002260A1">
            <w:pPr>
              <w:jc w:val="center"/>
              <w:rPr>
                <w:rFonts w:ascii="Arial" w:hAnsi="Arial" w:cs="Arial"/>
                <w:sz w:val="22"/>
                <w:szCs w:val="22"/>
              </w:rPr>
            </w:pPr>
          </w:p>
        </w:tc>
        <w:tc>
          <w:tcPr>
            <w:tcW w:w="1872" w:type="dxa"/>
            <w:vMerge/>
            <w:vAlign w:val="center"/>
          </w:tcPr>
          <w:p w14:paraId="61B5CDF4" w14:textId="77777777" w:rsidR="002260A1" w:rsidRPr="007247FC" w:rsidRDefault="002260A1" w:rsidP="002260A1">
            <w:pPr>
              <w:jc w:val="center"/>
              <w:rPr>
                <w:rFonts w:ascii="Arial" w:hAnsi="Arial" w:cs="Arial"/>
                <w:sz w:val="22"/>
                <w:szCs w:val="22"/>
              </w:rPr>
            </w:pPr>
          </w:p>
        </w:tc>
        <w:tc>
          <w:tcPr>
            <w:tcW w:w="5490" w:type="dxa"/>
            <w:vAlign w:val="center"/>
          </w:tcPr>
          <w:p w14:paraId="16AAE295" w14:textId="70AF4CAB" w:rsidR="002260A1" w:rsidRPr="007247FC" w:rsidRDefault="002260A1" w:rsidP="002260A1">
            <w:pPr>
              <w:ind w:hanging="14"/>
              <w:jc w:val="both"/>
              <w:rPr>
                <w:rFonts w:ascii="Arial" w:hAnsi="Arial" w:cs="Arial"/>
                <w:sz w:val="22"/>
                <w:szCs w:val="22"/>
              </w:rPr>
            </w:pPr>
            <w:r w:rsidRPr="007247FC">
              <w:rPr>
                <w:rFonts w:ascii="Arial" w:hAnsi="Arial" w:cs="Arial"/>
                <w:sz w:val="22"/>
                <w:szCs w:val="22"/>
              </w:rPr>
              <w:t>2.Хуулийн төслийн 2 дугаар зүйлийн 2.1 дэх хэсгийн “... төлбөрийн тухай хууль, ...” гэсний дараа “... Эрүүл мэндийн даатгалын тухай хууль, ...” гэж, 7 дугаар зүйлийн 7.4.4 дэх заалтын “... захиалгаар ...” гэсний дараа “... дотоод, гадаадад ...” гэж тус тус нэмэх;</w:t>
            </w:r>
          </w:p>
        </w:tc>
        <w:tc>
          <w:tcPr>
            <w:tcW w:w="5490" w:type="dxa"/>
            <w:vAlign w:val="center"/>
          </w:tcPr>
          <w:p w14:paraId="34C338E9" w14:textId="3C96D7F8" w:rsidR="002260A1" w:rsidRPr="007247FC" w:rsidRDefault="002260A1" w:rsidP="002260A1">
            <w:pPr>
              <w:jc w:val="both"/>
              <w:rPr>
                <w:rFonts w:ascii="Arial" w:hAnsi="Arial" w:cs="Arial"/>
                <w:sz w:val="22"/>
                <w:szCs w:val="22"/>
              </w:rPr>
            </w:pPr>
            <w:r w:rsidRPr="007247FC">
              <w:rPr>
                <w:rFonts w:ascii="Arial" w:eastAsia="Times New Roman" w:hAnsi="Arial" w:cs="Arial"/>
                <w:sz w:val="22"/>
                <w:szCs w:val="22"/>
              </w:rPr>
              <w:t xml:space="preserve">Агуулгын хувьд адил байх тул өөрчлөх шаардлагагүй болно. </w:t>
            </w:r>
            <w:r w:rsidRPr="007247FC">
              <w:rPr>
                <w:rFonts w:ascii="Arial" w:hAnsi="Arial" w:cs="Arial"/>
                <w:sz w:val="22"/>
                <w:szCs w:val="22"/>
              </w:rPr>
              <w:t xml:space="preserve"> </w:t>
            </w:r>
          </w:p>
        </w:tc>
      </w:tr>
      <w:tr w:rsidR="002260A1" w:rsidRPr="007247FC" w14:paraId="09835798" w14:textId="77777777" w:rsidTr="00F42933">
        <w:tc>
          <w:tcPr>
            <w:tcW w:w="643" w:type="dxa"/>
            <w:vMerge/>
            <w:vAlign w:val="center"/>
          </w:tcPr>
          <w:p w14:paraId="7A28369F" w14:textId="77777777" w:rsidR="002260A1" w:rsidRPr="007247FC" w:rsidRDefault="002260A1" w:rsidP="002260A1">
            <w:pPr>
              <w:jc w:val="center"/>
              <w:rPr>
                <w:rFonts w:ascii="Arial" w:hAnsi="Arial" w:cs="Arial"/>
                <w:sz w:val="22"/>
                <w:szCs w:val="22"/>
              </w:rPr>
            </w:pPr>
          </w:p>
        </w:tc>
        <w:tc>
          <w:tcPr>
            <w:tcW w:w="1872" w:type="dxa"/>
            <w:vMerge/>
            <w:vAlign w:val="center"/>
          </w:tcPr>
          <w:p w14:paraId="73C4721C" w14:textId="77777777" w:rsidR="002260A1" w:rsidRPr="007247FC" w:rsidRDefault="002260A1" w:rsidP="002260A1">
            <w:pPr>
              <w:jc w:val="center"/>
              <w:rPr>
                <w:rFonts w:ascii="Arial" w:hAnsi="Arial" w:cs="Arial"/>
                <w:sz w:val="22"/>
                <w:szCs w:val="22"/>
              </w:rPr>
            </w:pPr>
          </w:p>
        </w:tc>
        <w:tc>
          <w:tcPr>
            <w:tcW w:w="5490" w:type="dxa"/>
            <w:vAlign w:val="center"/>
          </w:tcPr>
          <w:p w14:paraId="5C371F21" w14:textId="3B7C1293" w:rsidR="002260A1" w:rsidRPr="007247FC" w:rsidRDefault="002260A1" w:rsidP="002260A1">
            <w:pPr>
              <w:pStyle w:val="NormalWeb"/>
              <w:spacing w:before="0" w:beforeAutospacing="0" w:after="0" w:afterAutospacing="0"/>
              <w:ind w:hanging="14"/>
              <w:jc w:val="both"/>
              <w:rPr>
                <w:rFonts w:ascii="Arial" w:hAnsi="Arial" w:cs="Arial"/>
                <w:sz w:val="22"/>
                <w:szCs w:val="22"/>
                <w:lang w:val="mn-MN"/>
              </w:rPr>
            </w:pPr>
            <w:r w:rsidRPr="007247FC">
              <w:rPr>
                <w:rFonts w:ascii="Arial" w:hAnsi="Arial" w:cs="Arial"/>
                <w:sz w:val="22"/>
                <w:szCs w:val="22"/>
                <w:lang w:val="mn-MN"/>
              </w:rPr>
              <w:t xml:space="preserve">3.Хуулийн төслийн 9 дүгээр зүйлийн 9.2-т “Даатгуулагчид Нийгмийн даатгалын сангаас олгох тэтгэврийн тухай хууль болон Цэргийн алба хаагчийн тэтгэвэр, тэтгэмжийн тухай хуульд заасны дагуу хоёр тэтгэвэр авах эрх үүсэхээр бол шимтгэл төлсөн болон цэргийн алба хаасан хугацааг нэгтгэн тооцож, нэг тэтгэвэр тогтооно.” гэжээ. Цэргийн алба хаагчийн тэтгэвэр, тэтгэмжийн тухай хуулийн үйлчлэх хүрээнд хамрах байгууллагуудын алба </w:t>
            </w:r>
            <w:r w:rsidRPr="007247FC">
              <w:rPr>
                <w:rFonts w:ascii="Arial" w:hAnsi="Arial" w:cs="Arial"/>
                <w:sz w:val="22"/>
                <w:szCs w:val="22"/>
                <w:lang w:val="mn-MN"/>
              </w:rPr>
              <w:lastRenderedPageBreak/>
              <w:t xml:space="preserve">хаагч нь хуулиар тэтгэвэр тогтоолгох насны хувьд бусад  төрийн захиргааны болон үйлчилгээний албан хаагчдаас харьцангуй өмнө цэргийн тэтгэвэрт гардаг. Цэргийн тэтгэвэр тогтоолгосон иргэн дунджаар 13 жил улсад нийгмийн даатгалын шимтгэл төлж 10 ба түүнээс дээш жил ажилласан тохиолдолд хоёр төрлийн тэтгэвэр авах боломж хуулиар нээлттэй байсныг хуулийн төслийн 9.2-т зааснаар зөвхөн нэг тэтгэвэр тогтоолгохоор боловсруулсан нь тухайн иргэний эрх зүйн байдлыг дордуулах эрх зүйн зохицуулалт гэж үзэхээр байна. </w:t>
            </w:r>
          </w:p>
          <w:p w14:paraId="525AA238" w14:textId="6C30D7A1" w:rsidR="002260A1" w:rsidRPr="007247FC" w:rsidRDefault="002260A1" w:rsidP="002260A1">
            <w:pPr>
              <w:pStyle w:val="NormalWeb"/>
              <w:spacing w:before="0" w:beforeAutospacing="0" w:after="0" w:afterAutospacing="0"/>
              <w:ind w:hanging="14"/>
              <w:jc w:val="both"/>
              <w:rPr>
                <w:rFonts w:ascii="Arial" w:hAnsi="Arial" w:cs="Arial"/>
                <w:sz w:val="22"/>
                <w:szCs w:val="22"/>
                <w:lang w:val="mn-MN"/>
              </w:rPr>
            </w:pPr>
            <w:r w:rsidRPr="007247FC">
              <w:rPr>
                <w:rFonts w:ascii="Arial" w:hAnsi="Arial" w:cs="Arial"/>
                <w:sz w:val="22"/>
                <w:szCs w:val="22"/>
                <w:lang w:val="mn-MN"/>
              </w:rPr>
              <w:t>Иймд Цэргийн алба хаагчийн тэтгэвэр, тэтгэмжийн тухай хуулийн 9 дүгээр зүйлийн 9.2-т “Энэ хуулийн 8 дугаар зүйлд заасан хугацаанаас илүү алба хаасан жил тутамд 1.5, сар тутамд 0.125 хувиар цэргийн алба хаасны тэтгэвэр тогтоолгосон цалин хөлснөөс тооцож нэмэгдэл олгоно.” гэж заасантай нийцүүлэн хуулийн төслийг дагалдан гарах Цэргийн алба хаагчийн тэтгэвэр, тэтгэмжийн тухай хуульд өөрчлөлт оруулах тухай хуулийн төслийн 1 дүгээр зүйлд “эрүүл мэндийн магадлалын зөвлөл” гэсний дараа “9 дүгээр зүйлийн 9.4 дэх хэсгийн “анхны тэтгэвэр тогтоолгосон” гэснийг “сүүлийн тэтгэвэр тогтоолгосон” гэж өөрчлөх зайлшгүй шаардлагатай байна.</w:t>
            </w:r>
          </w:p>
        </w:tc>
        <w:tc>
          <w:tcPr>
            <w:tcW w:w="5490" w:type="dxa"/>
            <w:vAlign w:val="center"/>
          </w:tcPr>
          <w:p w14:paraId="7A0E1688" w14:textId="7514C72D" w:rsidR="002260A1" w:rsidRPr="007247FC" w:rsidRDefault="002260A1" w:rsidP="002260A1">
            <w:pPr>
              <w:jc w:val="both"/>
              <w:rPr>
                <w:rFonts w:ascii="Arial" w:hAnsi="Arial" w:cs="Arial"/>
                <w:sz w:val="22"/>
                <w:szCs w:val="22"/>
              </w:rPr>
            </w:pPr>
            <w:r w:rsidRPr="007247FC">
              <w:rPr>
                <w:rFonts w:ascii="Arial" w:eastAsia="Arial" w:hAnsi="Arial" w:cs="Arial"/>
                <w:sz w:val="22"/>
                <w:szCs w:val="22"/>
              </w:rPr>
              <w:lastRenderedPageBreak/>
              <w:t xml:space="preserve">Нийгмийн даатгалын сангаас олгох тэтгэврийн тухай хуулийн төслийн 7 дугаар зүйлийн 7.3-т “...нэмэгдлийг тэтгэвэр авагчийн </w:t>
            </w:r>
            <w:r w:rsidRPr="007247FC">
              <w:rPr>
                <w:rFonts w:ascii="Arial" w:eastAsia="Arial" w:hAnsi="Arial" w:cs="Arial"/>
                <w:b/>
                <w:sz w:val="22"/>
                <w:szCs w:val="22"/>
              </w:rPr>
              <w:t>анх</w:t>
            </w:r>
            <w:r w:rsidRPr="007247FC">
              <w:rPr>
                <w:rFonts w:ascii="Arial" w:eastAsia="Arial" w:hAnsi="Arial" w:cs="Arial"/>
                <w:sz w:val="22"/>
                <w:szCs w:val="22"/>
              </w:rPr>
              <w:t xml:space="preserve"> </w:t>
            </w:r>
            <w:r w:rsidRPr="007247FC">
              <w:rPr>
                <w:rFonts w:ascii="Arial" w:eastAsia="Arial" w:hAnsi="Arial" w:cs="Arial"/>
                <w:b/>
                <w:sz w:val="22"/>
                <w:szCs w:val="22"/>
              </w:rPr>
              <w:t xml:space="preserve">тэтгэвэр тогтоолгоход баримталсан </w:t>
            </w:r>
            <w:r w:rsidRPr="007247FC">
              <w:rPr>
                <w:rFonts w:ascii="Arial" w:eastAsia="Times New Roman" w:hAnsi="Arial" w:cs="Arial"/>
                <w:sz w:val="22"/>
                <w:szCs w:val="22"/>
              </w:rPr>
              <w:t xml:space="preserve">сарын дундаж цалин хөлс, түүнтэй адилтгах орлогоос тэтгэвэр тогоолгосноос хойш шимтгэл төлсөн сар тутамд 0.125 хувиар тооцож бодно.” гэж тусгасан. Харин Цэргийн алба хаагчийн тэтгэвэр, тэтгэмжийн тухай хуульд </w:t>
            </w:r>
            <w:r w:rsidRPr="007247FC">
              <w:rPr>
                <w:rFonts w:ascii="Arial" w:hAnsi="Arial" w:cs="Arial"/>
                <w:sz w:val="22"/>
                <w:szCs w:val="22"/>
              </w:rPr>
              <w:t xml:space="preserve">“сүүлийн тэтгэвэр тогтоолгосон” гэж </w:t>
            </w:r>
            <w:r w:rsidRPr="007247FC">
              <w:rPr>
                <w:rFonts w:ascii="Arial" w:hAnsi="Arial" w:cs="Arial"/>
                <w:sz w:val="22"/>
                <w:szCs w:val="22"/>
              </w:rPr>
              <w:lastRenderedPageBreak/>
              <w:t xml:space="preserve">өөрчлөлт оруулах нь бусад даатгуулагчдаас </w:t>
            </w:r>
            <w:r w:rsidRPr="007247FC">
              <w:rPr>
                <w:rFonts w:ascii="Arial" w:eastAsia="Times New Roman" w:hAnsi="Arial" w:cs="Arial"/>
                <w:sz w:val="22"/>
                <w:szCs w:val="22"/>
              </w:rPr>
              <w:t>цэргийн алба хаагчийн хувьд давуу байдал үүсгэх тул боломжгүй юм</w:t>
            </w:r>
            <w:r w:rsidRPr="007247FC">
              <w:rPr>
                <w:rFonts w:ascii="Arial" w:hAnsi="Arial" w:cs="Arial"/>
                <w:sz w:val="22"/>
                <w:szCs w:val="22"/>
              </w:rPr>
              <w:t xml:space="preserve">.  </w:t>
            </w:r>
          </w:p>
        </w:tc>
      </w:tr>
      <w:tr w:rsidR="002260A1" w:rsidRPr="007247FC" w14:paraId="5D8927A4" w14:textId="77777777" w:rsidTr="00F42933">
        <w:tc>
          <w:tcPr>
            <w:tcW w:w="643" w:type="dxa"/>
            <w:vMerge/>
            <w:vAlign w:val="center"/>
          </w:tcPr>
          <w:p w14:paraId="4D2CDC52" w14:textId="77777777" w:rsidR="002260A1" w:rsidRPr="007247FC" w:rsidRDefault="002260A1" w:rsidP="002260A1">
            <w:pPr>
              <w:jc w:val="center"/>
              <w:rPr>
                <w:rFonts w:ascii="Arial" w:hAnsi="Arial" w:cs="Arial"/>
                <w:sz w:val="22"/>
                <w:szCs w:val="22"/>
              </w:rPr>
            </w:pPr>
          </w:p>
        </w:tc>
        <w:tc>
          <w:tcPr>
            <w:tcW w:w="1872" w:type="dxa"/>
            <w:vMerge/>
            <w:vAlign w:val="center"/>
          </w:tcPr>
          <w:p w14:paraId="4D0D17B8" w14:textId="77777777" w:rsidR="002260A1" w:rsidRPr="007247FC" w:rsidRDefault="002260A1" w:rsidP="002260A1">
            <w:pPr>
              <w:jc w:val="center"/>
              <w:rPr>
                <w:rFonts w:ascii="Arial" w:hAnsi="Arial" w:cs="Arial"/>
                <w:sz w:val="22"/>
                <w:szCs w:val="22"/>
              </w:rPr>
            </w:pPr>
          </w:p>
        </w:tc>
        <w:tc>
          <w:tcPr>
            <w:tcW w:w="5490" w:type="dxa"/>
            <w:vAlign w:val="center"/>
          </w:tcPr>
          <w:p w14:paraId="0A53D732" w14:textId="322FBB4A" w:rsidR="002260A1" w:rsidRPr="007247FC" w:rsidRDefault="002260A1" w:rsidP="002260A1">
            <w:pPr>
              <w:ind w:hanging="14"/>
              <w:jc w:val="both"/>
              <w:rPr>
                <w:rFonts w:ascii="Arial" w:hAnsi="Arial" w:cs="Arial"/>
                <w:sz w:val="22"/>
                <w:szCs w:val="22"/>
              </w:rPr>
            </w:pPr>
            <w:r w:rsidRPr="007247FC">
              <w:rPr>
                <w:rFonts w:ascii="Arial" w:hAnsi="Arial" w:cs="Arial"/>
                <w:sz w:val="22"/>
                <w:szCs w:val="22"/>
              </w:rPr>
              <w:t>4.Хуулийн төслийн 1 дүгээр зүйлийн 1-д “Энэ хуулийн зорилт нь ..., даатгуулагчийн санхүүгийн эрсдэлийг хуваалцах зорилгоор ...” гэсэн нь даатгуулагчийн даатгалын санд оруулсан мөнгөн хөрөнгийг эрсдэлээс хамгаалах, түүнийг өсгөн үржүүлэх, ирээдүйд хуримтлал үүсгэх даатгагчийн хүлээсэн чиг үүрэгтэй нийцээгүй;</w:t>
            </w:r>
          </w:p>
        </w:tc>
        <w:tc>
          <w:tcPr>
            <w:tcW w:w="5490" w:type="dxa"/>
            <w:vAlign w:val="center"/>
          </w:tcPr>
          <w:p w14:paraId="4D735B7A" w14:textId="61CFF265" w:rsidR="002260A1" w:rsidRPr="007247FC" w:rsidRDefault="002260A1" w:rsidP="002260A1">
            <w:pPr>
              <w:jc w:val="both"/>
              <w:rPr>
                <w:rFonts w:ascii="Arial" w:hAnsi="Arial" w:cs="Arial"/>
                <w:sz w:val="22"/>
                <w:szCs w:val="22"/>
              </w:rPr>
            </w:pPr>
            <w:r w:rsidRPr="007247FC">
              <w:rPr>
                <w:rFonts w:ascii="Arial" w:hAnsi="Arial" w:cs="Arial"/>
                <w:sz w:val="22"/>
                <w:szCs w:val="22"/>
              </w:rPr>
              <w:t>Нийгмийн даатгал нь эв санааны нэгдлийн зарчимтай  хуваарилалтын тогтолцоотой бөгөөд цаашид урт хугацаанд хуримтлалын тогтолцоонд үе шаттай шилжих тул зорилтыг өөрчлөн найруулах шаардлагагүй болно.</w:t>
            </w:r>
          </w:p>
        </w:tc>
      </w:tr>
      <w:tr w:rsidR="002260A1" w:rsidRPr="007247FC" w14:paraId="7F523E7A" w14:textId="77777777" w:rsidTr="00F42933">
        <w:tc>
          <w:tcPr>
            <w:tcW w:w="643" w:type="dxa"/>
            <w:vMerge/>
            <w:vAlign w:val="center"/>
          </w:tcPr>
          <w:p w14:paraId="203B8995" w14:textId="77777777" w:rsidR="002260A1" w:rsidRPr="007247FC" w:rsidRDefault="002260A1" w:rsidP="002260A1">
            <w:pPr>
              <w:jc w:val="center"/>
              <w:rPr>
                <w:rFonts w:ascii="Arial" w:hAnsi="Arial" w:cs="Arial"/>
                <w:sz w:val="22"/>
                <w:szCs w:val="22"/>
              </w:rPr>
            </w:pPr>
          </w:p>
        </w:tc>
        <w:tc>
          <w:tcPr>
            <w:tcW w:w="1872" w:type="dxa"/>
            <w:vMerge/>
            <w:vAlign w:val="center"/>
          </w:tcPr>
          <w:p w14:paraId="2719EE8D" w14:textId="77777777" w:rsidR="002260A1" w:rsidRPr="007247FC" w:rsidRDefault="002260A1" w:rsidP="002260A1">
            <w:pPr>
              <w:jc w:val="center"/>
              <w:rPr>
                <w:rFonts w:ascii="Arial" w:hAnsi="Arial" w:cs="Arial"/>
                <w:sz w:val="22"/>
                <w:szCs w:val="22"/>
              </w:rPr>
            </w:pPr>
          </w:p>
        </w:tc>
        <w:tc>
          <w:tcPr>
            <w:tcW w:w="5490" w:type="dxa"/>
            <w:vAlign w:val="center"/>
          </w:tcPr>
          <w:p w14:paraId="28E14D66" w14:textId="7E4082F1" w:rsidR="002260A1" w:rsidRPr="007247FC" w:rsidRDefault="002260A1" w:rsidP="002260A1">
            <w:pPr>
              <w:ind w:hanging="14"/>
              <w:jc w:val="both"/>
              <w:rPr>
                <w:rFonts w:ascii="Arial" w:hAnsi="Arial" w:cs="Arial"/>
                <w:sz w:val="22"/>
                <w:szCs w:val="22"/>
              </w:rPr>
            </w:pPr>
            <w:r w:rsidRPr="007247FC">
              <w:rPr>
                <w:rFonts w:ascii="Arial" w:hAnsi="Arial" w:cs="Arial"/>
                <w:sz w:val="22"/>
                <w:szCs w:val="22"/>
              </w:rPr>
              <w:t>5.Хуулийн төслийн 7 дугаар зүйлийн 7.2.1, 7.5.2, 7.7, 7.8.1 дэх заалтад тус тус заасан “... тэдгээртэй адилтгах гэрээний ...” гэснийг хуулийн төсөлд нарийвчлан тусгаагүй тохиолдолд албан журмаар даатгуулах харилцаанд эрх зүйн маргаан үүсэхээр байгааг тус тус анхаарах;</w:t>
            </w:r>
          </w:p>
        </w:tc>
        <w:tc>
          <w:tcPr>
            <w:tcW w:w="5490" w:type="dxa"/>
            <w:vAlign w:val="center"/>
          </w:tcPr>
          <w:p w14:paraId="6663020B" w14:textId="71C2F348" w:rsidR="002260A1" w:rsidRPr="007247FC" w:rsidRDefault="002260A1" w:rsidP="002260A1">
            <w:pPr>
              <w:jc w:val="both"/>
              <w:rPr>
                <w:rFonts w:ascii="Arial" w:hAnsi="Arial" w:cs="Arial"/>
                <w:sz w:val="22"/>
                <w:szCs w:val="22"/>
              </w:rPr>
            </w:pPr>
            <w:r w:rsidRPr="007247FC">
              <w:rPr>
                <w:rFonts w:ascii="Arial" w:hAnsi="Arial" w:cs="Arial"/>
                <w:sz w:val="22"/>
                <w:szCs w:val="22"/>
              </w:rPr>
              <w:t xml:space="preserve">Өнөөгийн хүчин төгөлдөр мөрдөж байгаа хууль эрх зүйн хүрээнд тэдгээртэй адилтгах гэрээ гэдгээр хэрэгжүүлж байгаа бөгөөд маргаан үүсдэггүй болно.  </w:t>
            </w:r>
          </w:p>
        </w:tc>
      </w:tr>
      <w:tr w:rsidR="002260A1" w:rsidRPr="007247FC" w14:paraId="0C9081A0" w14:textId="77777777" w:rsidTr="00F42933">
        <w:tc>
          <w:tcPr>
            <w:tcW w:w="643" w:type="dxa"/>
            <w:vMerge w:val="restart"/>
            <w:vAlign w:val="center"/>
          </w:tcPr>
          <w:p w14:paraId="54A04BDE" w14:textId="284B1941" w:rsidR="002260A1" w:rsidRPr="007247FC" w:rsidRDefault="002260A1" w:rsidP="002260A1">
            <w:pPr>
              <w:jc w:val="center"/>
              <w:rPr>
                <w:rFonts w:ascii="Arial" w:hAnsi="Arial" w:cs="Arial"/>
                <w:sz w:val="22"/>
                <w:szCs w:val="22"/>
                <w:lang w:val="en-US"/>
              </w:rPr>
            </w:pPr>
            <w:r w:rsidRPr="007247FC">
              <w:rPr>
                <w:rFonts w:ascii="Arial" w:hAnsi="Arial" w:cs="Arial"/>
                <w:sz w:val="22"/>
                <w:szCs w:val="22"/>
                <w:lang w:val="en-US"/>
              </w:rPr>
              <w:t>8</w:t>
            </w:r>
          </w:p>
        </w:tc>
        <w:tc>
          <w:tcPr>
            <w:tcW w:w="1872" w:type="dxa"/>
            <w:vMerge w:val="restart"/>
            <w:vAlign w:val="center"/>
          </w:tcPr>
          <w:p w14:paraId="248B6D39" w14:textId="0CFF979C" w:rsidR="002260A1" w:rsidRPr="007247FC" w:rsidRDefault="002260A1" w:rsidP="002260A1">
            <w:pPr>
              <w:jc w:val="center"/>
              <w:rPr>
                <w:rFonts w:ascii="Arial" w:hAnsi="Arial" w:cs="Arial"/>
                <w:sz w:val="22"/>
                <w:szCs w:val="22"/>
              </w:rPr>
            </w:pPr>
            <w:r w:rsidRPr="007247FC">
              <w:rPr>
                <w:rFonts w:ascii="Arial" w:hAnsi="Arial" w:cs="Arial"/>
                <w:sz w:val="22"/>
                <w:szCs w:val="22"/>
              </w:rPr>
              <w:t xml:space="preserve">Цахим хөгжлийн яам </w:t>
            </w:r>
            <w:r w:rsidRPr="007247FC">
              <w:rPr>
                <w:rFonts w:ascii="Arial" w:hAnsi="Arial" w:cs="Arial"/>
                <w:sz w:val="22"/>
                <w:szCs w:val="22"/>
                <w:lang w:val="en-US"/>
              </w:rPr>
              <w:t>(</w:t>
            </w:r>
            <w:r w:rsidRPr="007247FC">
              <w:rPr>
                <w:rFonts w:ascii="Arial" w:hAnsi="Arial" w:cs="Arial"/>
                <w:sz w:val="22"/>
                <w:szCs w:val="22"/>
              </w:rPr>
              <w:t xml:space="preserve">2022.12.27 </w:t>
            </w:r>
            <w:r w:rsidRPr="007247FC">
              <w:rPr>
                <w:rFonts w:ascii="Arial" w:hAnsi="Arial" w:cs="Arial"/>
                <w:sz w:val="22"/>
                <w:szCs w:val="22"/>
              </w:rPr>
              <w:lastRenderedPageBreak/>
              <w:t>01/2347</w:t>
            </w:r>
            <w:r w:rsidRPr="007247FC">
              <w:rPr>
                <w:rFonts w:ascii="Arial" w:hAnsi="Arial" w:cs="Arial"/>
                <w:sz w:val="22"/>
                <w:szCs w:val="22"/>
                <w:lang w:val="en-US"/>
              </w:rPr>
              <w:t>)</w:t>
            </w:r>
          </w:p>
        </w:tc>
        <w:tc>
          <w:tcPr>
            <w:tcW w:w="5490" w:type="dxa"/>
            <w:vAlign w:val="center"/>
          </w:tcPr>
          <w:p w14:paraId="13E9FAED" w14:textId="6398A3CA" w:rsidR="002260A1" w:rsidRPr="007247FC" w:rsidRDefault="002260A1" w:rsidP="002260A1">
            <w:pPr>
              <w:ind w:hanging="14"/>
              <w:jc w:val="both"/>
              <w:rPr>
                <w:rFonts w:ascii="Arial" w:hAnsi="Arial" w:cs="Arial"/>
                <w:sz w:val="22"/>
                <w:szCs w:val="22"/>
              </w:rPr>
            </w:pPr>
            <w:r w:rsidRPr="007247FC">
              <w:rPr>
                <w:rFonts w:ascii="Arial" w:hAnsi="Arial" w:cs="Arial"/>
                <w:sz w:val="22"/>
                <w:szCs w:val="22"/>
              </w:rPr>
              <w:lastRenderedPageBreak/>
              <w:t xml:space="preserve">1.Хуулийн төслийн 7 дугаар зүйлийн 7.2 дахь хэсгийг “энэ хуулийн 6.1-д заасан нийгмийн даатгалын төрөлд доор дурдсан Монгол Улсын </w:t>
            </w:r>
            <w:r w:rsidRPr="007247FC">
              <w:rPr>
                <w:rFonts w:ascii="Arial" w:hAnsi="Arial" w:cs="Arial"/>
                <w:sz w:val="22"/>
                <w:szCs w:val="22"/>
              </w:rPr>
              <w:lastRenderedPageBreak/>
              <w:t>иргэн, гадаадын иргэн, харьяалалгүй хүн албан журмаар даатгуулна:” гэж өөрчлөх;</w:t>
            </w:r>
          </w:p>
        </w:tc>
        <w:tc>
          <w:tcPr>
            <w:tcW w:w="5490" w:type="dxa"/>
            <w:vAlign w:val="center"/>
          </w:tcPr>
          <w:p w14:paraId="124C1A10" w14:textId="301D8838" w:rsidR="002260A1" w:rsidRPr="007247FC" w:rsidRDefault="002260A1" w:rsidP="002260A1">
            <w:pPr>
              <w:jc w:val="both"/>
              <w:rPr>
                <w:rFonts w:ascii="Arial" w:hAnsi="Arial" w:cs="Arial"/>
                <w:sz w:val="22"/>
                <w:szCs w:val="22"/>
              </w:rPr>
            </w:pPr>
            <w:r w:rsidRPr="007247FC">
              <w:rPr>
                <w:rFonts w:ascii="Arial" w:hAnsi="Arial" w:cs="Arial"/>
                <w:sz w:val="22"/>
                <w:szCs w:val="22"/>
              </w:rPr>
              <w:lastRenderedPageBreak/>
              <w:t xml:space="preserve">Эрүүл мэндийн даатгалын харилцааг Эрүүл мэндийн даатгалын тухай хуулиар зохицуулах тул хуулийн төслийн 7 дугаар зүйлийн 7.2 дахь хэсгийг </w:t>
            </w:r>
            <w:r w:rsidRPr="007247FC">
              <w:rPr>
                <w:rFonts w:ascii="Arial" w:hAnsi="Arial" w:cs="Arial"/>
                <w:sz w:val="22"/>
                <w:szCs w:val="22"/>
              </w:rPr>
              <w:lastRenderedPageBreak/>
              <w:t xml:space="preserve">өөрчлөх боломжгүй юм. </w:t>
            </w:r>
          </w:p>
        </w:tc>
      </w:tr>
      <w:tr w:rsidR="002260A1" w:rsidRPr="007247FC" w14:paraId="6A1DF5E4" w14:textId="77777777" w:rsidTr="00F42933">
        <w:tc>
          <w:tcPr>
            <w:tcW w:w="643" w:type="dxa"/>
            <w:vMerge/>
            <w:vAlign w:val="center"/>
          </w:tcPr>
          <w:p w14:paraId="2494F487" w14:textId="77777777" w:rsidR="002260A1" w:rsidRPr="007247FC" w:rsidRDefault="002260A1" w:rsidP="002260A1">
            <w:pPr>
              <w:jc w:val="center"/>
              <w:rPr>
                <w:rFonts w:ascii="Arial" w:hAnsi="Arial" w:cs="Arial"/>
                <w:sz w:val="22"/>
                <w:szCs w:val="22"/>
              </w:rPr>
            </w:pPr>
          </w:p>
        </w:tc>
        <w:tc>
          <w:tcPr>
            <w:tcW w:w="1872" w:type="dxa"/>
            <w:vMerge/>
            <w:vAlign w:val="center"/>
          </w:tcPr>
          <w:p w14:paraId="0175A807" w14:textId="77777777" w:rsidR="002260A1" w:rsidRPr="007247FC" w:rsidRDefault="002260A1" w:rsidP="002260A1">
            <w:pPr>
              <w:jc w:val="center"/>
              <w:rPr>
                <w:rFonts w:ascii="Arial" w:hAnsi="Arial" w:cs="Arial"/>
                <w:sz w:val="22"/>
                <w:szCs w:val="22"/>
              </w:rPr>
            </w:pPr>
          </w:p>
        </w:tc>
        <w:tc>
          <w:tcPr>
            <w:tcW w:w="5490" w:type="dxa"/>
            <w:vAlign w:val="center"/>
          </w:tcPr>
          <w:p w14:paraId="19BBC4E0" w14:textId="3283E26B" w:rsidR="002260A1" w:rsidRPr="007247FC" w:rsidRDefault="002260A1" w:rsidP="002260A1">
            <w:pPr>
              <w:ind w:hanging="14"/>
              <w:jc w:val="both"/>
              <w:rPr>
                <w:rFonts w:ascii="Arial" w:hAnsi="Arial" w:cs="Arial"/>
                <w:sz w:val="22"/>
                <w:szCs w:val="22"/>
              </w:rPr>
            </w:pPr>
            <w:r w:rsidRPr="007247FC">
              <w:rPr>
                <w:rFonts w:ascii="Arial" w:hAnsi="Arial" w:cs="Arial"/>
                <w:sz w:val="22"/>
                <w:szCs w:val="22"/>
              </w:rPr>
              <w:t>2.Хуулийн төслийн 7 дугаар зүйлийн 7.2.1 дэх заалтад “хуульд өөрөөр заагаагүй бол төрийн жинхэнэ албан хаагч, улс төрийн албан хаагч” гэж нэмэх;</w:t>
            </w:r>
          </w:p>
        </w:tc>
        <w:tc>
          <w:tcPr>
            <w:tcW w:w="5490" w:type="dxa"/>
            <w:vAlign w:val="center"/>
          </w:tcPr>
          <w:p w14:paraId="537C7EEC" w14:textId="15305EF6" w:rsidR="002260A1" w:rsidRPr="007247FC" w:rsidRDefault="002260A1" w:rsidP="002260A1">
            <w:pPr>
              <w:jc w:val="both"/>
              <w:rPr>
                <w:rFonts w:ascii="Arial" w:hAnsi="Arial" w:cs="Arial"/>
                <w:sz w:val="22"/>
                <w:szCs w:val="22"/>
              </w:rPr>
            </w:pPr>
            <w:r w:rsidRPr="007247FC">
              <w:rPr>
                <w:rFonts w:ascii="Arial" w:hAnsi="Arial" w:cs="Arial"/>
                <w:sz w:val="22"/>
                <w:szCs w:val="22"/>
              </w:rPr>
              <w:t>Хуулийн төслийн 7 дугаар зүйлийн 7.2 дахь хэсэг нь өмчийн бүх хэлбэрийн хуулийн этгээд, хүнтэй хөдөлмөрийн гэрээ, хөлсөөр ажиллах, ажил гүйцэтгэх болон тэдгээртэй адилтгах гэрээний дагуу ажиллаж байгаа ажилтан, албан хаагч хамаарах тул тусгайлан “төрийн жинхэнэ албан хаагч, улс төрийн албан хаагч” гэж тусгах шаардлагагүй юм.</w:t>
            </w:r>
          </w:p>
        </w:tc>
      </w:tr>
      <w:tr w:rsidR="002260A1" w:rsidRPr="007247FC" w14:paraId="58EC0F59" w14:textId="77777777" w:rsidTr="00F42933">
        <w:tc>
          <w:tcPr>
            <w:tcW w:w="643" w:type="dxa"/>
            <w:vMerge/>
            <w:vAlign w:val="center"/>
          </w:tcPr>
          <w:p w14:paraId="1D2F2CCE" w14:textId="77777777" w:rsidR="002260A1" w:rsidRPr="007247FC" w:rsidRDefault="002260A1" w:rsidP="002260A1">
            <w:pPr>
              <w:jc w:val="center"/>
              <w:rPr>
                <w:rFonts w:ascii="Arial" w:hAnsi="Arial" w:cs="Arial"/>
                <w:sz w:val="22"/>
                <w:szCs w:val="22"/>
              </w:rPr>
            </w:pPr>
          </w:p>
        </w:tc>
        <w:tc>
          <w:tcPr>
            <w:tcW w:w="1872" w:type="dxa"/>
            <w:vMerge/>
            <w:vAlign w:val="center"/>
          </w:tcPr>
          <w:p w14:paraId="35D698BA" w14:textId="77777777" w:rsidR="002260A1" w:rsidRPr="007247FC" w:rsidRDefault="002260A1" w:rsidP="002260A1">
            <w:pPr>
              <w:jc w:val="center"/>
              <w:rPr>
                <w:rFonts w:ascii="Arial" w:hAnsi="Arial" w:cs="Arial"/>
                <w:sz w:val="22"/>
                <w:szCs w:val="22"/>
              </w:rPr>
            </w:pPr>
          </w:p>
        </w:tc>
        <w:tc>
          <w:tcPr>
            <w:tcW w:w="5490" w:type="dxa"/>
            <w:vAlign w:val="center"/>
          </w:tcPr>
          <w:p w14:paraId="04ADF2C3" w14:textId="0891FCB7" w:rsidR="002260A1" w:rsidRPr="007247FC" w:rsidRDefault="002260A1" w:rsidP="002260A1">
            <w:pPr>
              <w:ind w:hanging="14"/>
              <w:jc w:val="both"/>
              <w:rPr>
                <w:rFonts w:ascii="Arial" w:hAnsi="Arial" w:cs="Arial"/>
                <w:sz w:val="22"/>
                <w:szCs w:val="22"/>
              </w:rPr>
            </w:pPr>
            <w:r w:rsidRPr="007247FC">
              <w:rPr>
                <w:rFonts w:ascii="Arial" w:hAnsi="Arial" w:cs="Arial"/>
                <w:sz w:val="22"/>
                <w:szCs w:val="22"/>
              </w:rPr>
              <w:t>3.Хуулийн төслийн 8 дугаар зүйлийн 8.3 дахь хэсэгт “Гэрээг цахим хэлбэрээр байгуулах тохиолдолд цахим гарын үсэг хэрэглэнэ.” гэж нэмэх;</w:t>
            </w:r>
          </w:p>
        </w:tc>
        <w:tc>
          <w:tcPr>
            <w:tcW w:w="5490" w:type="dxa"/>
            <w:vAlign w:val="center"/>
          </w:tcPr>
          <w:p w14:paraId="2046D87E" w14:textId="6BBCEB06" w:rsidR="002260A1" w:rsidRPr="007247FC" w:rsidRDefault="002260A1" w:rsidP="002260A1">
            <w:pPr>
              <w:jc w:val="both"/>
              <w:rPr>
                <w:rFonts w:ascii="Arial" w:hAnsi="Arial" w:cs="Arial"/>
                <w:sz w:val="22"/>
                <w:szCs w:val="22"/>
              </w:rPr>
            </w:pPr>
            <w:r w:rsidRPr="007247FC">
              <w:rPr>
                <w:rFonts w:ascii="Arial" w:eastAsia="MS Mincho" w:hAnsi="Arial" w:cs="Arial"/>
                <w:sz w:val="22"/>
                <w:szCs w:val="22"/>
              </w:rPr>
              <w:t xml:space="preserve">Хуулийн төслийн 8 дугаар зүйлийн 8.2 дахь хэсэгт заасан журмаар зохицуулах боломжтой. </w:t>
            </w:r>
          </w:p>
        </w:tc>
      </w:tr>
      <w:tr w:rsidR="002260A1" w:rsidRPr="007247FC" w14:paraId="5EF66210" w14:textId="77777777" w:rsidTr="00F42933">
        <w:tc>
          <w:tcPr>
            <w:tcW w:w="643" w:type="dxa"/>
            <w:vAlign w:val="center"/>
          </w:tcPr>
          <w:p w14:paraId="1F048BA9" w14:textId="0673C379" w:rsidR="002260A1" w:rsidRPr="007247FC" w:rsidRDefault="002260A1" w:rsidP="002260A1">
            <w:pPr>
              <w:jc w:val="center"/>
              <w:rPr>
                <w:rFonts w:ascii="Arial" w:hAnsi="Arial" w:cs="Arial"/>
                <w:sz w:val="22"/>
                <w:szCs w:val="22"/>
                <w:lang w:val="en-US"/>
              </w:rPr>
            </w:pPr>
            <w:r w:rsidRPr="007247FC">
              <w:rPr>
                <w:rFonts w:ascii="Arial" w:hAnsi="Arial" w:cs="Arial"/>
                <w:sz w:val="22"/>
                <w:szCs w:val="22"/>
                <w:lang w:val="en-US"/>
              </w:rPr>
              <w:t>9</w:t>
            </w:r>
          </w:p>
        </w:tc>
        <w:tc>
          <w:tcPr>
            <w:tcW w:w="1872" w:type="dxa"/>
            <w:vAlign w:val="center"/>
          </w:tcPr>
          <w:p w14:paraId="0C6EA3D8" w14:textId="19074573" w:rsidR="002260A1" w:rsidRPr="007247FC" w:rsidRDefault="002260A1" w:rsidP="002260A1">
            <w:pPr>
              <w:jc w:val="center"/>
              <w:rPr>
                <w:rFonts w:ascii="Arial" w:hAnsi="Arial" w:cs="Arial"/>
                <w:sz w:val="22"/>
                <w:szCs w:val="22"/>
              </w:rPr>
            </w:pPr>
            <w:r w:rsidRPr="007247FC">
              <w:rPr>
                <w:rFonts w:ascii="Arial" w:hAnsi="Arial" w:cs="Arial"/>
                <w:sz w:val="22"/>
                <w:szCs w:val="22"/>
              </w:rPr>
              <w:t>Хүнс, хөдөө аж ахуй, хөнгөн үйлдвэрийн яам (2022.12.26 01/4116)</w:t>
            </w:r>
          </w:p>
        </w:tc>
        <w:tc>
          <w:tcPr>
            <w:tcW w:w="10980" w:type="dxa"/>
            <w:gridSpan w:val="2"/>
            <w:vAlign w:val="center"/>
          </w:tcPr>
          <w:p w14:paraId="3BD7C03B" w14:textId="672AD6B7" w:rsidR="002260A1" w:rsidRPr="007247FC" w:rsidRDefault="002260A1" w:rsidP="002260A1">
            <w:pPr>
              <w:jc w:val="both"/>
              <w:rPr>
                <w:rFonts w:ascii="Arial" w:hAnsi="Arial" w:cs="Arial"/>
                <w:sz w:val="22"/>
                <w:szCs w:val="22"/>
              </w:rPr>
            </w:pPr>
            <w:r w:rsidRPr="007247FC">
              <w:rPr>
                <w:rFonts w:ascii="Arial" w:hAnsi="Arial" w:cs="Arial"/>
                <w:sz w:val="22"/>
                <w:szCs w:val="22"/>
              </w:rPr>
              <w:t>Хуулийн төсөлд тусгайлан өгөх саналгүй байна.</w:t>
            </w:r>
          </w:p>
        </w:tc>
      </w:tr>
      <w:tr w:rsidR="002260A1" w:rsidRPr="007247FC" w14:paraId="51B04E8B" w14:textId="77777777" w:rsidTr="00F42933">
        <w:tc>
          <w:tcPr>
            <w:tcW w:w="643" w:type="dxa"/>
            <w:vMerge w:val="restart"/>
            <w:vAlign w:val="center"/>
          </w:tcPr>
          <w:p w14:paraId="18CE8521" w14:textId="5F97E550" w:rsidR="002260A1" w:rsidRPr="007247FC" w:rsidRDefault="002260A1" w:rsidP="002260A1">
            <w:pPr>
              <w:jc w:val="center"/>
              <w:rPr>
                <w:rFonts w:ascii="Arial" w:hAnsi="Arial" w:cs="Arial"/>
                <w:sz w:val="22"/>
                <w:szCs w:val="22"/>
                <w:lang w:val="en-US"/>
              </w:rPr>
            </w:pPr>
            <w:r w:rsidRPr="007247FC">
              <w:rPr>
                <w:rFonts w:ascii="Arial" w:hAnsi="Arial" w:cs="Arial"/>
                <w:sz w:val="22"/>
                <w:szCs w:val="22"/>
                <w:lang w:val="en-US"/>
              </w:rPr>
              <w:t>10</w:t>
            </w:r>
          </w:p>
        </w:tc>
        <w:tc>
          <w:tcPr>
            <w:tcW w:w="1872" w:type="dxa"/>
            <w:vMerge w:val="restart"/>
            <w:vAlign w:val="center"/>
          </w:tcPr>
          <w:p w14:paraId="7E787816" w14:textId="77777777" w:rsidR="002260A1" w:rsidRPr="007247FC" w:rsidRDefault="002260A1" w:rsidP="002260A1">
            <w:pPr>
              <w:jc w:val="center"/>
              <w:rPr>
                <w:rFonts w:ascii="Arial" w:hAnsi="Arial" w:cs="Arial"/>
                <w:sz w:val="22"/>
                <w:szCs w:val="22"/>
              </w:rPr>
            </w:pPr>
            <w:r w:rsidRPr="007247FC">
              <w:rPr>
                <w:rFonts w:ascii="Arial" w:hAnsi="Arial" w:cs="Arial"/>
                <w:sz w:val="22"/>
                <w:szCs w:val="22"/>
              </w:rPr>
              <w:t>Хууль зүй, дотоод хэргийн яам</w:t>
            </w:r>
          </w:p>
          <w:p w14:paraId="45D6120A" w14:textId="7AC94D1F" w:rsidR="002260A1" w:rsidRPr="007247FC" w:rsidRDefault="002260A1" w:rsidP="002260A1">
            <w:pPr>
              <w:jc w:val="center"/>
              <w:rPr>
                <w:rFonts w:ascii="Arial" w:hAnsi="Arial" w:cs="Arial"/>
                <w:sz w:val="22"/>
                <w:szCs w:val="22"/>
              </w:rPr>
            </w:pPr>
            <w:r w:rsidRPr="007247FC">
              <w:rPr>
                <w:rFonts w:ascii="Arial" w:hAnsi="Arial" w:cs="Arial"/>
                <w:sz w:val="22"/>
                <w:szCs w:val="22"/>
              </w:rPr>
              <w:t>(2022.12.27 1/6558)</w:t>
            </w:r>
          </w:p>
        </w:tc>
        <w:tc>
          <w:tcPr>
            <w:tcW w:w="5490" w:type="dxa"/>
            <w:vAlign w:val="center"/>
          </w:tcPr>
          <w:p w14:paraId="407ED550" w14:textId="4A95BE54" w:rsidR="002260A1" w:rsidRPr="007247FC" w:rsidRDefault="002260A1" w:rsidP="002260A1">
            <w:pPr>
              <w:ind w:hanging="16"/>
              <w:jc w:val="both"/>
              <w:rPr>
                <w:rFonts w:ascii="Arial" w:hAnsi="Arial" w:cs="Arial"/>
                <w:sz w:val="22"/>
                <w:szCs w:val="22"/>
              </w:rPr>
            </w:pPr>
            <w:r w:rsidRPr="007247FC">
              <w:rPr>
                <w:rFonts w:ascii="Arial" w:hAnsi="Arial" w:cs="Arial"/>
                <w:color w:val="000000" w:themeColor="text1"/>
                <w:sz w:val="22"/>
                <w:szCs w:val="22"/>
              </w:rPr>
              <w:t>1.Хуулийн төслийн 29 дүгээр зүйлд тэтгэврийн мөнгөжүүлсэн орлогыг өвлүүлэхтэй холбоотой зохицуулалтыг шинээр тусгасан байх хэдий ч даатгуулагч нас барвал түүний тэтгэврийн нөөц санд хуримтлагдсан орлогыг хууль ёсны өв залгамжлагчид хэрхэн өвлүүлэх талаар тодорхой зохицуулаагүй байна. Түүнчлэн энэхүү харилцааг Засгийн газраас баталсан журмаар зохицуулахаар ерөнхий байдлаар тусгасан нь хуулиар тодорхой зохицуулах шаардлагатай харилцааг журмаар зохицуулахаар тусгах нь зарчмын хувьд оновчгүй гэж үзэж байгаа тул энэ талаарх суурь харилцааг хуульд тодорхой тусгах;</w:t>
            </w:r>
          </w:p>
        </w:tc>
        <w:tc>
          <w:tcPr>
            <w:tcW w:w="5490" w:type="dxa"/>
          </w:tcPr>
          <w:p w14:paraId="24DCA5D1" w14:textId="77777777" w:rsidR="001150B3" w:rsidRDefault="00A40587" w:rsidP="002260A1">
            <w:pPr>
              <w:autoSpaceDE w:val="0"/>
              <w:autoSpaceDN w:val="0"/>
              <w:jc w:val="both"/>
              <w:rPr>
                <w:rFonts w:ascii="Arial" w:hAnsi="Arial" w:cs="Arial"/>
                <w:sz w:val="22"/>
                <w:szCs w:val="22"/>
              </w:rPr>
            </w:pPr>
            <w:r>
              <w:rPr>
                <w:rFonts w:ascii="Arial" w:hAnsi="Arial" w:cs="Arial"/>
                <w:sz w:val="22"/>
                <w:szCs w:val="22"/>
              </w:rPr>
              <w:t>Нийгмийн даатгалын тогтолцоог эв санааны тогтолцооноос хагас хуримтлалын тогтолцоонд ү</w:t>
            </w:r>
            <w:r w:rsidR="0065372D">
              <w:rPr>
                <w:rFonts w:ascii="Arial" w:hAnsi="Arial" w:cs="Arial"/>
                <w:sz w:val="22"/>
                <w:szCs w:val="22"/>
              </w:rPr>
              <w:t>е шаттай шилжүүлэх, даатгуулагчийн тэтгэврийн нөөц санд хуримтлагдсан орлогыг өвлүүлэх</w:t>
            </w:r>
            <w:r>
              <w:rPr>
                <w:rFonts w:ascii="Arial" w:hAnsi="Arial" w:cs="Arial"/>
                <w:sz w:val="22"/>
                <w:szCs w:val="22"/>
              </w:rPr>
              <w:t xml:space="preserve"> </w:t>
            </w:r>
            <w:r w:rsidR="001150B3">
              <w:rPr>
                <w:rFonts w:ascii="Arial" w:hAnsi="Arial" w:cs="Arial"/>
                <w:sz w:val="22"/>
                <w:szCs w:val="22"/>
              </w:rPr>
              <w:t xml:space="preserve">харилцааг зохицуулах </w:t>
            </w:r>
            <w:r>
              <w:rPr>
                <w:rFonts w:ascii="Arial" w:hAnsi="Arial" w:cs="Arial"/>
                <w:sz w:val="22"/>
                <w:szCs w:val="22"/>
              </w:rPr>
              <w:t xml:space="preserve">эрх зүйн </w:t>
            </w:r>
            <w:r w:rsidR="001150B3">
              <w:rPr>
                <w:rFonts w:ascii="Arial" w:hAnsi="Arial" w:cs="Arial"/>
                <w:sz w:val="22"/>
                <w:szCs w:val="22"/>
              </w:rPr>
              <w:t xml:space="preserve">орчин бүрдэх юм. </w:t>
            </w:r>
          </w:p>
          <w:p w14:paraId="0C207097" w14:textId="5C05525F" w:rsidR="001150B3" w:rsidRDefault="001150B3" w:rsidP="001150B3">
            <w:pPr>
              <w:autoSpaceDE w:val="0"/>
              <w:autoSpaceDN w:val="0"/>
              <w:jc w:val="both"/>
              <w:rPr>
                <w:rFonts w:ascii="Arial" w:hAnsi="Arial" w:cs="Arial"/>
                <w:sz w:val="22"/>
                <w:szCs w:val="22"/>
              </w:rPr>
            </w:pPr>
          </w:p>
          <w:p w14:paraId="059ED5C6" w14:textId="67DD6DA3" w:rsidR="002260A1" w:rsidRDefault="001150B3" w:rsidP="002260A1">
            <w:pPr>
              <w:autoSpaceDE w:val="0"/>
              <w:autoSpaceDN w:val="0"/>
              <w:jc w:val="both"/>
              <w:rPr>
                <w:rFonts w:ascii="Arial" w:hAnsi="Arial" w:cs="Arial"/>
                <w:sz w:val="22"/>
                <w:szCs w:val="22"/>
              </w:rPr>
            </w:pPr>
            <w:r>
              <w:rPr>
                <w:rFonts w:ascii="Arial" w:hAnsi="Arial" w:cs="Arial"/>
                <w:sz w:val="22"/>
                <w:szCs w:val="22"/>
              </w:rPr>
              <w:t xml:space="preserve">Өвлүүлэх харилцаа нь </w:t>
            </w:r>
            <w:r w:rsidR="002260A1" w:rsidRPr="007247FC">
              <w:rPr>
                <w:rFonts w:ascii="Arial" w:hAnsi="Arial" w:cs="Arial"/>
                <w:sz w:val="22"/>
                <w:szCs w:val="22"/>
              </w:rPr>
              <w:t xml:space="preserve">2030 оноос </w:t>
            </w:r>
            <w:r>
              <w:rPr>
                <w:rFonts w:ascii="Arial" w:hAnsi="Arial" w:cs="Arial"/>
                <w:sz w:val="22"/>
                <w:szCs w:val="22"/>
              </w:rPr>
              <w:t xml:space="preserve">эхлэн хэрэгжих бөгөөд </w:t>
            </w:r>
            <w:r w:rsidR="00C20DF2">
              <w:rPr>
                <w:rFonts w:ascii="Arial" w:hAnsi="Arial" w:cs="Arial"/>
                <w:sz w:val="22"/>
                <w:szCs w:val="22"/>
              </w:rPr>
              <w:t xml:space="preserve">уг </w:t>
            </w:r>
            <w:r>
              <w:rPr>
                <w:rFonts w:ascii="Arial" w:hAnsi="Arial" w:cs="Arial"/>
                <w:sz w:val="22"/>
                <w:szCs w:val="22"/>
              </w:rPr>
              <w:t xml:space="preserve">харилцааг </w:t>
            </w:r>
            <w:r w:rsidR="00C20DF2">
              <w:rPr>
                <w:rFonts w:ascii="Arial" w:hAnsi="Arial" w:cs="Arial"/>
                <w:sz w:val="22"/>
                <w:szCs w:val="22"/>
              </w:rPr>
              <w:t>тухайн үеийн нөхцөл байдалд нийцүүлсэн журмыг боловсруулж</w:t>
            </w:r>
            <w:r w:rsidR="00E65032">
              <w:rPr>
                <w:rFonts w:ascii="Arial" w:hAnsi="Arial" w:cs="Arial"/>
                <w:sz w:val="22"/>
                <w:szCs w:val="22"/>
              </w:rPr>
              <w:t>,</w:t>
            </w:r>
            <w:r w:rsidR="00C20DF2">
              <w:rPr>
                <w:rFonts w:ascii="Arial" w:hAnsi="Arial" w:cs="Arial"/>
                <w:sz w:val="22"/>
                <w:szCs w:val="22"/>
              </w:rPr>
              <w:t xml:space="preserve"> </w:t>
            </w:r>
            <w:r>
              <w:rPr>
                <w:rFonts w:ascii="Arial" w:hAnsi="Arial" w:cs="Arial"/>
                <w:sz w:val="22"/>
                <w:szCs w:val="22"/>
              </w:rPr>
              <w:t xml:space="preserve">Засгийн газрын тогтоолоор </w:t>
            </w:r>
            <w:r w:rsidR="00C20DF2">
              <w:rPr>
                <w:rFonts w:ascii="Arial" w:hAnsi="Arial" w:cs="Arial"/>
                <w:sz w:val="22"/>
                <w:szCs w:val="22"/>
              </w:rPr>
              <w:t>батлахаар тусга</w:t>
            </w:r>
            <w:r w:rsidR="00E65032">
              <w:rPr>
                <w:rFonts w:ascii="Arial" w:hAnsi="Arial" w:cs="Arial"/>
                <w:sz w:val="22"/>
                <w:szCs w:val="22"/>
              </w:rPr>
              <w:t>сан болно</w:t>
            </w:r>
            <w:r w:rsidR="00C20DF2">
              <w:rPr>
                <w:rFonts w:ascii="Arial" w:hAnsi="Arial" w:cs="Arial"/>
                <w:sz w:val="22"/>
                <w:szCs w:val="22"/>
              </w:rPr>
              <w:t>.</w:t>
            </w:r>
          </w:p>
          <w:p w14:paraId="6D254307" w14:textId="49895BA7" w:rsidR="002260A1" w:rsidRPr="007247FC" w:rsidRDefault="002260A1" w:rsidP="002260A1">
            <w:pPr>
              <w:autoSpaceDE w:val="0"/>
              <w:autoSpaceDN w:val="0"/>
              <w:jc w:val="both"/>
              <w:rPr>
                <w:rFonts w:ascii="Arial" w:hAnsi="Arial" w:cs="Arial"/>
                <w:sz w:val="22"/>
                <w:szCs w:val="22"/>
              </w:rPr>
            </w:pPr>
          </w:p>
          <w:p w14:paraId="358DF61A" w14:textId="77777777" w:rsidR="002260A1" w:rsidRPr="007247FC" w:rsidRDefault="002260A1" w:rsidP="002260A1">
            <w:pPr>
              <w:autoSpaceDE w:val="0"/>
              <w:autoSpaceDN w:val="0"/>
              <w:jc w:val="both"/>
              <w:rPr>
                <w:rFonts w:ascii="Arial" w:eastAsia="MS Mincho" w:hAnsi="Arial" w:cs="Arial"/>
                <w:sz w:val="22"/>
                <w:szCs w:val="22"/>
              </w:rPr>
            </w:pPr>
          </w:p>
          <w:p w14:paraId="5CCA2312" w14:textId="1A207F1B" w:rsidR="002260A1" w:rsidRPr="007247FC" w:rsidRDefault="002260A1" w:rsidP="002260A1">
            <w:pPr>
              <w:rPr>
                <w:rFonts w:ascii="Arial" w:hAnsi="Arial" w:cs="Arial"/>
                <w:sz w:val="22"/>
                <w:szCs w:val="22"/>
              </w:rPr>
            </w:pPr>
          </w:p>
        </w:tc>
      </w:tr>
      <w:tr w:rsidR="002260A1" w:rsidRPr="007247FC" w14:paraId="71538757" w14:textId="77777777" w:rsidTr="00F42933">
        <w:trPr>
          <w:trHeight w:val="1520"/>
        </w:trPr>
        <w:tc>
          <w:tcPr>
            <w:tcW w:w="643" w:type="dxa"/>
            <w:vMerge/>
            <w:vAlign w:val="center"/>
          </w:tcPr>
          <w:p w14:paraId="14B2727B" w14:textId="77777777" w:rsidR="002260A1" w:rsidRPr="007247FC" w:rsidRDefault="002260A1" w:rsidP="002260A1">
            <w:pPr>
              <w:jc w:val="center"/>
              <w:rPr>
                <w:rFonts w:ascii="Arial" w:hAnsi="Arial" w:cs="Arial"/>
                <w:sz w:val="22"/>
                <w:szCs w:val="22"/>
              </w:rPr>
            </w:pPr>
          </w:p>
        </w:tc>
        <w:tc>
          <w:tcPr>
            <w:tcW w:w="1872" w:type="dxa"/>
            <w:vMerge/>
            <w:vAlign w:val="center"/>
          </w:tcPr>
          <w:p w14:paraId="1CDE9D82" w14:textId="77777777" w:rsidR="002260A1" w:rsidRPr="007247FC" w:rsidRDefault="002260A1" w:rsidP="002260A1">
            <w:pPr>
              <w:jc w:val="center"/>
              <w:rPr>
                <w:rFonts w:ascii="Arial" w:hAnsi="Arial" w:cs="Arial"/>
                <w:sz w:val="22"/>
                <w:szCs w:val="22"/>
              </w:rPr>
            </w:pPr>
          </w:p>
        </w:tc>
        <w:tc>
          <w:tcPr>
            <w:tcW w:w="5490" w:type="dxa"/>
            <w:vAlign w:val="center"/>
          </w:tcPr>
          <w:p w14:paraId="32FDE721" w14:textId="079E7066" w:rsidR="002260A1" w:rsidRPr="007247FC" w:rsidRDefault="002260A1" w:rsidP="002260A1">
            <w:pPr>
              <w:pStyle w:val="BodyText"/>
              <w:tabs>
                <w:tab w:val="left" w:pos="1121"/>
              </w:tabs>
              <w:spacing w:line="262" w:lineRule="auto"/>
              <w:ind w:firstLine="0"/>
              <w:jc w:val="both"/>
              <w:rPr>
                <w:rFonts w:eastAsia="Courier New"/>
                <w:color w:val="000000" w:themeColor="text1"/>
                <w:lang w:val="mn-MN" w:eastAsia="mn-MN" w:bidi="mn-MN"/>
              </w:rPr>
            </w:pPr>
            <w:r w:rsidRPr="007247FC">
              <w:rPr>
                <w:rFonts w:eastAsia="Courier New"/>
                <w:color w:val="000000" w:themeColor="text1"/>
                <w:lang w:val="mn-MN" w:eastAsia="mn-MN" w:bidi="mn-MN"/>
              </w:rPr>
              <w:t xml:space="preserve">2.Хуулийн төслийн 29 дүгээр зүйлд даатгуулагчийн “мөнгөжүүлсэн орлогыг” өвлүүлэх талаар зохицуулсан байх бөгөөд хуулийн төслийн 4 дүгээр зүйлийн 4.1.20- д “мөнгөжүүлсэн орлого” гэдэгт тэтгэврийн даатгалын нэрийн дансанд бүртгэсэн орлогын зөвхөн бодит мөнгөн хэлбэрт шилжүүлсэн хэсгийг ойлгохоор заажээ. Өөрөөр хэлбэл, тэтгэврийн даатгалын нэрийн дансанд бүртгэсэн нийт орлогын зөвхөн мөнгөн хэлбэрт буюу бодит </w:t>
            </w:r>
            <w:r w:rsidRPr="007247FC">
              <w:rPr>
                <w:rFonts w:eastAsia="Courier New"/>
                <w:color w:val="000000" w:themeColor="text1"/>
                <w:lang w:val="mn-MN" w:eastAsia="mn-MN" w:bidi="mn-MN"/>
              </w:rPr>
              <w:lastRenderedPageBreak/>
              <w:t>мөнгөн дүнд шилжүүлсэн хэсгийг л өвлүүлэхээр ойлгогдож байх тул нэрийн дансанд бүртгэлтэй “нийт орлогыг” өвлүүлэх агуулгатай байхаар өөрчлөн найруулах.</w:t>
            </w:r>
          </w:p>
          <w:p w14:paraId="5198A9A4" w14:textId="77777777" w:rsidR="002260A1" w:rsidRPr="007247FC" w:rsidRDefault="002260A1" w:rsidP="002260A1">
            <w:pPr>
              <w:pStyle w:val="BodyText"/>
              <w:ind w:firstLine="0"/>
              <w:jc w:val="both"/>
              <w:rPr>
                <w:rFonts w:eastAsia="Courier New"/>
                <w:color w:val="000000" w:themeColor="text1"/>
                <w:lang w:val="mn-MN" w:eastAsia="mn-MN" w:bidi="mn-MN"/>
              </w:rPr>
            </w:pPr>
            <w:r w:rsidRPr="007247FC">
              <w:rPr>
                <w:rFonts w:eastAsia="Courier New"/>
                <w:color w:val="000000" w:themeColor="text1"/>
                <w:lang w:val="mn-MN" w:eastAsia="mn-MN" w:bidi="mn-MN"/>
              </w:rPr>
              <w:t>Түүнчлэн хуулийн төслийн 27 дугаар зүйлийн 27.3-т заасан даатгуулагчийн нэрийн дансны орлогоос аль нь “мөнгөжүүлсэн орлого”-д хамаарах, аль нь хамаарахгүй байхыг тодорхой зааж, хуулийн төслийн 29 дүгээр зүйлд заасан тэтгэврийн нөөц сангийн зохицуулалтыг үүнтэй уялдуулж найруулах.</w:t>
            </w:r>
          </w:p>
          <w:p w14:paraId="234D44A1" w14:textId="72F7B3C4" w:rsidR="002260A1" w:rsidRPr="007247FC" w:rsidRDefault="002260A1" w:rsidP="002260A1">
            <w:pPr>
              <w:pStyle w:val="BodyText"/>
              <w:ind w:firstLine="0"/>
              <w:jc w:val="both"/>
              <w:rPr>
                <w:color w:val="000000" w:themeColor="text1"/>
                <w:lang w:val="mn-MN"/>
              </w:rPr>
            </w:pPr>
            <w:r w:rsidRPr="007247FC">
              <w:rPr>
                <w:rFonts w:eastAsia="Courier New"/>
                <w:color w:val="000000" w:themeColor="text1"/>
                <w:lang w:val="mn-MN" w:eastAsia="mn-MN" w:bidi="mn-MN"/>
              </w:rPr>
              <w:t>Иймд хэрэв даатгуулагч өөрийн орлогыг хуулийн төслийн 13.1-д заасан санхүүгийн хэрэгсэлд хөрөнгө оруулсан боловч ашиг хүртэлгүй нас барсан тохиолдолд тухайн үнэт цаас болон бусад санхүүгийн хэрэгслээс ашиг хүртэх эрх бас хууль ёсны өв залгамжлагчид өвлөгдөх талаар зохицуулалтыг нэмж тусгах;</w:t>
            </w:r>
          </w:p>
        </w:tc>
        <w:tc>
          <w:tcPr>
            <w:tcW w:w="5490" w:type="dxa"/>
          </w:tcPr>
          <w:p w14:paraId="0114BE72" w14:textId="77777777" w:rsidR="001F2228" w:rsidRPr="00C6372A" w:rsidRDefault="001F2228" w:rsidP="001F2228">
            <w:pPr>
              <w:tabs>
                <w:tab w:val="left" w:pos="0"/>
                <w:tab w:val="left" w:pos="1134"/>
              </w:tabs>
              <w:autoSpaceDE w:val="0"/>
              <w:autoSpaceDN w:val="0"/>
              <w:jc w:val="both"/>
              <w:rPr>
                <w:rFonts w:ascii="Arial" w:hAnsi="Arial" w:cs="Arial"/>
                <w:sz w:val="22"/>
                <w:szCs w:val="22"/>
              </w:rPr>
            </w:pPr>
            <w:r w:rsidRPr="00C6372A">
              <w:rPr>
                <w:rFonts w:ascii="Arial" w:eastAsia="Arial" w:hAnsi="Arial" w:cs="Arial"/>
                <w:sz w:val="22"/>
                <w:szCs w:val="22"/>
              </w:rPr>
              <w:lastRenderedPageBreak/>
              <w:t xml:space="preserve">Тэтгэврийн даатгалын нэрийн данс нь бодит мөнгөн хөрөнгө биш даатгуулагчийн </w:t>
            </w:r>
            <w:r w:rsidRPr="00C6372A">
              <w:rPr>
                <w:rFonts w:ascii="Arial" w:hAnsi="Arial" w:cs="Arial"/>
                <w:sz w:val="22"/>
                <w:szCs w:val="22"/>
                <w:shd w:val="clear" w:color="auto" w:fill="FFFFFF"/>
              </w:rPr>
              <w:t xml:space="preserve">гарааны үлдэгдэл, </w:t>
            </w:r>
            <w:r w:rsidRPr="00C6372A">
              <w:rPr>
                <w:rFonts w:ascii="Arial" w:eastAsia="Arial" w:hAnsi="Arial" w:cs="Arial"/>
                <w:sz w:val="22"/>
                <w:szCs w:val="22"/>
              </w:rPr>
              <w:t xml:space="preserve">төлсөн </w:t>
            </w:r>
            <w:r w:rsidRPr="00C6372A">
              <w:rPr>
                <w:rFonts w:ascii="Arial" w:hAnsi="Arial" w:cs="Arial"/>
                <w:sz w:val="22"/>
                <w:szCs w:val="22"/>
              </w:rPr>
              <w:t xml:space="preserve">тэтгэврийн даатгалын шимтгэл, тооцсон хүү, </w:t>
            </w:r>
            <w:r w:rsidRPr="00C6372A">
              <w:rPr>
                <w:rFonts w:ascii="Arial" w:hAnsi="Arial" w:cs="Arial"/>
                <w:sz w:val="22"/>
                <w:szCs w:val="22"/>
                <w:shd w:val="clear" w:color="auto" w:fill="FFFFFF"/>
              </w:rPr>
              <w:t>мөнгөжүүлсэн орлого, олгосон тэтгэвэр зэрэг орлого, зарлагыг</w:t>
            </w:r>
            <w:r w:rsidRPr="00C6372A">
              <w:rPr>
                <w:rFonts w:ascii="Arial" w:hAnsi="Arial" w:cs="Arial"/>
                <w:sz w:val="22"/>
                <w:szCs w:val="22"/>
              </w:rPr>
              <w:t xml:space="preserve"> нэгтгэн тооцсон хийсвэр бүртгэл юм. Иймд уг бүртгэлээс мөнгөжүүлсэн орлогыг өвлүүлэх боломжтой.</w:t>
            </w:r>
          </w:p>
          <w:p w14:paraId="13DADC01" w14:textId="77777777" w:rsidR="001F2228" w:rsidRPr="00C6372A" w:rsidRDefault="001F2228" w:rsidP="001F2228">
            <w:pPr>
              <w:tabs>
                <w:tab w:val="left" w:pos="0"/>
                <w:tab w:val="left" w:pos="1134"/>
              </w:tabs>
              <w:autoSpaceDE w:val="0"/>
              <w:autoSpaceDN w:val="0"/>
              <w:jc w:val="both"/>
              <w:rPr>
                <w:rFonts w:ascii="Arial" w:hAnsi="Arial" w:cs="Arial"/>
                <w:sz w:val="22"/>
                <w:szCs w:val="22"/>
              </w:rPr>
            </w:pPr>
          </w:p>
          <w:p w14:paraId="4E36DBDE" w14:textId="77777777" w:rsidR="001F2228" w:rsidRPr="007C55CB" w:rsidRDefault="001F2228" w:rsidP="001F2228">
            <w:pPr>
              <w:autoSpaceDE w:val="0"/>
              <w:autoSpaceDN w:val="0"/>
              <w:jc w:val="both"/>
              <w:rPr>
                <w:rFonts w:ascii="Arial" w:hAnsi="Arial" w:cs="Arial"/>
                <w:color w:val="000000" w:themeColor="text1"/>
                <w:sz w:val="22"/>
                <w:szCs w:val="22"/>
              </w:rPr>
            </w:pPr>
            <w:r>
              <w:rPr>
                <w:rFonts w:ascii="Arial" w:hAnsi="Arial" w:cs="Arial"/>
                <w:color w:val="000000" w:themeColor="text1"/>
                <w:sz w:val="22"/>
                <w:szCs w:val="22"/>
              </w:rPr>
              <w:t>Саналыг тусгаж, х</w:t>
            </w:r>
            <w:r w:rsidRPr="007C55CB">
              <w:rPr>
                <w:rFonts w:ascii="Arial" w:hAnsi="Arial" w:cs="Arial"/>
                <w:color w:val="000000" w:themeColor="text1"/>
                <w:sz w:val="22"/>
                <w:szCs w:val="22"/>
              </w:rPr>
              <w:t>уулийн төслийн 27 дугаар зүйлийг дараах байдлаар дахин найруулав.</w:t>
            </w:r>
          </w:p>
          <w:p w14:paraId="299DC042" w14:textId="77777777" w:rsidR="001F2228" w:rsidRPr="007C55CB" w:rsidRDefault="001F2228" w:rsidP="001F2228">
            <w:pPr>
              <w:shd w:val="clear" w:color="auto" w:fill="FFFFFF"/>
              <w:jc w:val="both"/>
              <w:rPr>
                <w:rFonts w:ascii="Arial" w:hAnsi="Arial" w:cs="Arial"/>
                <w:color w:val="000000" w:themeColor="text1"/>
                <w:sz w:val="22"/>
                <w:szCs w:val="22"/>
              </w:rPr>
            </w:pPr>
            <w:r w:rsidRPr="007C55CB">
              <w:rPr>
                <w:rFonts w:ascii="Arial" w:hAnsi="Arial" w:cs="Arial"/>
                <w:color w:val="000000" w:themeColor="text1"/>
                <w:sz w:val="22"/>
                <w:szCs w:val="22"/>
              </w:rPr>
              <w:lastRenderedPageBreak/>
              <w:t>29.2.Энэ хуулийн 27 дугаар зүйлд заасан нэрийн дансны эцсийн үлдэгдлийг дараах эх үүсвэрээс мөнгөжүүлнэ:</w:t>
            </w:r>
          </w:p>
          <w:p w14:paraId="23E575A7" w14:textId="77777777" w:rsidR="001F2228" w:rsidRPr="007C55CB" w:rsidRDefault="001F2228" w:rsidP="001F2228">
            <w:pPr>
              <w:autoSpaceDE w:val="0"/>
              <w:autoSpaceDN w:val="0"/>
              <w:jc w:val="both"/>
              <w:rPr>
                <w:rFonts w:ascii="Arial" w:hAnsi="Arial" w:cs="Arial"/>
                <w:color w:val="000000" w:themeColor="text1"/>
                <w:sz w:val="22"/>
                <w:szCs w:val="22"/>
              </w:rPr>
            </w:pPr>
            <w:r w:rsidRPr="007C55CB">
              <w:rPr>
                <w:rFonts w:ascii="Arial" w:hAnsi="Arial" w:cs="Arial"/>
                <w:color w:val="000000" w:themeColor="text1"/>
                <w:sz w:val="22"/>
                <w:szCs w:val="22"/>
              </w:rPr>
              <w:t>29.2.1.Ирээдүйн өв сангийн тухай хуулийн 9 дүгээр зүйлийн 9.6-д заасан улсын төсөвт шилжүүлсэн орлогын 30 хувьд ногдох хэсэг;</w:t>
            </w:r>
          </w:p>
          <w:p w14:paraId="34DF3AB2" w14:textId="77777777" w:rsidR="001F2228" w:rsidRPr="007C55CB" w:rsidRDefault="001F2228" w:rsidP="001F2228">
            <w:pPr>
              <w:autoSpaceDE w:val="0"/>
              <w:autoSpaceDN w:val="0"/>
              <w:jc w:val="both"/>
              <w:rPr>
                <w:rFonts w:ascii="Arial" w:hAnsi="Arial" w:cs="Arial"/>
                <w:color w:val="000000" w:themeColor="text1"/>
                <w:sz w:val="22"/>
                <w:szCs w:val="22"/>
              </w:rPr>
            </w:pPr>
            <w:r w:rsidRPr="007C55CB">
              <w:rPr>
                <w:rFonts w:ascii="Arial" w:hAnsi="Arial" w:cs="Arial"/>
                <w:color w:val="000000" w:themeColor="text1"/>
                <w:sz w:val="22"/>
                <w:szCs w:val="22"/>
              </w:rPr>
              <w:t>29.2.2.улсын төсвөөс олгох бусад орлого.</w:t>
            </w:r>
          </w:p>
          <w:p w14:paraId="72DB8CE3" w14:textId="77777777" w:rsidR="001F2228" w:rsidRPr="007C55CB" w:rsidRDefault="001F2228" w:rsidP="001F2228">
            <w:pPr>
              <w:autoSpaceDE w:val="0"/>
              <w:autoSpaceDN w:val="0"/>
              <w:jc w:val="both"/>
              <w:rPr>
                <w:rFonts w:ascii="Arial" w:hAnsi="Arial" w:cs="Arial"/>
                <w:color w:val="000000" w:themeColor="text1"/>
                <w:sz w:val="22"/>
                <w:szCs w:val="22"/>
              </w:rPr>
            </w:pPr>
            <w:r w:rsidRPr="007C55CB">
              <w:rPr>
                <w:rFonts w:ascii="Arial" w:hAnsi="Arial" w:cs="Arial"/>
                <w:color w:val="000000" w:themeColor="text1"/>
                <w:sz w:val="22"/>
                <w:szCs w:val="22"/>
              </w:rPr>
              <w:t>29.3.Энэ зүйлийн 29.1-д заасан тэтгэврийн нөөц сан дараах эх үүсвэрээс бүрдэнэ:</w:t>
            </w:r>
          </w:p>
          <w:p w14:paraId="6BB8D294" w14:textId="77777777" w:rsidR="001F2228" w:rsidRPr="007C55CB" w:rsidRDefault="001F2228" w:rsidP="001F2228">
            <w:pPr>
              <w:autoSpaceDE w:val="0"/>
              <w:autoSpaceDN w:val="0"/>
              <w:jc w:val="both"/>
              <w:rPr>
                <w:rFonts w:ascii="Arial" w:hAnsi="Arial" w:cs="Arial"/>
                <w:color w:val="000000" w:themeColor="text1"/>
                <w:sz w:val="22"/>
                <w:szCs w:val="22"/>
              </w:rPr>
            </w:pPr>
            <w:r w:rsidRPr="007C55CB">
              <w:rPr>
                <w:rFonts w:ascii="Arial" w:hAnsi="Arial" w:cs="Arial"/>
                <w:color w:val="000000" w:themeColor="text1"/>
                <w:sz w:val="22"/>
                <w:szCs w:val="22"/>
              </w:rPr>
              <w:t>29.3.1.энэ хуулийн 18.1-д заасан тэтгэврийн даатгалын шимтгэлийн хувь хэмжээний ажил олгогчийн 1.0, даатгуулагчийн 1.0, нийт 2.0 хувийн, энэ хуулийн 18.3-т заасан сайн дураар даатгуулагчийн тэтгэврийн даатгалын шимтгэлийн хувь хэмжээний 2.0 хувийн шимтгэлийн орлого;</w:t>
            </w:r>
          </w:p>
          <w:p w14:paraId="664E9FC0" w14:textId="2C736A2F" w:rsidR="002260A1" w:rsidRPr="007247FC" w:rsidRDefault="001F2228" w:rsidP="001F2228">
            <w:pPr>
              <w:autoSpaceDE w:val="0"/>
              <w:autoSpaceDN w:val="0"/>
              <w:jc w:val="both"/>
              <w:rPr>
                <w:rFonts w:ascii="Arial" w:hAnsi="Arial" w:cs="Arial"/>
                <w:sz w:val="22"/>
                <w:szCs w:val="22"/>
              </w:rPr>
            </w:pPr>
            <w:r w:rsidRPr="007C55CB">
              <w:rPr>
                <w:rFonts w:ascii="Arial" w:hAnsi="Arial" w:cs="Arial"/>
                <w:color w:val="000000" w:themeColor="text1"/>
                <w:sz w:val="22"/>
                <w:szCs w:val="22"/>
              </w:rPr>
              <w:t>29.3.2.энэ зүйлийн 29.2-т заасан мөнгөжүүлсэн орлого.</w:t>
            </w:r>
          </w:p>
        </w:tc>
      </w:tr>
      <w:tr w:rsidR="002260A1" w:rsidRPr="007247FC" w14:paraId="14E89536" w14:textId="77777777" w:rsidTr="00F42933">
        <w:trPr>
          <w:trHeight w:val="1511"/>
        </w:trPr>
        <w:tc>
          <w:tcPr>
            <w:tcW w:w="643" w:type="dxa"/>
            <w:vMerge/>
            <w:vAlign w:val="center"/>
          </w:tcPr>
          <w:p w14:paraId="635BA9AB" w14:textId="21450A31" w:rsidR="002260A1" w:rsidRPr="007247FC" w:rsidRDefault="002260A1" w:rsidP="002260A1">
            <w:pPr>
              <w:rPr>
                <w:rFonts w:ascii="Arial" w:hAnsi="Arial" w:cs="Arial"/>
                <w:sz w:val="22"/>
                <w:szCs w:val="22"/>
              </w:rPr>
            </w:pPr>
          </w:p>
        </w:tc>
        <w:tc>
          <w:tcPr>
            <w:tcW w:w="1872" w:type="dxa"/>
            <w:vMerge/>
            <w:vAlign w:val="center"/>
          </w:tcPr>
          <w:p w14:paraId="4E88F61D" w14:textId="77777777" w:rsidR="002260A1" w:rsidRPr="007247FC" w:rsidRDefault="002260A1" w:rsidP="002260A1">
            <w:pPr>
              <w:jc w:val="center"/>
              <w:rPr>
                <w:rFonts w:ascii="Arial" w:hAnsi="Arial" w:cs="Arial"/>
                <w:sz w:val="22"/>
                <w:szCs w:val="22"/>
              </w:rPr>
            </w:pPr>
          </w:p>
        </w:tc>
        <w:tc>
          <w:tcPr>
            <w:tcW w:w="5490" w:type="dxa"/>
            <w:vAlign w:val="center"/>
          </w:tcPr>
          <w:p w14:paraId="77568D13" w14:textId="008F9733" w:rsidR="002260A1" w:rsidRPr="007247FC" w:rsidRDefault="002260A1" w:rsidP="002260A1">
            <w:pPr>
              <w:pStyle w:val="BodyText"/>
              <w:tabs>
                <w:tab w:val="left" w:pos="970"/>
              </w:tabs>
              <w:spacing w:line="262" w:lineRule="auto"/>
              <w:ind w:firstLine="0"/>
              <w:jc w:val="both"/>
              <w:rPr>
                <w:color w:val="000000" w:themeColor="text1"/>
                <w:lang w:val="mn-MN"/>
              </w:rPr>
            </w:pPr>
            <w:r w:rsidRPr="007247FC">
              <w:rPr>
                <w:rFonts w:eastAsia="Courier New"/>
                <w:color w:val="000000" w:themeColor="text1"/>
                <w:lang w:val="mn-MN" w:eastAsia="mn-MN" w:bidi="mn-MN"/>
              </w:rPr>
              <w:t>3.Тэтгэврийн нөөц сангийн ажиллах журам, үйл ажиллагаа явуулах хугацаа, сангийн хөрөнгийн удирдлагатай холбоотой харилцаа тодорхойгүй байх тул холбогдох зохицуулалтыг хуулийн төсөлд нэмж тусгах;</w:t>
            </w:r>
          </w:p>
        </w:tc>
        <w:tc>
          <w:tcPr>
            <w:tcW w:w="5490" w:type="dxa"/>
            <w:vAlign w:val="center"/>
          </w:tcPr>
          <w:p w14:paraId="4E6F0A3D" w14:textId="003A6F1A" w:rsidR="002260A1" w:rsidRPr="007247FC" w:rsidRDefault="002260A1" w:rsidP="002260A1">
            <w:pPr>
              <w:shd w:val="clear" w:color="auto" w:fill="FFFFFF"/>
              <w:spacing w:after="280"/>
              <w:jc w:val="both"/>
              <w:rPr>
                <w:rFonts w:ascii="Arial" w:hAnsi="Arial" w:cs="Arial"/>
                <w:color w:val="000000" w:themeColor="text1"/>
                <w:sz w:val="22"/>
                <w:szCs w:val="22"/>
              </w:rPr>
            </w:pPr>
            <w:r w:rsidRPr="007247FC">
              <w:rPr>
                <w:rFonts w:ascii="Arial" w:eastAsia="Times New Roman" w:hAnsi="Arial" w:cs="Arial"/>
                <w:color w:val="000000" w:themeColor="text1"/>
                <w:sz w:val="22"/>
                <w:szCs w:val="22"/>
              </w:rPr>
              <w:t>Тэтгэврийн нөөц санд хөрөнгө төвлөрүүлэх, бүртгэх, хуваарилах, байршуулах, мэдээлэх, хөрөнгө оруулах, өвлүүлэх, хяналт тавих зэрэг нарийвчилсан үйл ажиллагааг Засгийн газраас баталсан журмаар зохицуулахаар хуулийн төсөлд тусгасан  болно.</w:t>
            </w:r>
          </w:p>
        </w:tc>
      </w:tr>
      <w:tr w:rsidR="002260A1" w:rsidRPr="007247FC" w14:paraId="25D4C07C" w14:textId="77777777" w:rsidTr="00F42933">
        <w:tc>
          <w:tcPr>
            <w:tcW w:w="643" w:type="dxa"/>
            <w:vMerge/>
            <w:vAlign w:val="center"/>
          </w:tcPr>
          <w:p w14:paraId="6B049F7F" w14:textId="77777777" w:rsidR="002260A1" w:rsidRPr="007247FC" w:rsidRDefault="002260A1" w:rsidP="002260A1">
            <w:pPr>
              <w:jc w:val="center"/>
              <w:rPr>
                <w:rFonts w:ascii="Arial" w:hAnsi="Arial" w:cs="Arial"/>
                <w:sz w:val="22"/>
                <w:szCs w:val="22"/>
              </w:rPr>
            </w:pPr>
          </w:p>
        </w:tc>
        <w:tc>
          <w:tcPr>
            <w:tcW w:w="1872" w:type="dxa"/>
            <w:vMerge/>
            <w:vAlign w:val="center"/>
          </w:tcPr>
          <w:p w14:paraId="2B67B53D" w14:textId="77777777" w:rsidR="002260A1" w:rsidRPr="007247FC" w:rsidRDefault="002260A1" w:rsidP="002260A1">
            <w:pPr>
              <w:jc w:val="center"/>
              <w:rPr>
                <w:rFonts w:ascii="Arial" w:hAnsi="Arial" w:cs="Arial"/>
                <w:sz w:val="22"/>
                <w:szCs w:val="22"/>
              </w:rPr>
            </w:pPr>
          </w:p>
        </w:tc>
        <w:tc>
          <w:tcPr>
            <w:tcW w:w="5490" w:type="dxa"/>
            <w:vAlign w:val="center"/>
          </w:tcPr>
          <w:p w14:paraId="44A0A06E" w14:textId="41CD906F" w:rsidR="002260A1" w:rsidRPr="007247FC" w:rsidRDefault="002260A1" w:rsidP="002260A1">
            <w:pPr>
              <w:jc w:val="both"/>
              <w:rPr>
                <w:rFonts w:ascii="Arial" w:hAnsi="Arial" w:cs="Arial"/>
                <w:color w:val="000000" w:themeColor="text1"/>
                <w:sz w:val="22"/>
                <w:szCs w:val="22"/>
              </w:rPr>
            </w:pPr>
            <w:r w:rsidRPr="007247FC">
              <w:rPr>
                <w:rFonts w:ascii="Arial" w:hAnsi="Arial" w:cs="Arial"/>
                <w:color w:val="000000" w:themeColor="text1"/>
                <w:sz w:val="22"/>
                <w:szCs w:val="22"/>
              </w:rPr>
              <w:t xml:space="preserve">4.Хуулийн төслийн 4 дүгээр зүйлийн 4.1.2-т тодорхойлсон "даатгуулагч" гэсэн нэр томьёог зөвхөн нийгмийн даатгалын санд энэ хуульд заасны дагуу урьдчилан шимтгэл төлж даатгуулсан иргэнийг ойлгохоор томьёолсон нь уг нэр томьёог бүрэн дүүрэн оновчтой тодорхойлсон эсэх нь эргэлзээ төрүүлж байна. Өөрөөр хэлбэл хуулийн төслийн зорилт болон мөн төслийн 4.1.1-д "нийгмийн даатгал" гэсэн нэр томьёог тодорхойлсонтой уялдуулж, энэ хуульд заасан "даатгуулагч" нь зөвхөн шимтгэл төлснөөс гадна </w:t>
            </w:r>
            <w:r w:rsidRPr="007247FC">
              <w:rPr>
                <w:rFonts w:ascii="Arial" w:hAnsi="Arial" w:cs="Arial"/>
                <w:color w:val="000000" w:themeColor="text1"/>
                <w:sz w:val="22"/>
                <w:szCs w:val="22"/>
              </w:rPr>
              <w:lastRenderedPageBreak/>
              <w:t>нийгмийн даатгалын шимтгэл төлснийхөө төлөө тэтгэвэр, тэтгэмж, төлбөр авах агуулга мөн хамаарах тул эдгээрийг бүрэн илэрхийлж томьёолох нь зүйтэйг анхаарах;</w:t>
            </w:r>
          </w:p>
        </w:tc>
        <w:tc>
          <w:tcPr>
            <w:tcW w:w="5490" w:type="dxa"/>
            <w:vAlign w:val="center"/>
          </w:tcPr>
          <w:p w14:paraId="0B9B7F5C" w14:textId="32924A91" w:rsidR="002260A1" w:rsidRPr="007247FC" w:rsidRDefault="002260A1" w:rsidP="002260A1">
            <w:pPr>
              <w:jc w:val="both"/>
              <w:rPr>
                <w:rFonts w:ascii="Arial" w:eastAsia="Times New Roman" w:hAnsi="Arial" w:cs="Arial"/>
                <w:sz w:val="22"/>
                <w:szCs w:val="22"/>
              </w:rPr>
            </w:pPr>
            <w:r w:rsidRPr="007247FC">
              <w:rPr>
                <w:rFonts w:ascii="Arial" w:eastAsia="Times New Roman" w:hAnsi="Arial" w:cs="Arial"/>
                <w:sz w:val="22"/>
                <w:szCs w:val="22"/>
              </w:rPr>
              <w:lastRenderedPageBreak/>
              <w:t>Хуулийн төслийн 4.1.2-т “даатгуулагч” гэж нийгмийн даатгалын хууль тогтоомжид заасан тэтгэвэр, тэтгэмж, эрүүл мэндийн нөхөн сэргээлтийн зардлын төлбөр авах зорилгоор нийгмийн даатгалын санд урьдчилан шимтгэл төлж даатгуулсан Монгол Улсын иргэн, гадаадын иргэн, харьяалалгүй хүнийг хэлнэ гэж заасан.</w:t>
            </w:r>
          </w:p>
          <w:p w14:paraId="0E941AC5" w14:textId="77777777" w:rsidR="002260A1" w:rsidRPr="007247FC" w:rsidRDefault="002260A1" w:rsidP="002260A1">
            <w:pPr>
              <w:jc w:val="both"/>
              <w:rPr>
                <w:rFonts w:ascii="Arial" w:eastAsia="Times New Roman" w:hAnsi="Arial" w:cs="Arial"/>
                <w:sz w:val="22"/>
                <w:szCs w:val="22"/>
              </w:rPr>
            </w:pPr>
          </w:p>
          <w:p w14:paraId="6137696F" w14:textId="1CDC5B8B" w:rsidR="002260A1" w:rsidRPr="007247FC" w:rsidRDefault="002260A1" w:rsidP="002260A1">
            <w:pPr>
              <w:jc w:val="both"/>
              <w:rPr>
                <w:rFonts w:ascii="Arial" w:eastAsia="Times New Roman" w:hAnsi="Arial" w:cs="Arial"/>
                <w:sz w:val="22"/>
                <w:szCs w:val="22"/>
              </w:rPr>
            </w:pPr>
            <w:r w:rsidRPr="007247FC">
              <w:rPr>
                <w:rFonts w:ascii="Arial" w:eastAsia="Times New Roman" w:hAnsi="Arial" w:cs="Arial"/>
                <w:sz w:val="22"/>
                <w:szCs w:val="22"/>
              </w:rPr>
              <w:t xml:space="preserve">Нийгмийн даатгалын тухай хуульд заасны дагуу шимтгэл төлсөн даатгуулагч бүр нийгмийн даатгалын сангаас тэтгэвэр, тэтгэмж авахгүй </w:t>
            </w:r>
            <w:r w:rsidRPr="007247FC">
              <w:rPr>
                <w:rFonts w:ascii="Arial" w:eastAsia="Times New Roman" w:hAnsi="Arial" w:cs="Arial"/>
                <w:sz w:val="22"/>
                <w:szCs w:val="22"/>
              </w:rPr>
              <w:lastRenderedPageBreak/>
              <w:t xml:space="preserve">болно. Өөрөөр хэлбэл нийгмийн даатгалын шимтгэлийг хууль тогтоомжид заасан тодорхой хугацаанд төлсөн байх гэсэн шалгуур хангасан  даатгуулагч тэтгэвэр, тэтгэмж авах эрхтэй тул “даатгуулагч гэх нэр томьёонд тэтгэвэр, тэтгэмж төлбөр авах” гэж нэмэх боломжгүй юм. </w:t>
            </w:r>
          </w:p>
        </w:tc>
      </w:tr>
      <w:tr w:rsidR="002260A1" w:rsidRPr="007247FC" w14:paraId="0867F664" w14:textId="77777777" w:rsidTr="00F42933">
        <w:tc>
          <w:tcPr>
            <w:tcW w:w="643" w:type="dxa"/>
            <w:vMerge/>
            <w:vAlign w:val="center"/>
          </w:tcPr>
          <w:p w14:paraId="15BE9BD4" w14:textId="77777777" w:rsidR="002260A1" w:rsidRPr="007247FC" w:rsidRDefault="002260A1" w:rsidP="002260A1">
            <w:pPr>
              <w:jc w:val="center"/>
              <w:rPr>
                <w:rFonts w:ascii="Arial" w:hAnsi="Arial" w:cs="Arial"/>
                <w:sz w:val="22"/>
                <w:szCs w:val="22"/>
              </w:rPr>
            </w:pPr>
          </w:p>
        </w:tc>
        <w:tc>
          <w:tcPr>
            <w:tcW w:w="1872" w:type="dxa"/>
            <w:vMerge/>
            <w:vAlign w:val="center"/>
          </w:tcPr>
          <w:p w14:paraId="4C6CDB32" w14:textId="77777777" w:rsidR="002260A1" w:rsidRPr="007247FC" w:rsidRDefault="002260A1" w:rsidP="002260A1">
            <w:pPr>
              <w:jc w:val="center"/>
              <w:rPr>
                <w:rFonts w:ascii="Arial" w:hAnsi="Arial" w:cs="Arial"/>
                <w:sz w:val="22"/>
                <w:szCs w:val="22"/>
              </w:rPr>
            </w:pPr>
          </w:p>
        </w:tc>
        <w:tc>
          <w:tcPr>
            <w:tcW w:w="5490" w:type="dxa"/>
            <w:vAlign w:val="center"/>
          </w:tcPr>
          <w:p w14:paraId="0721FC70" w14:textId="6BFC5047" w:rsidR="002260A1" w:rsidRPr="007247FC" w:rsidRDefault="002260A1" w:rsidP="002260A1">
            <w:pPr>
              <w:jc w:val="both"/>
              <w:rPr>
                <w:rFonts w:ascii="Arial" w:hAnsi="Arial" w:cs="Arial"/>
                <w:color w:val="000000" w:themeColor="text1"/>
                <w:sz w:val="22"/>
                <w:szCs w:val="22"/>
              </w:rPr>
            </w:pPr>
            <w:r w:rsidRPr="007247FC">
              <w:rPr>
                <w:rFonts w:ascii="Arial" w:hAnsi="Arial" w:cs="Arial"/>
                <w:color w:val="000000" w:themeColor="text1"/>
                <w:sz w:val="22"/>
                <w:szCs w:val="22"/>
              </w:rPr>
              <w:t>5.Хуулийн төслийн 13 дугаар зүйлд нийгмийн даатгалын сангийн чөлөөт мөнгөн хөрөнгийг үр өгөөж ихтэй санхүүгийн хэрэгсэлд оруулж даатгалын сангийн орлогыг нэмэгдүүлэх зохицуулалтыг тусгажээ. Ингэхдээ нийгмийн даатгалын сангийн хөрөнгийг эрчимтэй нэмэгдүүлэх бодлогын хүрээнд хуулийн төслийн 13 дугаар зүйлийн 13.1 дэх хэсэгт заасан санхүүгийн хэрэгслээс гадна Төсвийн тогтвортой байдлын тухай хуулийн 17 дугаар зүйлийн 17.3.2-т заасан “зөвхөн олон улсын санхүүгийн зах зээлд гаргасан, гадаад улсын нутаг дэвсгэрт арилжаалагдаж байгаа, Монгол Улсад бүртгэлтэй, эсхүл Монгол Улсын хуулийн этгээдтэй нэгдэл бүхий компанийн нэгдлийн оролцогчоос бусад этгээдийн гаргасан санхүүгийн хэрэгсэлд байршуулах” тухай зохицуулалтыг нэмж тусгах;</w:t>
            </w:r>
          </w:p>
        </w:tc>
        <w:tc>
          <w:tcPr>
            <w:tcW w:w="5490" w:type="dxa"/>
            <w:vAlign w:val="center"/>
          </w:tcPr>
          <w:p w14:paraId="3DDDFE0C" w14:textId="5D1C1C1D" w:rsidR="002260A1" w:rsidRPr="007247FC" w:rsidRDefault="002260A1" w:rsidP="002260A1">
            <w:pPr>
              <w:autoSpaceDE w:val="0"/>
              <w:autoSpaceDN w:val="0"/>
              <w:jc w:val="both"/>
              <w:rPr>
                <w:rFonts w:ascii="Arial" w:hAnsi="Arial" w:cs="Arial"/>
                <w:color w:val="000000" w:themeColor="text1"/>
                <w:sz w:val="22"/>
                <w:szCs w:val="22"/>
              </w:rPr>
            </w:pPr>
            <w:r w:rsidRPr="007247FC">
              <w:rPr>
                <w:rFonts w:ascii="Arial" w:hAnsi="Arial" w:cs="Arial"/>
                <w:color w:val="000000" w:themeColor="text1"/>
                <w:sz w:val="22"/>
                <w:szCs w:val="22"/>
              </w:rPr>
              <w:t xml:space="preserve">Төсвийн тогтвортой байдлын тухай хуулийн 17 дугаар зүйлийн 17.3.2-т “зөвхөн олон улсын санхүүгийн зах зээлд гаргасан, гадаад улсын нутаг дэвсгэрт арилжаалагдаж байгаа, Монгол Улсад бүртгэлтэй, эсхүл Монгол Улсын хуулийн этгээдтэй нэгдэл бүхий компанийн нэгдлийн оролцогчоос бусад этгээдийн гаргасан санхүүгийн хэрэгсэлд байршуулах” гэсэн заалт нь ерөнхий зохицуулалт тул </w:t>
            </w:r>
            <w:bookmarkStart w:id="0" w:name="_Hlk101994352"/>
            <w:r w:rsidRPr="007247FC">
              <w:rPr>
                <w:rFonts w:ascii="Arial" w:hAnsi="Arial" w:cs="Arial"/>
                <w:color w:val="000000" w:themeColor="text1"/>
                <w:sz w:val="22"/>
                <w:szCs w:val="22"/>
              </w:rPr>
              <w:t>н</w:t>
            </w:r>
            <w:r w:rsidRPr="007247FC">
              <w:rPr>
                <w:rFonts w:ascii="Arial" w:eastAsia="Times New Roman" w:hAnsi="Arial" w:cs="Arial"/>
                <w:sz w:val="22"/>
                <w:szCs w:val="22"/>
              </w:rPr>
              <w:t xml:space="preserve">ийгмийн даатгалын сангийн чөлөөт үлдэгдлийг эрсдэл багатай санхүүгийн хэрэгсэлд хөрөнгө оруулах зорилгоор </w:t>
            </w:r>
            <w:bookmarkEnd w:id="0"/>
            <w:r w:rsidRPr="007247FC">
              <w:rPr>
                <w:rFonts w:ascii="Arial" w:eastAsia="Times New Roman" w:hAnsi="Arial" w:cs="Arial"/>
                <w:sz w:val="22"/>
                <w:szCs w:val="22"/>
              </w:rPr>
              <w:t>х</w:t>
            </w:r>
            <w:r w:rsidRPr="007247FC">
              <w:rPr>
                <w:rFonts w:ascii="Arial" w:hAnsi="Arial" w:cs="Arial"/>
                <w:iCs/>
                <w:color w:val="000000" w:themeColor="text1"/>
                <w:sz w:val="22"/>
                <w:szCs w:val="22"/>
              </w:rPr>
              <w:t>уулийн төслийн</w:t>
            </w:r>
            <w:r w:rsidRPr="007247FC">
              <w:rPr>
                <w:rStyle w:val="Emphasis"/>
                <w:rFonts w:ascii="Arial" w:hAnsi="Arial" w:cs="Arial"/>
                <w:sz w:val="22"/>
                <w:szCs w:val="22"/>
              </w:rPr>
              <w:t xml:space="preserve"> </w:t>
            </w:r>
            <w:r w:rsidRPr="007247FC">
              <w:rPr>
                <w:rFonts w:ascii="Arial" w:eastAsia="Times New Roman" w:hAnsi="Arial" w:cs="Arial"/>
                <w:sz w:val="22"/>
                <w:szCs w:val="22"/>
              </w:rPr>
              <w:t xml:space="preserve">13.1.5-д “зээлжих зэрэглэл тогтоодог нэр хүнд бүхий олон улсын байгууллагаас A-аас доошгүй үнэлгээ авсан гадаад улсын Засгийн газрын үнэт цаас” гэж  нарийвчлан тусгасан байсан болно. </w:t>
            </w:r>
          </w:p>
        </w:tc>
      </w:tr>
      <w:tr w:rsidR="002260A1" w:rsidRPr="007247FC" w14:paraId="162E4555" w14:textId="77777777" w:rsidTr="00F42933">
        <w:trPr>
          <w:trHeight w:val="2960"/>
        </w:trPr>
        <w:tc>
          <w:tcPr>
            <w:tcW w:w="643" w:type="dxa"/>
            <w:vMerge/>
            <w:vAlign w:val="center"/>
          </w:tcPr>
          <w:p w14:paraId="5E30F2E6" w14:textId="77777777" w:rsidR="002260A1" w:rsidRPr="007247FC" w:rsidRDefault="002260A1" w:rsidP="002260A1">
            <w:pPr>
              <w:jc w:val="center"/>
              <w:rPr>
                <w:rFonts w:ascii="Arial" w:hAnsi="Arial" w:cs="Arial"/>
                <w:sz w:val="22"/>
                <w:szCs w:val="22"/>
              </w:rPr>
            </w:pPr>
          </w:p>
        </w:tc>
        <w:tc>
          <w:tcPr>
            <w:tcW w:w="1872" w:type="dxa"/>
            <w:vMerge/>
            <w:vAlign w:val="center"/>
          </w:tcPr>
          <w:p w14:paraId="16E34A75" w14:textId="77777777" w:rsidR="002260A1" w:rsidRPr="007247FC" w:rsidRDefault="002260A1" w:rsidP="002260A1">
            <w:pPr>
              <w:jc w:val="center"/>
              <w:rPr>
                <w:rFonts w:ascii="Arial" w:hAnsi="Arial" w:cs="Arial"/>
                <w:sz w:val="22"/>
                <w:szCs w:val="22"/>
              </w:rPr>
            </w:pPr>
          </w:p>
        </w:tc>
        <w:tc>
          <w:tcPr>
            <w:tcW w:w="5490" w:type="dxa"/>
            <w:vAlign w:val="center"/>
          </w:tcPr>
          <w:p w14:paraId="28AC295F" w14:textId="548ACA90" w:rsidR="002260A1" w:rsidRPr="007247FC" w:rsidRDefault="002260A1" w:rsidP="002260A1">
            <w:pPr>
              <w:pStyle w:val="BodyText"/>
              <w:tabs>
                <w:tab w:val="left" w:pos="975"/>
              </w:tabs>
              <w:ind w:firstLine="0"/>
              <w:jc w:val="both"/>
              <w:rPr>
                <w:color w:val="000000" w:themeColor="text1"/>
                <w:lang w:val="mn-MN"/>
              </w:rPr>
            </w:pPr>
            <w:r w:rsidRPr="007247FC">
              <w:rPr>
                <w:rFonts w:eastAsia="Courier New"/>
                <w:color w:val="000000" w:themeColor="text1"/>
                <w:lang w:val="mn-MN" w:eastAsia="mn-MN" w:bidi="mn-MN"/>
              </w:rPr>
              <w:t>6.Хуулийн төслийн 29 дүгээр зүйлийн 29.6-д нас барсан даатгуулагчийн гэр бүлийн гишүүнд тэжээгчээ алдсаны тэтгэвэр тогтоолгох эрх үүсэхээр бол мөнгөжүүлсэн орлогыг өвлүүлэхгүй байхаар тусгажээ. Тэжээгчээ алдсаны тэтгэврийг тодорхой төрлийн субъектүүдэд хуульд заасан тодорхой тохиолдолд олгодог бөгөөд зориулалтын хувьд тэтгэвэр өвлөн авах харилцаанаас ялгаатай тул тэжээгчээ алдсаны тэтгэвэр авах нь тэтгэвэр өвлөн авах эрхэд хязгаарлалт тогтоох нөхцөл биш байх зохицуулалтыг тусгах.</w:t>
            </w:r>
          </w:p>
        </w:tc>
        <w:tc>
          <w:tcPr>
            <w:tcW w:w="5490" w:type="dxa"/>
            <w:vAlign w:val="center"/>
          </w:tcPr>
          <w:p w14:paraId="359BB00F" w14:textId="09A23079" w:rsidR="002260A1" w:rsidRPr="007247FC" w:rsidRDefault="002260A1" w:rsidP="002260A1">
            <w:pPr>
              <w:jc w:val="both"/>
              <w:rPr>
                <w:rFonts w:ascii="Arial" w:hAnsi="Arial" w:cs="Arial"/>
                <w:sz w:val="22"/>
                <w:szCs w:val="22"/>
              </w:rPr>
            </w:pPr>
            <w:r w:rsidRPr="007247FC">
              <w:rPr>
                <w:rFonts w:ascii="Arial" w:hAnsi="Arial" w:cs="Arial"/>
                <w:sz w:val="22"/>
                <w:szCs w:val="22"/>
              </w:rPr>
              <w:t xml:space="preserve">Нийгмийн даатгалын шимтгэлийг 3-аас дээш жил төлсөн даатгуулагч нас барахад түүний асрамжид байсан хөдөлмөрийн чадваргүй гишүүнд тэжээгчээ алдсаны тэтгэвэр тогтоолгон авч байна. Эдгээр гишүүдэд тэжээгчээ алдсаны тэтгэвэр тогтоохгүйгээр мөнгөжүүлсэн орлогоос нэг удаа олгох хэлбэрээр өвлүүлэх нь нийгмийн баталгааг алдагдуулах эрсдэлтэй юм. </w:t>
            </w:r>
          </w:p>
          <w:p w14:paraId="047A38F0" w14:textId="77777777" w:rsidR="002260A1" w:rsidRPr="007247FC" w:rsidRDefault="002260A1" w:rsidP="002260A1">
            <w:pPr>
              <w:jc w:val="both"/>
              <w:rPr>
                <w:rFonts w:ascii="Arial" w:hAnsi="Arial" w:cs="Arial"/>
                <w:sz w:val="22"/>
                <w:szCs w:val="22"/>
              </w:rPr>
            </w:pPr>
          </w:p>
          <w:p w14:paraId="6FBBE432" w14:textId="5BF53CA6" w:rsidR="002260A1" w:rsidRPr="007247FC" w:rsidRDefault="002260A1" w:rsidP="002260A1">
            <w:pPr>
              <w:jc w:val="both"/>
              <w:rPr>
                <w:rFonts w:ascii="Arial" w:hAnsi="Arial" w:cs="Arial"/>
                <w:sz w:val="22"/>
                <w:szCs w:val="22"/>
              </w:rPr>
            </w:pPr>
          </w:p>
        </w:tc>
      </w:tr>
      <w:tr w:rsidR="002260A1" w:rsidRPr="007247FC" w14:paraId="3258D118" w14:textId="77777777" w:rsidTr="00F42933">
        <w:tc>
          <w:tcPr>
            <w:tcW w:w="643" w:type="dxa"/>
            <w:vMerge w:val="restart"/>
            <w:vAlign w:val="center"/>
          </w:tcPr>
          <w:p w14:paraId="00AA32E9" w14:textId="31E80819" w:rsidR="002260A1" w:rsidRPr="007247FC" w:rsidRDefault="002260A1" w:rsidP="002260A1">
            <w:pPr>
              <w:jc w:val="center"/>
              <w:rPr>
                <w:rFonts w:ascii="Arial" w:hAnsi="Arial" w:cs="Arial"/>
                <w:sz w:val="22"/>
                <w:szCs w:val="22"/>
                <w:lang w:val="en-US"/>
              </w:rPr>
            </w:pPr>
            <w:r w:rsidRPr="007247FC">
              <w:rPr>
                <w:rFonts w:ascii="Arial" w:hAnsi="Arial" w:cs="Arial"/>
                <w:sz w:val="22"/>
                <w:szCs w:val="22"/>
              </w:rPr>
              <w:t>1</w:t>
            </w:r>
            <w:r w:rsidRPr="007247FC">
              <w:rPr>
                <w:rFonts w:ascii="Arial" w:hAnsi="Arial" w:cs="Arial"/>
                <w:sz w:val="22"/>
                <w:szCs w:val="22"/>
                <w:lang w:val="en-US"/>
              </w:rPr>
              <w:t>1</w:t>
            </w:r>
          </w:p>
        </w:tc>
        <w:tc>
          <w:tcPr>
            <w:tcW w:w="1872" w:type="dxa"/>
            <w:vMerge w:val="restart"/>
            <w:vAlign w:val="center"/>
          </w:tcPr>
          <w:p w14:paraId="1C6FD144" w14:textId="1E7B83EC" w:rsidR="002260A1" w:rsidRPr="007247FC" w:rsidRDefault="002260A1" w:rsidP="002260A1">
            <w:pPr>
              <w:jc w:val="center"/>
              <w:rPr>
                <w:rFonts w:ascii="Arial" w:hAnsi="Arial" w:cs="Arial"/>
                <w:sz w:val="22"/>
                <w:szCs w:val="22"/>
              </w:rPr>
            </w:pPr>
            <w:r w:rsidRPr="007247FC">
              <w:rPr>
                <w:rFonts w:ascii="Arial" w:hAnsi="Arial" w:cs="Arial"/>
                <w:sz w:val="22"/>
                <w:szCs w:val="22"/>
              </w:rPr>
              <w:t xml:space="preserve">Уул уурхай, хүнд үйлдвэрийн сайд </w:t>
            </w:r>
            <w:r w:rsidRPr="007247FC">
              <w:rPr>
                <w:rFonts w:ascii="Arial" w:hAnsi="Arial" w:cs="Arial"/>
                <w:sz w:val="22"/>
                <w:szCs w:val="22"/>
              </w:rPr>
              <w:lastRenderedPageBreak/>
              <w:t>(2022.12.23 01/3395)</w:t>
            </w:r>
          </w:p>
        </w:tc>
        <w:tc>
          <w:tcPr>
            <w:tcW w:w="5490" w:type="dxa"/>
            <w:vAlign w:val="center"/>
          </w:tcPr>
          <w:p w14:paraId="08BBCF29" w14:textId="42C6A482" w:rsidR="002260A1" w:rsidRPr="007247FC" w:rsidRDefault="002260A1" w:rsidP="002260A1">
            <w:pPr>
              <w:jc w:val="both"/>
              <w:rPr>
                <w:rFonts w:ascii="Arial" w:hAnsi="Arial" w:cs="Arial"/>
                <w:color w:val="000000" w:themeColor="text1"/>
                <w:sz w:val="22"/>
                <w:szCs w:val="22"/>
              </w:rPr>
            </w:pPr>
            <w:r w:rsidRPr="007247FC">
              <w:rPr>
                <w:rFonts w:ascii="Arial" w:hAnsi="Arial" w:cs="Arial"/>
                <w:color w:val="000000" w:themeColor="text1"/>
                <w:sz w:val="22"/>
                <w:szCs w:val="22"/>
              </w:rPr>
              <w:lastRenderedPageBreak/>
              <w:t xml:space="preserve">1.Нийгмийн даатгалын ерөнхий хуулийн төслийн 33 дугаар зүйлийн 33.1-д заасан “даатгуулагчийн эрх хэсэгт даатгуулагчийн нийгмийн даатгалын санд төвлөрүүлсэн шимтгэлийн хэмжээ болон </w:t>
            </w:r>
            <w:r w:rsidRPr="007247FC">
              <w:rPr>
                <w:rFonts w:ascii="Arial" w:hAnsi="Arial" w:cs="Arial"/>
                <w:color w:val="000000" w:themeColor="text1"/>
                <w:sz w:val="22"/>
                <w:szCs w:val="22"/>
              </w:rPr>
              <w:lastRenderedPageBreak/>
              <w:t>хугацаатай уялдуулан хувь тэнцүүлсэн байдлаар зохих хөнгөлөлтийг эмнэлэгт хэвтэн эмчлүүлэх, хагалгаа хийлгэх, эмийн сангаар үйлчлүүлэх зэрэгт үзүүлэх зохицуулалтыг тусгах;</w:t>
            </w:r>
          </w:p>
        </w:tc>
        <w:tc>
          <w:tcPr>
            <w:tcW w:w="5490" w:type="dxa"/>
            <w:vAlign w:val="center"/>
          </w:tcPr>
          <w:p w14:paraId="612C17F5" w14:textId="7CA2BB74" w:rsidR="002260A1" w:rsidRPr="007247FC" w:rsidRDefault="002260A1" w:rsidP="002260A1">
            <w:pPr>
              <w:jc w:val="both"/>
              <w:rPr>
                <w:rFonts w:ascii="Arial" w:hAnsi="Arial" w:cs="Arial"/>
                <w:color w:val="000000" w:themeColor="text1"/>
                <w:sz w:val="22"/>
                <w:szCs w:val="22"/>
              </w:rPr>
            </w:pPr>
            <w:r w:rsidRPr="007247FC">
              <w:rPr>
                <w:rFonts w:ascii="Arial" w:hAnsi="Arial" w:cs="Arial"/>
                <w:color w:val="000000" w:themeColor="text1"/>
                <w:sz w:val="22"/>
                <w:szCs w:val="22"/>
              </w:rPr>
              <w:lastRenderedPageBreak/>
              <w:t>Эмнэлэгт хэвтэн эмчлүүлэх, хагалгаа хийлгэх, эмийн сангаар үйлчлүүлэх зэрэг харилцааг Эрүүл мэндийн даатгалын тухай хуулиар зохицуулдаг болно.</w:t>
            </w:r>
          </w:p>
          <w:p w14:paraId="28071261" w14:textId="043608BB" w:rsidR="002260A1" w:rsidRPr="007247FC" w:rsidRDefault="002260A1" w:rsidP="002260A1">
            <w:pPr>
              <w:jc w:val="both"/>
              <w:rPr>
                <w:rFonts w:ascii="Arial" w:hAnsi="Arial" w:cs="Arial"/>
                <w:sz w:val="22"/>
                <w:szCs w:val="22"/>
              </w:rPr>
            </w:pPr>
          </w:p>
        </w:tc>
      </w:tr>
      <w:tr w:rsidR="002260A1" w:rsidRPr="007247FC" w14:paraId="4542DB2F" w14:textId="77777777" w:rsidTr="00F42933">
        <w:trPr>
          <w:trHeight w:val="3299"/>
        </w:trPr>
        <w:tc>
          <w:tcPr>
            <w:tcW w:w="643" w:type="dxa"/>
            <w:vMerge/>
            <w:vAlign w:val="center"/>
          </w:tcPr>
          <w:p w14:paraId="52E6D102" w14:textId="77777777" w:rsidR="002260A1" w:rsidRPr="007247FC" w:rsidRDefault="002260A1" w:rsidP="002260A1">
            <w:pPr>
              <w:jc w:val="center"/>
              <w:rPr>
                <w:rFonts w:ascii="Arial" w:hAnsi="Arial" w:cs="Arial"/>
                <w:sz w:val="22"/>
                <w:szCs w:val="22"/>
              </w:rPr>
            </w:pPr>
          </w:p>
        </w:tc>
        <w:tc>
          <w:tcPr>
            <w:tcW w:w="1872" w:type="dxa"/>
            <w:vMerge/>
            <w:vAlign w:val="center"/>
          </w:tcPr>
          <w:p w14:paraId="7BED15BC" w14:textId="77777777" w:rsidR="002260A1" w:rsidRPr="007247FC" w:rsidRDefault="002260A1" w:rsidP="002260A1">
            <w:pPr>
              <w:jc w:val="center"/>
              <w:rPr>
                <w:rFonts w:ascii="Arial" w:hAnsi="Arial" w:cs="Arial"/>
                <w:sz w:val="22"/>
                <w:szCs w:val="22"/>
              </w:rPr>
            </w:pPr>
          </w:p>
        </w:tc>
        <w:tc>
          <w:tcPr>
            <w:tcW w:w="5490" w:type="dxa"/>
            <w:vAlign w:val="center"/>
          </w:tcPr>
          <w:p w14:paraId="11A4018A" w14:textId="77777777" w:rsidR="002260A1" w:rsidRPr="007247FC" w:rsidRDefault="002260A1" w:rsidP="002260A1">
            <w:pPr>
              <w:jc w:val="both"/>
              <w:rPr>
                <w:rFonts w:ascii="Arial" w:hAnsi="Arial" w:cs="Arial"/>
                <w:color w:val="000000" w:themeColor="text1"/>
                <w:sz w:val="22"/>
                <w:szCs w:val="22"/>
              </w:rPr>
            </w:pPr>
            <w:r w:rsidRPr="007247FC">
              <w:rPr>
                <w:rFonts w:ascii="Arial" w:hAnsi="Arial" w:cs="Arial"/>
                <w:color w:val="000000" w:themeColor="text1"/>
                <w:sz w:val="22"/>
                <w:szCs w:val="22"/>
              </w:rPr>
              <w:t>2.Нийгмийн даатгалын сан, тодруулбал тэтгэмжийн болон эрүүл мэндийн даатгалын сангаас хөнгөлөлт, чөлөөлөлт эдлээгүй даатгуулагчийн хувьд төлсөн шимтгэлийг буцаан олгох, эсхүл тэтгэврийн нэрийн дансанд нь шилжүүлэх зохицуулалтыг нарийвчлан тусгах;</w:t>
            </w:r>
          </w:p>
          <w:p w14:paraId="5167CF99" w14:textId="77777777" w:rsidR="002260A1" w:rsidRPr="007247FC" w:rsidRDefault="002260A1" w:rsidP="002260A1">
            <w:pPr>
              <w:ind w:firstLine="76"/>
              <w:jc w:val="both"/>
              <w:rPr>
                <w:rFonts w:ascii="Arial" w:hAnsi="Arial" w:cs="Arial"/>
                <w:color w:val="000000" w:themeColor="text1"/>
                <w:sz w:val="22"/>
                <w:szCs w:val="22"/>
              </w:rPr>
            </w:pPr>
          </w:p>
        </w:tc>
        <w:tc>
          <w:tcPr>
            <w:tcW w:w="5490" w:type="dxa"/>
            <w:vAlign w:val="center"/>
          </w:tcPr>
          <w:p w14:paraId="1693F5A1" w14:textId="74B63870" w:rsidR="002260A1" w:rsidRPr="007247FC" w:rsidRDefault="002260A1" w:rsidP="002260A1">
            <w:pPr>
              <w:jc w:val="both"/>
              <w:rPr>
                <w:rFonts w:ascii="Arial" w:hAnsi="Arial" w:cs="Arial"/>
                <w:sz w:val="22"/>
                <w:szCs w:val="22"/>
              </w:rPr>
            </w:pPr>
            <w:r w:rsidRPr="007247FC">
              <w:rPr>
                <w:rFonts w:ascii="Arial" w:hAnsi="Arial" w:cs="Arial"/>
                <w:sz w:val="22"/>
                <w:szCs w:val="22"/>
              </w:rPr>
              <w:t xml:space="preserve">Монгол Улсын нийгмийн даатгал нь эв санааны нэгдлийн зарчимтай хуваарилалтын тогтолцоотой юм. Өөрөөр хэлбэл  шимтгэл төлсөн даатгуулагчийн шимтгэлийг санд бүрдүүлж, тэтгэмж авах шаардлагатай иргэдэд хуваарилдаг юм. Даатгуулагчийн цалин хөлснөөс даатгуулагч, ажил олгогч 0.8-1.8 хувийн шимтгэл төлдөг, хуульд заасан тэтгэмж авах эрх үүссэн даатгуулагчид цалин хөлснөөс 50-75 хувийн тооцож тэтгэмж олгож байна. Тэтгэмжийн даатгалын сангийн орлого, зарлагаа нөхдөг сан болно. </w:t>
            </w:r>
          </w:p>
        </w:tc>
      </w:tr>
      <w:tr w:rsidR="002260A1" w:rsidRPr="007247FC" w14:paraId="67988448" w14:textId="77777777" w:rsidTr="00F42933">
        <w:tc>
          <w:tcPr>
            <w:tcW w:w="643" w:type="dxa"/>
            <w:vAlign w:val="center"/>
          </w:tcPr>
          <w:p w14:paraId="118303B8" w14:textId="59B8A81B" w:rsidR="002260A1" w:rsidRPr="007247FC" w:rsidRDefault="002260A1" w:rsidP="002260A1">
            <w:pPr>
              <w:jc w:val="center"/>
              <w:rPr>
                <w:rFonts w:ascii="Arial" w:hAnsi="Arial" w:cs="Arial"/>
                <w:sz w:val="22"/>
                <w:szCs w:val="22"/>
                <w:lang w:val="en-US"/>
              </w:rPr>
            </w:pPr>
            <w:r w:rsidRPr="007247FC">
              <w:rPr>
                <w:rFonts w:ascii="Arial" w:hAnsi="Arial" w:cs="Arial"/>
                <w:sz w:val="22"/>
                <w:szCs w:val="22"/>
              </w:rPr>
              <w:t>1</w:t>
            </w:r>
            <w:r w:rsidRPr="007247FC">
              <w:rPr>
                <w:rFonts w:ascii="Arial" w:hAnsi="Arial" w:cs="Arial"/>
                <w:sz w:val="22"/>
                <w:szCs w:val="22"/>
                <w:lang w:val="en-US"/>
              </w:rPr>
              <w:t>2</w:t>
            </w:r>
          </w:p>
        </w:tc>
        <w:tc>
          <w:tcPr>
            <w:tcW w:w="1872" w:type="dxa"/>
            <w:vAlign w:val="center"/>
          </w:tcPr>
          <w:p w14:paraId="5535264E" w14:textId="77777777" w:rsidR="002260A1" w:rsidRPr="007247FC" w:rsidRDefault="002260A1" w:rsidP="002260A1">
            <w:pPr>
              <w:jc w:val="center"/>
              <w:rPr>
                <w:rFonts w:ascii="Arial" w:hAnsi="Arial" w:cs="Arial"/>
                <w:sz w:val="22"/>
                <w:szCs w:val="22"/>
              </w:rPr>
            </w:pPr>
            <w:r w:rsidRPr="007247FC">
              <w:rPr>
                <w:rFonts w:ascii="Arial" w:hAnsi="Arial" w:cs="Arial"/>
                <w:sz w:val="22"/>
                <w:szCs w:val="22"/>
              </w:rPr>
              <w:t>Нийслэлийн засаг дарга</w:t>
            </w:r>
          </w:p>
          <w:p w14:paraId="6A325F91" w14:textId="73E7AAA0" w:rsidR="002260A1" w:rsidRPr="007247FC" w:rsidRDefault="002260A1" w:rsidP="002260A1">
            <w:pPr>
              <w:jc w:val="center"/>
              <w:rPr>
                <w:rFonts w:ascii="Arial" w:hAnsi="Arial" w:cs="Arial"/>
                <w:sz w:val="22"/>
                <w:szCs w:val="22"/>
                <w:lang w:val="en-US"/>
              </w:rPr>
            </w:pPr>
            <w:r w:rsidRPr="007247FC">
              <w:rPr>
                <w:rFonts w:ascii="Arial" w:hAnsi="Arial" w:cs="Arial"/>
                <w:sz w:val="22"/>
                <w:szCs w:val="22"/>
                <w:lang w:val="en-US"/>
              </w:rPr>
              <w:t>(</w:t>
            </w:r>
            <w:r w:rsidRPr="007247FC">
              <w:rPr>
                <w:rFonts w:ascii="Arial" w:hAnsi="Arial" w:cs="Arial"/>
                <w:sz w:val="22"/>
                <w:szCs w:val="22"/>
              </w:rPr>
              <w:t>2022.12.26 01/6946</w:t>
            </w:r>
            <w:r w:rsidRPr="007247FC">
              <w:rPr>
                <w:rFonts w:ascii="Arial" w:hAnsi="Arial" w:cs="Arial"/>
                <w:sz w:val="22"/>
                <w:szCs w:val="22"/>
                <w:lang w:val="en-US"/>
              </w:rPr>
              <w:t>)</w:t>
            </w:r>
          </w:p>
        </w:tc>
        <w:tc>
          <w:tcPr>
            <w:tcW w:w="5490" w:type="dxa"/>
            <w:vAlign w:val="center"/>
          </w:tcPr>
          <w:p w14:paraId="29892095" w14:textId="170B8AAE" w:rsidR="002260A1" w:rsidRPr="007247FC" w:rsidRDefault="002260A1" w:rsidP="002260A1">
            <w:pPr>
              <w:pStyle w:val="Bodytext20"/>
              <w:tabs>
                <w:tab w:val="left" w:pos="1239"/>
              </w:tabs>
              <w:ind w:firstLine="0"/>
              <w:jc w:val="both"/>
              <w:rPr>
                <w:color w:val="000000" w:themeColor="text1"/>
              </w:rPr>
            </w:pPr>
            <w:r w:rsidRPr="007247FC">
              <w:rPr>
                <w:color w:val="000000" w:themeColor="text1"/>
                <w:lang w:val="mn-MN"/>
              </w:rPr>
              <w:t>1.Х</w:t>
            </w:r>
            <w:proofErr w:type="spellStart"/>
            <w:r w:rsidRPr="007247FC">
              <w:rPr>
                <w:color w:val="000000" w:themeColor="text1"/>
              </w:rPr>
              <w:t>уулийн</w:t>
            </w:r>
            <w:proofErr w:type="spellEnd"/>
            <w:r w:rsidRPr="007247FC">
              <w:rPr>
                <w:color w:val="000000" w:themeColor="text1"/>
              </w:rPr>
              <w:t xml:space="preserve"> </w:t>
            </w:r>
            <w:proofErr w:type="spellStart"/>
            <w:r w:rsidRPr="007247FC">
              <w:rPr>
                <w:color w:val="000000" w:themeColor="text1"/>
              </w:rPr>
              <w:t>төслийн</w:t>
            </w:r>
            <w:proofErr w:type="spellEnd"/>
            <w:r w:rsidRPr="007247FC">
              <w:rPr>
                <w:color w:val="000000" w:themeColor="text1"/>
              </w:rPr>
              <w:t xml:space="preserve"> 13 </w:t>
            </w:r>
            <w:proofErr w:type="spellStart"/>
            <w:r w:rsidRPr="007247FC">
              <w:rPr>
                <w:color w:val="000000" w:themeColor="text1"/>
              </w:rPr>
              <w:t>дугаар</w:t>
            </w:r>
            <w:proofErr w:type="spellEnd"/>
            <w:r w:rsidRPr="007247FC">
              <w:rPr>
                <w:color w:val="000000" w:themeColor="text1"/>
              </w:rPr>
              <w:t xml:space="preserve"> </w:t>
            </w:r>
            <w:proofErr w:type="spellStart"/>
            <w:r w:rsidRPr="007247FC">
              <w:rPr>
                <w:color w:val="000000" w:themeColor="text1"/>
              </w:rPr>
              <w:t>зүйлийн</w:t>
            </w:r>
            <w:proofErr w:type="spellEnd"/>
            <w:r w:rsidRPr="007247FC">
              <w:rPr>
                <w:color w:val="000000" w:themeColor="text1"/>
              </w:rPr>
              <w:t xml:space="preserve"> 13.1.4 </w:t>
            </w:r>
            <w:proofErr w:type="spellStart"/>
            <w:r w:rsidRPr="007247FC">
              <w:rPr>
                <w:color w:val="000000" w:themeColor="text1"/>
              </w:rPr>
              <w:t>дэх</w:t>
            </w:r>
            <w:proofErr w:type="spellEnd"/>
            <w:r w:rsidRPr="007247FC">
              <w:rPr>
                <w:color w:val="000000" w:themeColor="text1"/>
              </w:rPr>
              <w:t xml:space="preserve"> </w:t>
            </w:r>
            <w:proofErr w:type="spellStart"/>
            <w:r w:rsidRPr="007247FC">
              <w:rPr>
                <w:color w:val="000000" w:themeColor="text1"/>
              </w:rPr>
              <w:t>заалтыг</w:t>
            </w:r>
            <w:proofErr w:type="spellEnd"/>
            <w:r w:rsidRPr="007247FC">
              <w:rPr>
                <w:color w:val="000000" w:themeColor="text1"/>
              </w:rPr>
              <w:t xml:space="preserve"> “</w:t>
            </w:r>
            <w:proofErr w:type="spellStart"/>
            <w:r w:rsidRPr="007247FC">
              <w:rPr>
                <w:color w:val="000000" w:themeColor="text1"/>
              </w:rPr>
              <w:t>Монголбанкнаас</w:t>
            </w:r>
            <w:proofErr w:type="spellEnd"/>
            <w:r w:rsidRPr="007247FC">
              <w:rPr>
                <w:color w:val="000000" w:themeColor="text1"/>
              </w:rPr>
              <w:t xml:space="preserve"> </w:t>
            </w:r>
            <w:proofErr w:type="spellStart"/>
            <w:r w:rsidRPr="007247FC">
              <w:rPr>
                <w:color w:val="000000" w:themeColor="text1"/>
              </w:rPr>
              <w:t>тогтоосон</w:t>
            </w:r>
            <w:proofErr w:type="spellEnd"/>
            <w:r w:rsidRPr="007247FC">
              <w:rPr>
                <w:color w:val="000000" w:themeColor="text1"/>
              </w:rPr>
              <w:t xml:space="preserve"> </w:t>
            </w:r>
            <w:proofErr w:type="spellStart"/>
            <w:r w:rsidRPr="007247FC">
              <w:rPr>
                <w:color w:val="000000" w:themeColor="text1"/>
              </w:rPr>
              <w:t>системийн</w:t>
            </w:r>
            <w:proofErr w:type="spellEnd"/>
            <w:r w:rsidRPr="007247FC">
              <w:rPr>
                <w:color w:val="000000" w:themeColor="text1"/>
              </w:rPr>
              <w:t xml:space="preserve"> </w:t>
            </w:r>
            <w:proofErr w:type="spellStart"/>
            <w:r w:rsidRPr="007247FC">
              <w:rPr>
                <w:color w:val="000000" w:themeColor="text1"/>
              </w:rPr>
              <w:t>ач</w:t>
            </w:r>
            <w:proofErr w:type="spellEnd"/>
            <w:r w:rsidRPr="007247FC">
              <w:rPr>
                <w:color w:val="000000" w:themeColor="text1"/>
              </w:rPr>
              <w:t xml:space="preserve"> </w:t>
            </w:r>
            <w:proofErr w:type="spellStart"/>
            <w:r w:rsidRPr="007247FC">
              <w:rPr>
                <w:color w:val="000000" w:themeColor="text1"/>
              </w:rPr>
              <w:t>холбогдол</w:t>
            </w:r>
            <w:proofErr w:type="spellEnd"/>
            <w:r w:rsidRPr="007247FC">
              <w:rPr>
                <w:color w:val="000000" w:themeColor="text1"/>
              </w:rPr>
              <w:t xml:space="preserve"> </w:t>
            </w:r>
            <w:proofErr w:type="spellStart"/>
            <w:r w:rsidRPr="007247FC">
              <w:rPr>
                <w:color w:val="000000" w:themeColor="text1"/>
              </w:rPr>
              <w:t>бүхий</w:t>
            </w:r>
            <w:proofErr w:type="spellEnd"/>
            <w:r w:rsidRPr="007247FC">
              <w:rPr>
                <w:color w:val="000000" w:themeColor="text1"/>
              </w:rPr>
              <w:t xml:space="preserve"> </w:t>
            </w:r>
            <w:proofErr w:type="spellStart"/>
            <w:r w:rsidRPr="007247FC">
              <w:rPr>
                <w:color w:val="000000" w:themeColor="text1"/>
              </w:rPr>
              <w:t>арилжааны</w:t>
            </w:r>
            <w:proofErr w:type="spellEnd"/>
            <w:r w:rsidRPr="007247FC">
              <w:rPr>
                <w:color w:val="000000" w:themeColor="text1"/>
              </w:rPr>
              <w:t xml:space="preserve"> 2-оос </w:t>
            </w:r>
            <w:proofErr w:type="spellStart"/>
            <w:r w:rsidRPr="007247FC">
              <w:rPr>
                <w:color w:val="000000" w:themeColor="text1"/>
              </w:rPr>
              <w:t>доошгүй</w:t>
            </w:r>
            <w:proofErr w:type="spellEnd"/>
            <w:r w:rsidRPr="007247FC">
              <w:rPr>
                <w:color w:val="000000" w:themeColor="text1"/>
              </w:rPr>
              <w:t xml:space="preserve"> </w:t>
            </w:r>
            <w:proofErr w:type="spellStart"/>
            <w:r w:rsidRPr="007247FC">
              <w:rPr>
                <w:color w:val="000000" w:themeColor="text1"/>
              </w:rPr>
              <w:t>банканд</w:t>
            </w:r>
            <w:proofErr w:type="spellEnd"/>
            <w:r w:rsidRPr="007247FC">
              <w:rPr>
                <w:color w:val="000000" w:themeColor="text1"/>
              </w:rPr>
              <w:t xml:space="preserve"> </w:t>
            </w:r>
            <w:proofErr w:type="spellStart"/>
            <w:r w:rsidRPr="007247FC">
              <w:rPr>
                <w:color w:val="000000" w:themeColor="text1"/>
              </w:rPr>
              <w:t>байршуулах</w:t>
            </w:r>
            <w:proofErr w:type="spellEnd"/>
            <w:r w:rsidRPr="007247FC">
              <w:rPr>
                <w:color w:val="000000" w:themeColor="text1"/>
              </w:rPr>
              <w:t xml:space="preserve"> </w:t>
            </w:r>
            <w:proofErr w:type="spellStart"/>
            <w:r w:rsidRPr="007247FC">
              <w:rPr>
                <w:color w:val="000000" w:themeColor="text1"/>
              </w:rPr>
              <w:t>мөнгөн</w:t>
            </w:r>
            <w:proofErr w:type="spellEnd"/>
            <w:r w:rsidRPr="007247FC">
              <w:rPr>
                <w:color w:val="000000" w:themeColor="text1"/>
              </w:rPr>
              <w:t xml:space="preserve"> </w:t>
            </w:r>
            <w:proofErr w:type="spellStart"/>
            <w:r w:rsidRPr="007247FC">
              <w:rPr>
                <w:color w:val="000000" w:themeColor="text1"/>
              </w:rPr>
              <w:t>хадгаламж</w:t>
            </w:r>
            <w:proofErr w:type="spellEnd"/>
            <w:r w:rsidRPr="007247FC">
              <w:rPr>
                <w:color w:val="000000" w:themeColor="text1"/>
              </w:rPr>
              <w:t xml:space="preserve">” </w:t>
            </w:r>
            <w:proofErr w:type="spellStart"/>
            <w:r w:rsidRPr="007247FC">
              <w:rPr>
                <w:color w:val="000000" w:themeColor="text1"/>
              </w:rPr>
              <w:t>гэж</w:t>
            </w:r>
            <w:proofErr w:type="spellEnd"/>
            <w:r w:rsidRPr="007247FC">
              <w:rPr>
                <w:color w:val="000000" w:themeColor="text1"/>
              </w:rPr>
              <w:t xml:space="preserve"> </w:t>
            </w:r>
            <w:proofErr w:type="spellStart"/>
            <w:r w:rsidRPr="007247FC">
              <w:rPr>
                <w:color w:val="000000" w:themeColor="text1"/>
              </w:rPr>
              <w:t>өөрчлөх</w:t>
            </w:r>
            <w:proofErr w:type="spellEnd"/>
            <w:r w:rsidRPr="007247FC">
              <w:rPr>
                <w:color w:val="000000" w:themeColor="text1"/>
              </w:rPr>
              <w:t>;</w:t>
            </w:r>
          </w:p>
        </w:tc>
        <w:tc>
          <w:tcPr>
            <w:tcW w:w="5490" w:type="dxa"/>
            <w:vAlign w:val="center"/>
          </w:tcPr>
          <w:p w14:paraId="0CB3C4FB" w14:textId="0857BF22" w:rsidR="002260A1" w:rsidRPr="007247FC" w:rsidRDefault="002260A1" w:rsidP="002260A1">
            <w:pPr>
              <w:ind w:right="1"/>
              <w:jc w:val="both"/>
              <w:rPr>
                <w:rFonts w:ascii="Arial" w:hAnsi="Arial" w:cs="Arial"/>
                <w:sz w:val="22"/>
                <w:szCs w:val="22"/>
              </w:rPr>
            </w:pPr>
            <w:r w:rsidRPr="007247FC">
              <w:rPr>
                <w:rFonts w:ascii="Arial" w:eastAsia="Times New Roman" w:hAnsi="Arial" w:cs="Arial"/>
                <w:sz w:val="22"/>
                <w:szCs w:val="22"/>
              </w:rPr>
              <w:t xml:space="preserve">Хуулийн төслийн 13.1.4 дэх заалт нь нийгмийн даатгалын сангийн чөлөөт үлдэгдлийг санхүүгийн хэрэгсэлд оруулахад тавигдах ерөнхий </w:t>
            </w:r>
            <w:proofErr w:type="spellStart"/>
            <w:r w:rsidRPr="007247FC">
              <w:rPr>
                <w:rFonts w:ascii="Arial" w:eastAsia="Arial" w:hAnsi="Arial" w:cs="Arial"/>
                <w:color w:val="000000" w:themeColor="text1"/>
                <w:sz w:val="22"/>
                <w:szCs w:val="22"/>
                <w:lang w:val="en-US" w:eastAsia="en-US" w:bidi="ar-SA"/>
              </w:rPr>
              <w:t>шаардлага</w:t>
            </w:r>
            <w:proofErr w:type="spellEnd"/>
            <w:r w:rsidRPr="007247FC">
              <w:rPr>
                <w:rFonts w:ascii="Arial" w:eastAsia="Arial" w:hAnsi="Arial" w:cs="Arial"/>
                <w:color w:val="000000" w:themeColor="text1"/>
                <w:sz w:val="22"/>
                <w:szCs w:val="22"/>
                <w:lang w:val="en-US" w:eastAsia="en-US" w:bidi="ar-SA"/>
              </w:rPr>
              <w:t xml:space="preserve"> </w:t>
            </w:r>
            <w:proofErr w:type="spellStart"/>
            <w:r w:rsidRPr="007247FC">
              <w:rPr>
                <w:rFonts w:ascii="Arial" w:eastAsia="Arial" w:hAnsi="Arial" w:cs="Arial"/>
                <w:color w:val="000000" w:themeColor="text1"/>
                <w:sz w:val="22"/>
                <w:szCs w:val="22"/>
                <w:lang w:val="en-US" w:eastAsia="en-US" w:bidi="ar-SA"/>
              </w:rPr>
              <w:t>бөгөөд</w:t>
            </w:r>
            <w:proofErr w:type="spellEnd"/>
            <w:r w:rsidRPr="007247FC">
              <w:rPr>
                <w:rFonts w:ascii="Arial" w:eastAsia="Arial" w:hAnsi="Arial" w:cs="Arial"/>
                <w:color w:val="000000" w:themeColor="text1"/>
                <w:sz w:val="22"/>
                <w:szCs w:val="22"/>
                <w:lang w:val="en-US" w:eastAsia="en-US" w:bidi="ar-SA"/>
              </w:rPr>
              <w:t xml:space="preserve"> </w:t>
            </w:r>
            <w:proofErr w:type="spellStart"/>
            <w:r w:rsidRPr="007247FC">
              <w:rPr>
                <w:rFonts w:ascii="Arial" w:eastAsia="Arial" w:hAnsi="Arial" w:cs="Arial"/>
                <w:color w:val="000000" w:themeColor="text1"/>
                <w:sz w:val="22"/>
                <w:szCs w:val="22"/>
                <w:lang w:val="en-US" w:eastAsia="en-US" w:bidi="ar-SA"/>
              </w:rPr>
              <w:t>уг</w:t>
            </w:r>
            <w:proofErr w:type="spellEnd"/>
            <w:r w:rsidRPr="007247FC">
              <w:rPr>
                <w:rFonts w:ascii="Arial" w:eastAsia="Arial" w:hAnsi="Arial" w:cs="Arial"/>
                <w:color w:val="000000" w:themeColor="text1"/>
                <w:sz w:val="22"/>
                <w:szCs w:val="22"/>
                <w:lang w:val="en-US" w:eastAsia="en-US" w:bidi="ar-SA"/>
              </w:rPr>
              <w:t xml:space="preserve"> </w:t>
            </w:r>
            <w:proofErr w:type="spellStart"/>
            <w:r w:rsidRPr="007247FC">
              <w:rPr>
                <w:rFonts w:ascii="Arial" w:eastAsia="Arial" w:hAnsi="Arial" w:cs="Arial"/>
                <w:color w:val="000000" w:themeColor="text1"/>
                <w:sz w:val="22"/>
                <w:szCs w:val="22"/>
                <w:lang w:val="en-US" w:eastAsia="en-US" w:bidi="ar-SA"/>
              </w:rPr>
              <w:t>шаардлагыг</w:t>
            </w:r>
            <w:proofErr w:type="spellEnd"/>
            <w:r w:rsidRPr="007247FC">
              <w:rPr>
                <w:rFonts w:ascii="Arial" w:eastAsia="Arial" w:hAnsi="Arial" w:cs="Arial"/>
                <w:color w:val="000000" w:themeColor="text1"/>
                <w:sz w:val="22"/>
                <w:szCs w:val="22"/>
                <w:lang w:val="en-US" w:eastAsia="en-US" w:bidi="ar-SA"/>
              </w:rPr>
              <w:t xml:space="preserve"> </w:t>
            </w:r>
            <w:proofErr w:type="spellStart"/>
            <w:r w:rsidRPr="007247FC">
              <w:rPr>
                <w:rFonts w:ascii="Arial" w:eastAsia="Arial" w:hAnsi="Arial" w:cs="Arial"/>
                <w:color w:val="000000" w:themeColor="text1"/>
                <w:sz w:val="22"/>
                <w:szCs w:val="22"/>
                <w:lang w:val="en-US" w:eastAsia="en-US" w:bidi="ar-SA"/>
              </w:rPr>
              <w:t>хангасан</w:t>
            </w:r>
            <w:proofErr w:type="spellEnd"/>
            <w:r w:rsidRPr="007247FC">
              <w:rPr>
                <w:rFonts w:ascii="Arial" w:eastAsia="Arial" w:hAnsi="Arial" w:cs="Arial"/>
                <w:color w:val="000000" w:themeColor="text1"/>
                <w:sz w:val="22"/>
                <w:szCs w:val="22"/>
                <w:lang w:val="en-US" w:eastAsia="en-US" w:bidi="ar-SA"/>
              </w:rPr>
              <w:t xml:space="preserve"> </w:t>
            </w:r>
            <w:proofErr w:type="spellStart"/>
            <w:r w:rsidRPr="007247FC">
              <w:rPr>
                <w:rFonts w:ascii="Arial" w:eastAsia="Arial" w:hAnsi="Arial" w:cs="Arial"/>
                <w:color w:val="000000" w:themeColor="text1"/>
                <w:sz w:val="22"/>
                <w:szCs w:val="22"/>
                <w:lang w:val="en-US" w:eastAsia="en-US" w:bidi="ar-SA"/>
              </w:rPr>
              <w:t>арилжааны</w:t>
            </w:r>
            <w:proofErr w:type="spellEnd"/>
            <w:r w:rsidRPr="007247FC">
              <w:rPr>
                <w:rFonts w:ascii="Arial" w:eastAsia="Arial" w:hAnsi="Arial" w:cs="Arial"/>
                <w:color w:val="000000" w:themeColor="text1"/>
                <w:sz w:val="22"/>
                <w:szCs w:val="22"/>
                <w:lang w:val="en-US" w:eastAsia="en-US" w:bidi="ar-SA"/>
              </w:rPr>
              <w:t xml:space="preserve"> </w:t>
            </w:r>
            <w:proofErr w:type="spellStart"/>
            <w:r w:rsidRPr="007247FC">
              <w:rPr>
                <w:rFonts w:ascii="Arial" w:eastAsia="Arial" w:hAnsi="Arial" w:cs="Arial"/>
                <w:color w:val="000000" w:themeColor="text1"/>
                <w:sz w:val="22"/>
                <w:szCs w:val="22"/>
                <w:lang w:val="en-US" w:eastAsia="en-US" w:bidi="ar-SA"/>
              </w:rPr>
              <w:t>банк</w:t>
            </w:r>
            <w:proofErr w:type="spellEnd"/>
            <w:r w:rsidRPr="007247FC">
              <w:rPr>
                <w:rFonts w:ascii="Arial" w:eastAsia="Arial" w:hAnsi="Arial" w:cs="Arial"/>
                <w:color w:val="000000" w:themeColor="text1"/>
                <w:sz w:val="22"/>
                <w:szCs w:val="22"/>
                <w:lang w:eastAsia="en-US" w:bidi="ar-SA"/>
              </w:rPr>
              <w:t xml:space="preserve"> бүрт </w:t>
            </w:r>
            <w:proofErr w:type="spellStart"/>
            <w:r w:rsidRPr="007247FC">
              <w:rPr>
                <w:rFonts w:ascii="Arial" w:eastAsia="Arial" w:hAnsi="Arial" w:cs="Arial"/>
                <w:color w:val="000000" w:themeColor="text1"/>
                <w:sz w:val="22"/>
                <w:szCs w:val="22"/>
                <w:lang w:val="en-US" w:eastAsia="en-US" w:bidi="ar-SA"/>
              </w:rPr>
              <w:t>нээлттэй</w:t>
            </w:r>
            <w:proofErr w:type="spellEnd"/>
            <w:r w:rsidRPr="007247FC">
              <w:rPr>
                <w:rFonts w:ascii="Arial" w:eastAsia="Arial" w:hAnsi="Arial" w:cs="Arial"/>
                <w:color w:val="000000" w:themeColor="text1"/>
                <w:sz w:val="22"/>
                <w:szCs w:val="22"/>
                <w:lang w:val="en-US" w:eastAsia="en-US" w:bidi="ar-SA"/>
              </w:rPr>
              <w:t xml:space="preserve"> </w:t>
            </w:r>
            <w:proofErr w:type="spellStart"/>
            <w:r w:rsidRPr="007247FC">
              <w:rPr>
                <w:rFonts w:ascii="Arial" w:eastAsia="Arial" w:hAnsi="Arial" w:cs="Arial"/>
                <w:color w:val="000000" w:themeColor="text1"/>
                <w:sz w:val="22"/>
                <w:szCs w:val="22"/>
                <w:lang w:val="en-US" w:eastAsia="en-US" w:bidi="ar-SA"/>
              </w:rPr>
              <w:t>тул</w:t>
            </w:r>
            <w:proofErr w:type="spellEnd"/>
            <w:r w:rsidRPr="007247FC">
              <w:rPr>
                <w:rFonts w:ascii="Arial" w:eastAsia="Arial" w:hAnsi="Arial" w:cs="Arial"/>
                <w:color w:val="000000" w:themeColor="text1"/>
                <w:sz w:val="22"/>
                <w:szCs w:val="22"/>
                <w:lang w:val="en-US" w:eastAsia="en-US" w:bidi="ar-SA"/>
              </w:rPr>
              <w:t xml:space="preserve"> “...</w:t>
            </w:r>
            <w:proofErr w:type="spellStart"/>
            <w:r w:rsidRPr="007247FC">
              <w:rPr>
                <w:rFonts w:ascii="Arial" w:eastAsia="Arial" w:hAnsi="Arial" w:cs="Arial"/>
                <w:color w:val="000000" w:themeColor="text1"/>
                <w:sz w:val="22"/>
                <w:szCs w:val="22"/>
                <w:lang w:val="en-US" w:eastAsia="en-US" w:bidi="ar-SA"/>
              </w:rPr>
              <w:t>арилжааны</w:t>
            </w:r>
            <w:proofErr w:type="spellEnd"/>
            <w:r w:rsidRPr="007247FC">
              <w:rPr>
                <w:rFonts w:ascii="Arial" w:eastAsia="Arial" w:hAnsi="Arial" w:cs="Arial"/>
                <w:color w:val="000000" w:themeColor="text1"/>
                <w:sz w:val="22"/>
                <w:szCs w:val="22"/>
                <w:lang w:val="en-US" w:eastAsia="en-US" w:bidi="ar-SA"/>
              </w:rPr>
              <w:t xml:space="preserve"> 2-оос </w:t>
            </w:r>
            <w:proofErr w:type="spellStart"/>
            <w:r w:rsidRPr="007247FC">
              <w:rPr>
                <w:rFonts w:ascii="Arial" w:eastAsia="Arial" w:hAnsi="Arial" w:cs="Arial"/>
                <w:color w:val="000000" w:themeColor="text1"/>
                <w:sz w:val="22"/>
                <w:szCs w:val="22"/>
                <w:lang w:val="en-US" w:eastAsia="en-US" w:bidi="ar-SA"/>
              </w:rPr>
              <w:t>доошгүй</w:t>
            </w:r>
            <w:proofErr w:type="spellEnd"/>
            <w:r w:rsidRPr="007247FC">
              <w:rPr>
                <w:rFonts w:ascii="Arial" w:eastAsia="Arial" w:hAnsi="Arial" w:cs="Arial"/>
                <w:color w:val="000000" w:themeColor="text1"/>
                <w:sz w:val="22"/>
                <w:szCs w:val="22"/>
                <w:lang w:val="en-US" w:eastAsia="en-US" w:bidi="ar-SA"/>
              </w:rPr>
              <w:t xml:space="preserve"> </w:t>
            </w:r>
            <w:proofErr w:type="spellStart"/>
            <w:r w:rsidRPr="007247FC">
              <w:rPr>
                <w:rFonts w:ascii="Arial" w:eastAsia="Arial" w:hAnsi="Arial" w:cs="Arial"/>
                <w:color w:val="000000" w:themeColor="text1"/>
                <w:sz w:val="22"/>
                <w:szCs w:val="22"/>
                <w:lang w:val="en-US" w:eastAsia="en-US" w:bidi="ar-SA"/>
              </w:rPr>
              <w:t>банканд</w:t>
            </w:r>
            <w:proofErr w:type="spellEnd"/>
            <w:r w:rsidRPr="007247FC">
              <w:rPr>
                <w:rFonts w:ascii="Arial" w:eastAsia="Arial" w:hAnsi="Arial" w:cs="Arial"/>
                <w:color w:val="000000" w:themeColor="text1"/>
                <w:sz w:val="22"/>
                <w:szCs w:val="22"/>
                <w:lang w:val="en-US" w:eastAsia="en-US" w:bidi="ar-SA"/>
              </w:rPr>
              <w:t xml:space="preserve"> </w:t>
            </w:r>
            <w:proofErr w:type="spellStart"/>
            <w:r w:rsidRPr="007247FC">
              <w:rPr>
                <w:rFonts w:ascii="Arial" w:eastAsia="Arial" w:hAnsi="Arial" w:cs="Arial"/>
                <w:color w:val="000000" w:themeColor="text1"/>
                <w:sz w:val="22"/>
                <w:szCs w:val="22"/>
                <w:lang w:val="en-US" w:eastAsia="en-US" w:bidi="ar-SA"/>
              </w:rPr>
              <w:t>байршуулах</w:t>
            </w:r>
            <w:proofErr w:type="spellEnd"/>
            <w:r w:rsidRPr="007247FC">
              <w:rPr>
                <w:rFonts w:ascii="Arial" w:eastAsia="Arial" w:hAnsi="Arial" w:cs="Arial"/>
                <w:color w:val="000000" w:themeColor="text1"/>
                <w:sz w:val="22"/>
                <w:szCs w:val="22"/>
                <w:lang w:val="en-US" w:eastAsia="en-US" w:bidi="ar-SA"/>
              </w:rPr>
              <w:t xml:space="preserve"> </w:t>
            </w:r>
            <w:proofErr w:type="spellStart"/>
            <w:r w:rsidRPr="007247FC">
              <w:rPr>
                <w:rFonts w:ascii="Arial" w:eastAsia="Arial" w:hAnsi="Arial" w:cs="Arial"/>
                <w:color w:val="000000" w:themeColor="text1"/>
                <w:sz w:val="22"/>
                <w:szCs w:val="22"/>
                <w:lang w:val="en-US" w:eastAsia="en-US" w:bidi="ar-SA"/>
              </w:rPr>
              <w:t>мөнгөн</w:t>
            </w:r>
            <w:proofErr w:type="spellEnd"/>
            <w:r w:rsidRPr="007247FC">
              <w:rPr>
                <w:rFonts w:ascii="Arial" w:eastAsia="Arial" w:hAnsi="Arial" w:cs="Arial"/>
                <w:color w:val="000000" w:themeColor="text1"/>
                <w:sz w:val="22"/>
                <w:szCs w:val="22"/>
                <w:lang w:val="en-US" w:eastAsia="en-US" w:bidi="ar-SA"/>
              </w:rPr>
              <w:t xml:space="preserve"> </w:t>
            </w:r>
            <w:proofErr w:type="spellStart"/>
            <w:r w:rsidRPr="007247FC">
              <w:rPr>
                <w:rFonts w:ascii="Arial" w:eastAsia="Arial" w:hAnsi="Arial" w:cs="Arial"/>
                <w:color w:val="000000" w:themeColor="text1"/>
                <w:sz w:val="22"/>
                <w:szCs w:val="22"/>
                <w:lang w:val="en-US" w:eastAsia="en-US" w:bidi="ar-SA"/>
              </w:rPr>
              <w:t>хадгаламж</w:t>
            </w:r>
            <w:proofErr w:type="spellEnd"/>
            <w:r w:rsidRPr="007247FC">
              <w:rPr>
                <w:rFonts w:ascii="Arial" w:eastAsia="Arial" w:hAnsi="Arial" w:cs="Arial"/>
                <w:color w:val="000000" w:themeColor="text1"/>
                <w:sz w:val="22"/>
                <w:szCs w:val="22"/>
                <w:lang w:val="en-US" w:eastAsia="en-US" w:bidi="ar-SA"/>
              </w:rPr>
              <w:t xml:space="preserve">” </w:t>
            </w:r>
            <w:proofErr w:type="spellStart"/>
            <w:r w:rsidRPr="007247FC">
              <w:rPr>
                <w:rFonts w:ascii="Arial" w:eastAsia="Arial" w:hAnsi="Arial" w:cs="Arial"/>
                <w:color w:val="000000" w:themeColor="text1"/>
                <w:sz w:val="22"/>
                <w:szCs w:val="22"/>
                <w:lang w:val="en-US" w:eastAsia="en-US" w:bidi="ar-SA"/>
              </w:rPr>
              <w:t>гэж</w:t>
            </w:r>
            <w:proofErr w:type="spellEnd"/>
            <w:r w:rsidRPr="007247FC">
              <w:rPr>
                <w:rFonts w:ascii="Arial" w:eastAsia="Arial" w:hAnsi="Arial" w:cs="Arial"/>
                <w:color w:val="000000" w:themeColor="text1"/>
                <w:sz w:val="22"/>
                <w:szCs w:val="22"/>
                <w:lang w:val="en-US" w:eastAsia="en-US" w:bidi="ar-SA"/>
              </w:rPr>
              <w:t xml:space="preserve"> </w:t>
            </w:r>
            <w:proofErr w:type="spellStart"/>
            <w:r w:rsidRPr="007247FC">
              <w:rPr>
                <w:rFonts w:ascii="Arial" w:eastAsia="Arial" w:hAnsi="Arial" w:cs="Arial"/>
                <w:color w:val="000000" w:themeColor="text1"/>
                <w:sz w:val="22"/>
                <w:szCs w:val="22"/>
                <w:lang w:val="en-US" w:eastAsia="en-US" w:bidi="ar-SA"/>
              </w:rPr>
              <w:t>өөрчлөх</w:t>
            </w:r>
            <w:proofErr w:type="spellEnd"/>
            <w:r w:rsidRPr="007247FC">
              <w:rPr>
                <w:rFonts w:ascii="Arial" w:eastAsia="Arial" w:hAnsi="Arial" w:cs="Arial"/>
                <w:color w:val="000000" w:themeColor="text1"/>
                <w:sz w:val="22"/>
                <w:szCs w:val="22"/>
                <w:lang w:val="en-US" w:eastAsia="en-US" w:bidi="ar-SA"/>
              </w:rPr>
              <w:t xml:space="preserve"> </w:t>
            </w:r>
            <w:proofErr w:type="spellStart"/>
            <w:r w:rsidRPr="007247FC">
              <w:rPr>
                <w:rFonts w:ascii="Arial" w:eastAsia="Arial" w:hAnsi="Arial" w:cs="Arial"/>
                <w:color w:val="000000" w:themeColor="text1"/>
                <w:sz w:val="22"/>
                <w:szCs w:val="22"/>
                <w:lang w:val="en-US" w:eastAsia="en-US" w:bidi="ar-SA"/>
              </w:rPr>
              <w:t>шаардлагагүй</w:t>
            </w:r>
            <w:proofErr w:type="spellEnd"/>
            <w:r w:rsidRPr="007247FC">
              <w:rPr>
                <w:rFonts w:ascii="Arial" w:eastAsia="Arial" w:hAnsi="Arial" w:cs="Arial"/>
                <w:color w:val="000000" w:themeColor="text1"/>
                <w:sz w:val="22"/>
                <w:szCs w:val="22"/>
                <w:lang w:eastAsia="en-US" w:bidi="ar-SA"/>
              </w:rPr>
              <w:t xml:space="preserve"> юм</w:t>
            </w:r>
            <w:r w:rsidRPr="007247FC">
              <w:rPr>
                <w:rFonts w:ascii="Arial" w:eastAsia="Arial" w:hAnsi="Arial" w:cs="Arial"/>
                <w:color w:val="000000" w:themeColor="text1"/>
                <w:sz w:val="22"/>
                <w:szCs w:val="22"/>
                <w:lang w:val="en-US" w:eastAsia="en-US" w:bidi="ar-SA"/>
              </w:rPr>
              <w:t>.</w:t>
            </w:r>
            <w:r w:rsidRPr="007247FC">
              <w:rPr>
                <w:rFonts w:ascii="Arial" w:hAnsi="Arial" w:cs="Arial"/>
                <w:color w:val="000000" w:themeColor="text1"/>
                <w:sz w:val="22"/>
                <w:szCs w:val="22"/>
              </w:rPr>
              <w:t xml:space="preserve"> </w:t>
            </w:r>
          </w:p>
        </w:tc>
      </w:tr>
      <w:tr w:rsidR="002260A1" w:rsidRPr="007247FC" w14:paraId="2B566B68" w14:textId="77777777" w:rsidTr="00F42933">
        <w:tc>
          <w:tcPr>
            <w:tcW w:w="643" w:type="dxa"/>
            <w:vAlign w:val="center"/>
          </w:tcPr>
          <w:p w14:paraId="60C34503" w14:textId="1333497C" w:rsidR="002260A1" w:rsidRPr="007247FC" w:rsidRDefault="002260A1" w:rsidP="002260A1">
            <w:pPr>
              <w:jc w:val="center"/>
              <w:rPr>
                <w:rFonts w:ascii="Arial" w:hAnsi="Arial" w:cs="Arial"/>
                <w:sz w:val="22"/>
                <w:szCs w:val="22"/>
                <w:lang w:val="en-US"/>
              </w:rPr>
            </w:pPr>
            <w:r w:rsidRPr="007247FC">
              <w:rPr>
                <w:rFonts w:ascii="Arial" w:hAnsi="Arial" w:cs="Arial"/>
                <w:sz w:val="22"/>
                <w:szCs w:val="22"/>
                <w:lang w:val="en-US"/>
              </w:rPr>
              <w:t>13</w:t>
            </w:r>
          </w:p>
        </w:tc>
        <w:tc>
          <w:tcPr>
            <w:tcW w:w="1872" w:type="dxa"/>
            <w:vAlign w:val="center"/>
          </w:tcPr>
          <w:p w14:paraId="3E3B6798" w14:textId="0EEC629C" w:rsidR="002260A1" w:rsidRPr="007247FC" w:rsidRDefault="002260A1" w:rsidP="002260A1">
            <w:pPr>
              <w:jc w:val="center"/>
              <w:rPr>
                <w:rFonts w:ascii="Arial" w:hAnsi="Arial" w:cs="Arial"/>
                <w:sz w:val="22"/>
                <w:szCs w:val="22"/>
              </w:rPr>
            </w:pPr>
            <w:r w:rsidRPr="007247FC">
              <w:rPr>
                <w:rFonts w:ascii="Arial" w:hAnsi="Arial" w:cs="Arial"/>
                <w:sz w:val="22"/>
                <w:szCs w:val="22"/>
              </w:rPr>
              <w:t>Эрчим хүчний яам 2022.12.27 а/4955</w:t>
            </w:r>
          </w:p>
        </w:tc>
        <w:tc>
          <w:tcPr>
            <w:tcW w:w="10980" w:type="dxa"/>
            <w:gridSpan w:val="2"/>
            <w:vAlign w:val="center"/>
          </w:tcPr>
          <w:p w14:paraId="52D75EA3" w14:textId="0CCAC25F" w:rsidR="002260A1" w:rsidRPr="007247FC" w:rsidRDefault="002260A1" w:rsidP="002260A1">
            <w:pPr>
              <w:jc w:val="both"/>
              <w:rPr>
                <w:rFonts w:ascii="Arial" w:hAnsi="Arial" w:cs="Arial"/>
                <w:sz w:val="22"/>
                <w:szCs w:val="22"/>
              </w:rPr>
            </w:pPr>
            <w:r w:rsidRPr="007247FC">
              <w:rPr>
                <w:rFonts w:ascii="Arial" w:hAnsi="Arial" w:cs="Arial"/>
                <w:sz w:val="22"/>
                <w:szCs w:val="22"/>
              </w:rPr>
              <w:t>Хуулийн төсөлд тусгайлан өгөх саналгүй байна.</w:t>
            </w:r>
          </w:p>
        </w:tc>
      </w:tr>
    </w:tbl>
    <w:p w14:paraId="48A06FC6" w14:textId="68D46BF0" w:rsidR="007E0DCA" w:rsidRPr="007247FC" w:rsidRDefault="007E0DCA" w:rsidP="00166521">
      <w:pPr>
        <w:jc w:val="center"/>
        <w:rPr>
          <w:rFonts w:ascii="Arial" w:hAnsi="Arial" w:cs="Arial"/>
          <w:sz w:val="22"/>
          <w:szCs w:val="22"/>
        </w:rPr>
      </w:pPr>
    </w:p>
    <w:p w14:paraId="6DACBB0C" w14:textId="661F9C13" w:rsidR="00593C2B" w:rsidRDefault="00593C2B" w:rsidP="00C31174">
      <w:pPr>
        <w:rPr>
          <w:rFonts w:ascii="Arial" w:hAnsi="Arial" w:cs="Arial"/>
          <w:sz w:val="22"/>
          <w:szCs w:val="22"/>
        </w:rPr>
      </w:pPr>
    </w:p>
    <w:p w14:paraId="65B3767E" w14:textId="30D5A7B3" w:rsidR="00E4768A" w:rsidRDefault="00E4768A" w:rsidP="00C31174">
      <w:pPr>
        <w:rPr>
          <w:rFonts w:ascii="Arial" w:hAnsi="Arial" w:cs="Arial"/>
          <w:sz w:val="22"/>
          <w:szCs w:val="22"/>
        </w:rPr>
      </w:pPr>
    </w:p>
    <w:p w14:paraId="0F8F5566" w14:textId="77777777" w:rsidR="00E4768A" w:rsidRPr="007247FC" w:rsidRDefault="00E4768A" w:rsidP="00C31174">
      <w:pPr>
        <w:rPr>
          <w:rFonts w:ascii="Arial" w:hAnsi="Arial" w:cs="Arial"/>
          <w:sz w:val="22"/>
          <w:szCs w:val="22"/>
        </w:rPr>
      </w:pPr>
    </w:p>
    <w:p w14:paraId="5B577991" w14:textId="7982730A" w:rsidR="00593C2B" w:rsidRPr="007247FC" w:rsidRDefault="00533655" w:rsidP="00041CC5">
      <w:pPr>
        <w:jc w:val="center"/>
        <w:rPr>
          <w:rFonts w:ascii="Arial" w:hAnsi="Arial" w:cs="Arial"/>
          <w:sz w:val="22"/>
          <w:szCs w:val="22"/>
        </w:rPr>
      </w:pPr>
      <w:r w:rsidRPr="007247FC">
        <w:rPr>
          <w:rFonts w:ascii="Arial" w:hAnsi="Arial" w:cs="Arial"/>
          <w:sz w:val="22"/>
          <w:szCs w:val="22"/>
        </w:rPr>
        <w:t>---оОо---</w:t>
      </w:r>
    </w:p>
    <w:p w14:paraId="70F03030" w14:textId="6BEE3391" w:rsidR="00113A75" w:rsidRDefault="00113A75" w:rsidP="00166521">
      <w:pPr>
        <w:jc w:val="center"/>
        <w:rPr>
          <w:rFonts w:ascii="Arial" w:hAnsi="Arial" w:cs="Arial"/>
          <w:sz w:val="22"/>
          <w:szCs w:val="22"/>
        </w:rPr>
      </w:pPr>
    </w:p>
    <w:p w14:paraId="2C3D43AE" w14:textId="455A2362" w:rsidR="00992897" w:rsidRDefault="00992897" w:rsidP="00166521">
      <w:pPr>
        <w:jc w:val="center"/>
        <w:rPr>
          <w:rFonts w:ascii="Arial" w:hAnsi="Arial" w:cs="Arial"/>
          <w:sz w:val="22"/>
          <w:szCs w:val="22"/>
        </w:rPr>
      </w:pPr>
    </w:p>
    <w:p w14:paraId="1B928DD6" w14:textId="6057FA2C" w:rsidR="00992897" w:rsidRDefault="00992897" w:rsidP="00166521">
      <w:pPr>
        <w:jc w:val="center"/>
        <w:rPr>
          <w:rFonts w:ascii="Arial" w:hAnsi="Arial" w:cs="Arial"/>
          <w:sz w:val="22"/>
          <w:szCs w:val="22"/>
        </w:rPr>
      </w:pPr>
    </w:p>
    <w:p w14:paraId="2A254300" w14:textId="728828BE" w:rsidR="00992897" w:rsidRDefault="00992897" w:rsidP="00166521">
      <w:pPr>
        <w:jc w:val="center"/>
        <w:rPr>
          <w:rFonts w:ascii="Arial" w:hAnsi="Arial" w:cs="Arial"/>
          <w:sz w:val="22"/>
          <w:szCs w:val="22"/>
        </w:rPr>
      </w:pPr>
    </w:p>
    <w:p w14:paraId="6C9007BE" w14:textId="6C85F4A3" w:rsidR="00992897" w:rsidRDefault="00992897" w:rsidP="00166521">
      <w:pPr>
        <w:jc w:val="center"/>
        <w:rPr>
          <w:rFonts w:ascii="Arial" w:hAnsi="Arial" w:cs="Arial"/>
          <w:sz w:val="22"/>
          <w:szCs w:val="22"/>
        </w:rPr>
      </w:pPr>
    </w:p>
    <w:p w14:paraId="6A0711B7" w14:textId="2C3F871A" w:rsidR="00992897" w:rsidRDefault="00992897" w:rsidP="00166521">
      <w:pPr>
        <w:jc w:val="center"/>
        <w:rPr>
          <w:rFonts w:ascii="Arial" w:hAnsi="Arial" w:cs="Arial"/>
          <w:sz w:val="22"/>
          <w:szCs w:val="22"/>
        </w:rPr>
      </w:pPr>
    </w:p>
    <w:p w14:paraId="1C2EC052" w14:textId="4894D564" w:rsidR="00992897" w:rsidRDefault="00992897" w:rsidP="00166521">
      <w:pPr>
        <w:jc w:val="center"/>
        <w:rPr>
          <w:rFonts w:ascii="Arial" w:hAnsi="Arial" w:cs="Arial"/>
          <w:sz w:val="22"/>
          <w:szCs w:val="22"/>
        </w:rPr>
      </w:pPr>
    </w:p>
    <w:p w14:paraId="58E037D4" w14:textId="77777777" w:rsidR="00E4768A" w:rsidRPr="00E4768A" w:rsidRDefault="00E4768A" w:rsidP="00166521">
      <w:pPr>
        <w:jc w:val="center"/>
        <w:rPr>
          <w:rFonts w:ascii="Arial" w:hAnsi="Arial" w:cs="Arial"/>
          <w:sz w:val="20"/>
          <w:szCs w:val="20"/>
        </w:rPr>
      </w:pPr>
    </w:p>
    <w:sectPr w:rsidR="00E4768A" w:rsidRPr="00E4768A" w:rsidSect="00E34406">
      <w:pgSz w:w="15840" w:h="12240" w:orient="landscape" w:code="1"/>
      <w:pgMar w:top="720" w:right="1077" w:bottom="107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FA204" w14:textId="77777777" w:rsidR="00091F92" w:rsidRDefault="00091F92" w:rsidP="008D16CD">
      <w:r>
        <w:separator/>
      </w:r>
    </w:p>
  </w:endnote>
  <w:endnote w:type="continuationSeparator" w:id="0">
    <w:p w14:paraId="02A08B6E" w14:textId="77777777" w:rsidR="00091F92" w:rsidRDefault="00091F92" w:rsidP="008D1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FE490" w14:textId="77777777" w:rsidR="00091F92" w:rsidRDefault="00091F92" w:rsidP="008D16CD">
      <w:r>
        <w:separator/>
      </w:r>
    </w:p>
  </w:footnote>
  <w:footnote w:type="continuationSeparator" w:id="0">
    <w:p w14:paraId="58EA6183" w14:textId="77777777" w:rsidR="00091F92" w:rsidRDefault="00091F92" w:rsidP="008D1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7520"/>
    <w:multiLevelType w:val="hybridMultilevel"/>
    <w:tmpl w:val="18B08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0203C"/>
    <w:multiLevelType w:val="hybridMultilevel"/>
    <w:tmpl w:val="51F23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0009A"/>
    <w:multiLevelType w:val="multilevel"/>
    <w:tmpl w:val="584AA15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85113CC"/>
    <w:multiLevelType w:val="hybridMultilevel"/>
    <w:tmpl w:val="8B0CADA8"/>
    <w:lvl w:ilvl="0" w:tplc="DFD0F0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CD33B9"/>
    <w:multiLevelType w:val="hybridMultilevel"/>
    <w:tmpl w:val="52A4D75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F4634"/>
    <w:multiLevelType w:val="hybridMultilevel"/>
    <w:tmpl w:val="F3AA4F80"/>
    <w:lvl w:ilvl="0" w:tplc="AD9814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351BF7"/>
    <w:multiLevelType w:val="hybridMultilevel"/>
    <w:tmpl w:val="E9448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ED5D30"/>
    <w:multiLevelType w:val="hybridMultilevel"/>
    <w:tmpl w:val="AC282B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64687E"/>
    <w:multiLevelType w:val="multilevel"/>
    <w:tmpl w:val="DAA479A8"/>
    <w:lvl w:ilvl="0">
      <w:start w:val="1"/>
      <w:numFmt w:val="decimal"/>
      <w:lvlText w:val="%1"/>
      <w:lvlJc w:val="left"/>
      <w:rPr>
        <w:rFonts w:ascii="Arial" w:eastAsia="Arial" w:hAnsi="Arial" w:cs="Arial"/>
        <w:b w:val="0"/>
        <w:bCs w:val="0"/>
        <w:i w:val="0"/>
        <w:iCs w:val="0"/>
        <w:smallCaps w:val="0"/>
        <w:strike w:val="0"/>
        <w:color w:val="464646"/>
        <w:spacing w:val="0"/>
        <w:w w:val="100"/>
        <w:position w:val="0"/>
        <w:sz w:val="22"/>
        <w:szCs w:val="22"/>
        <w:u w:val="none"/>
        <w:shd w:val="clear" w:color="auto" w:fill="auto"/>
        <w:lang w:val="mn-MN" w:eastAsia="mn-MN" w:bidi="mn-MN"/>
      </w:rPr>
    </w:lvl>
    <w:lvl w:ilvl="1">
      <w:start w:val="1"/>
      <w:numFmt w:val="decimal"/>
      <w:lvlText w:val="%1.%2."/>
      <w:lvlJc w:val="left"/>
      <w:rPr>
        <w:rFonts w:ascii="Arial" w:eastAsia="Arial" w:hAnsi="Arial" w:cs="Arial"/>
        <w:b w:val="0"/>
        <w:bCs w:val="0"/>
        <w:i w:val="0"/>
        <w:iCs w:val="0"/>
        <w:smallCaps w:val="0"/>
        <w:strike w:val="0"/>
        <w:color w:val="464646"/>
        <w:spacing w:val="0"/>
        <w:w w:val="100"/>
        <w:position w:val="0"/>
        <w:sz w:val="22"/>
        <w:szCs w:val="22"/>
        <w:u w:val="none"/>
        <w:shd w:val="clear" w:color="auto" w:fill="auto"/>
        <w:lang w:val="mn-MN" w:eastAsia="mn-MN" w:bidi="mn-M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A56A27"/>
    <w:multiLevelType w:val="multilevel"/>
    <w:tmpl w:val="572E0546"/>
    <w:lvl w:ilvl="0">
      <w:start w:val="1"/>
      <w:numFmt w:val="bullet"/>
      <w:lvlText w:val="-"/>
      <w:lvlJc w:val="left"/>
      <w:rPr>
        <w:rFonts w:ascii="Arial" w:eastAsia="Arial" w:hAnsi="Arial" w:cs="Arial"/>
        <w:b w:val="0"/>
        <w:bCs w:val="0"/>
        <w:i w:val="0"/>
        <w:iCs w:val="0"/>
        <w:smallCaps w:val="0"/>
        <w:strike w:val="0"/>
        <w:color w:val="464646"/>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4DC631A"/>
    <w:multiLevelType w:val="multilevel"/>
    <w:tmpl w:val="5AE2F97A"/>
    <w:lvl w:ilvl="0">
      <w:start w:val="1"/>
      <w:numFmt w:val="decimal"/>
      <w:lvlText w:val="%1"/>
      <w:lvlJc w:val="left"/>
      <w:rPr>
        <w:rFonts w:ascii="Arial" w:eastAsia="Arial" w:hAnsi="Arial" w:cs="Arial"/>
        <w:b w:val="0"/>
        <w:bCs w:val="0"/>
        <w:i w:val="0"/>
        <w:iCs w:val="0"/>
        <w:smallCaps w:val="0"/>
        <w:strike w:val="0"/>
        <w:color w:val="3D3D3D"/>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50C1101"/>
    <w:multiLevelType w:val="multilevel"/>
    <w:tmpl w:val="ED02F2B0"/>
    <w:lvl w:ilvl="0">
      <w:start w:val="6"/>
      <w:numFmt w:val="decimal"/>
      <w:lvlText w:val="%1"/>
      <w:lvlJc w:val="left"/>
      <w:rPr>
        <w:rFonts w:ascii="Arial" w:eastAsia="Arial" w:hAnsi="Arial" w:cs="Arial"/>
        <w:b w:val="0"/>
        <w:bCs w:val="0"/>
        <w:i w:val="0"/>
        <w:iCs w:val="0"/>
        <w:smallCaps w:val="0"/>
        <w:strike w:val="0"/>
        <w:color w:val="3D3D3D"/>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00371E8"/>
    <w:multiLevelType w:val="hybridMultilevel"/>
    <w:tmpl w:val="AC282B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D00BDC"/>
    <w:multiLevelType w:val="multilevel"/>
    <w:tmpl w:val="584AA15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93114E2"/>
    <w:multiLevelType w:val="multilevel"/>
    <w:tmpl w:val="584AA15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D6E3D4F"/>
    <w:multiLevelType w:val="hybridMultilevel"/>
    <w:tmpl w:val="0E1E097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13"/>
  </w:num>
  <w:num w:numId="5">
    <w:abstractNumId w:val="2"/>
  </w:num>
  <w:num w:numId="6">
    <w:abstractNumId w:val="15"/>
  </w:num>
  <w:num w:numId="7">
    <w:abstractNumId w:val="14"/>
  </w:num>
  <w:num w:numId="8">
    <w:abstractNumId w:val="4"/>
  </w:num>
  <w:num w:numId="9">
    <w:abstractNumId w:val="7"/>
  </w:num>
  <w:num w:numId="10">
    <w:abstractNumId w:val="12"/>
  </w:num>
  <w:num w:numId="11">
    <w:abstractNumId w:val="0"/>
  </w:num>
  <w:num w:numId="12">
    <w:abstractNumId w:val="5"/>
  </w:num>
  <w:num w:numId="13">
    <w:abstractNumId w:val="10"/>
  </w:num>
  <w:num w:numId="14">
    <w:abstractNumId w:val="11"/>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655"/>
    <w:rsid w:val="000046D8"/>
    <w:rsid w:val="00007C73"/>
    <w:rsid w:val="0001433B"/>
    <w:rsid w:val="00014EA9"/>
    <w:rsid w:val="00023ED1"/>
    <w:rsid w:val="00026600"/>
    <w:rsid w:val="000329DF"/>
    <w:rsid w:val="00034E46"/>
    <w:rsid w:val="0004057F"/>
    <w:rsid w:val="00041233"/>
    <w:rsid w:val="000419C0"/>
    <w:rsid w:val="00041CC5"/>
    <w:rsid w:val="00042C3A"/>
    <w:rsid w:val="00047878"/>
    <w:rsid w:val="000501FF"/>
    <w:rsid w:val="00055B9B"/>
    <w:rsid w:val="00057739"/>
    <w:rsid w:val="00064C24"/>
    <w:rsid w:val="00077E70"/>
    <w:rsid w:val="000878E2"/>
    <w:rsid w:val="00087EC0"/>
    <w:rsid w:val="00091F92"/>
    <w:rsid w:val="00097BFA"/>
    <w:rsid w:val="000A0527"/>
    <w:rsid w:val="000A0681"/>
    <w:rsid w:val="000A6E7C"/>
    <w:rsid w:val="000A6F31"/>
    <w:rsid w:val="000A74D9"/>
    <w:rsid w:val="000A77FD"/>
    <w:rsid w:val="000A7AF6"/>
    <w:rsid w:val="000B0094"/>
    <w:rsid w:val="000C018E"/>
    <w:rsid w:val="000C1A37"/>
    <w:rsid w:val="000C1BA0"/>
    <w:rsid w:val="000C5BDF"/>
    <w:rsid w:val="000D45B7"/>
    <w:rsid w:val="000E35E0"/>
    <w:rsid w:val="000E7700"/>
    <w:rsid w:val="000F1EBB"/>
    <w:rsid w:val="000F2286"/>
    <w:rsid w:val="000F7B60"/>
    <w:rsid w:val="00111B06"/>
    <w:rsid w:val="00113A75"/>
    <w:rsid w:val="001150B3"/>
    <w:rsid w:val="00117C77"/>
    <w:rsid w:val="00125E68"/>
    <w:rsid w:val="00132D2D"/>
    <w:rsid w:val="00133CE9"/>
    <w:rsid w:val="001357B0"/>
    <w:rsid w:val="00140AC2"/>
    <w:rsid w:val="00141800"/>
    <w:rsid w:val="0014680C"/>
    <w:rsid w:val="00147B44"/>
    <w:rsid w:val="001532C0"/>
    <w:rsid w:val="00154CB6"/>
    <w:rsid w:val="00155B3C"/>
    <w:rsid w:val="001604E6"/>
    <w:rsid w:val="00164355"/>
    <w:rsid w:val="0016632B"/>
    <w:rsid w:val="00166521"/>
    <w:rsid w:val="0017119E"/>
    <w:rsid w:val="001719DB"/>
    <w:rsid w:val="00173A24"/>
    <w:rsid w:val="001910AC"/>
    <w:rsid w:val="001956EF"/>
    <w:rsid w:val="001A332F"/>
    <w:rsid w:val="001A35CA"/>
    <w:rsid w:val="001A58EE"/>
    <w:rsid w:val="001B092E"/>
    <w:rsid w:val="001B1229"/>
    <w:rsid w:val="001B2A7F"/>
    <w:rsid w:val="001B2B20"/>
    <w:rsid w:val="001C2795"/>
    <w:rsid w:val="001C285C"/>
    <w:rsid w:val="001C52CB"/>
    <w:rsid w:val="001D0C09"/>
    <w:rsid w:val="001E2D30"/>
    <w:rsid w:val="001E5A1B"/>
    <w:rsid w:val="001E60DC"/>
    <w:rsid w:val="001E7F97"/>
    <w:rsid w:val="001F2228"/>
    <w:rsid w:val="001F78D3"/>
    <w:rsid w:val="0020325F"/>
    <w:rsid w:val="002041B8"/>
    <w:rsid w:val="002051DC"/>
    <w:rsid w:val="00206AD2"/>
    <w:rsid w:val="002153DE"/>
    <w:rsid w:val="00223703"/>
    <w:rsid w:val="00225076"/>
    <w:rsid w:val="002260A1"/>
    <w:rsid w:val="002262BE"/>
    <w:rsid w:val="00227ED3"/>
    <w:rsid w:val="00234BCC"/>
    <w:rsid w:val="00235059"/>
    <w:rsid w:val="002510EF"/>
    <w:rsid w:val="00256EE3"/>
    <w:rsid w:val="00262AA2"/>
    <w:rsid w:val="0026645E"/>
    <w:rsid w:val="00281B02"/>
    <w:rsid w:val="00281E3B"/>
    <w:rsid w:val="00284548"/>
    <w:rsid w:val="00286078"/>
    <w:rsid w:val="00291725"/>
    <w:rsid w:val="00296024"/>
    <w:rsid w:val="002A0416"/>
    <w:rsid w:val="002A5AAC"/>
    <w:rsid w:val="002B28D1"/>
    <w:rsid w:val="002C20B2"/>
    <w:rsid w:val="002C413A"/>
    <w:rsid w:val="002C6566"/>
    <w:rsid w:val="002D0529"/>
    <w:rsid w:val="002D0881"/>
    <w:rsid w:val="002D1574"/>
    <w:rsid w:val="002D40A7"/>
    <w:rsid w:val="002E1C25"/>
    <w:rsid w:val="002E3AD3"/>
    <w:rsid w:val="002E3CCB"/>
    <w:rsid w:val="002E5C21"/>
    <w:rsid w:val="002E60BE"/>
    <w:rsid w:val="002E6905"/>
    <w:rsid w:val="002E6CAB"/>
    <w:rsid w:val="00301BDB"/>
    <w:rsid w:val="00303206"/>
    <w:rsid w:val="00307032"/>
    <w:rsid w:val="00307241"/>
    <w:rsid w:val="00307C89"/>
    <w:rsid w:val="00312595"/>
    <w:rsid w:val="0032298A"/>
    <w:rsid w:val="003248E6"/>
    <w:rsid w:val="00324C9F"/>
    <w:rsid w:val="00326AF5"/>
    <w:rsid w:val="003308C9"/>
    <w:rsid w:val="00332425"/>
    <w:rsid w:val="00341B9A"/>
    <w:rsid w:val="00354E87"/>
    <w:rsid w:val="00356BE6"/>
    <w:rsid w:val="00361E2E"/>
    <w:rsid w:val="003636BB"/>
    <w:rsid w:val="00365C2F"/>
    <w:rsid w:val="0037331F"/>
    <w:rsid w:val="00374BB1"/>
    <w:rsid w:val="00376B6F"/>
    <w:rsid w:val="00382E4F"/>
    <w:rsid w:val="00383D14"/>
    <w:rsid w:val="00385C33"/>
    <w:rsid w:val="00395CE5"/>
    <w:rsid w:val="00396F9C"/>
    <w:rsid w:val="0039791B"/>
    <w:rsid w:val="003A03C6"/>
    <w:rsid w:val="003A749C"/>
    <w:rsid w:val="003B2806"/>
    <w:rsid w:val="003C5F48"/>
    <w:rsid w:val="003C758F"/>
    <w:rsid w:val="003D53C3"/>
    <w:rsid w:val="003D5BB3"/>
    <w:rsid w:val="003D6164"/>
    <w:rsid w:val="003E0B53"/>
    <w:rsid w:val="003E5424"/>
    <w:rsid w:val="003E7217"/>
    <w:rsid w:val="003F6405"/>
    <w:rsid w:val="004007CD"/>
    <w:rsid w:val="00401D5A"/>
    <w:rsid w:val="00402D6E"/>
    <w:rsid w:val="004104F7"/>
    <w:rsid w:val="00420C4A"/>
    <w:rsid w:val="00425355"/>
    <w:rsid w:val="00425A34"/>
    <w:rsid w:val="00454A28"/>
    <w:rsid w:val="004554D9"/>
    <w:rsid w:val="00461A3A"/>
    <w:rsid w:val="004622BA"/>
    <w:rsid w:val="00465BE1"/>
    <w:rsid w:val="0046747B"/>
    <w:rsid w:val="00467B63"/>
    <w:rsid w:val="00470D29"/>
    <w:rsid w:val="0047123E"/>
    <w:rsid w:val="004720B5"/>
    <w:rsid w:val="00475EE4"/>
    <w:rsid w:val="004764F1"/>
    <w:rsid w:val="0048434B"/>
    <w:rsid w:val="0048704E"/>
    <w:rsid w:val="00487CFC"/>
    <w:rsid w:val="00494C62"/>
    <w:rsid w:val="0049766E"/>
    <w:rsid w:val="004A66EE"/>
    <w:rsid w:val="004B6ACD"/>
    <w:rsid w:val="004B6DD6"/>
    <w:rsid w:val="004C011C"/>
    <w:rsid w:val="004C7F60"/>
    <w:rsid w:val="004D1BE3"/>
    <w:rsid w:val="004D6425"/>
    <w:rsid w:val="004D66B1"/>
    <w:rsid w:val="004D730D"/>
    <w:rsid w:val="004D78D8"/>
    <w:rsid w:val="004E06CB"/>
    <w:rsid w:val="004E1FE2"/>
    <w:rsid w:val="004E2E73"/>
    <w:rsid w:val="004E39AD"/>
    <w:rsid w:val="004F5BBC"/>
    <w:rsid w:val="004F6AC2"/>
    <w:rsid w:val="00500ABF"/>
    <w:rsid w:val="00501057"/>
    <w:rsid w:val="00502792"/>
    <w:rsid w:val="00503702"/>
    <w:rsid w:val="00506663"/>
    <w:rsid w:val="0050708B"/>
    <w:rsid w:val="00512D76"/>
    <w:rsid w:val="0052534B"/>
    <w:rsid w:val="005322D7"/>
    <w:rsid w:val="00532B1C"/>
    <w:rsid w:val="00533655"/>
    <w:rsid w:val="00540A15"/>
    <w:rsid w:val="00541298"/>
    <w:rsid w:val="00544245"/>
    <w:rsid w:val="005551B8"/>
    <w:rsid w:val="005676BF"/>
    <w:rsid w:val="00567733"/>
    <w:rsid w:val="005734BA"/>
    <w:rsid w:val="0057638E"/>
    <w:rsid w:val="00581762"/>
    <w:rsid w:val="00581E9A"/>
    <w:rsid w:val="00582388"/>
    <w:rsid w:val="005832BC"/>
    <w:rsid w:val="00593C2B"/>
    <w:rsid w:val="00593E07"/>
    <w:rsid w:val="00595484"/>
    <w:rsid w:val="005A0874"/>
    <w:rsid w:val="005A4E13"/>
    <w:rsid w:val="005A788B"/>
    <w:rsid w:val="005B78B4"/>
    <w:rsid w:val="005B7D48"/>
    <w:rsid w:val="005C07FF"/>
    <w:rsid w:val="005D17B4"/>
    <w:rsid w:val="005D4FF5"/>
    <w:rsid w:val="005E2E9E"/>
    <w:rsid w:val="005E3053"/>
    <w:rsid w:val="005E38A8"/>
    <w:rsid w:val="005E7A1C"/>
    <w:rsid w:val="005E7A69"/>
    <w:rsid w:val="005F5C29"/>
    <w:rsid w:val="0060035A"/>
    <w:rsid w:val="00601697"/>
    <w:rsid w:val="00602F78"/>
    <w:rsid w:val="00604D52"/>
    <w:rsid w:val="006074DC"/>
    <w:rsid w:val="00611EE8"/>
    <w:rsid w:val="00616A7A"/>
    <w:rsid w:val="00617660"/>
    <w:rsid w:val="00624D35"/>
    <w:rsid w:val="00625F3E"/>
    <w:rsid w:val="00633007"/>
    <w:rsid w:val="00636EEB"/>
    <w:rsid w:val="00641CE3"/>
    <w:rsid w:val="006460E6"/>
    <w:rsid w:val="0065372D"/>
    <w:rsid w:val="00673152"/>
    <w:rsid w:val="00673A37"/>
    <w:rsid w:val="0067579D"/>
    <w:rsid w:val="00686D9C"/>
    <w:rsid w:val="0069164B"/>
    <w:rsid w:val="00692517"/>
    <w:rsid w:val="0069689E"/>
    <w:rsid w:val="0069720A"/>
    <w:rsid w:val="006A0632"/>
    <w:rsid w:val="006A1F7E"/>
    <w:rsid w:val="006A2BA5"/>
    <w:rsid w:val="006B03FD"/>
    <w:rsid w:val="006B0455"/>
    <w:rsid w:val="006B1FAC"/>
    <w:rsid w:val="006B2534"/>
    <w:rsid w:val="006C1EE3"/>
    <w:rsid w:val="006C33A4"/>
    <w:rsid w:val="006D039D"/>
    <w:rsid w:val="006D09B8"/>
    <w:rsid w:val="006D1AF7"/>
    <w:rsid w:val="006D4D53"/>
    <w:rsid w:val="006D5D11"/>
    <w:rsid w:val="006D7E75"/>
    <w:rsid w:val="006E78CF"/>
    <w:rsid w:val="006E7BBC"/>
    <w:rsid w:val="006F1B8C"/>
    <w:rsid w:val="006F23E5"/>
    <w:rsid w:val="006F3F29"/>
    <w:rsid w:val="006F4486"/>
    <w:rsid w:val="00702630"/>
    <w:rsid w:val="0070477E"/>
    <w:rsid w:val="0071029A"/>
    <w:rsid w:val="0071133E"/>
    <w:rsid w:val="00716715"/>
    <w:rsid w:val="0071748D"/>
    <w:rsid w:val="0071795C"/>
    <w:rsid w:val="007211B8"/>
    <w:rsid w:val="007247FC"/>
    <w:rsid w:val="00726077"/>
    <w:rsid w:val="007326DA"/>
    <w:rsid w:val="007348E8"/>
    <w:rsid w:val="00735EEE"/>
    <w:rsid w:val="00736779"/>
    <w:rsid w:val="007464D1"/>
    <w:rsid w:val="007469AE"/>
    <w:rsid w:val="007478B3"/>
    <w:rsid w:val="007503E4"/>
    <w:rsid w:val="00751DD5"/>
    <w:rsid w:val="00752552"/>
    <w:rsid w:val="00756E03"/>
    <w:rsid w:val="00765CA9"/>
    <w:rsid w:val="0077267C"/>
    <w:rsid w:val="007813EF"/>
    <w:rsid w:val="00790043"/>
    <w:rsid w:val="0079107E"/>
    <w:rsid w:val="00792A7F"/>
    <w:rsid w:val="007A09FC"/>
    <w:rsid w:val="007A1921"/>
    <w:rsid w:val="007A5672"/>
    <w:rsid w:val="007B00DF"/>
    <w:rsid w:val="007B43D7"/>
    <w:rsid w:val="007D07DB"/>
    <w:rsid w:val="007D3006"/>
    <w:rsid w:val="007D4447"/>
    <w:rsid w:val="007D5C44"/>
    <w:rsid w:val="007D5FFF"/>
    <w:rsid w:val="007E0DCA"/>
    <w:rsid w:val="007E3197"/>
    <w:rsid w:val="007E3635"/>
    <w:rsid w:val="007E579F"/>
    <w:rsid w:val="007E749A"/>
    <w:rsid w:val="007F1157"/>
    <w:rsid w:val="007F26BE"/>
    <w:rsid w:val="007F38E2"/>
    <w:rsid w:val="008072D3"/>
    <w:rsid w:val="00812386"/>
    <w:rsid w:val="00812715"/>
    <w:rsid w:val="00815430"/>
    <w:rsid w:val="00816F14"/>
    <w:rsid w:val="00820ED5"/>
    <w:rsid w:val="008259D6"/>
    <w:rsid w:val="008305AF"/>
    <w:rsid w:val="0083163E"/>
    <w:rsid w:val="0083197E"/>
    <w:rsid w:val="00831E18"/>
    <w:rsid w:val="00832AA2"/>
    <w:rsid w:val="00833334"/>
    <w:rsid w:val="008338C1"/>
    <w:rsid w:val="008378FC"/>
    <w:rsid w:val="008426D9"/>
    <w:rsid w:val="00844B9E"/>
    <w:rsid w:val="00846155"/>
    <w:rsid w:val="00846284"/>
    <w:rsid w:val="00853048"/>
    <w:rsid w:val="00854500"/>
    <w:rsid w:val="00865FF8"/>
    <w:rsid w:val="0086634A"/>
    <w:rsid w:val="008724D1"/>
    <w:rsid w:val="00874C8F"/>
    <w:rsid w:val="0088295B"/>
    <w:rsid w:val="00884714"/>
    <w:rsid w:val="008A030F"/>
    <w:rsid w:val="008A1F66"/>
    <w:rsid w:val="008A5058"/>
    <w:rsid w:val="008A5AF5"/>
    <w:rsid w:val="008B0313"/>
    <w:rsid w:val="008B0958"/>
    <w:rsid w:val="008B0B6B"/>
    <w:rsid w:val="008B4280"/>
    <w:rsid w:val="008B4BA5"/>
    <w:rsid w:val="008B5389"/>
    <w:rsid w:val="008C3226"/>
    <w:rsid w:val="008D16CD"/>
    <w:rsid w:val="008D1DD8"/>
    <w:rsid w:val="008E3211"/>
    <w:rsid w:val="008E573A"/>
    <w:rsid w:val="008F015D"/>
    <w:rsid w:val="008F06C2"/>
    <w:rsid w:val="008F0B42"/>
    <w:rsid w:val="009001B8"/>
    <w:rsid w:val="0090347F"/>
    <w:rsid w:val="009046A4"/>
    <w:rsid w:val="009114AE"/>
    <w:rsid w:val="00912575"/>
    <w:rsid w:val="00915188"/>
    <w:rsid w:val="00917B66"/>
    <w:rsid w:val="00923F4E"/>
    <w:rsid w:val="00934EDE"/>
    <w:rsid w:val="00935FFB"/>
    <w:rsid w:val="00941BAC"/>
    <w:rsid w:val="00952EE6"/>
    <w:rsid w:val="009555C3"/>
    <w:rsid w:val="0095668A"/>
    <w:rsid w:val="009613DE"/>
    <w:rsid w:val="00962372"/>
    <w:rsid w:val="00973554"/>
    <w:rsid w:val="00974CD9"/>
    <w:rsid w:val="00975388"/>
    <w:rsid w:val="0098593C"/>
    <w:rsid w:val="00990B1D"/>
    <w:rsid w:val="00990DD7"/>
    <w:rsid w:val="00992897"/>
    <w:rsid w:val="009A008F"/>
    <w:rsid w:val="009B2142"/>
    <w:rsid w:val="009B5E4B"/>
    <w:rsid w:val="009C011A"/>
    <w:rsid w:val="009C5CF7"/>
    <w:rsid w:val="009C672E"/>
    <w:rsid w:val="009C7285"/>
    <w:rsid w:val="009D433F"/>
    <w:rsid w:val="009E0C33"/>
    <w:rsid w:val="009E2E42"/>
    <w:rsid w:val="009E3FF4"/>
    <w:rsid w:val="009E53DF"/>
    <w:rsid w:val="009E78E2"/>
    <w:rsid w:val="009F001C"/>
    <w:rsid w:val="00A03C8F"/>
    <w:rsid w:val="00A07A86"/>
    <w:rsid w:val="00A12679"/>
    <w:rsid w:val="00A12F91"/>
    <w:rsid w:val="00A13189"/>
    <w:rsid w:val="00A1426B"/>
    <w:rsid w:val="00A22400"/>
    <w:rsid w:val="00A25580"/>
    <w:rsid w:val="00A32489"/>
    <w:rsid w:val="00A3354D"/>
    <w:rsid w:val="00A40587"/>
    <w:rsid w:val="00A40F15"/>
    <w:rsid w:val="00A46008"/>
    <w:rsid w:val="00A555F6"/>
    <w:rsid w:val="00A605D5"/>
    <w:rsid w:val="00A63897"/>
    <w:rsid w:val="00A642C8"/>
    <w:rsid w:val="00A84454"/>
    <w:rsid w:val="00A87D9F"/>
    <w:rsid w:val="00A953FF"/>
    <w:rsid w:val="00A96B49"/>
    <w:rsid w:val="00AA0ED6"/>
    <w:rsid w:val="00AA1A33"/>
    <w:rsid w:val="00AB0DC6"/>
    <w:rsid w:val="00AB3341"/>
    <w:rsid w:val="00AB6196"/>
    <w:rsid w:val="00AB671A"/>
    <w:rsid w:val="00AC15F5"/>
    <w:rsid w:val="00AC6ADD"/>
    <w:rsid w:val="00AC6C51"/>
    <w:rsid w:val="00AC7F24"/>
    <w:rsid w:val="00AD74F8"/>
    <w:rsid w:val="00AE1A99"/>
    <w:rsid w:val="00AE3194"/>
    <w:rsid w:val="00AE491A"/>
    <w:rsid w:val="00AF42E4"/>
    <w:rsid w:val="00AF4B78"/>
    <w:rsid w:val="00B006B0"/>
    <w:rsid w:val="00B01D5C"/>
    <w:rsid w:val="00B04479"/>
    <w:rsid w:val="00B077C0"/>
    <w:rsid w:val="00B13880"/>
    <w:rsid w:val="00B13ABF"/>
    <w:rsid w:val="00B30706"/>
    <w:rsid w:val="00B3095E"/>
    <w:rsid w:val="00B31EE5"/>
    <w:rsid w:val="00B3346C"/>
    <w:rsid w:val="00B33530"/>
    <w:rsid w:val="00B42201"/>
    <w:rsid w:val="00B45AE6"/>
    <w:rsid w:val="00B46C1A"/>
    <w:rsid w:val="00B53C5E"/>
    <w:rsid w:val="00B606ED"/>
    <w:rsid w:val="00B63F21"/>
    <w:rsid w:val="00B644B8"/>
    <w:rsid w:val="00B65747"/>
    <w:rsid w:val="00B7050F"/>
    <w:rsid w:val="00B75290"/>
    <w:rsid w:val="00B75FDD"/>
    <w:rsid w:val="00B82A94"/>
    <w:rsid w:val="00B836B8"/>
    <w:rsid w:val="00B875B1"/>
    <w:rsid w:val="00B87CEF"/>
    <w:rsid w:val="00B94878"/>
    <w:rsid w:val="00BA3770"/>
    <w:rsid w:val="00BA3797"/>
    <w:rsid w:val="00BA3C9B"/>
    <w:rsid w:val="00BA409F"/>
    <w:rsid w:val="00BB19CC"/>
    <w:rsid w:val="00BB2C9A"/>
    <w:rsid w:val="00BB318C"/>
    <w:rsid w:val="00BB4311"/>
    <w:rsid w:val="00BB6CA1"/>
    <w:rsid w:val="00BC0A7E"/>
    <w:rsid w:val="00BC4D25"/>
    <w:rsid w:val="00BC604E"/>
    <w:rsid w:val="00BD405D"/>
    <w:rsid w:val="00BE1311"/>
    <w:rsid w:val="00BF1476"/>
    <w:rsid w:val="00BF2301"/>
    <w:rsid w:val="00BF5393"/>
    <w:rsid w:val="00BF7814"/>
    <w:rsid w:val="00BF7EC7"/>
    <w:rsid w:val="00C01BC2"/>
    <w:rsid w:val="00C10E4D"/>
    <w:rsid w:val="00C20DF2"/>
    <w:rsid w:val="00C2651D"/>
    <w:rsid w:val="00C265E8"/>
    <w:rsid w:val="00C26C76"/>
    <w:rsid w:val="00C26D80"/>
    <w:rsid w:val="00C31174"/>
    <w:rsid w:val="00C378CB"/>
    <w:rsid w:val="00C37CCD"/>
    <w:rsid w:val="00C432A9"/>
    <w:rsid w:val="00C43FA3"/>
    <w:rsid w:val="00C46D1F"/>
    <w:rsid w:val="00C47273"/>
    <w:rsid w:val="00C477B4"/>
    <w:rsid w:val="00C50472"/>
    <w:rsid w:val="00C53D07"/>
    <w:rsid w:val="00C56213"/>
    <w:rsid w:val="00C6082A"/>
    <w:rsid w:val="00C6180C"/>
    <w:rsid w:val="00C63549"/>
    <w:rsid w:val="00C645DC"/>
    <w:rsid w:val="00C74F3D"/>
    <w:rsid w:val="00C87347"/>
    <w:rsid w:val="00C9107F"/>
    <w:rsid w:val="00C915C3"/>
    <w:rsid w:val="00C9332B"/>
    <w:rsid w:val="00C945FD"/>
    <w:rsid w:val="00C95E26"/>
    <w:rsid w:val="00CA0939"/>
    <w:rsid w:val="00CA1C17"/>
    <w:rsid w:val="00CA2BA5"/>
    <w:rsid w:val="00CB2915"/>
    <w:rsid w:val="00CB2B15"/>
    <w:rsid w:val="00CB332A"/>
    <w:rsid w:val="00CB63A3"/>
    <w:rsid w:val="00CC452F"/>
    <w:rsid w:val="00CD0B07"/>
    <w:rsid w:val="00CD22C1"/>
    <w:rsid w:val="00CD46D4"/>
    <w:rsid w:val="00CD5DC7"/>
    <w:rsid w:val="00CE3BA5"/>
    <w:rsid w:val="00CE3E96"/>
    <w:rsid w:val="00D0249E"/>
    <w:rsid w:val="00D1174C"/>
    <w:rsid w:val="00D2161F"/>
    <w:rsid w:val="00D2468F"/>
    <w:rsid w:val="00D26B2D"/>
    <w:rsid w:val="00D336C1"/>
    <w:rsid w:val="00D44B52"/>
    <w:rsid w:val="00D47595"/>
    <w:rsid w:val="00D521B0"/>
    <w:rsid w:val="00D55ED6"/>
    <w:rsid w:val="00D674DF"/>
    <w:rsid w:val="00D70205"/>
    <w:rsid w:val="00D751D4"/>
    <w:rsid w:val="00D771F7"/>
    <w:rsid w:val="00D802DB"/>
    <w:rsid w:val="00D824E4"/>
    <w:rsid w:val="00D87FE2"/>
    <w:rsid w:val="00D938AB"/>
    <w:rsid w:val="00DB40DB"/>
    <w:rsid w:val="00DB69E0"/>
    <w:rsid w:val="00DC0D39"/>
    <w:rsid w:val="00DC243E"/>
    <w:rsid w:val="00DC5625"/>
    <w:rsid w:val="00DD6776"/>
    <w:rsid w:val="00DD6C9E"/>
    <w:rsid w:val="00DE3BEF"/>
    <w:rsid w:val="00DF1887"/>
    <w:rsid w:val="00DF1F9D"/>
    <w:rsid w:val="00DF53A6"/>
    <w:rsid w:val="00DF6604"/>
    <w:rsid w:val="00DF7149"/>
    <w:rsid w:val="00DF7D0F"/>
    <w:rsid w:val="00E039E4"/>
    <w:rsid w:val="00E16F75"/>
    <w:rsid w:val="00E217A4"/>
    <w:rsid w:val="00E31968"/>
    <w:rsid w:val="00E32246"/>
    <w:rsid w:val="00E3386D"/>
    <w:rsid w:val="00E34406"/>
    <w:rsid w:val="00E3457E"/>
    <w:rsid w:val="00E36CE8"/>
    <w:rsid w:val="00E41B9B"/>
    <w:rsid w:val="00E43F84"/>
    <w:rsid w:val="00E44DBC"/>
    <w:rsid w:val="00E4768A"/>
    <w:rsid w:val="00E542CE"/>
    <w:rsid w:val="00E54FD2"/>
    <w:rsid w:val="00E6288F"/>
    <w:rsid w:val="00E65032"/>
    <w:rsid w:val="00E657C7"/>
    <w:rsid w:val="00E71505"/>
    <w:rsid w:val="00E74CB2"/>
    <w:rsid w:val="00E75CA4"/>
    <w:rsid w:val="00E76755"/>
    <w:rsid w:val="00E774A2"/>
    <w:rsid w:val="00E827D5"/>
    <w:rsid w:val="00E9147B"/>
    <w:rsid w:val="00E921BF"/>
    <w:rsid w:val="00E93E85"/>
    <w:rsid w:val="00E9512A"/>
    <w:rsid w:val="00E95AA2"/>
    <w:rsid w:val="00E967F5"/>
    <w:rsid w:val="00E972A2"/>
    <w:rsid w:val="00E97B40"/>
    <w:rsid w:val="00EA1049"/>
    <w:rsid w:val="00EA2BDC"/>
    <w:rsid w:val="00EA3B1B"/>
    <w:rsid w:val="00EA45B9"/>
    <w:rsid w:val="00EA4BE9"/>
    <w:rsid w:val="00EA4C0A"/>
    <w:rsid w:val="00EA555F"/>
    <w:rsid w:val="00EB2623"/>
    <w:rsid w:val="00EC1AAD"/>
    <w:rsid w:val="00ED3600"/>
    <w:rsid w:val="00ED6508"/>
    <w:rsid w:val="00EE3778"/>
    <w:rsid w:val="00EE3A92"/>
    <w:rsid w:val="00EF084C"/>
    <w:rsid w:val="00EF12FF"/>
    <w:rsid w:val="00EF24D3"/>
    <w:rsid w:val="00EF271A"/>
    <w:rsid w:val="00EF31AE"/>
    <w:rsid w:val="00EF3AAF"/>
    <w:rsid w:val="00EF6548"/>
    <w:rsid w:val="00F07933"/>
    <w:rsid w:val="00F11BD1"/>
    <w:rsid w:val="00F12553"/>
    <w:rsid w:val="00F21C60"/>
    <w:rsid w:val="00F2348E"/>
    <w:rsid w:val="00F25C39"/>
    <w:rsid w:val="00F25E02"/>
    <w:rsid w:val="00F27705"/>
    <w:rsid w:val="00F358C2"/>
    <w:rsid w:val="00F42933"/>
    <w:rsid w:val="00F44A0B"/>
    <w:rsid w:val="00F51E41"/>
    <w:rsid w:val="00F634E9"/>
    <w:rsid w:val="00F64D9D"/>
    <w:rsid w:val="00F65402"/>
    <w:rsid w:val="00F67E6E"/>
    <w:rsid w:val="00F7479A"/>
    <w:rsid w:val="00F77925"/>
    <w:rsid w:val="00F83E3B"/>
    <w:rsid w:val="00F8791E"/>
    <w:rsid w:val="00F87BCE"/>
    <w:rsid w:val="00F90AD7"/>
    <w:rsid w:val="00FA0EBC"/>
    <w:rsid w:val="00FA12E8"/>
    <w:rsid w:val="00FA47EF"/>
    <w:rsid w:val="00FB164E"/>
    <w:rsid w:val="00FB24BE"/>
    <w:rsid w:val="00FB3D89"/>
    <w:rsid w:val="00FB3E88"/>
    <w:rsid w:val="00FC5888"/>
    <w:rsid w:val="00FC5B93"/>
    <w:rsid w:val="00FD0C1E"/>
    <w:rsid w:val="00FD1D1D"/>
    <w:rsid w:val="00FE2263"/>
    <w:rsid w:val="00FE2EDE"/>
    <w:rsid w:val="00FF7A62"/>
    <w:rsid w:val="00FF7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7751F"/>
  <w15:chartTrackingRefBased/>
  <w15:docId w15:val="{888C656A-40EF-4BA9-B591-228F3F1BB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C2B"/>
    <w:pPr>
      <w:widowControl w:val="0"/>
      <w:spacing w:after="0" w:line="240" w:lineRule="auto"/>
    </w:pPr>
    <w:rPr>
      <w:rFonts w:ascii="Courier New" w:eastAsia="Courier New" w:hAnsi="Courier New" w:cs="Courier New"/>
      <w:color w:val="000000"/>
      <w:sz w:val="24"/>
      <w:szCs w:val="24"/>
      <w:lang w:val="mn-MN" w:eastAsia="mn-MN" w:bidi="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3655"/>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styleId="ListParagraph">
    <w:name w:val="List Paragraph"/>
    <w:basedOn w:val="Normal"/>
    <w:uiPriority w:val="34"/>
    <w:qFormat/>
    <w:rsid w:val="00383D14"/>
    <w:pPr>
      <w:ind w:left="720"/>
      <w:contextualSpacing/>
    </w:pPr>
  </w:style>
  <w:style w:type="character" w:customStyle="1" w:styleId="highlight2">
    <w:name w:val="highlight2"/>
    <w:basedOn w:val="DefaultParagraphFont"/>
    <w:rsid w:val="00F90AD7"/>
  </w:style>
  <w:style w:type="paragraph" w:customStyle="1" w:styleId="Style1">
    <w:name w:val="Style1"/>
    <w:basedOn w:val="Normal"/>
    <w:uiPriority w:val="99"/>
    <w:rsid w:val="00D47595"/>
    <w:pPr>
      <w:autoSpaceDE w:val="0"/>
      <w:autoSpaceDN w:val="0"/>
      <w:adjustRightInd w:val="0"/>
      <w:spacing w:line="317" w:lineRule="exact"/>
      <w:jc w:val="both"/>
    </w:pPr>
    <w:rPr>
      <w:rFonts w:ascii="Arial" w:eastAsia="Times New Roman" w:hAnsi="Arial" w:cs="Arial"/>
      <w:color w:val="auto"/>
      <w:lang w:val="en-US" w:eastAsia="en-US" w:bidi="ar-SA"/>
    </w:rPr>
  </w:style>
  <w:style w:type="character" w:customStyle="1" w:styleId="FontStyle12">
    <w:name w:val="Font Style12"/>
    <w:uiPriority w:val="99"/>
    <w:rsid w:val="00D47595"/>
    <w:rPr>
      <w:rFonts w:ascii="Arial" w:hAnsi="Arial" w:cs="Arial"/>
      <w:b/>
      <w:bCs/>
      <w:sz w:val="22"/>
      <w:szCs w:val="22"/>
    </w:rPr>
  </w:style>
  <w:style w:type="paragraph" w:customStyle="1" w:styleId="Normal1">
    <w:name w:val="Normal1"/>
    <w:rsid w:val="00716715"/>
    <w:pPr>
      <w:spacing w:after="200" w:line="276" w:lineRule="auto"/>
    </w:pPr>
    <w:rPr>
      <w:rFonts w:ascii="Calibri" w:eastAsia="Calibri" w:hAnsi="Calibri" w:cs="Calibri"/>
      <w:lang w:val="mn-MN"/>
    </w:rPr>
  </w:style>
  <w:style w:type="character" w:styleId="Strong">
    <w:name w:val="Strong"/>
    <w:basedOn w:val="DefaultParagraphFont"/>
    <w:uiPriority w:val="22"/>
    <w:qFormat/>
    <w:rsid w:val="0004057F"/>
    <w:rPr>
      <w:b/>
      <w:bCs/>
    </w:rPr>
  </w:style>
  <w:style w:type="character" w:customStyle="1" w:styleId="pull-right">
    <w:name w:val="pull-right"/>
    <w:basedOn w:val="DefaultParagraphFont"/>
    <w:rsid w:val="00026600"/>
  </w:style>
  <w:style w:type="character" w:customStyle="1" w:styleId="BodyTextChar">
    <w:name w:val="Body Text Char"/>
    <w:basedOn w:val="DefaultParagraphFont"/>
    <w:link w:val="BodyText"/>
    <w:rsid w:val="00B82A94"/>
    <w:rPr>
      <w:rFonts w:ascii="Arial" w:eastAsia="Arial" w:hAnsi="Arial" w:cs="Arial"/>
      <w:color w:val="3D3D3D"/>
    </w:rPr>
  </w:style>
  <w:style w:type="paragraph" w:styleId="BodyText">
    <w:name w:val="Body Text"/>
    <w:basedOn w:val="Normal"/>
    <w:link w:val="BodyTextChar"/>
    <w:qFormat/>
    <w:rsid w:val="00B82A94"/>
    <w:pPr>
      <w:spacing w:after="260" w:line="264" w:lineRule="auto"/>
      <w:ind w:firstLine="400"/>
    </w:pPr>
    <w:rPr>
      <w:rFonts w:ascii="Arial" w:eastAsia="Arial" w:hAnsi="Arial" w:cs="Arial"/>
      <w:color w:val="3D3D3D"/>
      <w:sz w:val="22"/>
      <w:szCs w:val="22"/>
      <w:lang w:val="en-US" w:eastAsia="en-US" w:bidi="ar-SA"/>
    </w:rPr>
  </w:style>
  <w:style w:type="character" w:customStyle="1" w:styleId="BodyTextChar1">
    <w:name w:val="Body Text Char1"/>
    <w:basedOn w:val="DefaultParagraphFont"/>
    <w:uiPriority w:val="99"/>
    <w:semiHidden/>
    <w:rsid w:val="00B82A94"/>
    <w:rPr>
      <w:rFonts w:ascii="Courier New" w:eastAsia="Courier New" w:hAnsi="Courier New" w:cs="Courier New"/>
      <w:color w:val="000000"/>
      <w:sz w:val="24"/>
      <w:szCs w:val="24"/>
      <w:lang w:val="mn-MN" w:eastAsia="mn-MN" w:bidi="mn-MN"/>
    </w:rPr>
  </w:style>
  <w:style w:type="character" w:styleId="Emphasis">
    <w:name w:val="Emphasis"/>
    <w:basedOn w:val="DefaultParagraphFont"/>
    <w:uiPriority w:val="20"/>
    <w:qFormat/>
    <w:rsid w:val="005734BA"/>
    <w:rPr>
      <w:i/>
      <w:iCs/>
    </w:rPr>
  </w:style>
  <w:style w:type="character" w:customStyle="1" w:styleId="Bodytext2">
    <w:name w:val="Body text (2)_"/>
    <w:basedOn w:val="DefaultParagraphFont"/>
    <w:link w:val="Bodytext20"/>
    <w:rsid w:val="004B6DD6"/>
    <w:rPr>
      <w:rFonts w:ascii="Arial" w:eastAsia="Arial" w:hAnsi="Arial" w:cs="Arial"/>
      <w:color w:val="464646"/>
    </w:rPr>
  </w:style>
  <w:style w:type="paragraph" w:customStyle="1" w:styleId="Bodytext20">
    <w:name w:val="Body text (2)"/>
    <w:basedOn w:val="Normal"/>
    <w:link w:val="Bodytext2"/>
    <w:rsid w:val="004B6DD6"/>
    <w:pPr>
      <w:spacing w:after="260" w:line="264" w:lineRule="auto"/>
      <w:ind w:firstLine="780"/>
    </w:pPr>
    <w:rPr>
      <w:rFonts w:ascii="Arial" w:eastAsia="Arial" w:hAnsi="Arial" w:cs="Arial"/>
      <w:color w:val="464646"/>
      <w:sz w:val="22"/>
      <w:szCs w:val="22"/>
      <w:lang w:val="en-US" w:eastAsia="en-US" w:bidi="ar-SA"/>
    </w:rPr>
  </w:style>
  <w:style w:type="paragraph" w:styleId="FootnoteText">
    <w:name w:val="footnote text"/>
    <w:aliases w:val="fn,single space,FOOTNOTES,ADB,WB-Fußnotentext,Footnote,Fußnote,WB-Fuﬂnotentext,Fuﬂnote,footnote text, Char, Car,Car,Char"/>
    <w:basedOn w:val="Normal"/>
    <w:link w:val="FootnoteTextChar"/>
    <w:uiPriority w:val="99"/>
    <w:unhideWhenUsed/>
    <w:rsid w:val="008D16CD"/>
    <w:pPr>
      <w:widowControl/>
    </w:pPr>
    <w:rPr>
      <w:rFonts w:asciiTheme="minorHAnsi" w:eastAsiaTheme="minorHAnsi" w:hAnsiTheme="minorHAnsi" w:cstheme="minorBidi"/>
      <w:color w:val="auto"/>
      <w:sz w:val="20"/>
      <w:szCs w:val="20"/>
      <w:lang w:val="en-US" w:eastAsia="en-US" w:bidi="ar-SA"/>
    </w:rPr>
  </w:style>
  <w:style w:type="character" w:customStyle="1" w:styleId="FootnoteTextChar">
    <w:name w:val="Footnote Text Char"/>
    <w:aliases w:val="fn Char,single space Char,FOOTNOTES Char,ADB Char,WB-Fußnotentext Char,Footnote Char,Fußnote Char,WB-Fuﬂnotentext Char,Fuﬂnote Char,footnote text Char, Char Char, Car Char,Car Char,Char Char"/>
    <w:basedOn w:val="DefaultParagraphFont"/>
    <w:link w:val="FootnoteText"/>
    <w:uiPriority w:val="99"/>
    <w:rsid w:val="008D16CD"/>
    <w:rPr>
      <w:sz w:val="20"/>
      <w:szCs w:val="20"/>
    </w:rPr>
  </w:style>
  <w:style w:type="character" w:styleId="FootnoteReference">
    <w:name w:val="footnote reference"/>
    <w:basedOn w:val="DefaultParagraphFont"/>
    <w:uiPriority w:val="99"/>
    <w:unhideWhenUsed/>
    <w:rsid w:val="008D16CD"/>
    <w:rPr>
      <w:vertAlign w:val="superscript"/>
    </w:rPr>
  </w:style>
  <w:style w:type="paragraph" w:customStyle="1" w:styleId="msghead">
    <w:name w:val="msg_head"/>
    <w:basedOn w:val="Normal"/>
    <w:rsid w:val="008A1F66"/>
    <w:pPr>
      <w:widowControl/>
      <w:spacing w:before="100" w:beforeAutospacing="1" w:after="100" w:afterAutospacing="1"/>
    </w:pPr>
    <w:rPr>
      <w:rFonts w:ascii="Times New Roman" w:eastAsia="Times New Roman" w:hAnsi="Times New Roman" w:cs="Times New Roman"/>
      <w:color w:val="auto"/>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37250">
      <w:bodyDiv w:val="1"/>
      <w:marLeft w:val="0"/>
      <w:marRight w:val="0"/>
      <w:marTop w:val="0"/>
      <w:marBottom w:val="0"/>
      <w:divBdr>
        <w:top w:val="none" w:sz="0" w:space="0" w:color="auto"/>
        <w:left w:val="none" w:sz="0" w:space="0" w:color="auto"/>
        <w:bottom w:val="none" w:sz="0" w:space="0" w:color="auto"/>
        <w:right w:val="none" w:sz="0" w:space="0" w:color="auto"/>
      </w:divBdr>
      <w:divsChild>
        <w:div w:id="1458255860">
          <w:marLeft w:val="0"/>
          <w:marRight w:val="0"/>
          <w:marTop w:val="150"/>
          <w:marBottom w:val="0"/>
          <w:divBdr>
            <w:top w:val="none" w:sz="0" w:space="0" w:color="auto"/>
            <w:left w:val="none" w:sz="0" w:space="0" w:color="auto"/>
            <w:bottom w:val="none" w:sz="0" w:space="0" w:color="auto"/>
            <w:right w:val="none" w:sz="0" w:space="0" w:color="auto"/>
          </w:divBdr>
        </w:div>
        <w:div w:id="410274435">
          <w:marLeft w:val="0"/>
          <w:marRight w:val="0"/>
          <w:marTop w:val="150"/>
          <w:marBottom w:val="0"/>
          <w:divBdr>
            <w:top w:val="none" w:sz="0" w:space="0" w:color="auto"/>
            <w:left w:val="none" w:sz="0" w:space="0" w:color="auto"/>
            <w:bottom w:val="none" w:sz="0" w:space="0" w:color="auto"/>
            <w:right w:val="none" w:sz="0" w:space="0" w:color="auto"/>
          </w:divBdr>
        </w:div>
        <w:div w:id="775709719">
          <w:marLeft w:val="0"/>
          <w:marRight w:val="0"/>
          <w:marTop w:val="150"/>
          <w:marBottom w:val="0"/>
          <w:divBdr>
            <w:top w:val="none" w:sz="0" w:space="0" w:color="auto"/>
            <w:left w:val="none" w:sz="0" w:space="0" w:color="auto"/>
            <w:bottom w:val="none" w:sz="0" w:space="0" w:color="auto"/>
            <w:right w:val="none" w:sz="0" w:space="0" w:color="auto"/>
          </w:divBdr>
        </w:div>
        <w:div w:id="2106414481">
          <w:marLeft w:val="0"/>
          <w:marRight w:val="0"/>
          <w:marTop w:val="150"/>
          <w:marBottom w:val="0"/>
          <w:divBdr>
            <w:top w:val="none" w:sz="0" w:space="0" w:color="auto"/>
            <w:left w:val="none" w:sz="0" w:space="0" w:color="auto"/>
            <w:bottom w:val="none" w:sz="0" w:space="0" w:color="auto"/>
            <w:right w:val="none" w:sz="0" w:space="0" w:color="auto"/>
          </w:divBdr>
        </w:div>
        <w:div w:id="1332483614">
          <w:marLeft w:val="0"/>
          <w:marRight w:val="0"/>
          <w:marTop w:val="150"/>
          <w:marBottom w:val="0"/>
          <w:divBdr>
            <w:top w:val="none" w:sz="0" w:space="0" w:color="auto"/>
            <w:left w:val="none" w:sz="0" w:space="0" w:color="auto"/>
            <w:bottom w:val="none" w:sz="0" w:space="0" w:color="auto"/>
            <w:right w:val="none" w:sz="0" w:space="0" w:color="auto"/>
          </w:divBdr>
        </w:div>
        <w:div w:id="2068650989">
          <w:marLeft w:val="0"/>
          <w:marRight w:val="0"/>
          <w:marTop w:val="150"/>
          <w:marBottom w:val="0"/>
          <w:divBdr>
            <w:top w:val="none" w:sz="0" w:space="0" w:color="auto"/>
            <w:left w:val="none" w:sz="0" w:space="0" w:color="auto"/>
            <w:bottom w:val="none" w:sz="0" w:space="0" w:color="auto"/>
            <w:right w:val="none" w:sz="0" w:space="0" w:color="auto"/>
          </w:divBdr>
        </w:div>
        <w:div w:id="1897886226">
          <w:marLeft w:val="0"/>
          <w:marRight w:val="0"/>
          <w:marTop w:val="150"/>
          <w:marBottom w:val="0"/>
          <w:divBdr>
            <w:top w:val="none" w:sz="0" w:space="0" w:color="auto"/>
            <w:left w:val="none" w:sz="0" w:space="0" w:color="auto"/>
            <w:bottom w:val="none" w:sz="0" w:space="0" w:color="auto"/>
            <w:right w:val="none" w:sz="0" w:space="0" w:color="auto"/>
          </w:divBdr>
        </w:div>
        <w:div w:id="1239361984">
          <w:marLeft w:val="0"/>
          <w:marRight w:val="0"/>
          <w:marTop w:val="150"/>
          <w:marBottom w:val="0"/>
          <w:divBdr>
            <w:top w:val="none" w:sz="0" w:space="0" w:color="auto"/>
            <w:left w:val="none" w:sz="0" w:space="0" w:color="auto"/>
            <w:bottom w:val="none" w:sz="0" w:space="0" w:color="auto"/>
            <w:right w:val="none" w:sz="0" w:space="0" w:color="auto"/>
          </w:divBdr>
        </w:div>
        <w:div w:id="1218933397">
          <w:marLeft w:val="0"/>
          <w:marRight w:val="0"/>
          <w:marTop w:val="150"/>
          <w:marBottom w:val="0"/>
          <w:divBdr>
            <w:top w:val="none" w:sz="0" w:space="0" w:color="auto"/>
            <w:left w:val="none" w:sz="0" w:space="0" w:color="auto"/>
            <w:bottom w:val="none" w:sz="0" w:space="0" w:color="auto"/>
            <w:right w:val="none" w:sz="0" w:space="0" w:color="auto"/>
          </w:divBdr>
        </w:div>
        <w:div w:id="1768229110">
          <w:marLeft w:val="0"/>
          <w:marRight w:val="0"/>
          <w:marTop w:val="150"/>
          <w:marBottom w:val="0"/>
          <w:divBdr>
            <w:top w:val="none" w:sz="0" w:space="0" w:color="auto"/>
            <w:left w:val="none" w:sz="0" w:space="0" w:color="auto"/>
            <w:bottom w:val="none" w:sz="0" w:space="0" w:color="auto"/>
            <w:right w:val="none" w:sz="0" w:space="0" w:color="auto"/>
          </w:divBdr>
        </w:div>
        <w:div w:id="1399942369">
          <w:marLeft w:val="0"/>
          <w:marRight w:val="0"/>
          <w:marTop w:val="150"/>
          <w:marBottom w:val="0"/>
          <w:divBdr>
            <w:top w:val="none" w:sz="0" w:space="0" w:color="auto"/>
            <w:left w:val="none" w:sz="0" w:space="0" w:color="auto"/>
            <w:bottom w:val="none" w:sz="0" w:space="0" w:color="auto"/>
            <w:right w:val="none" w:sz="0" w:space="0" w:color="auto"/>
          </w:divBdr>
        </w:div>
        <w:div w:id="766074168">
          <w:marLeft w:val="0"/>
          <w:marRight w:val="0"/>
          <w:marTop w:val="150"/>
          <w:marBottom w:val="0"/>
          <w:divBdr>
            <w:top w:val="none" w:sz="0" w:space="0" w:color="auto"/>
            <w:left w:val="none" w:sz="0" w:space="0" w:color="auto"/>
            <w:bottom w:val="none" w:sz="0" w:space="0" w:color="auto"/>
            <w:right w:val="none" w:sz="0" w:space="0" w:color="auto"/>
          </w:divBdr>
        </w:div>
        <w:div w:id="1193495048">
          <w:marLeft w:val="0"/>
          <w:marRight w:val="0"/>
          <w:marTop w:val="150"/>
          <w:marBottom w:val="0"/>
          <w:divBdr>
            <w:top w:val="none" w:sz="0" w:space="0" w:color="auto"/>
            <w:left w:val="none" w:sz="0" w:space="0" w:color="auto"/>
            <w:bottom w:val="none" w:sz="0" w:space="0" w:color="auto"/>
            <w:right w:val="none" w:sz="0" w:space="0" w:color="auto"/>
          </w:divBdr>
        </w:div>
        <w:div w:id="1018042563">
          <w:marLeft w:val="0"/>
          <w:marRight w:val="0"/>
          <w:marTop w:val="150"/>
          <w:marBottom w:val="0"/>
          <w:divBdr>
            <w:top w:val="none" w:sz="0" w:space="0" w:color="auto"/>
            <w:left w:val="none" w:sz="0" w:space="0" w:color="auto"/>
            <w:bottom w:val="none" w:sz="0" w:space="0" w:color="auto"/>
            <w:right w:val="none" w:sz="0" w:space="0" w:color="auto"/>
          </w:divBdr>
        </w:div>
        <w:div w:id="230966473">
          <w:marLeft w:val="0"/>
          <w:marRight w:val="0"/>
          <w:marTop w:val="150"/>
          <w:marBottom w:val="0"/>
          <w:divBdr>
            <w:top w:val="none" w:sz="0" w:space="0" w:color="auto"/>
            <w:left w:val="none" w:sz="0" w:space="0" w:color="auto"/>
            <w:bottom w:val="none" w:sz="0" w:space="0" w:color="auto"/>
            <w:right w:val="none" w:sz="0" w:space="0" w:color="auto"/>
          </w:divBdr>
        </w:div>
        <w:div w:id="2517727">
          <w:marLeft w:val="0"/>
          <w:marRight w:val="0"/>
          <w:marTop w:val="150"/>
          <w:marBottom w:val="0"/>
          <w:divBdr>
            <w:top w:val="none" w:sz="0" w:space="0" w:color="auto"/>
            <w:left w:val="none" w:sz="0" w:space="0" w:color="auto"/>
            <w:bottom w:val="none" w:sz="0" w:space="0" w:color="auto"/>
            <w:right w:val="none" w:sz="0" w:space="0" w:color="auto"/>
          </w:divBdr>
        </w:div>
        <w:div w:id="283969715">
          <w:marLeft w:val="0"/>
          <w:marRight w:val="0"/>
          <w:marTop w:val="150"/>
          <w:marBottom w:val="0"/>
          <w:divBdr>
            <w:top w:val="none" w:sz="0" w:space="0" w:color="auto"/>
            <w:left w:val="none" w:sz="0" w:space="0" w:color="auto"/>
            <w:bottom w:val="none" w:sz="0" w:space="0" w:color="auto"/>
            <w:right w:val="none" w:sz="0" w:space="0" w:color="auto"/>
          </w:divBdr>
        </w:div>
        <w:div w:id="1354764817">
          <w:marLeft w:val="0"/>
          <w:marRight w:val="0"/>
          <w:marTop w:val="150"/>
          <w:marBottom w:val="0"/>
          <w:divBdr>
            <w:top w:val="none" w:sz="0" w:space="0" w:color="auto"/>
            <w:left w:val="none" w:sz="0" w:space="0" w:color="auto"/>
            <w:bottom w:val="none" w:sz="0" w:space="0" w:color="auto"/>
            <w:right w:val="none" w:sz="0" w:space="0" w:color="auto"/>
          </w:divBdr>
        </w:div>
        <w:div w:id="664210464">
          <w:marLeft w:val="0"/>
          <w:marRight w:val="0"/>
          <w:marTop w:val="150"/>
          <w:marBottom w:val="0"/>
          <w:divBdr>
            <w:top w:val="none" w:sz="0" w:space="0" w:color="auto"/>
            <w:left w:val="none" w:sz="0" w:space="0" w:color="auto"/>
            <w:bottom w:val="none" w:sz="0" w:space="0" w:color="auto"/>
            <w:right w:val="none" w:sz="0" w:space="0" w:color="auto"/>
          </w:divBdr>
        </w:div>
        <w:div w:id="1178932864">
          <w:marLeft w:val="0"/>
          <w:marRight w:val="0"/>
          <w:marTop w:val="150"/>
          <w:marBottom w:val="0"/>
          <w:divBdr>
            <w:top w:val="none" w:sz="0" w:space="0" w:color="auto"/>
            <w:left w:val="none" w:sz="0" w:space="0" w:color="auto"/>
            <w:bottom w:val="none" w:sz="0" w:space="0" w:color="auto"/>
            <w:right w:val="none" w:sz="0" w:space="0" w:color="auto"/>
          </w:divBdr>
        </w:div>
        <w:div w:id="1281108550">
          <w:marLeft w:val="0"/>
          <w:marRight w:val="0"/>
          <w:marTop w:val="150"/>
          <w:marBottom w:val="0"/>
          <w:divBdr>
            <w:top w:val="none" w:sz="0" w:space="0" w:color="auto"/>
            <w:left w:val="none" w:sz="0" w:space="0" w:color="auto"/>
            <w:bottom w:val="none" w:sz="0" w:space="0" w:color="auto"/>
            <w:right w:val="none" w:sz="0" w:space="0" w:color="auto"/>
          </w:divBdr>
        </w:div>
        <w:div w:id="1297221435">
          <w:marLeft w:val="0"/>
          <w:marRight w:val="0"/>
          <w:marTop w:val="150"/>
          <w:marBottom w:val="0"/>
          <w:divBdr>
            <w:top w:val="none" w:sz="0" w:space="0" w:color="auto"/>
            <w:left w:val="none" w:sz="0" w:space="0" w:color="auto"/>
            <w:bottom w:val="none" w:sz="0" w:space="0" w:color="auto"/>
            <w:right w:val="none" w:sz="0" w:space="0" w:color="auto"/>
          </w:divBdr>
        </w:div>
        <w:div w:id="2107726986">
          <w:marLeft w:val="0"/>
          <w:marRight w:val="0"/>
          <w:marTop w:val="150"/>
          <w:marBottom w:val="0"/>
          <w:divBdr>
            <w:top w:val="none" w:sz="0" w:space="0" w:color="auto"/>
            <w:left w:val="none" w:sz="0" w:space="0" w:color="auto"/>
            <w:bottom w:val="none" w:sz="0" w:space="0" w:color="auto"/>
            <w:right w:val="none" w:sz="0" w:space="0" w:color="auto"/>
          </w:divBdr>
        </w:div>
        <w:div w:id="1121655683">
          <w:marLeft w:val="0"/>
          <w:marRight w:val="0"/>
          <w:marTop w:val="150"/>
          <w:marBottom w:val="0"/>
          <w:divBdr>
            <w:top w:val="none" w:sz="0" w:space="0" w:color="auto"/>
            <w:left w:val="none" w:sz="0" w:space="0" w:color="auto"/>
            <w:bottom w:val="none" w:sz="0" w:space="0" w:color="auto"/>
            <w:right w:val="none" w:sz="0" w:space="0" w:color="auto"/>
          </w:divBdr>
        </w:div>
      </w:divsChild>
    </w:div>
    <w:div w:id="463811374">
      <w:bodyDiv w:val="1"/>
      <w:marLeft w:val="0"/>
      <w:marRight w:val="0"/>
      <w:marTop w:val="0"/>
      <w:marBottom w:val="0"/>
      <w:divBdr>
        <w:top w:val="none" w:sz="0" w:space="0" w:color="auto"/>
        <w:left w:val="none" w:sz="0" w:space="0" w:color="auto"/>
        <w:bottom w:val="none" w:sz="0" w:space="0" w:color="auto"/>
        <w:right w:val="none" w:sz="0" w:space="0" w:color="auto"/>
      </w:divBdr>
      <w:divsChild>
        <w:div w:id="1468281649">
          <w:marLeft w:val="0"/>
          <w:marRight w:val="0"/>
          <w:marTop w:val="300"/>
          <w:marBottom w:val="0"/>
          <w:divBdr>
            <w:top w:val="none" w:sz="0" w:space="0" w:color="auto"/>
            <w:left w:val="none" w:sz="0" w:space="0" w:color="auto"/>
            <w:bottom w:val="none" w:sz="0" w:space="0" w:color="auto"/>
            <w:right w:val="none" w:sz="0" w:space="0" w:color="auto"/>
          </w:divBdr>
        </w:div>
        <w:div w:id="92631007">
          <w:marLeft w:val="0"/>
          <w:marRight w:val="0"/>
          <w:marTop w:val="150"/>
          <w:marBottom w:val="0"/>
          <w:divBdr>
            <w:top w:val="none" w:sz="0" w:space="0" w:color="auto"/>
            <w:left w:val="none" w:sz="0" w:space="0" w:color="auto"/>
            <w:bottom w:val="none" w:sz="0" w:space="0" w:color="auto"/>
            <w:right w:val="none" w:sz="0" w:space="0" w:color="auto"/>
          </w:divBdr>
        </w:div>
        <w:div w:id="2039433141">
          <w:marLeft w:val="0"/>
          <w:marRight w:val="0"/>
          <w:marTop w:val="150"/>
          <w:marBottom w:val="0"/>
          <w:divBdr>
            <w:top w:val="none" w:sz="0" w:space="0" w:color="auto"/>
            <w:left w:val="none" w:sz="0" w:space="0" w:color="auto"/>
            <w:bottom w:val="none" w:sz="0" w:space="0" w:color="auto"/>
            <w:right w:val="none" w:sz="0" w:space="0" w:color="auto"/>
          </w:divBdr>
        </w:div>
        <w:div w:id="253126912">
          <w:marLeft w:val="0"/>
          <w:marRight w:val="0"/>
          <w:marTop w:val="150"/>
          <w:marBottom w:val="0"/>
          <w:divBdr>
            <w:top w:val="none" w:sz="0" w:space="0" w:color="auto"/>
            <w:left w:val="none" w:sz="0" w:space="0" w:color="auto"/>
            <w:bottom w:val="none" w:sz="0" w:space="0" w:color="auto"/>
            <w:right w:val="none" w:sz="0" w:space="0" w:color="auto"/>
          </w:divBdr>
        </w:div>
        <w:div w:id="1380279712">
          <w:marLeft w:val="0"/>
          <w:marRight w:val="0"/>
          <w:marTop w:val="150"/>
          <w:marBottom w:val="0"/>
          <w:divBdr>
            <w:top w:val="none" w:sz="0" w:space="0" w:color="auto"/>
            <w:left w:val="none" w:sz="0" w:space="0" w:color="auto"/>
            <w:bottom w:val="none" w:sz="0" w:space="0" w:color="auto"/>
            <w:right w:val="none" w:sz="0" w:space="0" w:color="auto"/>
          </w:divBdr>
        </w:div>
        <w:div w:id="1147208733">
          <w:marLeft w:val="0"/>
          <w:marRight w:val="0"/>
          <w:marTop w:val="150"/>
          <w:marBottom w:val="0"/>
          <w:divBdr>
            <w:top w:val="none" w:sz="0" w:space="0" w:color="auto"/>
            <w:left w:val="none" w:sz="0" w:space="0" w:color="auto"/>
            <w:bottom w:val="none" w:sz="0" w:space="0" w:color="auto"/>
            <w:right w:val="none" w:sz="0" w:space="0" w:color="auto"/>
          </w:divBdr>
        </w:div>
        <w:div w:id="1479803868">
          <w:marLeft w:val="0"/>
          <w:marRight w:val="0"/>
          <w:marTop w:val="150"/>
          <w:marBottom w:val="0"/>
          <w:divBdr>
            <w:top w:val="none" w:sz="0" w:space="0" w:color="auto"/>
            <w:left w:val="none" w:sz="0" w:space="0" w:color="auto"/>
            <w:bottom w:val="none" w:sz="0" w:space="0" w:color="auto"/>
            <w:right w:val="none" w:sz="0" w:space="0" w:color="auto"/>
          </w:divBdr>
        </w:div>
      </w:divsChild>
    </w:div>
    <w:div w:id="668795867">
      <w:bodyDiv w:val="1"/>
      <w:marLeft w:val="0"/>
      <w:marRight w:val="0"/>
      <w:marTop w:val="0"/>
      <w:marBottom w:val="0"/>
      <w:divBdr>
        <w:top w:val="none" w:sz="0" w:space="0" w:color="auto"/>
        <w:left w:val="none" w:sz="0" w:space="0" w:color="auto"/>
        <w:bottom w:val="none" w:sz="0" w:space="0" w:color="auto"/>
        <w:right w:val="none" w:sz="0" w:space="0" w:color="auto"/>
      </w:divBdr>
      <w:divsChild>
        <w:div w:id="2071877707">
          <w:marLeft w:val="0"/>
          <w:marRight w:val="0"/>
          <w:marTop w:val="300"/>
          <w:marBottom w:val="0"/>
          <w:divBdr>
            <w:top w:val="none" w:sz="0" w:space="0" w:color="auto"/>
            <w:left w:val="none" w:sz="0" w:space="0" w:color="auto"/>
            <w:bottom w:val="none" w:sz="0" w:space="0" w:color="auto"/>
            <w:right w:val="none" w:sz="0" w:space="0" w:color="auto"/>
          </w:divBdr>
        </w:div>
        <w:div w:id="1210798431">
          <w:marLeft w:val="0"/>
          <w:marRight w:val="0"/>
          <w:marTop w:val="150"/>
          <w:marBottom w:val="0"/>
          <w:divBdr>
            <w:top w:val="none" w:sz="0" w:space="0" w:color="auto"/>
            <w:left w:val="none" w:sz="0" w:space="0" w:color="auto"/>
            <w:bottom w:val="none" w:sz="0" w:space="0" w:color="auto"/>
            <w:right w:val="none" w:sz="0" w:space="0" w:color="auto"/>
          </w:divBdr>
        </w:div>
        <w:div w:id="1226142124">
          <w:marLeft w:val="0"/>
          <w:marRight w:val="0"/>
          <w:marTop w:val="150"/>
          <w:marBottom w:val="0"/>
          <w:divBdr>
            <w:top w:val="none" w:sz="0" w:space="0" w:color="auto"/>
            <w:left w:val="none" w:sz="0" w:space="0" w:color="auto"/>
            <w:bottom w:val="none" w:sz="0" w:space="0" w:color="auto"/>
            <w:right w:val="none" w:sz="0" w:space="0" w:color="auto"/>
          </w:divBdr>
        </w:div>
        <w:div w:id="2116360114">
          <w:marLeft w:val="0"/>
          <w:marRight w:val="0"/>
          <w:marTop w:val="150"/>
          <w:marBottom w:val="0"/>
          <w:divBdr>
            <w:top w:val="none" w:sz="0" w:space="0" w:color="auto"/>
            <w:left w:val="none" w:sz="0" w:space="0" w:color="auto"/>
            <w:bottom w:val="none" w:sz="0" w:space="0" w:color="auto"/>
            <w:right w:val="none" w:sz="0" w:space="0" w:color="auto"/>
          </w:divBdr>
        </w:div>
        <w:div w:id="641695290">
          <w:marLeft w:val="0"/>
          <w:marRight w:val="0"/>
          <w:marTop w:val="150"/>
          <w:marBottom w:val="0"/>
          <w:divBdr>
            <w:top w:val="none" w:sz="0" w:space="0" w:color="auto"/>
            <w:left w:val="none" w:sz="0" w:space="0" w:color="auto"/>
            <w:bottom w:val="none" w:sz="0" w:space="0" w:color="auto"/>
            <w:right w:val="none" w:sz="0" w:space="0" w:color="auto"/>
          </w:divBdr>
        </w:div>
        <w:div w:id="420107100">
          <w:marLeft w:val="0"/>
          <w:marRight w:val="0"/>
          <w:marTop w:val="300"/>
          <w:marBottom w:val="0"/>
          <w:divBdr>
            <w:top w:val="none" w:sz="0" w:space="0" w:color="auto"/>
            <w:left w:val="none" w:sz="0" w:space="0" w:color="auto"/>
            <w:bottom w:val="none" w:sz="0" w:space="0" w:color="auto"/>
            <w:right w:val="none" w:sz="0" w:space="0" w:color="auto"/>
          </w:divBdr>
        </w:div>
        <w:div w:id="527335025">
          <w:marLeft w:val="0"/>
          <w:marRight w:val="0"/>
          <w:marTop w:val="150"/>
          <w:marBottom w:val="0"/>
          <w:divBdr>
            <w:top w:val="none" w:sz="0" w:space="0" w:color="auto"/>
            <w:left w:val="none" w:sz="0" w:space="0" w:color="auto"/>
            <w:bottom w:val="none" w:sz="0" w:space="0" w:color="auto"/>
            <w:right w:val="none" w:sz="0" w:space="0" w:color="auto"/>
          </w:divBdr>
        </w:div>
        <w:div w:id="1497529604">
          <w:marLeft w:val="0"/>
          <w:marRight w:val="0"/>
          <w:marTop w:val="150"/>
          <w:marBottom w:val="0"/>
          <w:divBdr>
            <w:top w:val="none" w:sz="0" w:space="0" w:color="auto"/>
            <w:left w:val="none" w:sz="0" w:space="0" w:color="auto"/>
            <w:bottom w:val="none" w:sz="0" w:space="0" w:color="auto"/>
            <w:right w:val="none" w:sz="0" w:space="0" w:color="auto"/>
          </w:divBdr>
        </w:div>
        <w:div w:id="598829622">
          <w:marLeft w:val="0"/>
          <w:marRight w:val="0"/>
          <w:marTop w:val="150"/>
          <w:marBottom w:val="0"/>
          <w:divBdr>
            <w:top w:val="none" w:sz="0" w:space="0" w:color="auto"/>
            <w:left w:val="none" w:sz="0" w:space="0" w:color="auto"/>
            <w:bottom w:val="none" w:sz="0" w:space="0" w:color="auto"/>
            <w:right w:val="none" w:sz="0" w:space="0" w:color="auto"/>
          </w:divBdr>
        </w:div>
        <w:div w:id="1178542857">
          <w:marLeft w:val="0"/>
          <w:marRight w:val="0"/>
          <w:marTop w:val="150"/>
          <w:marBottom w:val="0"/>
          <w:divBdr>
            <w:top w:val="none" w:sz="0" w:space="0" w:color="auto"/>
            <w:left w:val="none" w:sz="0" w:space="0" w:color="auto"/>
            <w:bottom w:val="none" w:sz="0" w:space="0" w:color="auto"/>
            <w:right w:val="none" w:sz="0" w:space="0" w:color="auto"/>
          </w:divBdr>
        </w:div>
      </w:divsChild>
    </w:div>
    <w:div w:id="897592229">
      <w:bodyDiv w:val="1"/>
      <w:marLeft w:val="0"/>
      <w:marRight w:val="0"/>
      <w:marTop w:val="0"/>
      <w:marBottom w:val="0"/>
      <w:divBdr>
        <w:top w:val="none" w:sz="0" w:space="0" w:color="auto"/>
        <w:left w:val="none" w:sz="0" w:space="0" w:color="auto"/>
        <w:bottom w:val="none" w:sz="0" w:space="0" w:color="auto"/>
        <w:right w:val="none" w:sz="0" w:space="0" w:color="auto"/>
      </w:divBdr>
      <w:divsChild>
        <w:div w:id="1205290742">
          <w:marLeft w:val="0"/>
          <w:marRight w:val="0"/>
          <w:marTop w:val="150"/>
          <w:marBottom w:val="0"/>
          <w:divBdr>
            <w:top w:val="none" w:sz="0" w:space="0" w:color="auto"/>
            <w:left w:val="none" w:sz="0" w:space="0" w:color="auto"/>
            <w:bottom w:val="none" w:sz="0" w:space="0" w:color="auto"/>
            <w:right w:val="none" w:sz="0" w:space="0" w:color="auto"/>
          </w:divBdr>
        </w:div>
        <w:div w:id="1716809552">
          <w:marLeft w:val="0"/>
          <w:marRight w:val="0"/>
          <w:marTop w:val="150"/>
          <w:marBottom w:val="0"/>
          <w:divBdr>
            <w:top w:val="none" w:sz="0" w:space="0" w:color="auto"/>
            <w:left w:val="none" w:sz="0" w:space="0" w:color="auto"/>
            <w:bottom w:val="none" w:sz="0" w:space="0" w:color="auto"/>
            <w:right w:val="none" w:sz="0" w:space="0" w:color="auto"/>
          </w:divBdr>
        </w:div>
        <w:div w:id="75982593">
          <w:marLeft w:val="0"/>
          <w:marRight w:val="0"/>
          <w:marTop w:val="150"/>
          <w:marBottom w:val="0"/>
          <w:divBdr>
            <w:top w:val="none" w:sz="0" w:space="0" w:color="auto"/>
            <w:left w:val="none" w:sz="0" w:space="0" w:color="auto"/>
            <w:bottom w:val="none" w:sz="0" w:space="0" w:color="auto"/>
            <w:right w:val="none" w:sz="0" w:space="0" w:color="auto"/>
          </w:divBdr>
        </w:div>
      </w:divsChild>
    </w:div>
    <w:div w:id="1113868958">
      <w:bodyDiv w:val="1"/>
      <w:marLeft w:val="0"/>
      <w:marRight w:val="0"/>
      <w:marTop w:val="0"/>
      <w:marBottom w:val="0"/>
      <w:divBdr>
        <w:top w:val="none" w:sz="0" w:space="0" w:color="auto"/>
        <w:left w:val="none" w:sz="0" w:space="0" w:color="auto"/>
        <w:bottom w:val="none" w:sz="0" w:space="0" w:color="auto"/>
        <w:right w:val="none" w:sz="0" w:space="0" w:color="auto"/>
      </w:divBdr>
      <w:divsChild>
        <w:div w:id="1116212592">
          <w:marLeft w:val="0"/>
          <w:marRight w:val="0"/>
          <w:marTop w:val="150"/>
          <w:marBottom w:val="0"/>
          <w:divBdr>
            <w:top w:val="none" w:sz="0" w:space="0" w:color="auto"/>
            <w:left w:val="none" w:sz="0" w:space="0" w:color="auto"/>
            <w:bottom w:val="none" w:sz="0" w:space="0" w:color="auto"/>
            <w:right w:val="none" w:sz="0" w:space="0" w:color="auto"/>
          </w:divBdr>
        </w:div>
        <w:div w:id="351535178">
          <w:marLeft w:val="0"/>
          <w:marRight w:val="0"/>
          <w:marTop w:val="150"/>
          <w:marBottom w:val="0"/>
          <w:divBdr>
            <w:top w:val="none" w:sz="0" w:space="0" w:color="auto"/>
            <w:left w:val="none" w:sz="0" w:space="0" w:color="auto"/>
            <w:bottom w:val="none" w:sz="0" w:space="0" w:color="auto"/>
            <w:right w:val="none" w:sz="0" w:space="0" w:color="auto"/>
          </w:divBdr>
        </w:div>
        <w:div w:id="773213750">
          <w:marLeft w:val="0"/>
          <w:marRight w:val="0"/>
          <w:marTop w:val="150"/>
          <w:marBottom w:val="0"/>
          <w:divBdr>
            <w:top w:val="none" w:sz="0" w:space="0" w:color="auto"/>
            <w:left w:val="none" w:sz="0" w:space="0" w:color="auto"/>
            <w:bottom w:val="none" w:sz="0" w:space="0" w:color="auto"/>
            <w:right w:val="none" w:sz="0" w:space="0" w:color="auto"/>
          </w:divBdr>
        </w:div>
        <w:div w:id="390662506">
          <w:marLeft w:val="0"/>
          <w:marRight w:val="0"/>
          <w:marTop w:val="150"/>
          <w:marBottom w:val="0"/>
          <w:divBdr>
            <w:top w:val="none" w:sz="0" w:space="0" w:color="auto"/>
            <w:left w:val="none" w:sz="0" w:space="0" w:color="auto"/>
            <w:bottom w:val="none" w:sz="0" w:space="0" w:color="auto"/>
            <w:right w:val="none" w:sz="0" w:space="0" w:color="auto"/>
          </w:divBdr>
        </w:div>
      </w:divsChild>
    </w:div>
    <w:div w:id="1674449577">
      <w:bodyDiv w:val="1"/>
      <w:marLeft w:val="0"/>
      <w:marRight w:val="0"/>
      <w:marTop w:val="0"/>
      <w:marBottom w:val="0"/>
      <w:divBdr>
        <w:top w:val="none" w:sz="0" w:space="0" w:color="auto"/>
        <w:left w:val="none" w:sz="0" w:space="0" w:color="auto"/>
        <w:bottom w:val="none" w:sz="0" w:space="0" w:color="auto"/>
        <w:right w:val="none" w:sz="0" w:space="0" w:color="auto"/>
      </w:divBdr>
      <w:divsChild>
        <w:div w:id="1946108678">
          <w:marLeft w:val="0"/>
          <w:marRight w:val="0"/>
          <w:marTop w:val="0"/>
          <w:marBottom w:val="0"/>
          <w:divBdr>
            <w:top w:val="none" w:sz="0" w:space="0" w:color="auto"/>
            <w:left w:val="none" w:sz="0" w:space="0" w:color="auto"/>
            <w:bottom w:val="none" w:sz="0" w:space="0" w:color="auto"/>
            <w:right w:val="none" w:sz="0" w:space="0" w:color="auto"/>
          </w:divBdr>
          <w:divsChild>
            <w:div w:id="2066833971">
              <w:marLeft w:val="0"/>
              <w:marRight w:val="0"/>
              <w:marTop w:val="0"/>
              <w:marBottom w:val="0"/>
              <w:divBdr>
                <w:top w:val="none" w:sz="0" w:space="0" w:color="auto"/>
                <w:left w:val="none" w:sz="0" w:space="0" w:color="auto"/>
                <w:bottom w:val="none" w:sz="0" w:space="0" w:color="auto"/>
                <w:right w:val="none" w:sz="0" w:space="0" w:color="auto"/>
              </w:divBdr>
              <w:divsChild>
                <w:div w:id="331756771">
                  <w:marLeft w:val="0"/>
                  <w:marRight w:val="0"/>
                  <w:marTop w:val="450"/>
                  <w:marBottom w:val="0"/>
                  <w:divBdr>
                    <w:top w:val="none" w:sz="0" w:space="0" w:color="auto"/>
                    <w:left w:val="none" w:sz="0" w:space="0" w:color="auto"/>
                    <w:bottom w:val="none" w:sz="0" w:space="0" w:color="auto"/>
                    <w:right w:val="none" w:sz="0" w:space="0" w:color="auto"/>
                  </w:divBdr>
                  <w:divsChild>
                    <w:div w:id="289409038">
                      <w:marLeft w:val="0"/>
                      <w:marRight w:val="0"/>
                      <w:marTop w:val="0"/>
                      <w:marBottom w:val="0"/>
                      <w:divBdr>
                        <w:top w:val="none" w:sz="0" w:space="0" w:color="auto"/>
                        <w:left w:val="none" w:sz="0" w:space="0" w:color="auto"/>
                        <w:bottom w:val="none" w:sz="0" w:space="0" w:color="auto"/>
                        <w:right w:val="none" w:sz="0" w:space="0" w:color="auto"/>
                      </w:divBdr>
                      <w:divsChild>
                        <w:div w:id="412777558">
                          <w:marLeft w:val="0"/>
                          <w:marRight w:val="0"/>
                          <w:marTop w:val="0"/>
                          <w:marBottom w:val="0"/>
                          <w:divBdr>
                            <w:top w:val="none" w:sz="0" w:space="0" w:color="auto"/>
                            <w:left w:val="none" w:sz="0" w:space="0" w:color="auto"/>
                            <w:bottom w:val="none" w:sz="0" w:space="0" w:color="auto"/>
                            <w:right w:val="none" w:sz="0" w:space="0" w:color="auto"/>
                          </w:divBdr>
                          <w:divsChild>
                            <w:div w:id="688261398">
                              <w:marLeft w:val="0"/>
                              <w:marRight w:val="0"/>
                              <w:marTop w:val="0"/>
                              <w:marBottom w:val="0"/>
                              <w:divBdr>
                                <w:top w:val="none" w:sz="0" w:space="0" w:color="auto"/>
                                <w:left w:val="none" w:sz="0" w:space="0" w:color="auto"/>
                                <w:bottom w:val="none" w:sz="0" w:space="0" w:color="auto"/>
                                <w:right w:val="none" w:sz="0" w:space="0" w:color="auto"/>
                              </w:divBdr>
                              <w:divsChild>
                                <w:div w:id="438961684">
                                  <w:marLeft w:val="0"/>
                                  <w:marRight w:val="0"/>
                                  <w:marTop w:val="0"/>
                                  <w:marBottom w:val="0"/>
                                  <w:divBdr>
                                    <w:top w:val="single" w:sz="6" w:space="0" w:color="1B4392"/>
                                    <w:left w:val="single" w:sz="6" w:space="0" w:color="1B4392"/>
                                    <w:bottom w:val="single" w:sz="6" w:space="0" w:color="1B4392"/>
                                    <w:right w:val="single" w:sz="6" w:space="0" w:color="1B4392"/>
                                  </w:divBdr>
                                  <w:divsChild>
                                    <w:div w:id="634336667">
                                      <w:marLeft w:val="0"/>
                                      <w:marRight w:val="0"/>
                                      <w:marTop w:val="0"/>
                                      <w:marBottom w:val="0"/>
                                      <w:divBdr>
                                        <w:top w:val="none" w:sz="0" w:space="0" w:color="auto"/>
                                        <w:left w:val="none" w:sz="0" w:space="0" w:color="auto"/>
                                        <w:bottom w:val="none" w:sz="0" w:space="0" w:color="auto"/>
                                        <w:right w:val="none" w:sz="0" w:space="0" w:color="auto"/>
                                      </w:divBdr>
                                      <w:divsChild>
                                        <w:div w:id="1620836827">
                                          <w:marLeft w:val="0"/>
                                          <w:marRight w:val="0"/>
                                          <w:marTop w:val="0"/>
                                          <w:marBottom w:val="0"/>
                                          <w:divBdr>
                                            <w:top w:val="none" w:sz="0" w:space="0" w:color="auto"/>
                                            <w:left w:val="none" w:sz="0" w:space="0" w:color="auto"/>
                                            <w:bottom w:val="none" w:sz="0" w:space="0" w:color="auto"/>
                                            <w:right w:val="none" w:sz="0" w:space="0" w:color="auto"/>
                                          </w:divBdr>
                                          <w:divsChild>
                                            <w:div w:id="28772448">
                                              <w:marLeft w:val="0"/>
                                              <w:marRight w:val="0"/>
                                              <w:marTop w:val="0"/>
                                              <w:marBottom w:val="0"/>
                                              <w:divBdr>
                                                <w:top w:val="none" w:sz="0" w:space="0" w:color="auto"/>
                                                <w:left w:val="none" w:sz="0" w:space="0" w:color="auto"/>
                                                <w:bottom w:val="none" w:sz="0" w:space="0" w:color="auto"/>
                                                <w:right w:val="none" w:sz="0" w:space="0" w:color="auto"/>
                                              </w:divBdr>
                                              <w:divsChild>
                                                <w:div w:id="2036687225">
                                                  <w:marLeft w:val="0"/>
                                                  <w:marRight w:val="0"/>
                                                  <w:marTop w:val="0"/>
                                                  <w:marBottom w:val="0"/>
                                                  <w:divBdr>
                                                    <w:top w:val="none" w:sz="0" w:space="0" w:color="auto"/>
                                                    <w:left w:val="none" w:sz="0" w:space="0" w:color="auto"/>
                                                    <w:bottom w:val="none" w:sz="0" w:space="0" w:color="auto"/>
                                                    <w:right w:val="none" w:sz="0" w:space="0" w:color="auto"/>
                                                  </w:divBdr>
                                                  <w:divsChild>
                                                    <w:div w:id="867377855">
                                                      <w:marLeft w:val="0"/>
                                                      <w:marRight w:val="0"/>
                                                      <w:marTop w:val="375"/>
                                                      <w:marBottom w:val="0"/>
                                                      <w:divBdr>
                                                        <w:top w:val="none" w:sz="0" w:space="0" w:color="auto"/>
                                                        <w:left w:val="none" w:sz="0" w:space="0" w:color="auto"/>
                                                        <w:bottom w:val="none" w:sz="0" w:space="0" w:color="auto"/>
                                                        <w:right w:val="none" w:sz="0" w:space="0" w:color="auto"/>
                                                      </w:divBdr>
                                                      <w:divsChild>
                                                        <w:div w:id="219290606">
                                                          <w:marLeft w:val="1968"/>
                                                          <w:marRight w:val="0"/>
                                                          <w:marTop w:val="150"/>
                                                          <w:marBottom w:val="150"/>
                                                          <w:divBdr>
                                                            <w:top w:val="none" w:sz="0" w:space="0" w:color="auto"/>
                                                            <w:left w:val="none" w:sz="0" w:space="0" w:color="auto"/>
                                                            <w:bottom w:val="none" w:sz="0" w:space="0" w:color="auto"/>
                                                            <w:right w:val="none" w:sz="0" w:space="0" w:color="auto"/>
                                                          </w:divBdr>
                                                        </w:div>
                                                        <w:div w:id="100884165">
                                                          <w:marLeft w:val="0"/>
                                                          <w:marRight w:val="0"/>
                                                          <w:marTop w:val="300"/>
                                                          <w:marBottom w:val="0"/>
                                                          <w:divBdr>
                                                            <w:top w:val="none" w:sz="0" w:space="0" w:color="auto"/>
                                                            <w:left w:val="none" w:sz="0" w:space="0" w:color="auto"/>
                                                            <w:bottom w:val="none" w:sz="0" w:space="0" w:color="auto"/>
                                                            <w:right w:val="none" w:sz="0" w:space="0" w:color="auto"/>
                                                          </w:divBdr>
                                                        </w:div>
                                                        <w:div w:id="1393508109">
                                                          <w:marLeft w:val="0"/>
                                                          <w:marRight w:val="0"/>
                                                          <w:marTop w:val="150"/>
                                                          <w:marBottom w:val="0"/>
                                                          <w:divBdr>
                                                            <w:top w:val="none" w:sz="0" w:space="0" w:color="auto"/>
                                                            <w:left w:val="none" w:sz="0" w:space="0" w:color="auto"/>
                                                            <w:bottom w:val="none" w:sz="0" w:space="0" w:color="auto"/>
                                                            <w:right w:val="none" w:sz="0" w:space="0" w:color="auto"/>
                                                          </w:divBdr>
                                                        </w:div>
                                                        <w:div w:id="1681926533">
                                                          <w:marLeft w:val="0"/>
                                                          <w:marRight w:val="0"/>
                                                          <w:marTop w:val="150"/>
                                                          <w:marBottom w:val="0"/>
                                                          <w:divBdr>
                                                            <w:top w:val="none" w:sz="0" w:space="0" w:color="auto"/>
                                                            <w:left w:val="none" w:sz="0" w:space="0" w:color="auto"/>
                                                            <w:bottom w:val="none" w:sz="0" w:space="0" w:color="auto"/>
                                                            <w:right w:val="none" w:sz="0" w:space="0" w:color="auto"/>
                                                          </w:divBdr>
                                                        </w:div>
                                                        <w:div w:id="1494026512">
                                                          <w:marLeft w:val="0"/>
                                                          <w:marRight w:val="0"/>
                                                          <w:marTop w:val="150"/>
                                                          <w:marBottom w:val="0"/>
                                                          <w:divBdr>
                                                            <w:top w:val="none" w:sz="0" w:space="0" w:color="auto"/>
                                                            <w:left w:val="none" w:sz="0" w:space="0" w:color="auto"/>
                                                            <w:bottom w:val="none" w:sz="0" w:space="0" w:color="auto"/>
                                                            <w:right w:val="none" w:sz="0" w:space="0" w:color="auto"/>
                                                          </w:divBdr>
                                                        </w:div>
                                                        <w:div w:id="703403013">
                                                          <w:marLeft w:val="0"/>
                                                          <w:marRight w:val="0"/>
                                                          <w:marTop w:val="300"/>
                                                          <w:marBottom w:val="0"/>
                                                          <w:divBdr>
                                                            <w:top w:val="none" w:sz="0" w:space="0" w:color="auto"/>
                                                            <w:left w:val="none" w:sz="0" w:space="0" w:color="auto"/>
                                                            <w:bottom w:val="none" w:sz="0" w:space="0" w:color="auto"/>
                                                            <w:right w:val="none" w:sz="0" w:space="0" w:color="auto"/>
                                                          </w:divBdr>
                                                        </w:div>
                                                        <w:div w:id="255486264">
                                                          <w:marLeft w:val="0"/>
                                                          <w:marRight w:val="0"/>
                                                          <w:marTop w:val="150"/>
                                                          <w:marBottom w:val="0"/>
                                                          <w:divBdr>
                                                            <w:top w:val="none" w:sz="0" w:space="0" w:color="auto"/>
                                                            <w:left w:val="none" w:sz="0" w:space="0" w:color="auto"/>
                                                            <w:bottom w:val="none" w:sz="0" w:space="0" w:color="auto"/>
                                                            <w:right w:val="none" w:sz="0" w:space="0" w:color="auto"/>
                                                          </w:divBdr>
                                                        </w:div>
                                                        <w:div w:id="242379571">
                                                          <w:marLeft w:val="0"/>
                                                          <w:marRight w:val="0"/>
                                                          <w:marTop w:val="150"/>
                                                          <w:marBottom w:val="0"/>
                                                          <w:divBdr>
                                                            <w:top w:val="none" w:sz="0" w:space="0" w:color="auto"/>
                                                            <w:left w:val="none" w:sz="0" w:space="0" w:color="auto"/>
                                                            <w:bottom w:val="none" w:sz="0" w:space="0" w:color="auto"/>
                                                            <w:right w:val="none" w:sz="0" w:space="0" w:color="auto"/>
                                                          </w:divBdr>
                                                        </w:div>
                                                        <w:div w:id="2018539561">
                                                          <w:marLeft w:val="0"/>
                                                          <w:marRight w:val="0"/>
                                                          <w:marTop w:val="0"/>
                                                          <w:marBottom w:val="150"/>
                                                          <w:divBdr>
                                                            <w:top w:val="none" w:sz="0" w:space="0" w:color="auto"/>
                                                            <w:left w:val="none" w:sz="0" w:space="0" w:color="auto"/>
                                                            <w:bottom w:val="none" w:sz="0" w:space="0" w:color="auto"/>
                                                            <w:right w:val="none" w:sz="0" w:space="0" w:color="auto"/>
                                                          </w:divBdr>
                                                        </w:div>
                                                        <w:div w:id="1542664971">
                                                          <w:marLeft w:val="0"/>
                                                          <w:marRight w:val="0"/>
                                                          <w:marTop w:val="0"/>
                                                          <w:marBottom w:val="150"/>
                                                          <w:divBdr>
                                                            <w:top w:val="none" w:sz="0" w:space="0" w:color="auto"/>
                                                            <w:left w:val="none" w:sz="0" w:space="0" w:color="auto"/>
                                                            <w:bottom w:val="none" w:sz="0" w:space="0" w:color="auto"/>
                                                            <w:right w:val="none" w:sz="0" w:space="0" w:color="auto"/>
                                                          </w:divBdr>
                                                        </w:div>
                                                        <w:div w:id="942343260">
                                                          <w:marLeft w:val="0"/>
                                                          <w:marRight w:val="0"/>
                                                          <w:marTop w:val="300"/>
                                                          <w:marBottom w:val="0"/>
                                                          <w:divBdr>
                                                            <w:top w:val="none" w:sz="0" w:space="0" w:color="auto"/>
                                                            <w:left w:val="none" w:sz="0" w:space="0" w:color="auto"/>
                                                            <w:bottom w:val="none" w:sz="0" w:space="0" w:color="auto"/>
                                                            <w:right w:val="none" w:sz="0" w:space="0" w:color="auto"/>
                                                          </w:divBdr>
                                                        </w:div>
                                                        <w:div w:id="1473478550">
                                                          <w:marLeft w:val="0"/>
                                                          <w:marRight w:val="0"/>
                                                          <w:marTop w:val="300"/>
                                                          <w:marBottom w:val="0"/>
                                                          <w:divBdr>
                                                            <w:top w:val="none" w:sz="0" w:space="0" w:color="auto"/>
                                                            <w:left w:val="none" w:sz="0" w:space="0" w:color="auto"/>
                                                            <w:bottom w:val="none" w:sz="0" w:space="0" w:color="auto"/>
                                                            <w:right w:val="none" w:sz="0" w:space="0" w:color="auto"/>
                                                          </w:divBdr>
                                                        </w:div>
                                                        <w:div w:id="1317804002">
                                                          <w:marLeft w:val="0"/>
                                                          <w:marRight w:val="0"/>
                                                          <w:marTop w:val="300"/>
                                                          <w:marBottom w:val="0"/>
                                                          <w:divBdr>
                                                            <w:top w:val="none" w:sz="0" w:space="0" w:color="auto"/>
                                                            <w:left w:val="none" w:sz="0" w:space="0" w:color="auto"/>
                                                            <w:bottom w:val="none" w:sz="0" w:space="0" w:color="auto"/>
                                                            <w:right w:val="none" w:sz="0" w:space="0" w:color="auto"/>
                                                          </w:divBdr>
                                                        </w:div>
                                                        <w:div w:id="915289836">
                                                          <w:marLeft w:val="0"/>
                                                          <w:marRight w:val="0"/>
                                                          <w:marTop w:val="300"/>
                                                          <w:marBottom w:val="0"/>
                                                          <w:divBdr>
                                                            <w:top w:val="none" w:sz="0" w:space="0" w:color="auto"/>
                                                            <w:left w:val="none" w:sz="0" w:space="0" w:color="auto"/>
                                                            <w:bottom w:val="none" w:sz="0" w:space="0" w:color="auto"/>
                                                            <w:right w:val="none" w:sz="0" w:space="0" w:color="auto"/>
                                                          </w:divBdr>
                                                        </w:div>
                                                        <w:div w:id="164787869">
                                                          <w:marLeft w:val="0"/>
                                                          <w:marRight w:val="0"/>
                                                          <w:marTop w:val="0"/>
                                                          <w:marBottom w:val="150"/>
                                                          <w:divBdr>
                                                            <w:top w:val="none" w:sz="0" w:space="0" w:color="auto"/>
                                                            <w:left w:val="none" w:sz="0" w:space="0" w:color="auto"/>
                                                            <w:bottom w:val="none" w:sz="0" w:space="0" w:color="auto"/>
                                                            <w:right w:val="none" w:sz="0" w:space="0" w:color="auto"/>
                                                          </w:divBdr>
                                                        </w:div>
                                                        <w:div w:id="132910890">
                                                          <w:marLeft w:val="0"/>
                                                          <w:marRight w:val="0"/>
                                                          <w:marTop w:val="300"/>
                                                          <w:marBottom w:val="0"/>
                                                          <w:divBdr>
                                                            <w:top w:val="none" w:sz="0" w:space="0" w:color="auto"/>
                                                            <w:left w:val="none" w:sz="0" w:space="0" w:color="auto"/>
                                                            <w:bottom w:val="none" w:sz="0" w:space="0" w:color="auto"/>
                                                            <w:right w:val="none" w:sz="0" w:space="0" w:color="auto"/>
                                                          </w:divBdr>
                                                        </w:div>
                                                        <w:div w:id="1421023304">
                                                          <w:marLeft w:val="0"/>
                                                          <w:marRight w:val="0"/>
                                                          <w:marTop w:val="0"/>
                                                          <w:marBottom w:val="150"/>
                                                          <w:divBdr>
                                                            <w:top w:val="none" w:sz="0" w:space="0" w:color="auto"/>
                                                            <w:left w:val="none" w:sz="0" w:space="0" w:color="auto"/>
                                                            <w:bottom w:val="none" w:sz="0" w:space="0" w:color="auto"/>
                                                            <w:right w:val="none" w:sz="0" w:space="0" w:color="auto"/>
                                                          </w:divBdr>
                                                        </w:div>
                                                        <w:div w:id="2118480497">
                                                          <w:marLeft w:val="0"/>
                                                          <w:marRight w:val="0"/>
                                                          <w:marTop w:val="0"/>
                                                          <w:marBottom w:val="150"/>
                                                          <w:divBdr>
                                                            <w:top w:val="none" w:sz="0" w:space="0" w:color="auto"/>
                                                            <w:left w:val="none" w:sz="0" w:space="0" w:color="auto"/>
                                                            <w:bottom w:val="none" w:sz="0" w:space="0" w:color="auto"/>
                                                            <w:right w:val="none" w:sz="0" w:space="0" w:color="auto"/>
                                                          </w:divBdr>
                                                        </w:div>
                                                        <w:div w:id="2106538246">
                                                          <w:marLeft w:val="0"/>
                                                          <w:marRight w:val="0"/>
                                                          <w:marTop w:val="300"/>
                                                          <w:marBottom w:val="0"/>
                                                          <w:divBdr>
                                                            <w:top w:val="none" w:sz="0" w:space="0" w:color="auto"/>
                                                            <w:left w:val="none" w:sz="0" w:space="0" w:color="auto"/>
                                                            <w:bottom w:val="none" w:sz="0" w:space="0" w:color="auto"/>
                                                            <w:right w:val="none" w:sz="0" w:space="0" w:color="auto"/>
                                                          </w:divBdr>
                                                        </w:div>
                                                        <w:div w:id="770273177">
                                                          <w:marLeft w:val="0"/>
                                                          <w:marRight w:val="0"/>
                                                          <w:marTop w:val="0"/>
                                                          <w:marBottom w:val="150"/>
                                                          <w:divBdr>
                                                            <w:top w:val="none" w:sz="0" w:space="0" w:color="auto"/>
                                                            <w:left w:val="none" w:sz="0" w:space="0" w:color="auto"/>
                                                            <w:bottom w:val="none" w:sz="0" w:space="0" w:color="auto"/>
                                                            <w:right w:val="none" w:sz="0" w:space="0" w:color="auto"/>
                                                          </w:divBdr>
                                                        </w:div>
                                                        <w:div w:id="1680428141">
                                                          <w:marLeft w:val="0"/>
                                                          <w:marRight w:val="0"/>
                                                          <w:marTop w:val="300"/>
                                                          <w:marBottom w:val="0"/>
                                                          <w:divBdr>
                                                            <w:top w:val="none" w:sz="0" w:space="0" w:color="auto"/>
                                                            <w:left w:val="none" w:sz="0" w:space="0" w:color="auto"/>
                                                            <w:bottom w:val="none" w:sz="0" w:space="0" w:color="auto"/>
                                                            <w:right w:val="none" w:sz="0" w:space="0" w:color="auto"/>
                                                          </w:divBdr>
                                                        </w:div>
                                                        <w:div w:id="195627487">
                                                          <w:marLeft w:val="0"/>
                                                          <w:marRight w:val="0"/>
                                                          <w:marTop w:val="0"/>
                                                          <w:marBottom w:val="150"/>
                                                          <w:divBdr>
                                                            <w:top w:val="none" w:sz="0" w:space="0" w:color="auto"/>
                                                            <w:left w:val="none" w:sz="0" w:space="0" w:color="auto"/>
                                                            <w:bottom w:val="none" w:sz="0" w:space="0" w:color="auto"/>
                                                            <w:right w:val="none" w:sz="0" w:space="0" w:color="auto"/>
                                                          </w:divBdr>
                                                        </w:div>
                                                        <w:div w:id="1185822907">
                                                          <w:marLeft w:val="0"/>
                                                          <w:marRight w:val="0"/>
                                                          <w:marTop w:val="300"/>
                                                          <w:marBottom w:val="0"/>
                                                          <w:divBdr>
                                                            <w:top w:val="none" w:sz="0" w:space="0" w:color="auto"/>
                                                            <w:left w:val="none" w:sz="0" w:space="0" w:color="auto"/>
                                                            <w:bottom w:val="none" w:sz="0" w:space="0" w:color="auto"/>
                                                            <w:right w:val="none" w:sz="0" w:space="0" w:color="auto"/>
                                                          </w:divBdr>
                                                        </w:div>
                                                        <w:div w:id="1723285738">
                                                          <w:marLeft w:val="0"/>
                                                          <w:marRight w:val="0"/>
                                                          <w:marTop w:val="0"/>
                                                          <w:marBottom w:val="150"/>
                                                          <w:divBdr>
                                                            <w:top w:val="none" w:sz="0" w:space="0" w:color="auto"/>
                                                            <w:left w:val="none" w:sz="0" w:space="0" w:color="auto"/>
                                                            <w:bottom w:val="none" w:sz="0" w:space="0" w:color="auto"/>
                                                            <w:right w:val="none" w:sz="0" w:space="0" w:color="auto"/>
                                                          </w:divBdr>
                                                        </w:div>
                                                        <w:div w:id="150150354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62242-5104-42C7-83BE-805111C56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5061</Words>
  <Characters>28848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Orkhon3070</cp:lastModifiedBy>
  <cp:revision>4</cp:revision>
  <cp:lastPrinted>2023-01-03T06:10:00Z</cp:lastPrinted>
  <dcterms:created xsi:type="dcterms:W3CDTF">2023-01-03T06:26:00Z</dcterms:created>
  <dcterms:modified xsi:type="dcterms:W3CDTF">2023-01-03T06:28:00Z</dcterms:modified>
</cp:coreProperties>
</file>