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5EBCC" w14:textId="4145F469" w:rsidR="00817FF9" w:rsidRPr="002430A8" w:rsidRDefault="003A306F" w:rsidP="00550650">
      <w:pPr>
        <w:widowControl w:val="0"/>
        <w:spacing w:after="0" w:line="240" w:lineRule="auto"/>
        <w:contextualSpacing/>
        <w:jc w:val="center"/>
        <w:rPr>
          <w:rFonts w:ascii="Arial" w:eastAsia="Courier New" w:hAnsi="Arial" w:cs="Arial"/>
          <w:b/>
          <w:sz w:val="24"/>
          <w:szCs w:val="24"/>
          <w:lang w:val="mn-MN" w:eastAsia="mn-MN" w:bidi="mn-MN"/>
        </w:rPr>
      </w:pPr>
      <w:bookmarkStart w:id="0" w:name="OLE_LINK1"/>
      <w:bookmarkStart w:id="1" w:name="OLE_LINK2"/>
      <w:r>
        <w:rPr>
          <w:rFonts w:ascii="Arial" w:eastAsia="Courier New" w:hAnsi="Arial" w:cs="Arial"/>
          <w:b/>
          <w:sz w:val="24"/>
          <w:szCs w:val="24"/>
          <w:lang w:eastAsia="mn-MN" w:bidi="mn-MN"/>
        </w:rPr>
        <w:t xml:space="preserve"> </w:t>
      </w:r>
      <w:r w:rsidR="00817FF9" w:rsidRPr="002430A8">
        <w:rPr>
          <w:rFonts w:ascii="Arial" w:eastAsia="Courier New" w:hAnsi="Arial" w:cs="Arial"/>
          <w:b/>
          <w:sz w:val="24"/>
          <w:szCs w:val="24"/>
          <w:lang w:val="mn-MN" w:eastAsia="mn-MN" w:bidi="mn-MN"/>
        </w:rPr>
        <w:t>Т</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А</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Н</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И</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Л</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Ц</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У</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У</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Л</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Г</w:t>
      </w:r>
      <w:r w:rsidR="00F94F2F" w:rsidRPr="002430A8">
        <w:rPr>
          <w:rFonts w:ascii="Arial" w:eastAsia="Courier New" w:hAnsi="Arial" w:cs="Arial"/>
          <w:b/>
          <w:sz w:val="24"/>
          <w:szCs w:val="24"/>
          <w:lang w:val="mn-MN" w:eastAsia="mn-MN" w:bidi="mn-MN"/>
        </w:rPr>
        <w:t xml:space="preserve"> </w:t>
      </w:r>
      <w:r w:rsidR="00817FF9" w:rsidRPr="002430A8">
        <w:rPr>
          <w:rFonts w:ascii="Arial" w:eastAsia="Courier New" w:hAnsi="Arial" w:cs="Arial"/>
          <w:b/>
          <w:sz w:val="24"/>
          <w:szCs w:val="24"/>
          <w:lang w:val="mn-MN" w:eastAsia="mn-MN" w:bidi="mn-MN"/>
        </w:rPr>
        <w:t>А</w:t>
      </w:r>
    </w:p>
    <w:p w14:paraId="4EE3A782" w14:textId="77777777" w:rsidR="00817FF9" w:rsidRPr="002430A8" w:rsidRDefault="00817FF9" w:rsidP="00550650">
      <w:pPr>
        <w:widowControl w:val="0"/>
        <w:spacing w:after="0" w:line="240" w:lineRule="auto"/>
        <w:contextualSpacing/>
        <w:jc w:val="center"/>
        <w:rPr>
          <w:rFonts w:ascii="Arial" w:eastAsia="Courier New" w:hAnsi="Arial" w:cs="Arial"/>
          <w:b/>
          <w:sz w:val="24"/>
          <w:szCs w:val="24"/>
          <w:lang w:val="mn-MN" w:eastAsia="mn-MN" w:bidi="mn-MN"/>
        </w:rPr>
      </w:pPr>
    </w:p>
    <w:p w14:paraId="0E9DFB20" w14:textId="55BAE5FE" w:rsidR="00817FF9" w:rsidRPr="002430A8" w:rsidRDefault="00F94F2F" w:rsidP="00550650">
      <w:pPr>
        <w:widowControl w:val="0"/>
        <w:spacing w:after="0" w:line="240" w:lineRule="auto"/>
        <w:ind w:left="4320"/>
        <w:contextualSpacing/>
        <w:jc w:val="center"/>
        <w:rPr>
          <w:rFonts w:ascii="Arial" w:eastAsia="Courier New" w:hAnsi="Arial" w:cs="Arial"/>
          <w:i/>
          <w:sz w:val="24"/>
          <w:szCs w:val="24"/>
          <w:lang w:val="mn-MN" w:eastAsia="mn-MN" w:bidi="mn-MN"/>
        </w:rPr>
      </w:pPr>
      <w:r w:rsidRPr="002430A8">
        <w:rPr>
          <w:rFonts w:ascii="Arial" w:eastAsia="Courier New" w:hAnsi="Arial" w:cs="Arial"/>
          <w:i/>
          <w:sz w:val="24"/>
          <w:szCs w:val="24"/>
          <w:lang w:val="mn-MN" w:eastAsia="mn-MN" w:bidi="mn-MN"/>
        </w:rPr>
        <w:t>Нийгмийн д</w:t>
      </w:r>
      <w:r w:rsidR="005203DE" w:rsidRPr="002430A8">
        <w:rPr>
          <w:rFonts w:ascii="Arial" w:eastAsia="Courier New" w:hAnsi="Arial" w:cs="Arial"/>
          <w:i/>
          <w:sz w:val="24"/>
          <w:szCs w:val="24"/>
          <w:lang w:val="mn-MN" w:eastAsia="mn-MN" w:bidi="mn-MN"/>
        </w:rPr>
        <w:t>аатгалын сангаас олгох тэтгэврийн</w:t>
      </w:r>
      <w:r w:rsidRPr="002430A8">
        <w:rPr>
          <w:rFonts w:ascii="Arial" w:eastAsia="Courier New" w:hAnsi="Arial" w:cs="Arial"/>
          <w:i/>
          <w:sz w:val="24"/>
          <w:szCs w:val="24"/>
          <w:lang w:val="mn-MN" w:eastAsia="mn-MN" w:bidi="mn-MN"/>
        </w:rPr>
        <w:t xml:space="preserve"> mухай хуулийн шинэчилсэн найруулгын төсөл</w:t>
      </w:r>
      <w:r w:rsidRPr="002430A8">
        <w:rPr>
          <w:rFonts w:ascii="Arial" w:eastAsia="Courier New" w:hAnsi="Arial" w:cs="Arial"/>
          <w:i/>
          <w:sz w:val="24"/>
          <w:szCs w:val="24"/>
          <w:lang w:eastAsia="mn-MN" w:bidi="mn-MN"/>
        </w:rPr>
        <w:t xml:space="preserve"> </w:t>
      </w:r>
    </w:p>
    <w:p w14:paraId="5DB7A662" w14:textId="77777777" w:rsidR="00817FF9" w:rsidRPr="002430A8" w:rsidRDefault="00817FF9" w:rsidP="00550650">
      <w:pPr>
        <w:spacing w:after="0" w:line="240" w:lineRule="auto"/>
        <w:ind w:firstLine="720"/>
        <w:contextualSpacing/>
        <w:jc w:val="both"/>
        <w:rPr>
          <w:rFonts w:ascii="Arial" w:eastAsia="MS Mincho" w:hAnsi="Arial" w:cs="Arial"/>
          <w:b/>
          <w:sz w:val="24"/>
          <w:szCs w:val="24"/>
          <w:lang w:val="mn-MN"/>
        </w:rPr>
      </w:pPr>
    </w:p>
    <w:p w14:paraId="280F6178" w14:textId="52D69DED" w:rsidR="004D3C5D" w:rsidRPr="004D3C5D" w:rsidRDefault="004D3C5D" w:rsidP="00E8212E">
      <w:pPr>
        <w:shd w:val="clear" w:color="auto" w:fill="FFFFFF"/>
        <w:spacing w:after="0" w:line="240" w:lineRule="auto"/>
        <w:ind w:firstLine="720"/>
        <w:jc w:val="both"/>
        <w:textAlignment w:val="top"/>
        <w:rPr>
          <w:rFonts w:ascii="Arial" w:hAnsi="Arial" w:cs="Arial"/>
          <w:sz w:val="24"/>
          <w:szCs w:val="24"/>
          <w:shd w:val="clear" w:color="auto" w:fill="FFFFFF"/>
          <w:lang w:val="mn-MN"/>
        </w:rPr>
      </w:pPr>
      <w:r w:rsidRPr="004D3C5D">
        <w:rPr>
          <w:rFonts w:ascii="Arial" w:hAnsi="Arial" w:cs="Arial"/>
          <w:sz w:val="24"/>
          <w:szCs w:val="24"/>
          <w:shd w:val="clear" w:color="auto" w:fill="FFFFFF"/>
          <w:lang w:val="mn-MN"/>
        </w:rPr>
        <w:t xml:space="preserve">Улсын Их Хурлаас баталсан “Алсын хараа-2050” Монгол Улсын урт хугацааны хөгжлийн бодлого”, “Монгол Улсыг 2021-2025 онд хөгжүүлэх таван жилийн үндсэн чиглэл”, “Монгол Улсын Засгийн газрын 2020-2024 оны үйл ажиллагааны хөтөлбөр”-т тус тус дэвшүүлсэн нийгмийн даатгалын тогтолцоог шинэчлэх, хууль тогтоомжийг боловсронгуй болгох зорилтыг хэрэгжүүлэх зорилгоор </w:t>
      </w:r>
      <w:r w:rsidRPr="00E8212E">
        <w:rPr>
          <w:rFonts w:ascii="Arial" w:hAnsi="Arial" w:cs="Arial"/>
          <w:sz w:val="24"/>
          <w:szCs w:val="24"/>
          <w:shd w:val="clear" w:color="auto" w:fill="FFFFFF"/>
          <w:lang w:val="mn-MN"/>
        </w:rPr>
        <w:t>Засгийн газраас нийгмийн даатгалын багц хуулийн төслийг боловсруулан, 2021 оны 10 дугаар сарын 15-ны өдөр УИХ-д өргөн мэдүүлсэн билээ.</w:t>
      </w:r>
      <w:r w:rsidRPr="004D3C5D">
        <w:rPr>
          <w:rFonts w:ascii="Arial" w:hAnsi="Arial" w:cs="Arial"/>
          <w:sz w:val="24"/>
          <w:szCs w:val="24"/>
          <w:shd w:val="clear" w:color="auto" w:fill="FFFFFF"/>
          <w:lang w:val="mn-MN"/>
        </w:rPr>
        <w:t xml:space="preserve">   </w:t>
      </w:r>
    </w:p>
    <w:p w14:paraId="711AF31C" w14:textId="77777777" w:rsidR="004D3C5D" w:rsidRPr="004D3C5D" w:rsidRDefault="004D3C5D" w:rsidP="004D3C5D">
      <w:pPr>
        <w:shd w:val="clear" w:color="auto" w:fill="FFFFFF"/>
        <w:spacing w:after="0" w:line="240" w:lineRule="auto"/>
        <w:jc w:val="both"/>
        <w:textAlignment w:val="top"/>
        <w:rPr>
          <w:rFonts w:ascii="Arial" w:hAnsi="Arial" w:cs="Arial"/>
          <w:sz w:val="24"/>
          <w:szCs w:val="24"/>
          <w:shd w:val="clear" w:color="auto" w:fill="FFFFFF"/>
          <w:lang w:val="mn-MN"/>
        </w:rPr>
      </w:pPr>
      <w:r w:rsidRPr="004D3C5D">
        <w:rPr>
          <w:rFonts w:ascii="Arial" w:hAnsi="Arial" w:cs="Arial"/>
          <w:sz w:val="24"/>
          <w:szCs w:val="24"/>
          <w:shd w:val="clear" w:color="auto" w:fill="FFFFFF"/>
          <w:lang w:val="mn-MN"/>
        </w:rPr>
        <w:tab/>
      </w:r>
    </w:p>
    <w:p w14:paraId="5F510E94" w14:textId="75870B37" w:rsidR="00E8212E" w:rsidRPr="00E8212E" w:rsidRDefault="00E8212E" w:rsidP="00E8212E">
      <w:pPr>
        <w:shd w:val="clear" w:color="auto" w:fill="FFFFFF"/>
        <w:spacing w:after="0" w:line="240" w:lineRule="auto"/>
        <w:ind w:firstLine="720"/>
        <w:jc w:val="both"/>
        <w:textAlignment w:val="top"/>
        <w:rPr>
          <w:rFonts w:ascii="Arial" w:hAnsi="Arial" w:cs="Arial"/>
          <w:sz w:val="24"/>
          <w:szCs w:val="24"/>
          <w:shd w:val="clear" w:color="auto" w:fill="FFFFFF"/>
          <w:lang w:val="mn-MN"/>
        </w:rPr>
      </w:pPr>
      <w:r w:rsidRPr="00E8212E">
        <w:rPr>
          <w:rFonts w:ascii="Arial" w:hAnsi="Arial" w:cs="Arial"/>
          <w:sz w:val="24"/>
          <w:szCs w:val="24"/>
          <w:shd w:val="clear" w:color="auto" w:fill="FFFFFF"/>
          <w:lang w:val="mn-MN"/>
        </w:rPr>
        <w:t xml:space="preserve">Засгийн газраас 2022 оны 2 дугаар сарын 1-ний өдрөөс эхлэн нийгмийн даатгалын сангаас олгож байгаа болон цэргийн алба хаасны тэтгэвэр авч байгаа тэтгэвэр авагчдын тэтгэврийн хэмжээг </w:t>
      </w:r>
      <w:r>
        <w:rPr>
          <w:rFonts w:ascii="Arial" w:hAnsi="Arial" w:cs="Arial"/>
          <w:sz w:val="24"/>
          <w:szCs w:val="24"/>
          <w:shd w:val="clear" w:color="auto" w:fill="FFFFFF"/>
          <w:lang w:val="mn-MN"/>
        </w:rPr>
        <w:t xml:space="preserve">нэмэгдүүлсэн, </w:t>
      </w:r>
      <w:r w:rsidRPr="00E8212E">
        <w:rPr>
          <w:rFonts w:ascii="Arial" w:hAnsi="Arial" w:cs="Arial"/>
          <w:sz w:val="24"/>
          <w:szCs w:val="24"/>
          <w:shd w:val="clear" w:color="auto" w:fill="FFFFFF"/>
          <w:lang w:val="mn-MN"/>
        </w:rPr>
        <w:t>УИХ дахь олонх</w:t>
      </w:r>
      <w:r w:rsidR="00630976">
        <w:rPr>
          <w:rFonts w:ascii="Arial" w:hAnsi="Arial" w:cs="Arial"/>
          <w:sz w:val="24"/>
          <w:szCs w:val="24"/>
          <w:shd w:val="clear" w:color="auto" w:fill="FFFFFF"/>
          <w:lang w:val="mn-MN"/>
        </w:rPr>
        <w:t>ы</w:t>
      </w:r>
      <w:r w:rsidRPr="00E8212E">
        <w:rPr>
          <w:rFonts w:ascii="Arial" w:hAnsi="Arial" w:cs="Arial"/>
          <w:sz w:val="24"/>
          <w:szCs w:val="24"/>
          <w:shd w:val="clear" w:color="auto" w:fill="FFFFFF"/>
          <w:lang w:val="mn-MN"/>
        </w:rPr>
        <w:t>н бүл</w:t>
      </w:r>
      <w:r>
        <w:rPr>
          <w:rFonts w:ascii="Arial" w:hAnsi="Arial" w:cs="Arial"/>
          <w:sz w:val="24"/>
          <w:szCs w:val="24"/>
          <w:shd w:val="clear" w:color="auto" w:fill="FFFFFF"/>
          <w:lang w:val="mn-MN"/>
        </w:rPr>
        <w:t>гээс ирүүлсэн чиглэл</w:t>
      </w:r>
      <w:r w:rsidR="00630976">
        <w:rPr>
          <w:rFonts w:ascii="Arial" w:hAnsi="Arial" w:cs="Arial"/>
          <w:sz w:val="24"/>
          <w:szCs w:val="24"/>
          <w:shd w:val="clear" w:color="auto" w:fill="FFFFFF"/>
          <w:lang w:val="mn-MN"/>
        </w:rPr>
        <w:t>, З</w:t>
      </w:r>
      <w:r w:rsidR="00630976" w:rsidRPr="00E8212E">
        <w:rPr>
          <w:rFonts w:ascii="Arial" w:hAnsi="Arial" w:cs="Arial"/>
          <w:sz w:val="24"/>
          <w:szCs w:val="24"/>
          <w:shd w:val="clear" w:color="auto" w:fill="FFFFFF"/>
          <w:lang w:val="mn-MN"/>
        </w:rPr>
        <w:t>асгийн газрын бүтэц, бүрэлдэхүүн</w:t>
      </w:r>
      <w:r w:rsidR="00630976">
        <w:rPr>
          <w:rFonts w:ascii="Arial" w:hAnsi="Arial" w:cs="Arial"/>
          <w:sz w:val="24"/>
          <w:szCs w:val="24"/>
          <w:shd w:val="clear" w:color="auto" w:fill="FFFFFF"/>
          <w:lang w:val="mn-MN"/>
        </w:rPr>
        <w:t xml:space="preserve"> шинэчлэн батлагдсантай холбогдуулан</w:t>
      </w:r>
      <w:r>
        <w:rPr>
          <w:rFonts w:ascii="Arial" w:hAnsi="Arial" w:cs="Arial"/>
          <w:sz w:val="24"/>
          <w:szCs w:val="24"/>
          <w:shd w:val="clear" w:color="auto" w:fill="FFFFFF"/>
          <w:lang w:val="mn-MN"/>
        </w:rPr>
        <w:t xml:space="preserve"> </w:t>
      </w:r>
      <w:r w:rsidRPr="00E8212E">
        <w:rPr>
          <w:rFonts w:ascii="Arial" w:hAnsi="Arial" w:cs="Arial"/>
          <w:sz w:val="24"/>
          <w:szCs w:val="24"/>
          <w:shd w:val="clear" w:color="auto" w:fill="FFFFFF"/>
          <w:lang w:val="mn-MN"/>
        </w:rPr>
        <w:t xml:space="preserve">Нийгмийн даатгалын сангаас олгох тэтгэврийн </w:t>
      </w:r>
      <w:r>
        <w:rPr>
          <w:rFonts w:ascii="Arial" w:hAnsi="Arial" w:cs="Arial"/>
          <w:sz w:val="24"/>
          <w:szCs w:val="24"/>
          <w:shd w:val="clear" w:color="auto" w:fill="FFFFFF"/>
          <w:lang w:val="mn-MN"/>
        </w:rPr>
        <w:t>т</w:t>
      </w:r>
      <w:r w:rsidRPr="00E8212E">
        <w:rPr>
          <w:rFonts w:ascii="Arial" w:hAnsi="Arial" w:cs="Arial"/>
          <w:sz w:val="24"/>
          <w:szCs w:val="24"/>
          <w:shd w:val="clear" w:color="auto" w:fill="FFFFFF"/>
          <w:lang w:val="mn-MN"/>
        </w:rPr>
        <w:t>ухай хуулийн шинэчилсэн найруулгын төс</w:t>
      </w:r>
      <w:r>
        <w:rPr>
          <w:rFonts w:ascii="Arial" w:hAnsi="Arial" w:cs="Arial"/>
          <w:sz w:val="24"/>
          <w:szCs w:val="24"/>
          <w:shd w:val="clear" w:color="auto" w:fill="FFFFFF"/>
          <w:lang w:val="mn-MN"/>
        </w:rPr>
        <w:t xml:space="preserve">лийг дахин боловсруулаад байна. </w:t>
      </w:r>
    </w:p>
    <w:p w14:paraId="2906ECB8" w14:textId="77777777" w:rsidR="00653646" w:rsidRPr="002430A8" w:rsidRDefault="00653646" w:rsidP="00E8212E">
      <w:pPr>
        <w:shd w:val="clear" w:color="auto" w:fill="FFFFFF"/>
        <w:spacing w:after="0" w:line="240" w:lineRule="auto"/>
        <w:jc w:val="both"/>
        <w:textAlignment w:val="top"/>
        <w:rPr>
          <w:rFonts w:ascii="Arial" w:eastAsia="Times New Roman" w:hAnsi="Arial" w:cs="Arial"/>
          <w:sz w:val="24"/>
          <w:szCs w:val="24"/>
        </w:rPr>
      </w:pPr>
    </w:p>
    <w:p w14:paraId="6B5C8267" w14:textId="3542EA7C"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r w:rsidRPr="002430A8">
        <w:rPr>
          <w:rFonts w:ascii="Arial" w:eastAsia="Courier New" w:hAnsi="Arial" w:cs="Arial"/>
          <w:sz w:val="24"/>
          <w:szCs w:val="24"/>
          <w:lang w:val="mn-MN" w:eastAsia="mn-MN" w:bidi="mn-MN"/>
        </w:rPr>
        <w:t>Нийгмийн даатгалын сангаас олгох тэтгэвэр, тэтгэмжийн тухай хуулийг Улсын Их Хурлаас 1994 онд баталж, 1995 оноос х</w:t>
      </w:r>
      <w:r w:rsidR="0073473E">
        <w:rPr>
          <w:rFonts w:ascii="Arial" w:eastAsia="Courier New" w:hAnsi="Arial" w:cs="Arial"/>
          <w:sz w:val="24"/>
          <w:szCs w:val="24"/>
          <w:lang w:val="mn-MN" w:eastAsia="mn-MN" w:bidi="mn-MN"/>
        </w:rPr>
        <w:t xml:space="preserve">эрэгжүүлснээс хойш тэтгэврийн </w:t>
      </w:r>
      <w:r w:rsidRPr="002430A8">
        <w:rPr>
          <w:rFonts w:ascii="Arial" w:eastAsia="Courier New" w:hAnsi="Arial" w:cs="Arial"/>
          <w:sz w:val="24"/>
          <w:szCs w:val="24"/>
          <w:lang w:val="mn-MN" w:eastAsia="mn-MN" w:bidi="mn-MN"/>
        </w:rPr>
        <w:t xml:space="preserve">шимтгэл ногдуулах болон тэтгэвэр тогтооход баримтлах </w:t>
      </w:r>
      <w:r w:rsidR="00FE6185">
        <w:rPr>
          <w:rFonts w:ascii="Arial" w:eastAsia="Courier New" w:hAnsi="Arial" w:cs="Arial"/>
          <w:sz w:val="24"/>
          <w:szCs w:val="24"/>
          <w:lang w:val="mn-MN" w:eastAsia="mn-MN" w:bidi="mn-MN"/>
        </w:rPr>
        <w:t xml:space="preserve">цалин </w:t>
      </w:r>
      <w:r w:rsidRPr="002430A8">
        <w:rPr>
          <w:rFonts w:ascii="Arial" w:eastAsia="Courier New" w:hAnsi="Arial" w:cs="Arial"/>
          <w:sz w:val="24"/>
          <w:szCs w:val="24"/>
          <w:lang w:val="mn-MN" w:eastAsia="mn-MN" w:bidi="mn-MN"/>
        </w:rPr>
        <w:t xml:space="preserve">хөлсний дээд хэмжээг тодорхойлох, тэтгэвэр тогтооход баримталсан цалин хөлсний дундаж хэмжээг тэтгэвэр авагчийн хүсэлтээр нэг удаа өөрчлөх боломжийг олгох, тэтгэвэр бодох жишиг цалинг тогтоох, үнэ ханшны өсөлт, амьжиргааны өртөгтэй уялдуулан тэтгэврийн хэмжээг нэмэгдүүлэх, эхчүүдийн хүүхдээ асрах чөлөөтэй байгаа хугацааны шимтгэл төлөх харилцааг зохицуулах зэрэг олон арга хэмжээг авч хэрэгжүүлсэн. </w:t>
      </w:r>
    </w:p>
    <w:p w14:paraId="570391DE" w14:textId="77777777" w:rsidR="00817FF9" w:rsidRPr="002430A8" w:rsidRDefault="00817FF9" w:rsidP="00550650">
      <w:pPr>
        <w:pStyle w:val="NormalWeb"/>
        <w:ind w:firstLine="720"/>
        <w:contextualSpacing/>
        <w:jc w:val="both"/>
        <w:rPr>
          <w:rFonts w:ascii="Arial" w:hAnsi="Arial" w:cs="Arial"/>
          <w:color w:val="auto"/>
        </w:rPr>
      </w:pPr>
    </w:p>
    <w:p w14:paraId="3EFFD395" w14:textId="72F5074D" w:rsidR="00817FF9" w:rsidRPr="002430A8" w:rsidRDefault="00817FF9" w:rsidP="00550650">
      <w:pPr>
        <w:pStyle w:val="NormalWeb"/>
        <w:ind w:firstLine="720"/>
        <w:contextualSpacing/>
        <w:jc w:val="both"/>
        <w:rPr>
          <w:rFonts w:ascii="Arial" w:hAnsi="Arial" w:cs="Arial"/>
          <w:color w:val="auto"/>
        </w:rPr>
      </w:pPr>
      <w:r w:rsidRPr="002430A8">
        <w:rPr>
          <w:rFonts w:ascii="Arial" w:hAnsi="Arial" w:cs="Arial"/>
          <w:color w:val="auto"/>
        </w:rPr>
        <w:t>Монгол Улсын Их Хурлаас нийгмийн даатгалын хууль эрх зүйн хүрээнд ажил олгогч болон даатгуулагчийн төлөх тэтгэврийн даатгалын шимтгэлийн хувь хэмжээг 2018 о</w:t>
      </w:r>
      <w:r w:rsidR="006F12AB">
        <w:rPr>
          <w:rFonts w:ascii="Arial" w:hAnsi="Arial" w:cs="Arial"/>
          <w:color w:val="auto"/>
        </w:rPr>
        <w:t>ноос үе шаттайгаар нэмэгдүүлж 17</w:t>
      </w:r>
      <w:r w:rsidRPr="002430A8">
        <w:rPr>
          <w:rFonts w:ascii="Arial" w:hAnsi="Arial" w:cs="Arial"/>
          <w:color w:val="auto"/>
        </w:rPr>
        <w:t>.0 хувьд хүргэх, өндөр насны тэтгэвэр тогтоолгох эрх үүсэх насыг 2018 оноос жил бүр 3 сараар нэмэгдүүлж, 20</w:t>
      </w:r>
      <w:r w:rsidR="004D3C5D">
        <w:rPr>
          <w:rFonts w:ascii="Arial" w:hAnsi="Arial" w:cs="Arial"/>
          <w:color w:val="auto"/>
        </w:rPr>
        <w:t>42</w:t>
      </w:r>
      <w:r w:rsidRPr="002430A8">
        <w:rPr>
          <w:rFonts w:ascii="Arial" w:hAnsi="Arial" w:cs="Arial"/>
          <w:color w:val="auto"/>
        </w:rPr>
        <w:t xml:space="preserve"> онд эрэгтэй хүн, 20</w:t>
      </w:r>
      <w:r w:rsidR="004D3C5D">
        <w:rPr>
          <w:rFonts w:ascii="Arial" w:hAnsi="Arial" w:cs="Arial"/>
          <w:color w:val="auto"/>
        </w:rPr>
        <w:t>6</w:t>
      </w:r>
      <w:r w:rsidRPr="002430A8">
        <w:rPr>
          <w:rFonts w:ascii="Arial" w:hAnsi="Arial" w:cs="Arial"/>
          <w:color w:val="auto"/>
        </w:rPr>
        <w:t>7 онд эмэгтэй хүний өндөр насны тэтгэвэрт гарах насыг тус тус 65 насанд хүргэх, хүүхэд төрүүлж, өсгөсөн эхийн нийгмийн даатгалын шимтгэл төлсөн хугацааг төрүүлсэн болон үрчлэн авсан хүүхэд бүрийн тоогоор нэг жил зургаан сараар нэмэгдүүлж тооцохоор хуульчилсан. Мөн даатгуулагч өөрийн хүсэлтээр эрэгтэй 60 нас, эмэгтэй 55 насандаа өндөр насны тэтгэвэр тогтоолгох тохиолдолд тэтгэврийн даатгалын шимтгэл төлсөн байвал зохих доод хугацааг 2038 он хүртэл жил бүр 3 сараар нэмэгдүүлэх, малчны өндөр насны тэтгэвэр тогтоолгох насны болзлыг 5 жилээр наашлуулах, тэтгэвэр тогтооход баримтлах хөдөлмөрийн хөлс, түүнтэй адилтгах орлогын дараалсан хугацааг 7 жил болгон өөрчилж, дундаж цалингийн хэмжээг мөн хугацааны цалин хөлсний нийт дүнг 84 сард хувааж тооцох зэрэг зохицуулалтуудыг тус тус тусгасан.</w:t>
      </w:r>
    </w:p>
    <w:p w14:paraId="7764BE1D" w14:textId="77777777" w:rsidR="00817FF9" w:rsidRPr="002430A8" w:rsidRDefault="00817FF9" w:rsidP="00550650">
      <w:pPr>
        <w:pStyle w:val="Style1"/>
        <w:widowControl/>
        <w:spacing w:line="240" w:lineRule="auto"/>
        <w:ind w:firstLine="720"/>
        <w:contextualSpacing/>
        <w:rPr>
          <w:rFonts w:eastAsia="Courier New"/>
          <w:lang w:val="mn-MN" w:eastAsia="mn-MN" w:bidi="mn-MN"/>
        </w:rPr>
      </w:pPr>
    </w:p>
    <w:p w14:paraId="6EDE4735" w14:textId="2403CB49" w:rsidR="00817FF9" w:rsidRPr="002430A8" w:rsidRDefault="00817FF9" w:rsidP="00550650">
      <w:pPr>
        <w:pStyle w:val="Style1"/>
        <w:widowControl/>
        <w:spacing w:line="240" w:lineRule="auto"/>
        <w:ind w:firstLine="720"/>
        <w:contextualSpacing/>
        <w:rPr>
          <w:rFonts w:eastAsia="Courier New"/>
          <w:lang w:val="mn-MN" w:eastAsia="mn-MN" w:bidi="mn-MN"/>
        </w:rPr>
      </w:pPr>
      <w:r w:rsidRPr="002430A8">
        <w:rPr>
          <w:rFonts w:eastAsia="Courier New"/>
          <w:lang w:val="mn-MN" w:eastAsia="mn-MN" w:bidi="mn-MN"/>
        </w:rPr>
        <w:t xml:space="preserve">Тэтгэврийн даатгалын шимтгэлийн хувь хэмжээг нэмэгдүүлэх, өндөр насны тэтгэвэр тогтоолгох насыг төрсөн оноос нь хамааруулан тогтоох, тэтгэврийн  наснаас эрт тэтгэвэр тогтоолгох иргэдийн хувьд шимтгэл төлсөн байвал зохих хугацааг үе шаттайгаар өсгөх зэрэг тэтгэврийн параметрийн өөрчлөлтүүд хийж </w:t>
      </w:r>
      <w:r w:rsidRPr="002430A8">
        <w:rPr>
          <w:rFonts w:eastAsia="Courier New"/>
          <w:lang w:val="mn-MN" w:eastAsia="mn-MN" w:bidi="mn-MN"/>
        </w:rPr>
        <w:lastRenderedPageBreak/>
        <w:t>байгаа ч хүн амын насжилт, тэтгэвэр авагчдын тооны өсөлт нь тэтгэврийн даатгалын сангийн зардал, улсын төсвийн ачааллыг улам нэмэгдүүлж цаашид үүсэх асуудлуудыг нэг мөр шийдвэрлэж чадахгүйд хүрээд байна.</w:t>
      </w:r>
    </w:p>
    <w:p w14:paraId="0EFEA763" w14:textId="77777777" w:rsidR="00817FF9" w:rsidRPr="002430A8" w:rsidRDefault="00817FF9" w:rsidP="00550650">
      <w:pPr>
        <w:pStyle w:val="NormalWeb"/>
        <w:shd w:val="clear" w:color="auto" w:fill="FFFFFF"/>
        <w:ind w:firstLine="720"/>
        <w:jc w:val="both"/>
        <w:textAlignment w:val="top"/>
        <w:rPr>
          <w:rFonts w:ascii="Arial" w:eastAsia="Times New Roman" w:hAnsi="Arial" w:cs="Arial"/>
          <w:color w:val="auto"/>
        </w:rPr>
      </w:pPr>
    </w:p>
    <w:p w14:paraId="5A68423A" w14:textId="10746530" w:rsidR="00817FF9" w:rsidRPr="002430A8" w:rsidRDefault="00817FF9" w:rsidP="00550650">
      <w:pPr>
        <w:widowControl w:val="0"/>
        <w:autoSpaceDE w:val="0"/>
        <w:autoSpaceDN w:val="0"/>
        <w:adjustRightInd w:val="0"/>
        <w:spacing w:after="0" w:line="240" w:lineRule="auto"/>
        <w:ind w:firstLine="720"/>
        <w:contextualSpacing/>
        <w:jc w:val="both"/>
        <w:rPr>
          <w:rFonts w:ascii="Arial" w:eastAsia="Courier New" w:hAnsi="Arial" w:cs="Arial"/>
          <w:sz w:val="24"/>
          <w:szCs w:val="24"/>
          <w:shd w:val="clear" w:color="auto" w:fill="FFFFFF"/>
          <w:lang w:val="mn-MN" w:eastAsia="mn-MN" w:bidi="mn-MN"/>
        </w:rPr>
      </w:pPr>
      <w:r w:rsidRPr="002430A8">
        <w:rPr>
          <w:rFonts w:ascii="Arial" w:eastAsia="Courier New" w:hAnsi="Arial" w:cs="Arial"/>
          <w:sz w:val="24"/>
          <w:szCs w:val="24"/>
          <w:shd w:val="clear" w:color="auto" w:fill="FFFFFF"/>
          <w:lang w:val="mn-MN" w:eastAsia="mn-MN" w:bidi="mn-MN"/>
        </w:rPr>
        <w:t>Монгол Улсын тэтгэврийн даатгалын сангаас 202</w:t>
      </w:r>
      <w:r w:rsidR="006D3B61">
        <w:rPr>
          <w:rFonts w:ascii="Arial" w:eastAsia="Courier New" w:hAnsi="Arial" w:cs="Arial"/>
          <w:sz w:val="24"/>
          <w:szCs w:val="24"/>
          <w:shd w:val="clear" w:color="auto" w:fill="FFFFFF"/>
          <w:lang w:val="mn-MN" w:eastAsia="mn-MN" w:bidi="mn-MN"/>
        </w:rPr>
        <w:t xml:space="preserve">2 оны 11 дүгээр сарын байдлаар </w:t>
      </w:r>
      <w:r w:rsidR="00B657E7">
        <w:rPr>
          <w:rFonts w:ascii="Arial" w:eastAsia="Courier New" w:hAnsi="Arial" w:cs="Arial"/>
          <w:sz w:val="24"/>
          <w:szCs w:val="24"/>
          <w:shd w:val="clear" w:color="auto" w:fill="FFFFFF"/>
          <w:lang w:val="mn-MN" w:eastAsia="mn-MN" w:bidi="mn-MN"/>
        </w:rPr>
        <w:t>47</w:t>
      </w:r>
      <w:r w:rsidR="006D3B61">
        <w:rPr>
          <w:rFonts w:ascii="Arial" w:eastAsia="Courier New" w:hAnsi="Arial" w:cs="Arial"/>
          <w:sz w:val="24"/>
          <w:szCs w:val="24"/>
          <w:shd w:val="clear" w:color="auto" w:fill="FFFFFF"/>
          <w:lang w:val="mn-MN" w:eastAsia="mn-MN" w:bidi="mn-MN"/>
        </w:rPr>
        <w:t>6.2</w:t>
      </w:r>
      <w:r w:rsidRPr="002430A8">
        <w:rPr>
          <w:rFonts w:ascii="Arial" w:eastAsia="Courier New" w:hAnsi="Arial" w:cs="Arial"/>
          <w:sz w:val="24"/>
          <w:szCs w:val="24"/>
          <w:shd w:val="clear" w:color="auto" w:fill="FFFFFF"/>
          <w:lang w:val="mn-MN" w:eastAsia="mn-MN" w:bidi="mn-MN"/>
        </w:rPr>
        <w:t xml:space="preserve"> мянга гаруй тэтгэвэр авагчдад </w:t>
      </w:r>
      <w:r w:rsidR="006D3B61">
        <w:rPr>
          <w:rFonts w:ascii="Arial" w:eastAsia="Courier New" w:hAnsi="Arial" w:cs="Arial"/>
          <w:sz w:val="24"/>
          <w:szCs w:val="24"/>
          <w:shd w:val="clear" w:color="auto" w:fill="FFFFFF"/>
          <w:lang w:val="mn-MN" w:eastAsia="mn-MN" w:bidi="mn-MN"/>
        </w:rPr>
        <w:t>2</w:t>
      </w:r>
      <w:r w:rsidRPr="002430A8">
        <w:rPr>
          <w:rFonts w:ascii="Arial" w:eastAsia="Courier New" w:hAnsi="Arial" w:cs="Arial"/>
          <w:sz w:val="24"/>
          <w:szCs w:val="24"/>
          <w:shd w:val="clear" w:color="auto" w:fill="FFFFFF"/>
          <w:lang w:val="mn-MN" w:eastAsia="mn-MN" w:bidi="mn-MN"/>
        </w:rPr>
        <w:t>.</w:t>
      </w:r>
      <w:r w:rsidR="006D3B61">
        <w:rPr>
          <w:rFonts w:ascii="Arial" w:eastAsia="Courier New" w:hAnsi="Arial" w:cs="Arial"/>
          <w:sz w:val="24"/>
          <w:szCs w:val="24"/>
          <w:shd w:val="clear" w:color="auto" w:fill="FFFFFF"/>
          <w:lang w:val="mn-MN" w:eastAsia="mn-MN" w:bidi="mn-MN"/>
        </w:rPr>
        <w:t>8</w:t>
      </w:r>
      <w:r w:rsidRPr="002430A8">
        <w:rPr>
          <w:rFonts w:ascii="Arial" w:eastAsia="Courier New" w:hAnsi="Arial" w:cs="Arial"/>
          <w:sz w:val="24"/>
          <w:szCs w:val="24"/>
          <w:shd w:val="clear" w:color="auto" w:fill="FFFFFF"/>
          <w:lang w:val="mn-MN" w:eastAsia="mn-MN" w:bidi="mn-MN"/>
        </w:rPr>
        <w:t xml:space="preserve"> их наяд төгрөг зарцуул</w:t>
      </w:r>
      <w:r w:rsidR="006D3B61">
        <w:rPr>
          <w:rFonts w:ascii="Arial" w:eastAsia="Courier New" w:hAnsi="Arial" w:cs="Arial"/>
          <w:sz w:val="24"/>
          <w:szCs w:val="24"/>
          <w:shd w:val="clear" w:color="auto" w:fill="FFFFFF"/>
          <w:lang w:val="mn-MN" w:eastAsia="mn-MN" w:bidi="mn-MN"/>
        </w:rPr>
        <w:t>сан</w:t>
      </w:r>
      <w:r w:rsidRPr="002430A8">
        <w:rPr>
          <w:rFonts w:ascii="Arial" w:eastAsia="Courier New" w:hAnsi="Arial" w:cs="Arial"/>
          <w:sz w:val="24"/>
          <w:szCs w:val="24"/>
          <w:shd w:val="clear" w:color="auto" w:fill="FFFFFF"/>
          <w:lang w:val="mn-MN" w:eastAsia="mn-MN" w:bidi="mn-MN"/>
        </w:rPr>
        <w:t>. Өндөр насны тэтгэвэр авагчд</w:t>
      </w:r>
      <w:r w:rsidR="006D3B61">
        <w:rPr>
          <w:rFonts w:ascii="Arial" w:eastAsia="Courier New" w:hAnsi="Arial" w:cs="Arial"/>
          <w:sz w:val="24"/>
          <w:szCs w:val="24"/>
          <w:shd w:val="clear" w:color="auto" w:fill="FFFFFF"/>
          <w:lang w:val="mn-MN" w:eastAsia="mn-MN" w:bidi="mn-MN"/>
        </w:rPr>
        <w:t>ын тоо нийт тэтгэвэр авагчдын 77.9</w:t>
      </w:r>
      <w:r w:rsidRPr="002430A8">
        <w:rPr>
          <w:rFonts w:ascii="Arial" w:eastAsia="Courier New" w:hAnsi="Arial" w:cs="Arial"/>
          <w:sz w:val="24"/>
          <w:szCs w:val="24"/>
          <w:shd w:val="clear" w:color="auto" w:fill="FFFFFF"/>
          <w:lang w:val="mn-MN" w:eastAsia="mn-MN" w:bidi="mn-MN"/>
        </w:rPr>
        <w:t xml:space="preserve"> хувь буюу 3</w:t>
      </w:r>
      <w:r w:rsidR="00B657E7">
        <w:rPr>
          <w:rFonts w:ascii="Arial" w:eastAsia="Courier New" w:hAnsi="Arial" w:cs="Arial"/>
          <w:sz w:val="24"/>
          <w:szCs w:val="24"/>
          <w:shd w:val="clear" w:color="auto" w:fill="FFFFFF"/>
          <w:lang w:val="mn-MN" w:eastAsia="mn-MN" w:bidi="mn-MN"/>
        </w:rPr>
        <w:t>7</w:t>
      </w:r>
      <w:r w:rsidR="0084735D">
        <w:rPr>
          <w:rFonts w:ascii="Arial" w:eastAsia="Courier New" w:hAnsi="Arial" w:cs="Arial"/>
          <w:sz w:val="24"/>
          <w:szCs w:val="24"/>
          <w:shd w:val="clear" w:color="auto" w:fill="FFFFFF"/>
          <w:lang w:eastAsia="mn-MN" w:bidi="mn-MN"/>
        </w:rPr>
        <w:t>1</w:t>
      </w:r>
      <w:r w:rsidRPr="002430A8">
        <w:rPr>
          <w:rFonts w:ascii="Arial" w:eastAsia="Courier New" w:hAnsi="Arial" w:cs="Arial"/>
          <w:sz w:val="24"/>
          <w:szCs w:val="24"/>
          <w:shd w:val="clear" w:color="auto" w:fill="FFFFFF"/>
          <w:lang w:val="mn-MN" w:eastAsia="mn-MN" w:bidi="mn-MN"/>
        </w:rPr>
        <w:t>.</w:t>
      </w:r>
      <w:r w:rsidR="006D3B61">
        <w:rPr>
          <w:rFonts w:ascii="Arial" w:eastAsia="Courier New" w:hAnsi="Arial" w:cs="Arial"/>
          <w:sz w:val="24"/>
          <w:szCs w:val="24"/>
          <w:shd w:val="clear" w:color="auto" w:fill="FFFFFF"/>
          <w:lang w:eastAsia="mn-MN" w:bidi="mn-MN"/>
        </w:rPr>
        <w:t>1</w:t>
      </w:r>
      <w:r w:rsidRPr="002430A8">
        <w:rPr>
          <w:rFonts w:ascii="Arial" w:eastAsia="Courier New" w:hAnsi="Arial" w:cs="Arial"/>
          <w:sz w:val="24"/>
          <w:szCs w:val="24"/>
          <w:shd w:val="clear" w:color="auto" w:fill="FFFFFF"/>
          <w:lang w:val="mn-MN" w:eastAsia="mn-MN" w:bidi="mn-MN"/>
        </w:rPr>
        <w:t xml:space="preserve"> мянгад хүрсэн. Түүнчлэн 10 даатгуулагчид ногдох тэтгэвэр авагчийн тооны харьцаа 2020 онд 4 байгаа бөгөөд 2025 оноос эхлэн хүн ам зүйн цонх үе хаагдаж, дундаж наслалт нэмэгдсэнээр нийт хүн амд эзлэх тэтгэвэр авагчдын тоо өсөж 2030 онд 7, цаашид </w:t>
      </w:r>
      <w:r w:rsidR="00B657E7">
        <w:rPr>
          <w:rFonts w:ascii="Arial" w:eastAsia="Courier New" w:hAnsi="Arial" w:cs="Arial"/>
          <w:sz w:val="24"/>
          <w:szCs w:val="24"/>
          <w:shd w:val="clear" w:color="auto" w:fill="FFFFFF"/>
          <w:lang w:val="mn-MN" w:eastAsia="mn-MN" w:bidi="mn-MN"/>
        </w:rPr>
        <w:t xml:space="preserve">2050 оноос </w:t>
      </w:r>
      <w:r w:rsidRPr="002430A8">
        <w:rPr>
          <w:rFonts w:ascii="Arial" w:eastAsia="Courier New" w:hAnsi="Arial" w:cs="Arial"/>
          <w:sz w:val="24"/>
          <w:szCs w:val="24"/>
          <w:shd w:val="clear" w:color="auto" w:fill="FFFFFF"/>
          <w:lang w:val="mn-MN" w:eastAsia="mn-MN" w:bidi="mn-MN"/>
        </w:rPr>
        <w:t xml:space="preserve">9 тэтгэвэр авагч болохоор байна. </w:t>
      </w:r>
    </w:p>
    <w:p w14:paraId="6CC18CED" w14:textId="77777777" w:rsidR="00817FF9" w:rsidRPr="002430A8" w:rsidRDefault="00817FF9" w:rsidP="00550650">
      <w:pPr>
        <w:widowControl w:val="0"/>
        <w:autoSpaceDE w:val="0"/>
        <w:autoSpaceDN w:val="0"/>
        <w:adjustRightInd w:val="0"/>
        <w:spacing w:after="0" w:line="240" w:lineRule="auto"/>
        <w:ind w:firstLine="720"/>
        <w:contextualSpacing/>
        <w:jc w:val="both"/>
        <w:rPr>
          <w:rFonts w:ascii="Arial" w:eastAsia="Courier New" w:hAnsi="Arial" w:cs="Arial"/>
          <w:sz w:val="24"/>
          <w:szCs w:val="24"/>
          <w:shd w:val="clear" w:color="auto" w:fill="FFFFFF"/>
          <w:lang w:val="mn-MN" w:eastAsia="mn-MN" w:bidi="mn-MN"/>
        </w:rPr>
      </w:pPr>
    </w:p>
    <w:p w14:paraId="5848427A" w14:textId="36B220D6" w:rsidR="00817FF9" w:rsidRPr="002430A8" w:rsidRDefault="0084735D" w:rsidP="00550650">
      <w:pPr>
        <w:widowControl w:val="0"/>
        <w:spacing w:after="0" w:line="240" w:lineRule="auto"/>
        <w:ind w:firstLine="720"/>
        <w:contextualSpacing/>
        <w:jc w:val="both"/>
        <w:rPr>
          <w:rFonts w:ascii="Arial" w:eastAsia="Courier New" w:hAnsi="Arial" w:cs="Arial"/>
          <w:sz w:val="24"/>
          <w:szCs w:val="24"/>
          <w:lang w:val="mn-MN" w:eastAsia="mn-MN" w:bidi="mn-MN"/>
        </w:rPr>
      </w:pPr>
      <w:r>
        <w:rPr>
          <w:rFonts w:ascii="Arial" w:eastAsia="Courier New" w:hAnsi="Arial" w:cs="Arial"/>
          <w:sz w:val="24"/>
          <w:szCs w:val="24"/>
          <w:lang w:val="mn-MN" w:eastAsia="mn-MN" w:bidi="mn-MN"/>
        </w:rPr>
        <w:t>Мөн</w:t>
      </w:r>
      <w:r w:rsidR="00817FF9" w:rsidRPr="002430A8">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х</w:t>
      </w:r>
      <w:r w:rsidR="00817FF9" w:rsidRPr="002430A8">
        <w:rPr>
          <w:rFonts w:ascii="Arial" w:eastAsia="Courier New" w:hAnsi="Arial" w:cs="Arial"/>
          <w:sz w:val="24"/>
          <w:szCs w:val="24"/>
          <w:lang w:val="mn-MN" w:eastAsia="mn-MN" w:bidi="mn-MN"/>
        </w:rPr>
        <w:t>үн амын дундаж наслалт 20</w:t>
      </w:r>
      <w:r w:rsidR="00B657E7">
        <w:rPr>
          <w:rFonts w:ascii="Arial" w:eastAsia="Courier New" w:hAnsi="Arial" w:cs="Arial"/>
          <w:sz w:val="24"/>
          <w:szCs w:val="24"/>
          <w:lang w:val="mn-MN" w:eastAsia="mn-MN" w:bidi="mn-MN"/>
        </w:rPr>
        <w:t>21</w:t>
      </w:r>
      <w:r w:rsidR="00817FF9" w:rsidRPr="002430A8">
        <w:rPr>
          <w:rFonts w:ascii="Arial" w:eastAsia="Courier New" w:hAnsi="Arial" w:cs="Arial"/>
          <w:sz w:val="24"/>
          <w:szCs w:val="24"/>
          <w:lang w:val="mn-MN" w:eastAsia="mn-MN" w:bidi="mn-MN"/>
        </w:rPr>
        <w:t xml:space="preserve"> онд 71</w:t>
      </w:r>
      <w:r w:rsidR="00B657E7">
        <w:rPr>
          <w:rFonts w:ascii="Arial" w:eastAsia="Courier New" w:hAnsi="Arial" w:cs="Arial"/>
          <w:sz w:val="24"/>
          <w:szCs w:val="24"/>
          <w:lang w:val="mn-MN" w:eastAsia="mn-MN" w:bidi="mn-MN"/>
        </w:rPr>
        <w:t>.01</w:t>
      </w:r>
      <w:r w:rsidR="00817FF9" w:rsidRPr="002430A8">
        <w:rPr>
          <w:rFonts w:ascii="Arial" w:eastAsia="Courier New" w:hAnsi="Arial" w:cs="Arial"/>
          <w:sz w:val="24"/>
          <w:szCs w:val="24"/>
          <w:lang w:val="mn-MN" w:eastAsia="mn-MN" w:bidi="mn-MN"/>
        </w:rPr>
        <w:t xml:space="preserve"> жил болж, </w:t>
      </w:r>
      <w:r w:rsidR="00924874">
        <w:rPr>
          <w:rFonts w:ascii="Arial" w:eastAsia="Courier New" w:hAnsi="Arial" w:cs="Arial"/>
          <w:sz w:val="24"/>
          <w:szCs w:val="24"/>
          <w:lang w:val="mn-MN" w:eastAsia="mn-MN" w:bidi="mn-MN"/>
        </w:rPr>
        <w:t>26</w:t>
      </w:r>
      <w:r w:rsidR="00817FF9" w:rsidRPr="002430A8">
        <w:rPr>
          <w:rFonts w:ascii="Arial" w:eastAsia="Courier New" w:hAnsi="Arial" w:cs="Arial"/>
          <w:sz w:val="24"/>
          <w:szCs w:val="24"/>
          <w:lang w:val="mn-MN" w:eastAsia="mn-MN" w:bidi="mn-MN"/>
        </w:rPr>
        <w:t xml:space="preserve"> жилийн өмнөх дундаж наслалтын түвшинтэй харьцуулахад </w:t>
      </w:r>
      <w:r w:rsidR="00924874">
        <w:rPr>
          <w:rFonts w:ascii="Arial" w:eastAsia="Courier New" w:hAnsi="Arial" w:cs="Arial"/>
          <w:sz w:val="24"/>
          <w:szCs w:val="24"/>
          <w:lang w:val="mn-MN" w:eastAsia="mn-MN" w:bidi="mn-MN"/>
        </w:rPr>
        <w:t xml:space="preserve">7.23 жилээр өссөн. Тухайлбал, </w:t>
      </w:r>
      <w:r w:rsidR="00817FF9" w:rsidRPr="002430A8">
        <w:rPr>
          <w:rFonts w:ascii="Arial" w:eastAsia="Courier New" w:hAnsi="Arial" w:cs="Arial"/>
          <w:sz w:val="24"/>
          <w:szCs w:val="24"/>
          <w:lang w:val="mn-MN" w:eastAsia="mn-MN" w:bidi="mn-MN"/>
        </w:rPr>
        <w:t xml:space="preserve">эрэгтэйчүүдийн дундаж наслалт </w:t>
      </w:r>
      <w:r w:rsidR="00924874">
        <w:rPr>
          <w:rFonts w:ascii="Arial" w:eastAsia="Courier New" w:hAnsi="Arial" w:cs="Arial"/>
          <w:sz w:val="24"/>
          <w:szCs w:val="24"/>
          <w:lang w:val="mn-MN" w:eastAsia="mn-MN" w:bidi="mn-MN"/>
        </w:rPr>
        <w:t>67.05</w:t>
      </w:r>
      <w:r w:rsidR="00817FF9" w:rsidRPr="002430A8">
        <w:rPr>
          <w:rFonts w:ascii="Arial" w:eastAsia="Courier New" w:hAnsi="Arial" w:cs="Arial"/>
          <w:sz w:val="24"/>
          <w:szCs w:val="24"/>
          <w:lang w:val="mn-MN" w:eastAsia="mn-MN" w:bidi="mn-MN"/>
        </w:rPr>
        <w:t xml:space="preserve"> </w:t>
      </w:r>
      <w:r w:rsidR="00924874">
        <w:rPr>
          <w:rFonts w:ascii="Arial" w:eastAsia="Courier New" w:hAnsi="Arial" w:cs="Arial"/>
          <w:sz w:val="24"/>
          <w:szCs w:val="24"/>
          <w:lang w:val="mn-MN" w:eastAsia="mn-MN" w:bidi="mn-MN"/>
        </w:rPr>
        <w:t xml:space="preserve">болж 4.95 жилээр, </w:t>
      </w:r>
      <w:r w:rsidR="00817FF9" w:rsidRPr="002430A8">
        <w:rPr>
          <w:rFonts w:ascii="Arial" w:eastAsia="Courier New" w:hAnsi="Arial" w:cs="Arial"/>
          <w:sz w:val="24"/>
          <w:szCs w:val="24"/>
          <w:lang w:val="mn-MN" w:eastAsia="mn-MN" w:bidi="mn-MN"/>
        </w:rPr>
        <w:t xml:space="preserve">эмэгтэйчүүдийнх </w:t>
      </w:r>
      <w:r w:rsidR="00924874">
        <w:rPr>
          <w:rFonts w:ascii="Arial" w:eastAsia="Courier New" w:hAnsi="Arial" w:cs="Arial"/>
          <w:sz w:val="24"/>
          <w:szCs w:val="24"/>
          <w:lang w:val="mn-MN" w:eastAsia="mn-MN" w:bidi="mn-MN"/>
        </w:rPr>
        <w:t xml:space="preserve">76.47 болж 11.04 </w:t>
      </w:r>
      <w:r w:rsidR="00817FF9" w:rsidRPr="002430A8">
        <w:rPr>
          <w:rFonts w:ascii="Arial" w:eastAsia="Courier New" w:hAnsi="Arial" w:cs="Arial"/>
          <w:sz w:val="24"/>
          <w:szCs w:val="24"/>
          <w:lang w:val="mn-MN" w:eastAsia="mn-MN" w:bidi="mn-MN"/>
        </w:rPr>
        <w:t>жил</w:t>
      </w:r>
      <w:r w:rsidR="00924874">
        <w:rPr>
          <w:rFonts w:ascii="Arial" w:eastAsia="Courier New" w:hAnsi="Arial" w:cs="Arial"/>
          <w:sz w:val="24"/>
          <w:szCs w:val="24"/>
          <w:lang w:val="mn-MN" w:eastAsia="mn-MN" w:bidi="mn-MN"/>
        </w:rPr>
        <w:t>ээр тус тус өссөн</w:t>
      </w:r>
      <w:r w:rsidR="00817FF9" w:rsidRPr="002430A8">
        <w:rPr>
          <w:rFonts w:ascii="Arial" w:eastAsia="Courier New" w:hAnsi="Arial" w:cs="Arial"/>
          <w:sz w:val="24"/>
          <w:szCs w:val="24"/>
          <w:lang w:val="mn-MN" w:eastAsia="mn-MN" w:bidi="mn-MN"/>
        </w:rPr>
        <w:t xml:space="preserve"> байна. </w:t>
      </w:r>
      <w:r w:rsidR="00924874">
        <w:rPr>
          <w:rFonts w:ascii="Arial" w:eastAsia="Courier New" w:hAnsi="Arial" w:cs="Arial"/>
          <w:sz w:val="24"/>
          <w:szCs w:val="24"/>
          <w:lang w:val="mn-MN" w:eastAsia="mn-MN" w:bidi="mn-MN"/>
        </w:rPr>
        <w:t xml:space="preserve">Тэтгэврийн насны хүн 2020 </w:t>
      </w:r>
      <w:r w:rsidR="00817FF9" w:rsidRPr="002430A8">
        <w:rPr>
          <w:rFonts w:ascii="Arial" w:eastAsia="Courier New" w:hAnsi="Arial" w:cs="Arial"/>
          <w:sz w:val="24"/>
          <w:szCs w:val="24"/>
          <w:lang w:val="mn-MN" w:eastAsia="mn-MN" w:bidi="mn-MN"/>
        </w:rPr>
        <w:t xml:space="preserve">онд </w:t>
      </w:r>
      <w:r w:rsidR="00924874">
        <w:rPr>
          <w:rFonts w:ascii="Arial" w:eastAsia="Courier New" w:hAnsi="Arial" w:cs="Arial"/>
          <w:sz w:val="24"/>
          <w:szCs w:val="24"/>
          <w:lang w:val="mn-MN" w:eastAsia="mn-MN" w:bidi="mn-MN"/>
        </w:rPr>
        <w:t xml:space="preserve">нийт хүн амын 9.85 хувийг эзэлж байсан бол </w:t>
      </w:r>
      <w:r w:rsidR="00817FF9" w:rsidRPr="002430A8">
        <w:rPr>
          <w:rFonts w:ascii="Arial" w:eastAsia="Courier New" w:hAnsi="Arial" w:cs="Arial"/>
          <w:sz w:val="24"/>
          <w:szCs w:val="24"/>
          <w:lang w:val="mn-MN" w:eastAsia="mn-MN" w:bidi="mn-MN"/>
        </w:rPr>
        <w:t>20</w:t>
      </w:r>
      <w:r w:rsidR="00924874">
        <w:rPr>
          <w:rFonts w:ascii="Arial" w:eastAsia="Courier New" w:hAnsi="Arial" w:cs="Arial"/>
          <w:sz w:val="24"/>
          <w:szCs w:val="24"/>
          <w:lang w:val="mn-MN" w:eastAsia="mn-MN" w:bidi="mn-MN"/>
        </w:rPr>
        <w:t>3</w:t>
      </w:r>
      <w:r w:rsidR="00817FF9" w:rsidRPr="002430A8">
        <w:rPr>
          <w:rFonts w:ascii="Arial" w:eastAsia="Courier New" w:hAnsi="Arial" w:cs="Arial"/>
          <w:sz w:val="24"/>
          <w:szCs w:val="24"/>
          <w:lang w:val="mn-MN" w:eastAsia="mn-MN" w:bidi="mn-MN"/>
        </w:rPr>
        <w:t xml:space="preserve">0 онд </w:t>
      </w:r>
      <w:r w:rsidR="00924874">
        <w:rPr>
          <w:rFonts w:ascii="Arial" w:eastAsia="Courier New" w:hAnsi="Arial" w:cs="Arial"/>
          <w:sz w:val="24"/>
          <w:szCs w:val="24"/>
          <w:lang w:val="mn-MN" w:eastAsia="mn-MN" w:bidi="mn-MN"/>
        </w:rPr>
        <w:t xml:space="preserve">13.37, 2050 онд 19.42 </w:t>
      </w:r>
      <w:r w:rsidR="00817FF9" w:rsidRPr="002430A8">
        <w:rPr>
          <w:rFonts w:ascii="Arial" w:eastAsia="Courier New" w:hAnsi="Arial" w:cs="Arial"/>
          <w:sz w:val="24"/>
          <w:szCs w:val="24"/>
          <w:lang w:val="mn-MN" w:eastAsia="mn-MN" w:bidi="mn-MN"/>
        </w:rPr>
        <w:t>хувь</w:t>
      </w:r>
      <w:r w:rsidR="00924874">
        <w:rPr>
          <w:rFonts w:ascii="Arial" w:eastAsia="Courier New" w:hAnsi="Arial" w:cs="Arial"/>
          <w:sz w:val="24"/>
          <w:szCs w:val="24"/>
          <w:lang w:val="mn-MN" w:eastAsia="mn-MN" w:bidi="mn-MN"/>
        </w:rPr>
        <w:t xml:space="preserve">д хүрэхээр байна. </w:t>
      </w:r>
    </w:p>
    <w:p w14:paraId="672B2F30" w14:textId="77777777"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p>
    <w:p w14:paraId="6F8763FA" w14:textId="6DEC730F" w:rsidR="00E4259E" w:rsidRPr="002430A8" w:rsidRDefault="00221814" w:rsidP="00196A7A">
      <w:pPr>
        <w:widowControl w:val="0"/>
        <w:spacing w:after="0" w:line="240" w:lineRule="auto"/>
        <w:ind w:firstLine="720"/>
        <w:contextualSpacing/>
        <w:jc w:val="both"/>
        <w:rPr>
          <w:rFonts w:ascii="Arial" w:eastAsia="Courier New" w:hAnsi="Arial" w:cs="Arial"/>
          <w:sz w:val="24"/>
          <w:szCs w:val="24"/>
          <w:lang w:val="mn-MN" w:eastAsia="mn-MN" w:bidi="mn-MN"/>
        </w:rPr>
      </w:pPr>
      <w:r w:rsidRPr="002430A8">
        <w:rPr>
          <w:rFonts w:ascii="Arial" w:eastAsia="Courier New" w:hAnsi="Arial" w:cs="Arial"/>
          <w:sz w:val="24"/>
          <w:szCs w:val="24"/>
          <w:lang w:val="mn-MN" w:eastAsia="mn-MN" w:bidi="mn-MN"/>
        </w:rPr>
        <w:t>Ийм</w:t>
      </w:r>
      <w:r w:rsidR="00047E68">
        <w:rPr>
          <w:rFonts w:ascii="Arial" w:eastAsia="Courier New" w:hAnsi="Arial" w:cs="Arial"/>
          <w:sz w:val="24"/>
          <w:szCs w:val="24"/>
          <w:lang w:val="mn-MN" w:eastAsia="mn-MN" w:bidi="mn-MN"/>
        </w:rPr>
        <w:t>ээс</w:t>
      </w:r>
      <w:r w:rsidRPr="002430A8">
        <w:rPr>
          <w:rFonts w:ascii="Arial" w:eastAsia="Courier New" w:hAnsi="Arial" w:cs="Arial"/>
          <w:sz w:val="24"/>
          <w:szCs w:val="24"/>
          <w:lang w:val="mn-MN" w:eastAsia="mn-MN" w:bidi="mn-MN"/>
        </w:rPr>
        <w:t xml:space="preserve"> Хөдөлмөр, нийгмийн хамгааллын яам Монгол Улсын тэтгэврийн сангийн урт хугацааны тогтвортой байдал, тэтгэврийн зохистой хэмжээг хангах бодлогын хувилбарыг боловсруулах </w:t>
      </w:r>
      <w:r w:rsidR="00E035EC" w:rsidRPr="002430A8">
        <w:rPr>
          <w:rFonts w:ascii="Arial" w:eastAsia="Courier New" w:hAnsi="Arial" w:cs="Arial"/>
          <w:sz w:val="24"/>
          <w:szCs w:val="24"/>
          <w:lang w:val="mn-MN" w:eastAsia="mn-MN" w:bidi="mn-MN"/>
        </w:rPr>
        <w:t>хэтийн тооцоол</w:t>
      </w:r>
      <w:r w:rsidRPr="002430A8">
        <w:rPr>
          <w:rFonts w:ascii="Arial" w:eastAsia="Courier New" w:hAnsi="Arial" w:cs="Arial"/>
          <w:sz w:val="24"/>
          <w:szCs w:val="24"/>
          <w:lang w:val="mn-MN" w:eastAsia="mn-MN" w:bidi="mn-MN"/>
        </w:rPr>
        <w:t>л</w:t>
      </w:r>
      <w:r w:rsidR="00E035EC" w:rsidRPr="002430A8">
        <w:rPr>
          <w:rFonts w:ascii="Arial" w:eastAsia="Courier New" w:hAnsi="Arial" w:cs="Arial"/>
          <w:sz w:val="24"/>
          <w:szCs w:val="24"/>
          <w:lang w:val="mn-MN" w:eastAsia="mn-MN" w:bidi="mn-MN"/>
        </w:rPr>
        <w:t>ыг Дэлхийн банкны зөвлөхөөр</w:t>
      </w:r>
      <w:r w:rsidR="00B524AD" w:rsidRPr="002430A8">
        <w:rPr>
          <w:rFonts w:ascii="Arial" w:eastAsia="Courier New" w:hAnsi="Arial" w:cs="Arial"/>
          <w:sz w:val="24"/>
          <w:szCs w:val="24"/>
          <w:lang w:val="mn-MN" w:eastAsia="mn-MN" w:bidi="mn-MN"/>
        </w:rPr>
        <w:t xml:space="preserve"> хийлгэсэн. </w:t>
      </w:r>
      <w:r w:rsidR="00644CA2" w:rsidRPr="002430A8">
        <w:rPr>
          <w:rFonts w:ascii="Arial" w:eastAsia="Courier New" w:hAnsi="Arial" w:cs="Arial"/>
          <w:sz w:val="24"/>
          <w:szCs w:val="24"/>
          <w:lang w:val="mn-MN" w:eastAsia="mn-MN" w:bidi="mn-MN"/>
        </w:rPr>
        <w:t>Энэхүү тооцооллоор дараах зө</w:t>
      </w:r>
      <w:r w:rsidR="00196A7A">
        <w:rPr>
          <w:rFonts w:ascii="Arial" w:eastAsia="Courier New" w:hAnsi="Arial" w:cs="Arial"/>
          <w:sz w:val="24"/>
          <w:szCs w:val="24"/>
          <w:lang w:val="mn-MN" w:eastAsia="mn-MN" w:bidi="mn-MN"/>
        </w:rPr>
        <w:t>влөмжийг Дэлхийн банкнаас өгсөн.</w:t>
      </w:r>
    </w:p>
    <w:p w14:paraId="38135AC4" w14:textId="77777777" w:rsidR="00644CA2" w:rsidRPr="002430A8" w:rsidRDefault="00644CA2" w:rsidP="00550650">
      <w:pPr>
        <w:widowControl w:val="0"/>
        <w:spacing w:after="0" w:line="240" w:lineRule="auto"/>
        <w:ind w:firstLine="720"/>
        <w:contextualSpacing/>
        <w:jc w:val="both"/>
        <w:rPr>
          <w:rFonts w:ascii="Arial" w:eastAsia="Courier New" w:hAnsi="Arial" w:cs="Arial"/>
          <w:sz w:val="24"/>
          <w:szCs w:val="24"/>
          <w:lang w:val="mn-MN" w:eastAsia="mn-MN" w:bidi="mn-MN"/>
        </w:rPr>
      </w:pPr>
    </w:p>
    <w:p w14:paraId="351FCF6D" w14:textId="49841BE4" w:rsidR="00644CA2" w:rsidRPr="002430A8" w:rsidRDefault="00E4259E" w:rsidP="00047E68">
      <w:pPr>
        <w:spacing w:after="0" w:line="240" w:lineRule="auto"/>
        <w:ind w:firstLine="720"/>
        <w:jc w:val="both"/>
        <w:rPr>
          <w:rFonts w:ascii="Arial" w:hAnsi="Arial" w:cs="Arial"/>
          <w:sz w:val="24"/>
          <w:szCs w:val="24"/>
          <w:lang w:val="mn-MN"/>
        </w:rPr>
      </w:pPr>
      <w:r w:rsidRPr="002430A8">
        <w:rPr>
          <w:rFonts w:ascii="Arial" w:hAnsi="Arial" w:cs="Arial"/>
          <w:iCs/>
          <w:sz w:val="24"/>
          <w:szCs w:val="24"/>
          <w:lang w:val="mn-MN"/>
        </w:rPr>
        <w:t>Монгол Улс тэтгэврийн даатгалын тогтолцоондоо параметрийн шинэчлэл хийхээ хойшлуулах тусам төсвийн зардал нэмэгдэж, илүү тогтвортой, шударга байдлыг хангасан параметр бүхий тогтолцоонд шилжихэд улам л хүндрэлтэй болно</w:t>
      </w:r>
      <w:r w:rsidRPr="002430A8">
        <w:rPr>
          <w:rFonts w:ascii="Arial" w:hAnsi="Arial" w:cs="Arial"/>
          <w:b/>
          <w:i/>
          <w:sz w:val="24"/>
          <w:szCs w:val="24"/>
          <w:lang w:val="mn-MN"/>
        </w:rPr>
        <w:t xml:space="preserve">. </w:t>
      </w:r>
      <w:r w:rsidRPr="002430A8">
        <w:rPr>
          <w:rFonts w:ascii="Arial" w:hAnsi="Arial" w:cs="Arial"/>
          <w:sz w:val="24"/>
          <w:szCs w:val="24"/>
          <w:lang w:val="mn-MN"/>
        </w:rPr>
        <w:t>Суурь тооцооллоос харахад тэтгэврийн даатгалын санд шаардагдах улсын төсвийн татаас</w:t>
      </w:r>
      <w:r w:rsidR="00644CA2" w:rsidRPr="002430A8">
        <w:rPr>
          <w:rStyle w:val="FootnoteReference"/>
          <w:rFonts w:ascii="Arial" w:hAnsi="Arial" w:cs="Arial"/>
          <w:sz w:val="24"/>
          <w:szCs w:val="24"/>
          <w:lang w:val="mn-MN"/>
        </w:rPr>
        <w:footnoteReference w:id="1"/>
      </w:r>
      <w:r w:rsidRPr="002430A8">
        <w:rPr>
          <w:rFonts w:ascii="Arial" w:hAnsi="Arial" w:cs="Arial"/>
          <w:sz w:val="24"/>
          <w:szCs w:val="24"/>
          <w:lang w:val="mn-MN"/>
        </w:rPr>
        <w:t xml:space="preserve"> хурдацтай өсч, төсвийн даацаас хэтрэх түвшинд очихоор </w:t>
      </w:r>
      <w:r w:rsidR="003566F5">
        <w:rPr>
          <w:rFonts w:ascii="Arial" w:hAnsi="Arial" w:cs="Arial"/>
          <w:sz w:val="24"/>
          <w:szCs w:val="24"/>
          <w:lang w:val="mn-MN"/>
        </w:rPr>
        <w:t>байна. Улсын төсвийн татаас 2021</w:t>
      </w:r>
      <w:r w:rsidRPr="002430A8">
        <w:rPr>
          <w:rFonts w:ascii="Arial" w:hAnsi="Arial" w:cs="Arial"/>
          <w:sz w:val="24"/>
          <w:szCs w:val="24"/>
          <w:lang w:val="mn-MN"/>
        </w:rPr>
        <w:t xml:space="preserve"> онд</w:t>
      </w:r>
      <w:r w:rsidR="003566F5">
        <w:rPr>
          <w:rFonts w:ascii="Arial" w:hAnsi="Arial" w:cs="Arial"/>
          <w:sz w:val="24"/>
          <w:szCs w:val="24"/>
          <w:lang w:val="mn-MN"/>
        </w:rPr>
        <w:t xml:space="preserve"> ДНБ-ий 1.4</w:t>
      </w:r>
      <w:r w:rsidR="00644CA2" w:rsidRPr="002430A8">
        <w:rPr>
          <w:rFonts w:ascii="Arial" w:hAnsi="Arial" w:cs="Arial"/>
          <w:sz w:val="24"/>
          <w:szCs w:val="24"/>
          <w:lang w:val="mn-MN"/>
        </w:rPr>
        <w:t xml:space="preserve"> хувь</w:t>
      </w:r>
      <w:r w:rsidRPr="002430A8">
        <w:rPr>
          <w:rFonts w:ascii="Arial" w:hAnsi="Arial" w:cs="Arial"/>
          <w:sz w:val="24"/>
          <w:szCs w:val="24"/>
          <w:lang w:val="mn-MN"/>
        </w:rPr>
        <w:t>тай тэнцэж байсан бол 2030</w:t>
      </w:r>
      <w:r w:rsidR="00644CA2" w:rsidRPr="002430A8">
        <w:rPr>
          <w:rFonts w:ascii="Arial" w:hAnsi="Arial" w:cs="Arial"/>
          <w:sz w:val="24"/>
          <w:szCs w:val="24"/>
          <w:lang w:val="mn-MN"/>
        </w:rPr>
        <w:t xml:space="preserve"> онд 6.8 хувь, 2050 онд 11.3 хувь</w:t>
      </w:r>
      <w:r w:rsidR="00653646" w:rsidRPr="002430A8">
        <w:rPr>
          <w:rFonts w:ascii="Arial" w:hAnsi="Arial" w:cs="Arial"/>
          <w:sz w:val="24"/>
          <w:szCs w:val="24"/>
          <w:lang w:val="mn-MN"/>
        </w:rPr>
        <w:t xml:space="preserve"> хүртэл өсөх төлөвтэй </w:t>
      </w:r>
      <w:r w:rsidRPr="002430A8">
        <w:rPr>
          <w:rFonts w:ascii="Arial" w:hAnsi="Arial" w:cs="Arial"/>
          <w:sz w:val="24"/>
          <w:szCs w:val="24"/>
          <w:lang w:val="mn-MN"/>
        </w:rPr>
        <w:t xml:space="preserve">байна. </w:t>
      </w:r>
      <w:r w:rsidR="00644CA2" w:rsidRPr="002430A8">
        <w:rPr>
          <w:rFonts w:ascii="Arial" w:hAnsi="Arial" w:cs="Arial"/>
          <w:sz w:val="24"/>
          <w:szCs w:val="24"/>
          <w:lang w:val="mn-MN"/>
        </w:rPr>
        <w:t xml:space="preserve">Мөн </w:t>
      </w:r>
      <w:r w:rsidR="00047E68">
        <w:rPr>
          <w:rFonts w:ascii="Arial" w:hAnsi="Arial" w:cs="Arial"/>
          <w:iCs/>
          <w:sz w:val="24"/>
          <w:szCs w:val="24"/>
          <w:lang w:val="mn-MN"/>
        </w:rPr>
        <w:t>ш</w:t>
      </w:r>
      <w:r w:rsidR="00644CA2" w:rsidRPr="002430A8">
        <w:rPr>
          <w:rFonts w:ascii="Arial" w:hAnsi="Arial" w:cs="Arial"/>
          <w:iCs/>
          <w:sz w:val="24"/>
          <w:szCs w:val="24"/>
          <w:lang w:val="mn-MN"/>
        </w:rPr>
        <w:t>имтгэлийн хувь хэмжээг</w:t>
      </w:r>
      <w:r w:rsidR="00644CA2" w:rsidRPr="002430A8">
        <w:rPr>
          <w:rFonts w:ascii="Arial" w:hAnsi="Arial" w:cs="Arial"/>
          <w:iCs/>
          <w:sz w:val="24"/>
          <w:szCs w:val="24"/>
          <w:vertAlign w:val="superscript"/>
          <w:lang w:val="mn-MN"/>
        </w:rPr>
        <w:footnoteReference w:id="2"/>
      </w:r>
      <w:r w:rsidR="00644CA2" w:rsidRPr="002430A8">
        <w:rPr>
          <w:rFonts w:ascii="Arial" w:hAnsi="Arial" w:cs="Arial"/>
          <w:iCs/>
          <w:sz w:val="24"/>
          <w:szCs w:val="24"/>
          <w:lang w:val="mn-MN"/>
        </w:rPr>
        <w:t xml:space="preserve"> ирээдүйд олгохоор амлаж буй тэтгэврийн хэмжээтэй сайтар уялдуулалгүйгээр доогуур тогтоосон, тэтгэвэрт гарах нас эрт байгаа нь улсын төсвийн татаасыг нэмэгдүүлэхэд гол нөлөөл</w:t>
      </w:r>
      <w:r w:rsidR="003566F5">
        <w:rPr>
          <w:rFonts w:ascii="Arial" w:hAnsi="Arial" w:cs="Arial"/>
          <w:iCs/>
          <w:sz w:val="24"/>
          <w:szCs w:val="24"/>
          <w:lang w:val="mn-MN"/>
        </w:rPr>
        <w:t>өл</w:t>
      </w:r>
      <w:r w:rsidR="00644CA2" w:rsidRPr="002430A8">
        <w:rPr>
          <w:rFonts w:ascii="Arial" w:hAnsi="Arial" w:cs="Arial"/>
          <w:iCs/>
          <w:sz w:val="24"/>
          <w:szCs w:val="24"/>
          <w:lang w:val="mn-MN"/>
        </w:rPr>
        <w:t xml:space="preserve"> </w:t>
      </w:r>
      <w:r w:rsidR="003566F5">
        <w:rPr>
          <w:rFonts w:ascii="Arial" w:hAnsi="Arial" w:cs="Arial"/>
          <w:iCs/>
          <w:sz w:val="24"/>
          <w:szCs w:val="24"/>
          <w:lang w:val="mn-MN"/>
        </w:rPr>
        <w:t xml:space="preserve">үзүүлж </w:t>
      </w:r>
      <w:r w:rsidR="00644CA2" w:rsidRPr="002430A8">
        <w:rPr>
          <w:rFonts w:ascii="Arial" w:hAnsi="Arial" w:cs="Arial"/>
          <w:iCs/>
          <w:sz w:val="24"/>
          <w:szCs w:val="24"/>
          <w:lang w:val="mn-MN"/>
        </w:rPr>
        <w:t>байна</w:t>
      </w:r>
      <w:r w:rsidR="00644CA2" w:rsidRPr="002430A8">
        <w:rPr>
          <w:rFonts w:ascii="Arial" w:hAnsi="Arial" w:cs="Arial"/>
          <w:i/>
          <w:sz w:val="24"/>
          <w:szCs w:val="24"/>
          <w:lang w:val="mn-MN"/>
        </w:rPr>
        <w:t>.</w:t>
      </w:r>
      <w:r w:rsidR="00644CA2" w:rsidRPr="002430A8">
        <w:rPr>
          <w:rFonts w:ascii="Arial" w:hAnsi="Arial" w:cs="Arial"/>
          <w:b/>
          <w:i/>
          <w:sz w:val="24"/>
          <w:szCs w:val="24"/>
          <w:lang w:val="mn-MN"/>
        </w:rPr>
        <w:t xml:space="preserve"> </w:t>
      </w:r>
      <w:r w:rsidR="00644CA2" w:rsidRPr="002430A8">
        <w:rPr>
          <w:rFonts w:ascii="Arial" w:hAnsi="Arial" w:cs="Arial"/>
          <w:sz w:val="24"/>
          <w:szCs w:val="24"/>
          <w:lang w:val="mn-MN"/>
        </w:rPr>
        <w:t>Тэтгэвэр тогтоолгох эрх үүсгэсэн ахмад настны тоо нэмэгдсээр байгаа нь цаашид зардлыг улам өсгөнө.</w:t>
      </w:r>
      <w:r w:rsidR="00644CA2" w:rsidRPr="002430A8">
        <w:rPr>
          <w:rFonts w:ascii="Arial" w:hAnsi="Arial" w:cs="Arial"/>
          <w:b/>
          <w:i/>
          <w:sz w:val="24"/>
          <w:szCs w:val="24"/>
          <w:lang w:val="mn-MN"/>
        </w:rPr>
        <w:t xml:space="preserve"> </w:t>
      </w:r>
    </w:p>
    <w:p w14:paraId="59CDDC6D" w14:textId="77777777" w:rsidR="000E5627" w:rsidRDefault="000E5627" w:rsidP="00550650">
      <w:pPr>
        <w:spacing w:after="0" w:line="240" w:lineRule="auto"/>
        <w:ind w:firstLine="720"/>
        <w:jc w:val="both"/>
        <w:rPr>
          <w:rFonts w:ascii="Arial" w:hAnsi="Arial" w:cs="Arial"/>
          <w:sz w:val="24"/>
          <w:szCs w:val="24"/>
          <w:lang w:val="mn-MN"/>
        </w:rPr>
      </w:pPr>
    </w:p>
    <w:p w14:paraId="20656164" w14:textId="27A81E09" w:rsidR="00644CA2" w:rsidRDefault="00644CA2" w:rsidP="00550650">
      <w:pPr>
        <w:spacing w:after="0" w:line="240" w:lineRule="auto"/>
        <w:ind w:firstLine="720"/>
        <w:jc w:val="both"/>
        <w:rPr>
          <w:rFonts w:ascii="Arial" w:hAnsi="Arial" w:cs="Arial"/>
          <w:sz w:val="24"/>
          <w:szCs w:val="24"/>
        </w:rPr>
      </w:pPr>
      <w:r w:rsidRPr="002430A8">
        <w:rPr>
          <w:rFonts w:ascii="Arial" w:hAnsi="Arial" w:cs="Arial"/>
          <w:sz w:val="24"/>
          <w:szCs w:val="24"/>
          <w:lang w:val="mn-MN"/>
        </w:rPr>
        <w:t xml:space="preserve">Тэтгэврийн зардлыг санхүүжүүлэхэд чиглэсэн улсын төсвийн татаасын өсөлтийг хязгаарлахын зэрэгцээ тэтгэврийн тогтолцоог илүү шударга, ирээдүйд авах тэтгэврийн хэмжээг илүү тодорхой болгох зорилгоор дараах шинэчлэлийг </w:t>
      </w:r>
      <w:r w:rsidR="00E035EC" w:rsidRPr="002430A8">
        <w:rPr>
          <w:rFonts w:ascii="Arial" w:hAnsi="Arial" w:cs="Arial"/>
          <w:sz w:val="24"/>
          <w:szCs w:val="24"/>
          <w:lang w:val="mn-MN"/>
        </w:rPr>
        <w:t>санал болгос</w:t>
      </w:r>
      <w:r w:rsidRPr="002430A8">
        <w:rPr>
          <w:rFonts w:ascii="Arial" w:hAnsi="Arial" w:cs="Arial"/>
          <w:sz w:val="24"/>
          <w:szCs w:val="24"/>
          <w:lang w:val="mn-MN"/>
        </w:rPr>
        <w:t>он. Үүнд</w:t>
      </w:r>
      <w:r w:rsidRPr="002430A8">
        <w:rPr>
          <w:rFonts w:ascii="Arial" w:hAnsi="Arial" w:cs="Arial"/>
          <w:sz w:val="24"/>
          <w:szCs w:val="24"/>
        </w:rPr>
        <w:t>:</w:t>
      </w:r>
    </w:p>
    <w:p w14:paraId="7794F6B7" w14:textId="77777777" w:rsidR="000D7CEE" w:rsidRPr="002430A8" w:rsidRDefault="000D7CEE" w:rsidP="00550650">
      <w:pPr>
        <w:spacing w:after="0" w:line="240" w:lineRule="auto"/>
        <w:ind w:firstLine="720"/>
        <w:jc w:val="both"/>
        <w:rPr>
          <w:rFonts w:ascii="Arial" w:hAnsi="Arial" w:cs="Arial"/>
          <w:sz w:val="24"/>
          <w:szCs w:val="24"/>
        </w:rPr>
      </w:pPr>
    </w:p>
    <w:p w14:paraId="6C55F62B" w14:textId="59FA2532" w:rsidR="00644CA2" w:rsidRPr="00D7242D" w:rsidRDefault="00644CA2" w:rsidP="00D7242D">
      <w:pPr>
        <w:pStyle w:val="ListParagraph"/>
        <w:numPr>
          <w:ilvl w:val="0"/>
          <w:numId w:val="3"/>
        </w:numPr>
        <w:spacing w:after="0" w:line="240" w:lineRule="auto"/>
        <w:ind w:left="180" w:hanging="180"/>
        <w:contextualSpacing w:val="0"/>
        <w:jc w:val="both"/>
        <w:rPr>
          <w:rFonts w:ascii="Arial" w:hAnsi="Arial" w:cs="Arial"/>
          <w:bCs/>
          <w:sz w:val="24"/>
          <w:szCs w:val="24"/>
          <w:lang w:val="mn-MN"/>
        </w:rPr>
      </w:pPr>
      <w:r w:rsidRPr="00D7242D">
        <w:rPr>
          <w:rFonts w:ascii="Arial" w:hAnsi="Arial" w:cs="Arial"/>
          <w:bCs/>
          <w:sz w:val="24"/>
          <w:szCs w:val="24"/>
          <w:lang w:val="mn-MN"/>
        </w:rPr>
        <w:t>Тэтгэврийг индексжүүлэн нэмэгдүүлдэг болох</w:t>
      </w:r>
      <w:r w:rsidR="00D7242D">
        <w:rPr>
          <w:rFonts w:ascii="Arial" w:hAnsi="Arial" w:cs="Arial"/>
          <w:bCs/>
          <w:sz w:val="24"/>
          <w:szCs w:val="24"/>
          <w:lang w:val="mn-MN"/>
        </w:rPr>
        <w:t xml:space="preserve">: </w:t>
      </w:r>
      <w:r w:rsidRPr="00D7242D">
        <w:rPr>
          <w:rFonts w:ascii="Arial" w:hAnsi="Arial" w:cs="Arial"/>
          <w:sz w:val="24"/>
          <w:szCs w:val="24"/>
          <w:lang w:val="mn-MN"/>
        </w:rPr>
        <w:t>Тэтгэврийн хэмжээг автоматаар нэмэгдүүлж байх, тухайлбал хэрэглээний үнийн индексээр өсгөж нэмэгдүүлдэг бодлого баримтлах</w:t>
      </w:r>
    </w:p>
    <w:p w14:paraId="5DC36BF9" w14:textId="77777777" w:rsidR="000D7CEE" w:rsidRPr="002430A8" w:rsidRDefault="000D7CEE" w:rsidP="000D7CEE">
      <w:pPr>
        <w:pStyle w:val="ListParagraph"/>
        <w:spacing w:after="0" w:line="240" w:lineRule="auto"/>
        <w:ind w:left="180"/>
        <w:contextualSpacing w:val="0"/>
        <w:jc w:val="both"/>
        <w:rPr>
          <w:rFonts w:ascii="Arial" w:hAnsi="Arial" w:cs="Arial"/>
          <w:sz w:val="24"/>
          <w:szCs w:val="24"/>
          <w:lang w:val="mn-MN"/>
        </w:rPr>
      </w:pPr>
    </w:p>
    <w:p w14:paraId="205117E5" w14:textId="44F63B6D" w:rsidR="00212D7A" w:rsidRPr="00D7242D" w:rsidRDefault="00212D7A" w:rsidP="007B5226">
      <w:pPr>
        <w:pStyle w:val="ListParagraph"/>
        <w:numPr>
          <w:ilvl w:val="0"/>
          <w:numId w:val="3"/>
        </w:numPr>
        <w:spacing w:after="0" w:line="240" w:lineRule="auto"/>
        <w:ind w:left="180" w:hanging="180"/>
        <w:contextualSpacing w:val="0"/>
        <w:jc w:val="both"/>
        <w:rPr>
          <w:rFonts w:ascii="Arial" w:hAnsi="Arial" w:cs="Arial"/>
          <w:sz w:val="24"/>
          <w:szCs w:val="24"/>
          <w:lang w:val="mn-MN"/>
        </w:rPr>
      </w:pPr>
      <w:r w:rsidRPr="00D7242D">
        <w:rPr>
          <w:rFonts w:ascii="Arial" w:hAnsi="Arial" w:cs="Arial"/>
          <w:bCs/>
          <w:iCs/>
          <w:sz w:val="24"/>
          <w:szCs w:val="24"/>
          <w:lang w:val="mn-MN"/>
        </w:rPr>
        <w:t>Түүнчлэн, тэтгэвэр бодох хувь хэмжээг шимтгэл төлсөн жил бүрт жигд тооцох</w:t>
      </w:r>
      <w:r w:rsidR="00D7242D" w:rsidRPr="00D7242D">
        <w:rPr>
          <w:rFonts w:ascii="Arial" w:hAnsi="Arial" w:cs="Arial"/>
          <w:bCs/>
          <w:iCs/>
          <w:sz w:val="24"/>
          <w:szCs w:val="24"/>
          <w:lang w:val="mn-MN"/>
        </w:rPr>
        <w:t>:</w:t>
      </w:r>
      <w:r w:rsidR="00D7242D">
        <w:rPr>
          <w:rFonts w:ascii="Arial" w:hAnsi="Arial" w:cs="Arial"/>
          <w:bCs/>
          <w:iCs/>
          <w:sz w:val="24"/>
          <w:szCs w:val="24"/>
          <w:lang w:val="mn-MN"/>
        </w:rPr>
        <w:t xml:space="preserve"> </w:t>
      </w:r>
      <w:r w:rsidRPr="00D7242D">
        <w:rPr>
          <w:rFonts w:ascii="Arial" w:hAnsi="Arial" w:cs="Arial"/>
          <w:sz w:val="24"/>
          <w:szCs w:val="24"/>
          <w:lang w:val="mn-MN"/>
        </w:rPr>
        <w:t xml:space="preserve">Өнөөдрийн байдлаар тэтгэвэр бодох хувь хэмжээг даатгуулагчийн шимтгэл </w:t>
      </w:r>
      <w:r w:rsidRPr="00D7242D">
        <w:rPr>
          <w:rFonts w:ascii="Arial" w:hAnsi="Arial" w:cs="Arial"/>
          <w:sz w:val="24"/>
          <w:szCs w:val="24"/>
          <w:lang w:val="mn-MN"/>
        </w:rPr>
        <w:lastRenderedPageBreak/>
        <w:t xml:space="preserve">төлсөн нийт хугацааны эхний жилүүдэд  өндөр, харин сүүлийн жилүүдэд арай доогуур хувиар тооцож байна. </w:t>
      </w:r>
      <w:r w:rsidRPr="00D7242D">
        <w:rPr>
          <w:rFonts w:ascii="Arial" w:hAnsi="Arial" w:cs="Arial"/>
          <w:bCs/>
          <w:iCs/>
          <w:sz w:val="24"/>
          <w:szCs w:val="24"/>
          <w:lang w:val="mn-MN"/>
        </w:rPr>
        <w:t>Тэтгэвэр бодох хувь хэмжээг шимтгэл төлсөн жил тутамд ижил түвшингээр, тухайлбал жил тутамд 2 хувиар тооцдог</w:t>
      </w:r>
      <w:r w:rsidRPr="00D7242D">
        <w:rPr>
          <w:rFonts w:ascii="Arial" w:hAnsi="Arial" w:cs="Arial"/>
          <w:b/>
          <w:i/>
          <w:sz w:val="24"/>
          <w:szCs w:val="24"/>
          <w:lang w:val="mn-MN"/>
        </w:rPr>
        <w:t xml:space="preserve"> </w:t>
      </w:r>
      <w:r w:rsidRPr="00D7242D">
        <w:rPr>
          <w:rFonts w:ascii="Arial" w:hAnsi="Arial" w:cs="Arial"/>
          <w:bCs/>
          <w:iCs/>
          <w:sz w:val="24"/>
          <w:szCs w:val="24"/>
          <w:lang w:val="mn-MN"/>
        </w:rPr>
        <w:t>болбол д</w:t>
      </w:r>
      <w:r w:rsidRPr="00D7242D">
        <w:rPr>
          <w:rFonts w:ascii="Arial" w:hAnsi="Arial" w:cs="Arial"/>
          <w:sz w:val="24"/>
          <w:szCs w:val="24"/>
          <w:lang w:val="mn-MN"/>
        </w:rPr>
        <w:t xml:space="preserve">аатгуулагч илүү олон жил ажиллаж, шимтгэл төлөх хөшүүргийг бий болгоно. </w:t>
      </w:r>
    </w:p>
    <w:p w14:paraId="706123B0" w14:textId="77777777" w:rsidR="001F6219" w:rsidRPr="002430A8" w:rsidRDefault="001F6219" w:rsidP="000D7CEE">
      <w:pPr>
        <w:pStyle w:val="ListParagraph"/>
        <w:spacing w:after="0" w:line="240" w:lineRule="auto"/>
        <w:ind w:left="180"/>
        <w:contextualSpacing w:val="0"/>
        <w:jc w:val="both"/>
        <w:rPr>
          <w:rFonts w:ascii="Arial" w:hAnsi="Arial" w:cs="Arial"/>
          <w:sz w:val="24"/>
          <w:szCs w:val="24"/>
          <w:lang w:val="mn-MN"/>
        </w:rPr>
      </w:pPr>
    </w:p>
    <w:p w14:paraId="620E7339" w14:textId="5AA001AE" w:rsidR="00212D7A" w:rsidRPr="0093212F" w:rsidRDefault="00212D7A" w:rsidP="0093212F">
      <w:pPr>
        <w:pStyle w:val="ListParagraph"/>
        <w:numPr>
          <w:ilvl w:val="0"/>
          <w:numId w:val="3"/>
        </w:numPr>
        <w:spacing w:after="0" w:line="240" w:lineRule="auto"/>
        <w:ind w:left="180" w:hanging="180"/>
        <w:contextualSpacing w:val="0"/>
        <w:jc w:val="both"/>
        <w:rPr>
          <w:rFonts w:ascii="Arial" w:hAnsi="Arial" w:cs="Arial"/>
          <w:bCs/>
          <w:sz w:val="24"/>
          <w:szCs w:val="24"/>
          <w:lang w:val="mn-MN"/>
        </w:rPr>
      </w:pPr>
      <w:r w:rsidRPr="0093212F">
        <w:rPr>
          <w:rFonts w:ascii="Arial" w:hAnsi="Arial" w:cs="Arial"/>
          <w:bCs/>
          <w:iCs/>
          <w:sz w:val="24"/>
          <w:szCs w:val="24"/>
          <w:lang w:val="mn-MN"/>
        </w:rPr>
        <w:t>Ирээдүйд авах тэтгэврийн хэмжээ хамрах хугацааны цалин, хөлстэй харьцуулахад буурах төлөвтэй тул ажил олгогч болон ажилтнууд сайн дурын, хувийн, нэмэлт тэтгэврийн системд хамрагдах боломжийг бүрдүүлэхэд Засгийн газрын зүгээс анхаарах</w:t>
      </w:r>
      <w:r w:rsidR="0093212F" w:rsidRPr="0093212F">
        <w:rPr>
          <w:rFonts w:ascii="Arial" w:hAnsi="Arial" w:cs="Arial"/>
          <w:bCs/>
          <w:sz w:val="24"/>
          <w:szCs w:val="24"/>
          <w:lang w:val="mn-MN"/>
        </w:rPr>
        <w:t>:</w:t>
      </w:r>
      <w:r w:rsidR="0093212F">
        <w:rPr>
          <w:rFonts w:ascii="Arial" w:hAnsi="Arial" w:cs="Arial"/>
          <w:bCs/>
          <w:i/>
          <w:sz w:val="24"/>
          <w:szCs w:val="24"/>
          <w:lang w:val="mn-MN"/>
        </w:rPr>
        <w:t xml:space="preserve"> </w:t>
      </w:r>
      <w:r w:rsidRPr="0093212F">
        <w:rPr>
          <w:rFonts w:ascii="Arial" w:hAnsi="Arial" w:cs="Arial"/>
          <w:sz w:val="24"/>
          <w:szCs w:val="24"/>
          <w:lang w:val="mn-MN"/>
        </w:rPr>
        <w:t>Бүрэн хуримтлалын зарчимд суурилж,  шинээр хөгжүүлэх боломжтой ийм нэмэлт тэтгэврийн системийг холбогдох хуулиар зохицуулж, хэрэгжилтийг Санхүүгийн зохицуулах хорооноос хянах шаардлагатай гэж тус тус зөвлөсөн.</w:t>
      </w:r>
    </w:p>
    <w:p w14:paraId="5CFB7D05" w14:textId="77777777" w:rsidR="001F6219" w:rsidRPr="0093212F" w:rsidRDefault="001F6219" w:rsidP="000D7CEE">
      <w:pPr>
        <w:pStyle w:val="ListParagraph"/>
        <w:spacing w:after="0" w:line="240" w:lineRule="auto"/>
        <w:ind w:left="180"/>
        <w:contextualSpacing w:val="0"/>
        <w:jc w:val="both"/>
        <w:rPr>
          <w:rFonts w:ascii="Arial" w:hAnsi="Arial" w:cs="Arial"/>
          <w:sz w:val="24"/>
          <w:szCs w:val="24"/>
          <w:lang w:val="mn-MN"/>
        </w:rPr>
      </w:pPr>
    </w:p>
    <w:p w14:paraId="10260DF3" w14:textId="066EDFA9" w:rsidR="002B7736" w:rsidRPr="00FC7D72" w:rsidRDefault="00C171AA" w:rsidP="002B7736">
      <w:pPr>
        <w:pStyle w:val="Caption"/>
        <w:keepNext/>
        <w:keepLines/>
        <w:numPr>
          <w:ilvl w:val="0"/>
          <w:numId w:val="3"/>
        </w:numPr>
        <w:tabs>
          <w:tab w:val="left" w:pos="360"/>
        </w:tabs>
        <w:spacing w:after="240"/>
        <w:ind w:left="180" w:hanging="180"/>
        <w:jc w:val="both"/>
        <w:rPr>
          <w:rFonts w:ascii="Arial" w:hAnsi="Arial" w:cs="Arial"/>
          <w:sz w:val="24"/>
          <w:szCs w:val="24"/>
          <w:lang w:val="mn-MN"/>
        </w:rPr>
      </w:pPr>
      <w:r w:rsidRPr="0093212F">
        <w:rPr>
          <w:rFonts w:ascii="Arial" w:hAnsi="Arial" w:cs="Arial"/>
          <w:b w:val="0"/>
          <w:bCs w:val="0"/>
          <w:sz w:val="24"/>
          <w:szCs w:val="24"/>
          <w:lang w:val="mn-MN"/>
        </w:rPr>
        <w:t xml:space="preserve">Шимтгэлд суурилсан бүрэн хуримтлалын тогтолцоог нэвтрүүлэхэд шаардагдах төсвийн зардал </w:t>
      </w:r>
      <w:r w:rsidR="000D7CEE" w:rsidRPr="0093212F">
        <w:rPr>
          <w:rFonts w:ascii="Arial" w:hAnsi="Arial" w:cs="Arial"/>
          <w:b w:val="0"/>
          <w:bCs w:val="0"/>
          <w:sz w:val="24"/>
          <w:szCs w:val="24"/>
          <w:lang w:val="mn-MN"/>
        </w:rPr>
        <w:t xml:space="preserve">нь </w:t>
      </w:r>
      <w:r w:rsidRPr="0093212F">
        <w:rPr>
          <w:rFonts w:ascii="Arial" w:hAnsi="Arial" w:cs="Arial"/>
          <w:b w:val="0"/>
          <w:bCs w:val="0"/>
          <w:sz w:val="24"/>
          <w:szCs w:val="24"/>
          <w:lang w:val="mn-MN"/>
        </w:rPr>
        <w:t>параметрийн сонголт, зах зээлийн өгөөж зэргээс хамааран ирэх</w:t>
      </w:r>
      <w:r w:rsidRPr="0093212F">
        <w:rPr>
          <w:rFonts w:ascii="Arial" w:hAnsi="Arial" w:cs="Arial"/>
          <w:b w:val="0"/>
          <w:bCs w:val="0"/>
          <w:i/>
          <w:sz w:val="24"/>
          <w:szCs w:val="24"/>
          <w:lang w:val="mn-MN"/>
        </w:rPr>
        <w:t xml:space="preserve"> </w:t>
      </w:r>
      <w:r w:rsidRPr="0093212F">
        <w:rPr>
          <w:rFonts w:ascii="Arial" w:hAnsi="Arial" w:cs="Arial"/>
          <w:b w:val="0"/>
          <w:bCs w:val="0"/>
          <w:sz w:val="24"/>
          <w:szCs w:val="24"/>
          <w:lang w:val="mn-MN"/>
        </w:rPr>
        <w:t>гуч гаруй жилийн хугацаан</w:t>
      </w:r>
      <w:r w:rsidR="0093212F" w:rsidRPr="0093212F">
        <w:rPr>
          <w:rFonts w:ascii="Arial" w:hAnsi="Arial" w:cs="Arial"/>
          <w:b w:val="0"/>
          <w:bCs w:val="0"/>
          <w:sz w:val="24"/>
          <w:szCs w:val="24"/>
          <w:lang w:val="mn-MN"/>
        </w:rPr>
        <w:t>д ихээхэн хэмжээгээр нэмэгдэнэ:</w:t>
      </w:r>
      <w:r w:rsidR="0093212F">
        <w:rPr>
          <w:rFonts w:ascii="Arial" w:hAnsi="Arial" w:cs="Arial"/>
          <w:b w:val="0"/>
          <w:bCs w:val="0"/>
          <w:sz w:val="24"/>
          <w:szCs w:val="24"/>
          <w:lang w:val="mn-MN"/>
        </w:rPr>
        <w:t xml:space="preserve"> </w:t>
      </w:r>
      <w:r w:rsidRPr="0093212F">
        <w:rPr>
          <w:rFonts w:ascii="Arial" w:hAnsi="Arial" w:cs="Arial"/>
          <w:b w:val="0"/>
          <w:sz w:val="24"/>
          <w:szCs w:val="24"/>
          <w:lang w:val="mn-MN"/>
        </w:rPr>
        <w:t>Монгол улсын хуваарилалтын тогтолцооноос бүрэн хуримтлалын тогтолцоонд шилжинэ гэвэл өнөөгийн даатгуулагчдаас төвлөрүүлэх шимтгэлийн бүх орлого, хөрөнгө оруулалтын өгөөжийг тусгай санд байршуулах шаардлагатай тул Монгол улсын одоогийн хуваарилалтын зарчим бүхий хийсвэр нэрийн дансны систем шиг төвлөрүүлсэн шимтгэлээрээ өнөө үеийн тэтгэврийг санхүүжүүлэх боломжгүй болно. Засгийн газар одоогийн тэтгэвэр авагчдад олгох тэтгэврийн зардлыг санхүүжүүлэхийн тулд улсын төсвийн татаасыг эрс нэмэгдүүлэх шаардлага тулгарна. Улсын төсөв дээр ирэх ийм огцом, хэт их ачаалал хуримтлалын данснаас тэтгэвэр олгож эхлэх, улмаар төвөөс санхүүжүүлэх тэтгэврийн зардал мэдэгдэхүйц буурах хүртэл олон жил үргэлжлэх болно</w:t>
      </w:r>
      <w:r w:rsidR="00FC7D72">
        <w:rPr>
          <w:rFonts w:ascii="Arial" w:hAnsi="Arial" w:cs="Arial"/>
          <w:b w:val="0"/>
          <w:sz w:val="24"/>
          <w:szCs w:val="24"/>
          <w:lang w:val="mn-MN"/>
        </w:rPr>
        <w:t xml:space="preserve">. </w:t>
      </w:r>
      <w:r w:rsidR="00550650" w:rsidRPr="00FC7D72">
        <w:rPr>
          <w:rFonts w:ascii="Arial" w:hAnsi="Arial" w:cs="Arial"/>
          <w:b w:val="0"/>
          <w:sz w:val="24"/>
          <w:szCs w:val="24"/>
          <w:lang w:val="mn-MN"/>
        </w:rPr>
        <w:t>Иймд хур</w:t>
      </w:r>
      <w:r w:rsidR="00722221" w:rsidRPr="00FC7D72">
        <w:rPr>
          <w:rFonts w:ascii="Arial" w:hAnsi="Arial" w:cs="Arial"/>
          <w:b w:val="0"/>
          <w:sz w:val="24"/>
          <w:szCs w:val="24"/>
          <w:lang w:val="mn-MN"/>
        </w:rPr>
        <w:t>и</w:t>
      </w:r>
      <w:r w:rsidR="00550650" w:rsidRPr="00FC7D72">
        <w:rPr>
          <w:rFonts w:ascii="Arial" w:hAnsi="Arial" w:cs="Arial"/>
          <w:b w:val="0"/>
          <w:sz w:val="24"/>
          <w:szCs w:val="24"/>
          <w:lang w:val="mn-MN"/>
        </w:rPr>
        <w:t>мтлалын тогтолцоонд аажмаар шилжих нь зүйтэй гэж зөвлө</w:t>
      </w:r>
      <w:r w:rsidR="00D16085" w:rsidRPr="00FC7D72">
        <w:rPr>
          <w:rFonts w:ascii="Arial" w:hAnsi="Arial" w:cs="Arial"/>
          <w:b w:val="0"/>
          <w:sz w:val="24"/>
          <w:szCs w:val="24"/>
          <w:lang w:val="mn-MN"/>
        </w:rPr>
        <w:t>сөн</w:t>
      </w:r>
      <w:r w:rsidR="00550650" w:rsidRPr="00FC7D72">
        <w:rPr>
          <w:rFonts w:ascii="Arial" w:hAnsi="Arial" w:cs="Arial"/>
          <w:b w:val="0"/>
          <w:sz w:val="24"/>
          <w:szCs w:val="24"/>
          <w:lang w:val="mn-MN"/>
        </w:rPr>
        <w:t>.</w:t>
      </w:r>
      <w:r w:rsidR="00550650" w:rsidRPr="00FC7D72">
        <w:rPr>
          <w:rFonts w:ascii="Arial" w:hAnsi="Arial" w:cs="Arial"/>
          <w:b w:val="0"/>
          <w:color w:val="323E4F" w:themeColor="text2" w:themeShade="BF"/>
          <w:sz w:val="24"/>
          <w:szCs w:val="24"/>
          <w:lang w:val="mn-MN"/>
        </w:rPr>
        <w:t xml:space="preserve"> </w:t>
      </w:r>
    </w:p>
    <w:p w14:paraId="7F56BD84" w14:textId="7D4FDC59" w:rsidR="00817FF9" w:rsidRPr="002430A8" w:rsidRDefault="0023021E" w:rsidP="007F75EE">
      <w:pPr>
        <w:pStyle w:val="Style1"/>
        <w:widowControl/>
        <w:spacing w:line="240" w:lineRule="auto"/>
        <w:ind w:firstLine="630"/>
        <w:contextualSpacing/>
        <w:rPr>
          <w:rFonts w:eastAsia="Courier New"/>
          <w:lang w:val="mn-MN" w:eastAsia="mn-MN" w:bidi="mn-MN"/>
        </w:rPr>
      </w:pPr>
      <w:r>
        <w:rPr>
          <w:rFonts w:eastAsia="Courier New"/>
          <w:lang w:val="mn-MN" w:eastAsia="mn-MN" w:bidi="mn-MN"/>
        </w:rPr>
        <w:t>Өнөөгийн хэрэгжиж буй хуулийн хүрээнд ш</w:t>
      </w:r>
      <w:r w:rsidR="00817FF9" w:rsidRPr="002430A8">
        <w:rPr>
          <w:rFonts w:eastAsia="Courier New"/>
          <w:lang w:val="mn-MN" w:eastAsia="mn-MN" w:bidi="mn-MN"/>
        </w:rPr>
        <w:t xml:space="preserve">имтгэл төлж ажилласан хугацаа, тэтгэвэр тогтоох насны талаар Нийгмийн даатгалын сангаас олгох тэтгэвэр, тэтгэмжийн тухай хуулиас бусад салбарын хуульд тусгасан нь хууль хооронд зөрчил, хийдэл үүсгэж байна. Тухайлбал, Үндсэн хуулийн цэцийн тухай хуульд Цэцийн гишүүнээр ажиллаж байсан иргэний өндөр насны тэтгэврийг цалингийн 60 хувиар бодох, Шүүгчийн эрх зүйн байдлын тухай хуульд шүүгчээр 25 жил ажилласан, эсхүл 55 нас хүрсэн шүүгч, мөн Прокурорын тухай хуульд </w:t>
      </w:r>
      <w:r w:rsidR="00817FF9" w:rsidRPr="002430A8">
        <w:rPr>
          <w:shd w:val="clear" w:color="auto" w:fill="FFFFFF"/>
          <w:lang w:val="mn-MN"/>
        </w:rPr>
        <w:t>50 насанд хүрсэн эмэгтэй, 55 насанд хүрсэн эрэгтэй, эсхүл нас харгалзахгүйгээр прокуророор 25 жил ажилласнаар тус тус</w:t>
      </w:r>
      <w:r w:rsidR="00817FF9" w:rsidRPr="002430A8">
        <w:rPr>
          <w:rFonts w:eastAsia="Courier New"/>
          <w:lang w:val="mn-MN" w:eastAsia="mn-MN" w:bidi="mn-MN"/>
        </w:rPr>
        <w:t xml:space="preserve"> өндөр насны тэтгэвэр тогтоолгож болохоор заасан нь Нийгмийн даатгалын сангаас олгох тэтгэвэр, тэтгэмжийн тухай хуультай зөрчилдөж, хуулийг хэрэгжүүлэхэд хүндрэл үүсгэж бай</w:t>
      </w:r>
      <w:r w:rsidR="00D16085">
        <w:rPr>
          <w:rFonts w:eastAsia="Courier New"/>
          <w:lang w:val="mn-MN" w:eastAsia="mn-MN" w:bidi="mn-MN"/>
        </w:rPr>
        <w:t>сан</w:t>
      </w:r>
      <w:r w:rsidR="00817FF9" w:rsidRPr="002430A8">
        <w:rPr>
          <w:rFonts w:eastAsia="Courier New"/>
          <w:lang w:val="mn-MN" w:eastAsia="mn-MN" w:bidi="mn-MN"/>
        </w:rPr>
        <w:t xml:space="preserve">. </w:t>
      </w:r>
    </w:p>
    <w:p w14:paraId="3DB16B76" w14:textId="77777777" w:rsidR="00817FF9" w:rsidRPr="002430A8" w:rsidRDefault="00817FF9" w:rsidP="00550650">
      <w:pPr>
        <w:pStyle w:val="Style1"/>
        <w:widowControl/>
        <w:spacing w:line="240" w:lineRule="auto"/>
        <w:ind w:firstLine="720"/>
        <w:contextualSpacing/>
        <w:rPr>
          <w:rFonts w:eastAsia="Courier New"/>
          <w:lang w:val="mn-MN" w:eastAsia="mn-MN" w:bidi="mn-MN"/>
        </w:rPr>
      </w:pPr>
    </w:p>
    <w:p w14:paraId="5A74671B" w14:textId="6164CDDA"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r w:rsidRPr="002430A8">
        <w:rPr>
          <w:rFonts w:ascii="Arial" w:eastAsia="Courier New" w:hAnsi="Arial" w:cs="Arial"/>
          <w:sz w:val="24"/>
          <w:szCs w:val="24"/>
          <w:lang w:val="mn-MN" w:eastAsia="mn-MN" w:bidi="mn-MN"/>
        </w:rPr>
        <w:t>Мөн богино хугацааны буюу хөдөлмөрийн чадвар түр алдсан</w:t>
      </w:r>
      <w:r w:rsidR="00550650" w:rsidRPr="002430A8">
        <w:rPr>
          <w:rFonts w:ascii="Arial" w:eastAsia="Courier New" w:hAnsi="Arial" w:cs="Arial"/>
          <w:sz w:val="24"/>
          <w:szCs w:val="24"/>
          <w:lang w:val="mn-MN" w:eastAsia="mn-MN" w:bidi="mn-MN"/>
        </w:rPr>
        <w:t xml:space="preserve">ы, жирэмсний болон амаржсаны </w:t>
      </w:r>
      <w:r w:rsidRPr="002430A8">
        <w:rPr>
          <w:rFonts w:ascii="Arial" w:eastAsia="Courier New" w:hAnsi="Arial" w:cs="Arial"/>
          <w:sz w:val="24"/>
          <w:szCs w:val="24"/>
          <w:lang w:val="mn-MN" w:eastAsia="mn-MN" w:bidi="mn-MN"/>
        </w:rPr>
        <w:t>тэтгэмж олгох харилцааг даатгуулагчийн урт хугацааны тэтгэврийн харилцаатай нэгтгэн зохицуулсныг салгаж тусдаа хуулиар зохицуулах</w:t>
      </w:r>
      <w:r w:rsidR="007F75EE">
        <w:rPr>
          <w:rFonts w:ascii="Arial" w:eastAsia="Courier New" w:hAnsi="Arial" w:cs="Arial"/>
          <w:sz w:val="24"/>
          <w:szCs w:val="24"/>
          <w:lang w:val="mn-MN" w:eastAsia="mn-MN" w:bidi="mn-MN"/>
        </w:rPr>
        <w:t xml:space="preserve"> шаардлагатай байна</w:t>
      </w:r>
      <w:r w:rsidR="00D16085">
        <w:rPr>
          <w:rFonts w:ascii="Arial" w:eastAsia="Courier New" w:hAnsi="Arial" w:cs="Arial"/>
          <w:sz w:val="24"/>
          <w:szCs w:val="24"/>
          <w:lang w:val="mn-MN" w:eastAsia="mn-MN" w:bidi="mn-MN"/>
        </w:rPr>
        <w:t>.</w:t>
      </w:r>
      <w:r w:rsidRPr="002430A8">
        <w:rPr>
          <w:rFonts w:ascii="Arial" w:eastAsia="Courier New" w:hAnsi="Arial" w:cs="Arial"/>
          <w:sz w:val="24"/>
          <w:szCs w:val="24"/>
          <w:lang w:val="mn-MN" w:eastAsia="mn-MN" w:bidi="mn-MN"/>
        </w:rPr>
        <w:t xml:space="preserve">  </w:t>
      </w:r>
    </w:p>
    <w:p w14:paraId="3EA45D76" w14:textId="77777777"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p>
    <w:p w14:paraId="42A24BDD" w14:textId="7F295489"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r w:rsidRPr="002430A8">
        <w:rPr>
          <w:rFonts w:ascii="Arial" w:eastAsia="Courier New" w:hAnsi="Arial" w:cs="Arial"/>
          <w:sz w:val="24"/>
          <w:szCs w:val="24"/>
          <w:lang w:val="mn-MN" w:eastAsia="mn-MN" w:bidi="mn-MN"/>
        </w:rPr>
        <w:t>Тэтгэврийн даатгалын шимтгэлийн нэрийн дансны тухай хуулиар 1960 оноос хойш төрсөн иргэнд тэтгэвэр тогтоох, олгохтой холбоотой харилцааг зохицуулж байгааг нийгмийн даатгалын сангаас олгох тэтгэврийн зохицуулалттай нэгтгэн нэг хуулиар зохицуулах шаардлагатай. Түүнчлэн олон давхаргат тэ</w:t>
      </w:r>
      <w:r w:rsidR="005C1C8F">
        <w:rPr>
          <w:rFonts w:ascii="Arial" w:eastAsia="Courier New" w:hAnsi="Arial" w:cs="Arial"/>
          <w:sz w:val="24"/>
          <w:szCs w:val="24"/>
          <w:lang w:val="mn-MN" w:eastAsia="mn-MN" w:bidi="mn-MN"/>
        </w:rPr>
        <w:t xml:space="preserve">тгэврийн тогтолцоог тодорхойлох </w:t>
      </w:r>
      <w:r w:rsidRPr="002430A8">
        <w:rPr>
          <w:rFonts w:ascii="Arial" w:eastAsia="Courier New" w:hAnsi="Arial" w:cs="Arial"/>
          <w:sz w:val="24"/>
          <w:szCs w:val="24"/>
          <w:lang w:val="mn-MN" w:eastAsia="mn-MN" w:bidi="mn-MN"/>
        </w:rPr>
        <w:t>нь зүйтэй.</w:t>
      </w:r>
    </w:p>
    <w:p w14:paraId="67452883" w14:textId="77777777"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p>
    <w:p w14:paraId="63301183" w14:textId="054663CF"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r w:rsidRPr="002430A8">
        <w:rPr>
          <w:rFonts w:ascii="Arial" w:eastAsia="Courier New" w:hAnsi="Arial" w:cs="Arial"/>
          <w:sz w:val="24"/>
          <w:szCs w:val="24"/>
          <w:lang w:val="mn-MN" w:eastAsia="mn-MN" w:bidi="mn-MN"/>
        </w:rPr>
        <w:lastRenderedPageBreak/>
        <w:t xml:space="preserve">Хуулийн төслийг боловсруулахдаа тэтгэврийн даатгалын өнөөгийн тогтолцоонд Дэлхийн банк, Олон Улсын хөдөлмөрийн байгууллага болон гадаадын зөвлөхүүдийн хийсэн үнэлгээ, тайлан, </w:t>
      </w:r>
      <w:r w:rsidR="00550650" w:rsidRPr="002430A8">
        <w:rPr>
          <w:rFonts w:ascii="Arial" w:eastAsia="Courier New" w:hAnsi="Arial" w:cs="Arial"/>
          <w:sz w:val="24"/>
          <w:szCs w:val="24"/>
          <w:lang w:val="mn-MN" w:eastAsia="mn-MN" w:bidi="mn-MN"/>
        </w:rPr>
        <w:t>санал, дүгнэлтийг харгалзан үз</w:t>
      </w:r>
      <w:r w:rsidR="00D16085">
        <w:rPr>
          <w:rFonts w:ascii="Arial" w:eastAsia="Courier New" w:hAnsi="Arial" w:cs="Arial"/>
          <w:sz w:val="24"/>
          <w:szCs w:val="24"/>
          <w:lang w:val="mn-MN" w:eastAsia="mn-MN" w:bidi="mn-MN"/>
        </w:rPr>
        <w:t>сэн</w:t>
      </w:r>
      <w:r w:rsidRPr="002430A8">
        <w:rPr>
          <w:rFonts w:ascii="Arial" w:eastAsia="Courier New" w:hAnsi="Arial" w:cs="Arial"/>
          <w:sz w:val="24"/>
          <w:szCs w:val="24"/>
          <w:lang w:val="mn-MN" w:eastAsia="mn-MN" w:bidi="mn-MN"/>
        </w:rPr>
        <w:t>.</w:t>
      </w:r>
    </w:p>
    <w:p w14:paraId="3C1582B6" w14:textId="77777777" w:rsidR="00722221" w:rsidRDefault="00722221" w:rsidP="00550650">
      <w:pPr>
        <w:widowControl w:val="0"/>
        <w:spacing w:after="0" w:line="240" w:lineRule="auto"/>
        <w:ind w:firstLine="720"/>
        <w:contextualSpacing/>
        <w:jc w:val="both"/>
        <w:rPr>
          <w:rFonts w:ascii="Arial" w:eastAsia="Courier New" w:hAnsi="Arial" w:cs="Arial"/>
          <w:sz w:val="24"/>
          <w:szCs w:val="24"/>
          <w:lang w:val="mn-MN" w:eastAsia="mn-MN" w:bidi="mn-MN"/>
        </w:rPr>
      </w:pPr>
    </w:p>
    <w:p w14:paraId="461CCC52" w14:textId="2691594E" w:rsidR="00817FF9" w:rsidRPr="002430A8" w:rsidRDefault="002B7736" w:rsidP="00550650">
      <w:pPr>
        <w:widowControl w:val="0"/>
        <w:spacing w:after="0" w:line="240" w:lineRule="auto"/>
        <w:ind w:firstLine="720"/>
        <w:contextualSpacing/>
        <w:jc w:val="both"/>
        <w:rPr>
          <w:rFonts w:ascii="Arial" w:eastAsia="Courier New" w:hAnsi="Arial" w:cs="Arial"/>
          <w:sz w:val="24"/>
          <w:szCs w:val="24"/>
          <w:lang w:val="mn-MN" w:eastAsia="mn-MN" w:bidi="mn-MN"/>
        </w:rPr>
      </w:pPr>
      <w:r>
        <w:rPr>
          <w:rFonts w:ascii="Arial" w:eastAsia="Courier New" w:hAnsi="Arial" w:cs="Arial"/>
          <w:sz w:val="24"/>
          <w:szCs w:val="24"/>
          <w:lang w:val="mn-MN" w:eastAsia="mn-MN" w:bidi="mn-MN"/>
        </w:rPr>
        <w:t>Т</w:t>
      </w:r>
      <w:r w:rsidR="00817FF9" w:rsidRPr="002430A8">
        <w:rPr>
          <w:rFonts w:ascii="Arial" w:eastAsia="Courier New" w:hAnsi="Arial" w:cs="Arial"/>
          <w:sz w:val="24"/>
          <w:szCs w:val="24"/>
          <w:lang w:val="mn-MN" w:eastAsia="mn-MN" w:bidi="mn-MN"/>
        </w:rPr>
        <w:t>этгэврийн сангийн өнөөгийн байдал, улсын төсвийн санхүүжилт, хүн ам зүйн ачаалал, эдийн засаг, нийгмийн нөхцөл байдлын өөрчлөлт, олон улсын тэтгэврийн тогтолцооны чиг хандлага</w:t>
      </w:r>
      <w:r w:rsidR="00070F99" w:rsidRPr="002430A8">
        <w:rPr>
          <w:rFonts w:ascii="Arial" w:eastAsia="Courier New" w:hAnsi="Arial" w:cs="Arial"/>
          <w:sz w:val="24"/>
          <w:szCs w:val="24"/>
          <w:lang w:val="mn-MN" w:eastAsia="mn-MN" w:bidi="mn-MN"/>
        </w:rPr>
        <w:t xml:space="preserve">, </w:t>
      </w:r>
      <w:r w:rsidR="006C1154">
        <w:rPr>
          <w:rFonts w:ascii="Arial" w:eastAsia="Courier New" w:hAnsi="Arial" w:cs="Arial"/>
          <w:sz w:val="24"/>
          <w:szCs w:val="24"/>
          <w:lang w:val="mn-MN" w:eastAsia="mn-MN" w:bidi="mn-MN"/>
        </w:rPr>
        <w:t xml:space="preserve">урт </w:t>
      </w:r>
      <w:r w:rsidR="00070F99" w:rsidRPr="002430A8">
        <w:rPr>
          <w:rFonts w:ascii="Arial" w:eastAsia="Courier New" w:hAnsi="Arial" w:cs="Arial"/>
          <w:sz w:val="24"/>
          <w:szCs w:val="24"/>
          <w:lang w:val="mn-MN" w:eastAsia="mn-MN" w:bidi="mn-MN"/>
        </w:rPr>
        <w:t>хугацааны тооцоолол</w:t>
      </w:r>
      <w:r w:rsidR="00817FF9" w:rsidRPr="002430A8">
        <w:rPr>
          <w:rFonts w:ascii="Arial" w:eastAsia="Courier New" w:hAnsi="Arial" w:cs="Arial"/>
          <w:sz w:val="24"/>
          <w:szCs w:val="24"/>
          <w:lang w:val="mn-MN" w:eastAsia="mn-MN" w:bidi="mn-MN"/>
        </w:rPr>
        <w:t xml:space="preserve"> зэргээс </w:t>
      </w:r>
      <w:r>
        <w:rPr>
          <w:rFonts w:ascii="Arial" w:eastAsia="Courier New" w:hAnsi="Arial" w:cs="Arial"/>
          <w:sz w:val="24"/>
          <w:szCs w:val="24"/>
          <w:lang w:val="mn-MN" w:eastAsia="mn-MN" w:bidi="mn-MN"/>
        </w:rPr>
        <w:t xml:space="preserve">харахад </w:t>
      </w:r>
      <w:r w:rsidRPr="002430A8">
        <w:rPr>
          <w:rFonts w:ascii="Arial" w:eastAsia="Courier New" w:hAnsi="Arial" w:cs="Arial"/>
          <w:sz w:val="24"/>
          <w:szCs w:val="24"/>
          <w:lang w:val="mn-MN" w:eastAsia="mn-MN" w:bidi="mn-MN"/>
        </w:rPr>
        <w:t xml:space="preserve">Монгол Улсын тэтгэврийн тогтолцооны эрх зүйн хүрээг шинэчлэх бодит үндэслэл, хэрэгцээ, шаардлага </w:t>
      </w:r>
      <w:r w:rsidR="00817FF9" w:rsidRPr="002430A8">
        <w:rPr>
          <w:rFonts w:ascii="Arial" w:eastAsia="Courier New" w:hAnsi="Arial" w:cs="Arial"/>
          <w:sz w:val="24"/>
          <w:szCs w:val="24"/>
          <w:lang w:val="mn-MN" w:eastAsia="mn-MN" w:bidi="mn-MN"/>
        </w:rPr>
        <w:t>байна</w:t>
      </w:r>
      <w:r>
        <w:rPr>
          <w:rFonts w:ascii="Arial" w:eastAsia="Courier New" w:hAnsi="Arial" w:cs="Arial"/>
          <w:sz w:val="24"/>
          <w:szCs w:val="24"/>
          <w:lang w:val="mn-MN" w:eastAsia="mn-MN" w:bidi="mn-MN"/>
        </w:rPr>
        <w:t xml:space="preserve"> гэж үзсэн</w:t>
      </w:r>
      <w:r w:rsidR="00817FF9" w:rsidRPr="002430A8">
        <w:rPr>
          <w:rFonts w:ascii="Arial" w:eastAsia="Courier New" w:hAnsi="Arial" w:cs="Arial"/>
          <w:sz w:val="24"/>
          <w:szCs w:val="24"/>
          <w:lang w:val="mn-MN" w:eastAsia="mn-MN" w:bidi="mn-MN"/>
        </w:rPr>
        <w:t>.</w:t>
      </w:r>
    </w:p>
    <w:p w14:paraId="59D737AF" w14:textId="77777777" w:rsidR="00817FF9" w:rsidRPr="002430A8" w:rsidRDefault="00817FF9" w:rsidP="00550650">
      <w:pPr>
        <w:widowControl w:val="0"/>
        <w:spacing w:after="0" w:line="240" w:lineRule="auto"/>
        <w:ind w:firstLine="720"/>
        <w:contextualSpacing/>
        <w:jc w:val="both"/>
        <w:rPr>
          <w:rFonts w:ascii="Arial" w:eastAsia="Courier New" w:hAnsi="Arial" w:cs="Arial"/>
          <w:sz w:val="24"/>
          <w:szCs w:val="24"/>
          <w:lang w:val="mn-MN" w:eastAsia="mn-MN" w:bidi="mn-MN"/>
        </w:rPr>
      </w:pPr>
    </w:p>
    <w:p w14:paraId="308022DF" w14:textId="0AAD9CBA" w:rsidR="00070F99" w:rsidRPr="002430A8" w:rsidRDefault="00070F99" w:rsidP="00550650">
      <w:pPr>
        <w:pStyle w:val="Style1"/>
        <w:widowControl/>
        <w:spacing w:line="240" w:lineRule="auto"/>
        <w:ind w:firstLine="720"/>
        <w:contextualSpacing/>
        <w:rPr>
          <w:rFonts w:eastAsia="Courier New"/>
          <w:lang w:val="mn-MN" w:eastAsia="mn-MN" w:bidi="mn-MN"/>
        </w:rPr>
      </w:pPr>
      <w:r w:rsidRPr="002430A8">
        <w:rPr>
          <w:rFonts w:eastAsia="Courier New"/>
          <w:lang w:val="mn-MN" w:eastAsia="mn-MN" w:bidi="mn-MN"/>
        </w:rPr>
        <w:t>Ийм</w:t>
      </w:r>
      <w:r w:rsidR="002F688D">
        <w:rPr>
          <w:rFonts w:eastAsia="Courier New"/>
          <w:lang w:val="mn-MN" w:eastAsia="mn-MN" w:bidi="mn-MN"/>
        </w:rPr>
        <w:t xml:space="preserve">ээс </w:t>
      </w:r>
      <w:r w:rsidR="002F688D" w:rsidRPr="00E8212E">
        <w:rPr>
          <w:rFonts w:eastAsiaTheme="minorEastAsia"/>
          <w:shd w:val="clear" w:color="auto" w:fill="FFFFFF"/>
          <w:lang w:val="mn-MN"/>
        </w:rPr>
        <w:t xml:space="preserve">Нийгмийн даатгалын сангаас олгох тэтгэврийн </w:t>
      </w:r>
      <w:r w:rsidR="002F688D">
        <w:rPr>
          <w:shd w:val="clear" w:color="auto" w:fill="FFFFFF"/>
          <w:lang w:val="mn-MN"/>
        </w:rPr>
        <w:t>т</w:t>
      </w:r>
      <w:r w:rsidR="002F688D" w:rsidRPr="00E8212E">
        <w:rPr>
          <w:rFonts w:eastAsiaTheme="minorEastAsia"/>
          <w:shd w:val="clear" w:color="auto" w:fill="FFFFFF"/>
          <w:lang w:val="mn-MN"/>
        </w:rPr>
        <w:t>ухай хуулийн шинэчилсэн найруулгын төс</w:t>
      </w:r>
      <w:r w:rsidR="002F688D">
        <w:rPr>
          <w:shd w:val="clear" w:color="auto" w:fill="FFFFFF"/>
          <w:lang w:val="mn-MN"/>
        </w:rPr>
        <w:t>лийг боловсруулсан. Шинэчлэн боловсруулсан хуулийн төсөлд</w:t>
      </w:r>
      <w:r w:rsidRPr="002430A8">
        <w:rPr>
          <w:rFonts w:eastAsia="Courier New"/>
          <w:lang w:val="mn-MN" w:eastAsia="mn-MN" w:bidi="mn-MN"/>
        </w:rPr>
        <w:t xml:space="preserve"> </w:t>
      </w:r>
      <w:r w:rsidR="002F688D">
        <w:rPr>
          <w:rFonts w:eastAsia="Courier New"/>
          <w:lang w:val="mn-MN" w:eastAsia="mn-MN" w:bidi="mn-MN"/>
        </w:rPr>
        <w:t xml:space="preserve">олон давхаргат тэтгэврийн тогтолцоог нэвтрүүлэх, </w:t>
      </w:r>
      <w:r w:rsidRPr="002430A8">
        <w:rPr>
          <w:rFonts w:eastAsia="Courier New"/>
          <w:lang w:val="mn-MN" w:eastAsia="mn-MN" w:bidi="mn-MN"/>
        </w:rPr>
        <w:t>тэтгэврийн насыг жил бүр 3 сар нэмэгдүүлж буйг хэвээр үргэлжлүүлэх, тэтгэврийг жил бүр хэрэглээний үнийн өсөлтөөр нэмэгдүүлдэг болгох, тэтгэвэр бодох аргачлалд өөрчлөлт оруула</w:t>
      </w:r>
      <w:r w:rsidR="002F688D">
        <w:rPr>
          <w:rFonts w:eastAsia="Courier New"/>
          <w:lang w:val="mn-MN" w:eastAsia="mn-MN" w:bidi="mn-MN"/>
        </w:rPr>
        <w:t xml:space="preserve">х, </w:t>
      </w:r>
      <w:r w:rsidRPr="002430A8">
        <w:rPr>
          <w:rFonts w:eastAsia="Courier New"/>
          <w:lang w:val="mn-MN" w:eastAsia="mn-MN" w:bidi="mn-MN"/>
        </w:rPr>
        <w:t>олон жил</w:t>
      </w:r>
      <w:r w:rsidR="0073165F" w:rsidRPr="002430A8">
        <w:rPr>
          <w:rFonts w:eastAsia="Courier New"/>
          <w:lang w:val="mn-MN" w:eastAsia="mn-MN" w:bidi="mn-MN"/>
        </w:rPr>
        <w:t xml:space="preserve"> </w:t>
      </w:r>
      <w:r w:rsidRPr="002430A8">
        <w:rPr>
          <w:rFonts w:eastAsia="Courier New"/>
          <w:lang w:val="mn-MN" w:eastAsia="mn-MN" w:bidi="mn-MN"/>
        </w:rPr>
        <w:t>шимтгэл төл</w:t>
      </w:r>
      <w:r w:rsidR="002F688D">
        <w:rPr>
          <w:rFonts w:eastAsia="Courier New"/>
          <w:lang w:val="mn-MN" w:eastAsia="mn-MN" w:bidi="mn-MN"/>
        </w:rPr>
        <w:t xml:space="preserve">өхийг </w:t>
      </w:r>
      <w:r w:rsidRPr="002430A8">
        <w:rPr>
          <w:rFonts w:eastAsia="Courier New"/>
          <w:lang w:val="mn-MN" w:eastAsia="mn-MN" w:bidi="mn-MN"/>
        </w:rPr>
        <w:t>урамшуулах</w:t>
      </w:r>
      <w:r w:rsidR="002F688D">
        <w:rPr>
          <w:rFonts w:eastAsia="Courier New"/>
          <w:lang w:val="mn-MN" w:eastAsia="mn-MN" w:bidi="mn-MN"/>
        </w:rPr>
        <w:t>, тэтгэвэр тогтоолгох дараалсан жилийг 84 сар байгааг 60 сар болгож бууруулсан</w:t>
      </w:r>
      <w:r w:rsidR="009426BB">
        <w:rPr>
          <w:rFonts w:eastAsia="Courier New"/>
          <w:lang w:val="mn-MN" w:eastAsia="mn-MN" w:bidi="mn-MN"/>
        </w:rPr>
        <w:t xml:space="preserve">, өндөр насны </w:t>
      </w:r>
      <w:r w:rsidR="00BB29F9">
        <w:rPr>
          <w:rFonts w:eastAsia="Courier New"/>
          <w:lang w:val="mn-MN" w:eastAsia="mn-MN" w:bidi="mn-MN"/>
        </w:rPr>
        <w:t xml:space="preserve">тэтгэврийн </w:t>
      </w:r>
      <w:r w:rsidR="009426BB">
        <w:rPr>
          <w:rFonts w:eastAsia="Courier New"/>
          <w:lang w:val="mn-MN" w:eastAsia="mn-MN" w:bidi="mn-MN"/>
        </w:rPr>
        <w:t>тусгай зохицуулалт</w:t>
      </w:r>
      <w:r w:rsidRPr="002430A8">
        <w:rPr>
          <w:rFonts w:eastAsia="Courier New"/>
          <w:lang w:val="mn-MN" w:eastAsia="mn-MN" w:bidi="mn-MN"/>
        </w:rPr>
        <w:t xml:space="preserve"> </w:t>
      </w:r>
      <w:r w:rsidR="002F688D">
        <w:rPr>
          <w:rFonts w:eastAsia="Courier New"/>
          <w:lang w:val="mn-MN" w:eastAsia="mn-MN" w:bidi="mn-MN"/>
        </w:rPr>
        <w:t xml:space="preserve">болон бусад </w:t>
      </w:r>
      <w:r w:rsidRPr="002430A8">
        <w:rPr>
          <w:rFonts w:eastAsia="Courier New"/>
          <w:lang w:val="mn-MN" w:eastAsia="mn-MN" w:bidi="mn-MN"/>
        </w:rPr>
        <w:t>нөхцөлийг тусгасан.</w:t>
      </w:r>
    </w:p>
    <w:p w14:paraId="31AFDB07" w14:textId="77777777" w:rsidR="00070F99" w:rsidRPr="002430A8" w:rsidRDefault="00070F99" w:rsidP="00BB29F9">
      <w:pPr>
        <w:pStyle w:val="Style1"/>
        <w:widowControl/>
        <w:spacing w:line="240" w:lineRule="auto"/>
        <w:contextualSpacing/>
        <w:rPr>
          <w:rFonts w:eastAsia="Courier New"/>
          <w:lang w:val="mn-MN" w:eastAsia="mn-MN" w:bidi="mn-MN"/>
        </w:rPr>
      </w:pPr>
    </w:p>
    <w:p w14:paraId="427264F9" w14:textId="0985A67B" w:rsidR="00070F99" w:rsidRPr="002430A8" w:rsidRDefault="006C1154" w:rsidP="00070F99">
      <w:pPr>
        <w:pStyle w:val="Style1"/>
        <w:widowControl/>
        <w:spacing w:line="240" w:lineRule="auto"/>
        <w:ind w:firstLine="720"/>
        <w:contextualSpacing/>
        <w:rPr>
          <w:rFonts w:eastAsia="Courier New"/>
          <w:lang w:val="mn-MN" w:eastAsia="mn-MN" w:bidi="mn-MN"/>
        </w:rPr>
      </w:pPr>
      <w:r>
        <w:rPr>
          <w:rFonts w:eastAsia="Courier New"/>
          <w:lang w:val="mn-MN" w:eastAsia="mn-MN" w:bidi="mn-MN"/>
        </w:rPr>
        <w:t>Хуулийн төсөл батлагдсанаар</w:t>
      </w:r>
      <w:r w:rsidR="00070F99" w:rsidRPr="002430A8">
        <w:rPr>
          <w:rFonts w:eastAsia="Courier New"/>
          <w:lang w:val="mn-MN" w:eastAsia="mn-MN" w:bidi="mn-MN"/>
        </w:rPr>
        <w:t xml:space="preserve"> тэ</w:t>
      </w:r>
      <w:r w:rsidR="00817FF9" w:rsidRPr="002430A8" w:rsidDel="004641F3">
        <w:rPr>
          <w:rFonts w:eastAsia="Courier New"/>
          <w:lang w:val="mn-MN" w:eastAsia="mn-MN" w:bidi="mn-MN"/>
        </w:rPr>
        <w:t xml:space="preserve">тгэврийн даатгалын сан тогтвортой ажиллах </w:t>
      </w:r>
      <w:r w:rsidR="001F5656" w:rsidRPr="002430A8">
        <w:rPr>
          <w:rFonts w:eastAsia="Courier New"/>
          <w:lang w:val="mn-MN" w:eastAsia="mn-MN" w:bidi="mn-MN"/>
        </w:rPr>
        <w:t xml:space="preserve">нөхцөл бүрдэх, </w:t>
      </w:r>
      <w:r w:rsidR="00817FF9" w:rsidRPr="002430A8">
        <w:rPr>
          <w:rFonts w:eastAsia="Courier New"/>
          <w:lang w:val="mn-MN" w:eastAsia="mn-MN" w:bidi="mn-MN"/>
        </w:rPr>
        <w:t xml:space="preserve">ирээдүйд бий болох хүн ам зүйн </w:t>
      </w:r>
      <w:r w:rsidR="00817FF9" w:rsidRPr="002430A8">
        <w:rPr>
          <w:shd w:val="clear" w:color="auto" w:fill="FFFFFF"/>
          <w:lang w:val="mn-MN"/>
        </w:rPr>
        <w:t>ачааллын</w:t>
      </w:r>
      <w:r w:rsidR="00817FF9" w:rsidRPr="002430A8">
        <w:rPr>
          <w:rFonts w:eastAsia="Courier New"/>
          <w:lang w:val="mn-MN" w:eastAsia="mn-MN" w:bidi="mn-MN"/>
        </w:rPr>
        <w:t xml:space="preserve"> өсөлт, насжилтыг угтаж </w:t>
      </w:r>
      <w:r w:rsidR="00817FF9" w:rsidRPr="002430A8">
        <w:rPr>
          <w:rFonts w:eastAsia="Arial Unicode MS"/>
          <w:bCs/>
          <w:noProof/>
          <w:lang w:val="mn-MN" w:eastAsia="mn-MN" w:bidi="mn-MN"/>
        </w:rPr>
        <w:t xml:space="preserve">тэтгэврийн тогтолцооны загварыг өөрчлөх замаар ахмад настанд тулгарах эрсдэлийг </w:t>
      </w:r>
      <w:r w:rsidR="001F5656" w:rsidRPr="002430A8">
        <w:rPr>
          <w:rFonts w:eastAsia="Arial Unicode MS"/>
          <w:bCs/>
          <w:noProof/>
          <w:lang w:val="mn-MN" w:eastAsia="mn-MN" w:bidi="mn-MN"/>
        </w:rPr>
        <w:t>бууруулах,</w:t>
      </w:r>
      <w:r w:rsidR="00817FF9" w:rsidRPr="002430A8">
        <w:rPr>
          <w:rFonts w:eastAsia="Courier New"/>
          <w:lang w:val="mn-MN" w:eastAsia="mn-MN" w:bidi="mn-MN"/>
        </w:rPr>
        <w:t xml:space="preserve"> нийгмийн даатгалын харилцааг зохицуулсан хуулиас бусад хуульд заасан тэтгэвэр тогтоох нөхцөлийг энэ хуульд тусгаж, хууль хоорондын зөрчил арилж, уялдаа холбоо хангагдаж, даатгуулагчийн нийгмийн баталгааг хангах </w:t>
      </w:r>
      <w:r w:rsidR="001F5656" w:rsidRPr="002430A8">
        <w:rPr>
          <w:rFonts w:eastAsia="Courier New"/>
          <w:lang w:val="mn-MN" w:eastAsia="mn-MN" w:bidi="mn-MN"/>
        </w:rPr>
        <w:t>зэрэг эерэг үр дагавар</w:t>
      </w:r>
      <w:r w:rsidR="00817FF9" w:rsidRPr="002430A8">
        <w:rPr>
          <w:rFonts w:eastAsia="Courier New"/>
          <w:lang w:val="mn-MN" w:eastAsia="mn-MN" w:bidi="mn-MN"/>
        </w:rPr>
        <w:t xml:space="preserve"> бий болно.</w:t>
      </w:r>
    </w:p>
    <w:p w14:paraId="739554E5" w14:textId="43F24ABD" w:rsidR="00414892" w:rsidRPr="00414892" w:rsidRDefault="00070F99" w:rsidP="00414892">
      <w:pPr>
        <w:spacing w:before="240" w:line="240" w:lineRule="auto"/>
        <w:ind w:left="1" w:firstLine="719"/>
        <w:contextualSpacing/>
        <w:jc w:val="both"/>
        <w:rPr>
          <w:rFonts w:ascii="Arial" w:hAnsi="Arial" w:cs="Arial"/>
          <w:color w:val="000000" w:themeColor="text1"/>
          <w:sz w:val="24"/>
          <w:szCs w:val="24"/>
          <w:lang w:val="mn-MN"/>
        </w:rPr>
      </w:pPr>
      <w:r w:rsidRPr="002430A8">
        <w:rPr>
          <w:rFonts w:ascii="Arial" w:eastAsia="Courier New" w:hAnsi="Arial" w:cs="Arial"/>
          <w:sz w:val="24"/>
          <w:szCs w:val="24"/>
          <w:lang w:val="mn-MN" w:eastAsia="mn-MN" w:bidi="mn-MN"/>
        </w:rPr>
        <w:t xml:space="preserve">Хуулийн төслийг хэрэгжүүлэхэд </w:t>
      </w:r>
      <w:r w:rsidRPr="002430A8">
        <w:rPr>
          <w:rFonts w:ascii="Arial" w:hAnsi="Arial" w:cs="Arial"/>
          <w:color w:val="000000" w:themeColor="text1"/>
          <w:sz w:val="24"/>
          <w:szCs w:val="24"/>
          <w:lang w:val="mn-MN"/>
        </w:rPr>
        <w:t xml:space="preserve">хуулийн этгээд болон иргэн, </w:t>
      </w:r>
      <w:r w:rsidR="00414892">
        <w:rPr>
          <w:rFonts w:ascii="Arial" w:hAnsi="Arial" w:cs="Arial"/>
          <w:color w:val="000000" w:themeColor="text1"/>
          <w:sz w:val="24"/>
          <w:szCs w:val="24"/>
          <w:lang w:val="mn-MN"/>
        </w:rPr>
        <w:t>аж ахуйн нэгж</w:t>
      </w:r>
      <w:r w:rsidRPr="002430A8">
        <w:rPr>
          <w:rFonts w:ascii="Arial" w:hAnsi="Arial" w:cs="Arial"/>
          <w:color w:val="000000" w:themeColor="text1"/>
          <w:sz w:val="24"/>
          <w:szCs w:val="24"/>
          <w:lang w:val="mn-MN"/>
        </w:rPr>
        <w:t xml:space="preserve"> байг</w:t>
      </w:r>
      <w:r w:rsidR="00414892">
        <w:rPr>
          <w:rFonts w:ascii="Arial" w:hAnsi="Arial" w:cs="Arial"/>
          <w:color w:val="000000" w:themeColor="text1"/>
          <w:sz w:val="24"/>
          <w:szCs w:val="24"/>
          <w:lang w:val="mn-MN"/>
        </w:rPr>
        <w:t>ууллагад нэмэлт зардал үүсэхгүй. Харин</w:t>
      </w:r>
      <w:r w:rsidR="00414892">
        <w:rPr>
          <w:rFonts w:ascii="Arial" w:hAnsi="Arial" w:cs="Arial"/>
          <w:sz w:val="24"/>
          <w:szCs w:val="24"/>
        </w:rPr>
        <w:t xml:space="preserve"> </w:t>
      </w:r>
      <w:proofErr w:type="spellStart"/>
      <w:r w:rsidR="00414892">
        <w:rPr>
          <w:rFonts w:ascii="Arial" w:eastAsia="Arial" w:hAnsi="Arial" w:cs="Arial"/>
          <w:sz w:val="24"/>
          <w:szCs w:val="24"/>
        </w:rPr>
        <w:t>улсын</w:t>
      </w:r>
      <w:proofErr w:type="spellEnd"/>
      <w:r w:rsidR="00414892">
        <w:rPr>
          <w:rFonts w:ascii="Arial" w:eastAsia="Arial" w:hAnsi="Arial" w:cs="Arial"/>
          <w:sz w:val="24"/>
          <w:szCs w:val="24"/>
        </w:rPr>
        <w:t xml:space="preserve"> </w:t>
      </w:r>
      <w:proofErr w:type="spellStart"/>
      <w:r w:rsidR="00414892">
        <w:rPr>
          <w:rFonts w:ascii="Arial" w:eastAsia="Arial" w:hAnsi="Arial" w:cs="Arial"/>
          <w:sz w:val="24"/>
          <w:szCs w:val="24"/>
        </w:rPr>
        <w:t>төсвөөс</w:t>
      </w:r>
      <w:proofErr w:type="spellEnd"/>
      <w:r w:rsidR="00414892">
        <w:rPr>
          <w:rFonts w:ascii="Arial" w:eastAsia="Arial" w:hAnsi="Arial" w:cs="Arial"/>
          <w:sz w:val="24"/>
          <w:szCs w:val="24"/>
        </w:rPr>
        <w:t xml:space="preserve"> 345.0 </w:t>
      </w:r>
      <w:proofErr w:type="spellStart"/>
      <w:r w:rsidR="00414892">
        <w:rPr>
          <w:rFonts w:ascii="Arial" w:eastAsia="Arial" w:hAnsi="Arial" w:cs="Arial"/>
          <w:sz w:val="24"/>
          <w:szCs w:val="24"/>
        </w:rPr>
        <w:t>тэрбум</w:t>
      </w:r>
      <w:proofErr w:type="spellEnd"/>
      <w:r w:rsidR="00414892">
        <w:rPr>
          <w:rFonts w:ascii="Arial" w:eastAsia="Arial" w:hAnsi="Arial" w:cs="Arial"/>
          <w:sz w:val="24"/>
          <w:szCs w:val="24"/>
        </w:rPr>
        <w:t xml:space="preserve"> </w:t>
      </w:r>
      <w:proofErr w:type="spellStart"/>
      <w:r w:rsidR="00414892">
        <w:rPr>
          <w:rFonts w:ascii="Arial" w:eastAsia="Arial" w:hAnsi="Arial" w:cs="Arial"/>
          <w:sz w:val="24"/>
          <w:szCs w:val="24"/>
        </w:rPr>
        <w:t>төгрөг</w:t>
      </w:r>
      <w:proofErr w:type="spellEnd"/>
      <w:r w:rsidR="00414892">
        <w:rPr>
          <w:rFonts w:ascii="Arial" w:eastAsia="Arial" w:hAnsi="Arial" w:cs="Arial"/>
          <w:sz w:val="24"/>
          <w:szCs w:val="24"/>
        </w:rPr>
        <w:t xml:space="preserve"> </w:t>
      </w:r>
      <w:proofErr w:type="spellStart"/>
      <w:r w:rsidR="00414892" w:rsidRPr="0042310B">
        <w:rPr>
          <w:rFonts w:ascii="Arial" w:eastAsia="Arial" w:hAnsi="Arial" w:cs="Arial"/>
          <w:sz w:val="24"/>
          <w:szCs w:val="24"/>
        </w:rPr>
        <w:t>нэмж</w:t>
      </w:r>
      <w:proofErr w:type="spellEnd"/>
      <w:r w:rsidR="00414892" w:rsidRPr="0042310B">
        <w:rPr>
          <w:rFonts w:ascii="Arial" w:eastAsia="Arial" w:hAnsi="Arial" w:cs="Arial"/>
          <w:sz w:val="24"/>
          <w:szCs w:val="24"/>
        </w:rPr>
        <w:t xml:space="preserve"> </w:t>
      </w:r>
      <w:proofErr w:type="spellStart"/>
      <w:r w:rsidR="00414892" w:rsidRPr="0042310B">
        <w:rPr>
          <w:rFonts w:ascii="Arial" w:eastAsia="Arial" w:hAnsi="Arial" w:cs="Arial"/>
          <w:sz w:val="24"/>
          <w:szCs w:val="24"/>
        </w:rPr>
        <w:t>шаардагда</w:t>
      </w:r>
      <w:r w:rsidR="00414892">
        <w:rPr>
          <w:rFonts w:ascii="Arial" w:eastAsia="Arial" w:hAnsi="Arial" w:cs="Arial"/>
          <w:sz w:val="24"/>
          <w:szCs w:val="24"/>
        </w:rPr>
        <w:t>на</w:t>
      </w:r>
      <w:proofErr w:type="spellEnd"/>
      <w:r w:rsidR="00414892">
        <w:rPr>
          <w:rFonts w:ascii="Arial" w:eastAsia="Arial" w:hAnsi="Arial" w:cs="Arial"/>
          <w:sz w:val="24"/>
          <w:szCs w:val="24"/>
        </w:rPr>
        <w:t>.</w:t>
      </w:r>
      <w:r w:rsidR="00414892" w:rsidRPr="0042310B">
        <w:rPr>
          <w:rFonts w:ascii="Arial" w:eastAsia="Arial" w:hAnsi="Arial" w:cs="Arial"/>
          <w:sz w:val="24"/>
          <w:szCs w:val="24"/>
        </w:rPr>
        <w:t xml:space="preserve"> </w:t>
      </w:r>
    </w:p>
    <w:p w14:paraId="4110E5A6" w14:textId="77777777" w:rsidR="002430A8" w:rsidRDefault="002430A8" w:rsidP="002430A8">
      <w:pPr>
        <w:contextualSpacing/>
        <w:jc w:val="center"/>
        <w:rPr>
          <w:rFonts w:ascii="Arial" w:hAnsi="Arial" w:cs="Arial"/>
          <w:b/>
          <w:bCs/>
          <w:sz w:val="24"/>
          <w:szCs w:val="24"/>
        </w:rPr>
      </w:pPr>
    </w:p>
    <w:p w14:paraId="4F5D72BE" w14:textId="2DE65951" w:rsidR="002430A8" w:rsidRPr="00665007" w:rsidRDefault="00ED4393" w:rsidP="002430A8">
      <w:pPr>
        <w:contextualSpacing/>
        <w:jc w:val="center"/>
        <w:rPr>
          <w:rFonts w:ascii="Arial" w:eastAsia="MS Mincho" w:hAnsi="Arial" w:cs="Arial"/>
          <w:b/>
          <w:bCs/>
          <w:sz w:val="24"/>
          <w:szCs w:val="24"/>
          <w:lang w:val="mn-MN"/>
        </w:rPr>
      </w:pPr>
      <w:r>
        <w:rPr>
          <w:rFonts w:ascii="Arial" w:hAnsi="Arial" w:cs="Arial"/>
          <w:b/>
          <w:bCs/>
          <w:sz w:val="24"/>
          <w:szCs w:val="24"/>
          <w:lang w:val="mn-MN"/>
        </w:rPr>
        <w:t>МОНГОЛ УЛСЫН ЗАСГИЙН ГАЗАР</w:t>
      </w:r>
      <w:bookmarkStart w:id="2" w:name="_GoBack"/>
      <w:bookmarkEnd w:id="2"/>
    </w:p>
    <w:bookmarkEnd w:id="0"/>
    <w:bookmarkEnd w:id="1"/>
    <w:p w14:paraId="4F64C948" w14:textId="632BCE8B" w:rsidR="004E48E6" w:rsidRPr="002430A8" w:rsidRDefault="004E48E6" w:rsidP="00653646">
      <w:pPr>
        <w:spacing w:before="240" w:line="240" w:lineRule="auto"/>
        <w:ind w:left="1" w:firstLine="719"/>
        <w:contextualSpacing/>
        <w:jc w:val="center"/>
        <w:rPr>
          <w:rFonts w:ascii="Arial" w:hAnsi="Arial" w:cs="Arial"/>
          <w:color w:val="000000" w:themeColor="text1"/>
          <w:sz w:val="24"/>
          <w:szCs w:val="24"/>
        </w:rPr>
      </w:pPr>
    </w:p>
    <w:sectPr w:rsidR="004E48E6" w:rsidRPr="002430A8" w:rsidSect="002430A8">
      <w:headerReference w:type="default" r:id="rId8"/>
      <w:foot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E326C" w14:textId="77777777" w:rsidR="00DD5754" w:rsidRDefault="00DD5754" w:rsidP="00817FF9">
      <w:pPr>
        <w:spacing w:after="0" w:line="240" w:lineRule="auto"/>
      </w:pPr>
      <w:r>
        <w:separator/>
      </w:r>
    </w:p>
  </w:endnote>
  <w:endnote w:type="continuationSeparator" w:id="0">
    <w:p w14:paraId="1C679D9C" w14:textId="77777777" w:rsidR="00DD5754" w:rsidRDefault="00DD5754" w:rsidP="0081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6DA1" w14:textId="77777777" w:rsidR="00584D08" w:rsidRDefault="0018123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CB04" w14:textId="77777777" w:rsidR="00DD5754" w:rsidRDefault="00DD5754" w:rsidP="00817FF9">
      <w:pPr>
        <w:spacing w:after="0" w:line="240" w:lineRule="auto"/>
      </w:pPr>
      <w:r>
        <w:separator/>
      </w:r>
    </w:p>
  </w:footnote>
  <w:footnote w:type="continuationSeparator" w:id="0">
    <w:p w14:paraId="7A9EC505" w14:textId="77777777" w:rsidR="00DD5754" w:rsidRDefault="00DD5754" w:rsidP="00817FF9">
      <w:pPr>
        <w:spacing w:after="0" w:line="240" w:lineRule="auto"/>
      </w:pPr>
      <w:r>
        <w:continuationSeparator/>
      </w:r>
    </w:p>
  </w:footnote>
  <w:footnote w:id="1">
    <w:p w14:paraId="17DA3B2D" w14:textId="77777777" w:rsidR="00644CA2" w:rsidRPr="00644CA2" w:rsidRDefault="00644CA2" w:rsidP="00644CA2">
      <w:pPr>
        <w:pStyle w:val="FootnoteText"/>
        <w:rPr>
          <w:rFonts w:ascii="Arial" w:hAnsi="Arial" w:cs="Arial"/>
          <w:sz w:val="15"/>
          <w:lang w:val="mn-MN"/>
        </w:rPr>
      </w:pPr>
      <w:r w:rsidRPr="00644CA2">
        <w:rPr>
          <w:rStyle w:val="FootnoteReference"/>
          <w:rFonts w:ascii="Arial" w:hAnsi="Arial" w:cs="Arial"/>
          <w:sz w:val="15"/>
        </w:rPr>
        <w:footnoteRef/>
      </w:r>
      <w:r w:rsidRPr="00644CA2">
        <w:rPr>
          <w:rFonts w:ascii="Arial" w:hAnsi="Arial" w:cs="Arial"/>
          <w:sz w:val="15"/>
        </w:rPr>
        <w:t xml:space="preserve"> </w:t>
      </w:r>
      <w:r w:rsidRPr="00644CA2">
        <w:rPr>
          <w:rStyle w:val="FootnoteReference"/>
          <w:rFonts w:ascii="Arial" w:hAnsi="Arial" w:cs="Arial"/>
          <w:sz w:val="15"/>
        </w:rPr>
        <w:footnoteRef/>
      </w:r>
      <w:r w:rsidRPr="00644CA2">
        <w:rPr>
          <w:rFonts w:ascii="Arial" w:hAnsi="Arial" w:cs="Arial"/>
          <w:sz w:val="15"/>
          <w:lang w:val="mn-MN"/>
        </w:rPr>
        <w:t xml:space="preserve"> ҮСХ-ноос эрхлэн гаргадаг статистикийн үзүүлэлтүүдээс (2020)</w:t>
      </w:r>
      <w:r w:rsidRPr="00644CA2">
        <w:rPr>
          <w:rFonts w:ascii="Arial" w:hAnsi="Arial" w:cs="Arial"/>
          <w:i/>
          <w:sz w:val="15"/>
          <w:lang w:val="mn-MN"/>
        </w:rPr>
        <w:t xml:space="preserve"> </w:t>
      </w:r>
      <w:r w:rsidRPr="00644CA2">
        <w:rPr>
          <w:rFonts w:ascii="Arial" w:hAnsi="Arial" w:cs="Arial"/>
          <w:sz w:val="15"/>
          <w:lang w:val="mn-MN"/>
        </w:rPr>
        <w:t>харна уу.</w:t>
      </w:r>
    </w:p>
    <w:p w14:paraId="2A1CE2D9" w14:textId="77777777" w:rsidR="00644CA2" w:rsidRPr="00644CA2" w:rsidRDefault="00644CA2">
      <w:pPr>
        <w:pStyle w:val="FootnoteText"/>
        <w:rPr>
          <w:rFonts w:ascii="Arial" w:hAnsi="Arial" w:cs="Arial"/>
          <w:sz w:val="15"/>
        </w:rPr>
      </w:pPr>
    </w:p>
  </w:footnote>
  <w:footnote w:id="2">
    <w:p w14:paraId="31376CD5" w14:textId="77777777" w:rsidR="00644CA2" w:rsidRPr="00EE5425" w:rsidRDefault="00644CA2" w:rsidP="00644CA2">
      <w:pPr>
        <w:pStyle w:val="FootnoteText"/>
        <w:rPr>
          <w:lang w:val="mn-MN"/>
        </w:rPr>
      </w:pPr>
      <w:r w:rsidRPr="00644CA2">
        <w:rPr>
          <w:rStyle w:val="FootnoteReference"/>
          <w:rFonts w:ascii="Arial" w:hAnsi="Arial" w:cs="Arial"/>
          <w:sz w:val="15"/>
        </w:rPr>
        <w:footnoteRef/>
      </w:r>
      <w:r w:rsidRPr="00644CA2">
        <w:rPr>
          <w:rFonts w:ascii="Arial" w:hAnsi="Arial" w:cs="Arial"/>
          <w:sz w:val="15"/>
          <w:lang w:val="mn-MN"/>
        </w:rPr>
        <w:t xml:space="preserve"> </w:t>
      </w:r>
      <w:r w:rsidRPr="00644CA2">
        <w:rPr>
          <w:rFonts w:ascii="Arial" w:hAnsi="Arial" w:cs="Arial"/>
          <w:bCs/>
          <w:sz w:val="15"/>
          <w:szCs w:val="23"/>
          <w:lang w:val="mn-MN"/>
        </w:rPr>
        <w:t>Ажил олгогч болон ажилтны төлөх тэтгэврийн даатгалын нийт шимтгэлийн хувь хэмжээ 17%  байгааг цаашид 19% болж нэмэгдүүлэх шийдвэр гарсан ч уг шийдвэрийн хэрэгжилтийг 2021 он хүртэл хойшлуулсан.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FE84" w14:textId="77777777" w:rsidR="006002E5" w:rsidRDefault="00DD5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95667"/>
    <w:multiLevelType w:val="hybridMultilevel"/>
    <w:tmpl w:val="36DE5568"/>
    <w:lvl w:ilvl="0" w:tplc="39B411AC">
      <w:start w:val="3"/>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F56CB"/>
    <w:multiLevelType w:val="hybridMultilevel"/>
    <w:tmpl w:val="A478017E"/>
    <w:lvl w:ilvl="0" w:tplc="A0AC606A">
      <w:start w:val="1"/>
      <w:numFmt w:val="decimal"/>
      <w:pStyle w:val="ParagraphNumbering"/>
      <w:lvlText w:val="%1.     "/>
      <w:lvlJc w:val="left"/>
      <w:pPr>
        <w:tabs>
          <w:tab w:val="num" w:pos="720"/>
        </w:tabs>
        <w:ind w:left="0" w:firstLine="0"/>
      </w:pPr>
      <w:rPr>
        <w:rFonts w:hint="default"/>
        <w:b w:val="0"/>
        <w:bCs w:val="0"/>
        <w:i w:val="0"/>
        <w:iCs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7381750"/>
    <w:multiLevelType w:val="hybridMultilevel"/>
    <w:tmpl w:val="C3E2370E"/>
    <w:lvl w:ilvl="0" w:tplc="39B411AC">
      <w:start w:val="3"/>
      <w:numFmt w:val="bullet"/>
      <w:lvlText w:val="-"/>
      <w:lvlJc w:val="left"/>
      <w:pPr>
        <w:ind w:left="720" w:hanging="360"/>
      </w:pPr>
      <w:rPr>
        <w:rFonts w:ascii="Arial" w:eastAsia="Courier New"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31A25"/>
    <w:multiLevelType w:val="hybridMultilevel"/>
    <w:tmpl w:val="A808B6F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6660" w:hanging="360"/>
      </w:pPr>
      <w:rPr>
        <w:rFonts w:ascii="Courier New" w:hAnsi="Courier New" w:cs="Courier New" w:hint="default"/>
      </w:rPr>
    </w:lvl>
    <w:lvl w:ilvl="2" w:tplc="04090005" w:tentative="1">
      <w:start w:val="1"/>
      <w:numFmt w:val="bullet"/>
      <w:lvlText w:val=""/>
      <w:lvlJc w:val="left"/>
      <w:pPr>
        <w:ind w:left="7380" w:hanging="360"/>
      </w:pPr>
      <w:rPr>
        <w:rFonts w:ascii="Wingdings" w:hAnsi="Wingdings" w:hint="default"/>
      </w:rPr>
    </w:lvl>
    <w:lvl w:ilvl="3" w:tplc="04090001" w:tentative="1">
      <w:start w:val="1"/>
      <w:numFmt w:val="bullet"/>
      <w:lvlText w:val=""/>
      <w:lvlJc w:val="left"/>
      <w:pPr>
        <w:ind w:left="8100" w:hanging="360"/>
      </w:pPr>
      <w:rPr>
        <w:rFonts w:ascii="Symbol" w:hAnsi="Symbol" w:hint="default"/>
      </w:rPr>
    </w:lvl>
    <w:lvl w:ilvl="4" w:tplc="04090003" w:tentative="1">
      <w:start w:val="1"/>
      <w:numFmt w:val="bullet"/>
      <w:lvlText w:val="o"/>
      <w:lvlJc w:val="left"/>
      <w:pPr>
        <w:ind w:left="8820" w:hanging="360"/>
      </w:pPr>
      <w:rPr>
        <w:rFonts w:ascii="Courier New" w:hAnsi="Courier New" w:cs="Courier New" w:hint="default"/>
      </w:rPr>
    </w:lvl>
    <w:lvl w:ilvl="5" w:tplc="04090005" w:tentative="1">
      <w:start w:val="1"/>
      <w:numFmt w:val="bullet"/>
      <w:lvlText w:val=""/>
      <w:lvlJc w:val="left"/>
      <w:pPr>
        <w:ind w:left="9540" w:hanging="360"/>
      </w:pPr>
      <w:rPr>
        <w:rFonts w:ascii="Wingdings" w:hAnsi="Wingdings" w:hint="default"/>
      </w:rPr>
    </w:lvl>
    <w:lvl w:ilvl="6" w:tplc="04090001" w:tentative="1">
      <w:start w:val="1"/>
      <w:numFmt w:val="bullet"/>
      <w:lvlText w:val=""/>
      <w:lvlJc w:val="left"/>
      <w:pPr>
        <w:ind w:left="10260" w:hanging="360"/>
      </w:pPr>
      <w:rPr>
        <w:rFonts w:ascii="Symbol" w:hAnsi="Symbol" w:hint="default"/>
      </w:rPr>
    </w:lvl>
    <w:lvl w:ilvl="7" w:tplc="04090003" w:tentative="1">
      <w:start w:val="1"/>
      <w:numFmt w:val="bullet"/>
      <w:lvlText w:val="o"/>
      <w:lvlJc w:val="left"/>
      <w:pPr>
        <w:ind w:left="10980" w:hanging="360"/>
      </w:pPr>
      <w:rPr>
        <w:rFonts w:ascii="Courier New" w:hAnsi="Courier New" w:cs="Courier New" w:hint="default"/>
      </w:rPr>
    </w:lvl>
    <w:lvl w:ilvl="8" w:tplc="04090005" w:tentative="1">
      <w:start w:val="1"/>
      <w:numFmt w:val="bullet"/>
      <w:lvlText w:val=""/>
      <w:lvlJc w:val="left"/>
      <w:pPr>
        <w:ind w:left="117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F9"/>
    <w:rsid w:val="00047E68"/>
    <w:rsid w:val="000641FF"/>
    <w:rsid w:val="00070F99"/>
    <w:rsid w:val="000D7CEE"/>
    <w:rsid w:val="000E3408"/>
    <w:rsid w:val="000E5627"/>
    <w:rsid w:val="00141B6D"/>
    <w:rsid w:val="00167C96"/>
    <w:rsid w:val="00181236"/>
    <w:rsid w:val="00196A7A"/>
    <w:rsid w:val="001F5656"/>
    <w:rsid w:val="001F6219"/>
    <w:rsid w:val="00212D7A"/>
    <w:rsid w:val="00221814"/>
    <w:rsid w:val="0023021E"/>
    <w:rsid w:val="002430A8"/>
    <w:rsid w:val="00267420"/>
    <w:rsid w:val="002725BE"/>
    <w:rsid w:val="00294BD9"/>
    <w:rsid w:val="002A0C8A"/>
    <w:rsid w:val="002B2257"/>
    <w:rsid w:val="002B7736"/>
    <w:rsid w:val="002F688D"/>
    <w:rsid w:val="003566F5"/>
    <w:rsid w:val="003773E3"/>
    <w:rsid w:val="00392B2A"/>
    <w:rsid w:val="003A306F"/>
    <w:rsid w:val="003C623C"/>
    <w:rsid w:val="00414892"/>
    <w:rsid w:val="004277C5"/>
    <w:rsid w:val="00433E98"/>
    <w:rsid w:val="0049536F"/>
    <w:rsid w:val="004D3C5D"/>
    <w:rsid w:val="004E48E6"/>
    <w:rsid w:val="004E5A6F"/>
    <w:rsid w:val="005203DE"/>
    <w:rsid w:val="005213CB"/>
    <w:rsid w:val="00550650"/>
    <w:rsid w:val="00583025"/>
    <w:rsid w:val="00584D08"/>
    <w:rsid w:val="00597922"/>
    <w:rsid w:val="005B52FE"/>
    <w:rsid w:val="005C1C8F"/>
    <w:rsid w:val="00630976"/>
    <w:rsid w:val="00644CA2"/>
    <w:rsid w:val="00653646"/>
    <w:rsid w:val="00665007"/>
    <w:rsid w:val="00694F1B"/>
    <w:rsid w:val="006A183D"/>
    <w:rsid w:val="006C1154"/>
    <w:rsid w:val="006D3B61"/>
    <w:rsid w:val="006F12AB"/>
    <w:rsid w:val="00722221"/>
    <w:rsid w:val="0073165F"/>
    <w:rsid w:val="00732258"/>
    <w:rsid w:val="0073473E"/>
    <w:rsid w:val="007731C8"/>
    <w:rsid w:val="00777A2B"/>
    <w:rsid w:val="007935D7"/>
    <w:rsid w:val="007D08B8"/>
    <w:rsid w:val="007F75EE"/>
    <w:rsid w:val="00817FF9"/>
    <w:rsid w:val="0084735D"/>
    <w:rsid w:val="008B6755"/>
    <w:rsid w:val="0091295E"/>
    <w:rsid w:val="00924874"/>
    <w:rsid w:val="0093212F"/>
    <w:rsid w:val="009426BB"/>
    <w:rsid w:val="00946B15"/>
    <w:rsid w:val="009B680A"/>
    <w:rsid w:val="00A1788F"/>
    <w:rsid w:val="00A30C0C"/>
    <w:rsid w:val="00A754E2"/>
    <w:rsid w:val="00AC4E94"/>
    <w:rsid w:val="00B524AD"/>
    <w:rsid w:val="00B625B1"/>
    <w:rsid w:val="00B657E7"/>
    <w:rsid w:val="00B7703B"/>
    <w:rsid w:val="00B7720C"/>
    <w:rsid w:val="00BB29F9"/>
    <w:rsid w:val="00BD441D"/>
    <w:rsid w:val="00C171AA"/>
    <w:rsid w:val="00C4268E"/>
    <w:rsid w:val="00D16085"/>
    <w:rsid w:val="00D16ED1"/>
    <w:rsid w:val="00D7242D"/>
    <w:rsid w:val="00DD5754"/>
    <w:rsid w:val="00DE0D11"/>
    <w:rsid w:val="00DF0B8E"/>
    <w:rsid w:val="00DF693B"/>
    <w:rsid w:val="00DF7750"/>
    <w:rsid w:val="00E035EC"/>
    <w:rsid w:val="00E4259E"/>
    <w:rsid w:val="00E8212E"/>
    <w:rsid w:val="00ED4393"/>
    <w:rsid w:val="00EF37A7"/>
    <w:rsid w:val="00F53841"/>
    <w:rsid w:val="00F94F2F"/>
    <w:rsid w:val="00FC35C1"/>
    <w:rsid w:val="00FC6A1B"/>
    <w:rsid w:val="00FC7D72"/>
    <w:rsid w:val="00FE6185"/>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400A"/>
  <w15:docId w15:val="{6E133093-8ED0-3B47-AC69-0E6833A8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FF9"/>
    <w:pPr>
      <w:spacing w:after="200" w:line="276" w:lineRule="auto"/>
    </w:pPr>
    <w:rPr>
      <w:rFonts w:eastAsiaTheme="minorEastAsia"/>
    </w:rPr>
  </w:style>
  <w:style w:type="paragraph" w:styleId="Heading2">
    <w:name w:val="heading 2"/>
    <w:basedOn w:val="Normal"/>
    <w:next w:val="Normal"/>
    <w:link w:val="Heading2Char"/>
    <w:uiPriority w:val="9"/>
    <w:semiHidden/>
    <w:unhideWhenUsed/>
    <w:qFormat/>
    <w:rsid w:val="005506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17FF9"/>
    <w:pPr>
      <w:spacing w:before="100" w:beforeAutospacing="1" w:after="100" w:afterAutospacing="1" w:line="240" w:lineRule="auto"/>
      <w:outlineLvl w:val="2"/>
    </w:pPr>
    <w:rPr>
      <w:rFonts w:ascii="Times New Roman" w:eastAsiaTheme="minorHAns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7FF9"/>
    <w:rPr>
      <w:rFonts w:ascii="Times New Roman" w:hAnsi="Times New Roman" w:cs="Times New Roman"/>
      <w:b/>
      <w:bCs/>
      <w:sz w:val="27"/>
      <w:szCs w:val="27"/>
    </w:rPr>
  </w:style>
  <w:style w:type="paragraph" w:styleId="ListParagraph">
    <w:name w:val="List Paragraph"/>
    <w:aliases w:val="IBL List Paragraph,Дэд гарчиг,Paragraph,List Paragraph1,Figure Title,Main numbered paragraph,References,Numbered Paragraph,Numbered List Paragraph,123 List Paragraph,Bullets,List Paragraph (numbered (a)),List Paragraph nowy,Liste 1,Bullet"/>
    <w:basedOn w:val="Normal"/>
    <w:link w:val="ListParagraphChar"/>
    <w:uiPriority w:val="34"/>
    <w:qFormat/>
    <w:rsid w:val="00817FF9"/>
    <w:pPr>
      <w:ind w:left="720"/>
      <w:contextualSpacing/>
    </w:pPr>
  </w:style>
  <w:style w:type="paragraph" w:styleId="NormalWeb">
    <w:name w:val="Normal (Web)"/>
    <w:basedOn w:val="Normal"/>
    <w:uiPriority w:val="99"/>
    <w:unhideWhenUsed/>
    <w:qFormat/>
    <w:rsid w:val="00817FF9"/>
    <w:pPr>
      <w:widowControl w:val="0"/>
      <w:spacing w:after="0" w:line="240" w:lineRule="auto"/>
    </w:pPr>
    <w:rPr>
      <w:rFonts w:ascii="Times New Roman" w:eastAsia="Courier New" w:hAnsi="Times New Roman" w:cs="Times New Roman"/>
      <w:color w:val="000000"/>
      <w:sz w:val="24"/>
      <w:szCs w:val="24"/>
      <w:lang w:val="mn-MN" w:eastAsia="mn-MN" w:bidi="mn-MN"/>
    </w:rPr>
  </w:style>
  <w:style w:type="character" w:styleId="Strong">
    <w:name w:val="Strong"/>
    <w:basedOn w:val="DefaultParagraphFont"/>
    <w:uiPriority w:val="22"/>
    <w:qFormat/>
    <w:rsid w:val="00817FF9"/>
    <w:rPr>
      <w:b/>
      <w:bCs/>
    </w:rPr>
  </w:style>
  <w:style w:type="paragraph" w:styleId="Subtitle">
    <w:name w:val="Subtitle"/>
    <w:basedOn w:val="Normal"/>
    <w:link w:val="SubtitleChar"/>
    <w:qFormat/>
    <w:rsid w:val="00817FF9"/>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817FF9"/>
    <w:rPr>
      <w:rFonts w:ascii="Arial Mon" w:eastAsia="Times New Roman" w:hAnsi="Arial Mon" w:cs="Times New Roman"/>
      <w:sz w:val="24"/>
      <w:szCs w:val="20"/>
    </w:rPr>
  </w:style>
  <w:style w:type="paragraph" w:customStyle="1" w:styleId="Style1">
    <w:name w:val="Style1"/>
    <w:basedOn w:val="Normal"/>
    <w:uiPriority w:val="99"/>
    <w:rsid w:val="00817FF9"/>
    <w:pPr>
      <w:widowControl w:val="0"/>
      <w:autoSpaceDE w:val="0"/>
      <w:autoSpaceDN w:val="0"/>
      <w:adjustRightInd w:val="0"/>
      <w:spacing w:after="0" w:line="317" w:lineRule="exact"/>
      <w:jc w:val="both"/>
    </w:pPr>
    <w:rPr>
      <w:rFonts w:ascii="Arial" w:eastAsia="Times New Roman" w:hAnsi="Arial" w:cs="Arial"/>
      <w:sz w:val="24"/>
      <w:szCs w:val="24"/>
    </w:rPr>
  </w:style>
  <w:style w:type="paragraph" w:customStyle="1" w:styleId="yiv3732127348msonormal">
    <w:name w:val="yiv3732127348msonormal"/>
    <w:basedOn w:val="Normal"/>
    <w:rsid w:val="00817F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IBL List Paragraph Char,Дэд гарчиг Char,Paragraph Char,List Paragraph1 Char,Figure Title Char,Main numbered paragraph Char,References Char,Numbered Paragraph Char,Numbered List Paragraph Char,123 List Paragraph Char,Bullets Char"/>
    <w:link w:val="ListParagraph"/>
    <w:uiPriority w:val="34"/>
    <w:qFormat/>
    <w:locked/>
    <w:rsid w:val="00817FF9"/>
    <w:rPr>
      <w:rFonts w:eastAsiaTheme="minorEastAsia"/>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17FF9"/>
    <w:pPr>
      <w:spacing w:after="0" w:line="240" w:lineRule="auto"/>
    </w:pPr>
    <w:rPr>
      <w:rFonts w:eastAsiaTheme="minorHAnsi"/>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817FF9"/>
    <w:rPr>
      <w:sz w:val="20"/>
      <w:szCs w:val="20"/>
    </w:rPr>
  </w:style>
  <w:style w:type="character" w:styleId="FootnoteReference">
    <w:name w:val="footnote reference"/>
    <w:basedOn w:val="DefaultParagraphFont"/>
    <w:uiPriority w:val="99"/>
    <w:unhideWhenUsed/>
    <w:rsid w:val="00817FF9"/>
    <w:rPr>
      <w:vertAlign w:val="superscript"/>
    </w:rPr>
  </w:style>
  <w:style w:type="character" w:customStyle="1" w:styleId="mceitemhidden">
    <w:name w:val="mceitemhidden"/>
    <w:basedOn w:val="DefaultParagraphFont"/>
    <w:rsid w:val="00817FF9"/>
  </w:style>
  <w:style w:type="character" w:customStyle="1" w:styleId="mceitemhiddenspellword">
    <w:name w:val="mceitemhiddenspellword"/>
    <w:basedOn w:val="DefaultParagraphFont"/>
    <w:rsid w:val="00817FF9"/>
  </w:style>
  <w:style w:type="paragraph" w:styleId="Header">
    <w:name w:val="header"/>
    <w:basedOn w:val="Normal"/>
    <w:link w:val="HeaderChar"/>
    <w:uiPriority w:val="99"/>
    <w:unhideWhenUsed/>
    <w:rsid w:val="00817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FF9"/>
    <w:rPr>
      <w:rFonts w:eastAsiaTheme="minorEastAsia"/>
    </w:rPr>
  </w:style>
  <w:style w:type="paragraph" w:styleId="Footer">
    <w:name w:val="footer"/>
    <w:basedOn w:val="Normal"/>
    <w:link w:val="FooterChar"/>
    <w:uiPriority w:val="99"/>
    <w:unhideWhenUsed/>
    <w:rsid w:val="00817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FF9"/>
    <w:rPr>
      <w:rFonts w:eastAsiaTheme="minorEastAsia"/>
    </w:rPr>
  </w:style>
  <w:style w:type="character" w:customStyle="1" w:styleId="Heading2Char">
    <w:name w:val="Heading 2 Char"/>
    <w:basedOn w:val="DefaultParagraphFont"/>
    <w:link w:val="Heading2"/>
    <w:rsid w:val="00550650"/>
    <w:rPr>
      <w:rFonts w:asciiTheme="majorHAnsi" w:eastAsiaTheme="majorEastAsia" w:hAnsiTheme="majorHAnsi" w:cstheme="majorBidi"/>
      <w:color w:val="2F5496" w:themeColor="accent1" w:themeShade="BF"/>
      <w:sz w:val="26"/>
      <w:szCs w:val="26"/>
    </w:rPr>
  </w:style>
  <w:style w:type="paragraph" w:styleId="Caption">
    <w:name w:val="caption"/>
    <w:aliases w:val="quarterly chart caption,quarterly chart caption Char Char"/>
    <w:basedOn w:val="Normal"/>
    <w:next w:val="Normal"/>
    <w:link w:val="CaptionChar"/>
    <w:qFormat/>
    <w:rsid w:val="00550650"/>
    <w:pPr>
      <w:spacing w:after="0" w:line="240" w:lineRule="auto"/>
    </w:pPr>
    <w:rPr>
      <w:rFonts w:ascii="Times New Roman" w:eastAsia="Times New Roman" w:hAnsi="Times New Roman" w:cs="Times New Roman"/>
      <w:b/>
      <w:bCs/>
      <w:sz w:val="20"/>
      <w:szCs w:val="20"/>
    </w:rPr>
  </w:style>
  <w:style w:type="character" w:customStyle="1" w:styleId="CaptionChar">
    <w:name w:val="Caption Char"/>
    <w:aliases w:val="quarterly chart caption Char,quarterly chart caption Char Char Char"/>
    <w:basedOn w:val="DefaultParagraphFont"/>
    <w:link w:val="Caption"/>
    <w:locked/>
    <w:rsid w:val="00550650"/>
    <w:rPr>
      <w:rFonts w:ascii="Times New Roman" w:eastAsia="Times New Roman" w:hAnsi="Times New Roman" w:cs="Times New Roman"/>
      <w:b/>
      <w:bCs/>
      <w:sz w:val="20"/>
      <w:szCs w:val="20"/>
    </w:rPr>
  </w:style>
  <w:style w:type="paragraph" w:customStyle="1" w:styleId="ParagraphNumbering">
    <w:name w:val="Paragraph Numbering"/>
    <w:basedOn w:val="Normal"/>
    <w:rsid w:val="00550650"/>
    <w:pPr>
      <w:numPr>
        <w:numId w:val="4"/>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0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3DE"/>
    <w:rPr>
      <w:rFonts w:ascii="Segoe UI" w:eastAsiaTheme="minorEastAsia" w:hAnsi="Segoe UI" w:cs="Segoe UI"/>
      <w:sz w:val="18"/>
      <w:szCs w:val="18"/>
    </w:rPr>
  </w:style>
  <w:style w:type="paragraph" w:customStyle="1" w:styleId="Normal1">
    <w:name w:val="Normal1"/>
    <w:rsid w:val="00414892"/>
    <w:pPr>
      <w:spacing w:after="0" w:line="240" w:lineRule="auto"/>
    </w:pPr>
    <w:rPr>
      <w:rFonts w:ascii="Calibri" w:eastAsia="Calibri" w:hAnsi="Calibri" w:cs="Calibri"/>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4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D8E953-E882-144C-87B9-E7EF541A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Microsoft Office User</cp:lastModifiedBy>
  <cp:revision>24</cp:revision>
  <cp:lastPrinted>2022-12-20T09:04:00Z</cp:lastPrinted>
  <dcterms:created xsi:type="dcterms:W3CDTF">2022-12-20T08:21:00Z</dcterms:created>
  <dcterms:modified xsi:type="dcterms:W3CDTF">2023-01-09T08:12:00Z</dcterms:modified>
</cp:coreProperties>
</file>