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DC44" w14:textId="77777777" w:rsidR="001F1B50" w:rsidRPr="0042310B" w:rsidRDefault="001F1B50" w:rsidP="0050004F">
      <w:pPr>
        <w:pStyle w:val="NormalWeb"/>
        <w:rPr>
          <w:rFonts w:ascii="Arial" w:hAnsi="Arial" w:cs="Arial"/>
          <w:b/>
          <w:lang w:val="mn-MN"/>
        </w:rPr>
      </w:pPr>
      <w:r w:rsidRPr="0042310B">
        <w:rPr>
          <w:rFonts w:ascii="Arial" w:eastAsia="Arial" w:hAnsi="Arial" w:cs="Arial"/>
          <w:noProof/>
          <w:color w:val="000000"/>
        </w:rPr>
        <w:drawing>
          <wp:inline distT="0" distB="0" distL="0" distR="0" wp14:anchorId="08514602" wp14:editId="30F75FAB">
            <wp:extent cx="2062808" cy="742950"/>
            <wp:effectExtent l="0" t="0" r="0" b="0"/>
            <wp:docPr id="8" name="Picture 8" descr="C:\Users\Nyamaa\Desktop\Material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:\Users\Nyamaa\Desktop\Material\Untitled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12" cy="7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0CCCF" w14:textId="77777777" w:rsidR="001F1B50" w:rsidRPr="0042310B" w:rsidRDefault="001F1B50" w:rsidP="0050004F">
      <w:pPr>
        <w:pStyle w:val="NormalWeb"/>
        <w:jc w:val="center"/>
        <w:rPr>
          <w:rFonts w:ascii="Arial" w:hAnsi="Arial" w:cs="Arial"/>
          <w:b/>
          <w:lang w:val="mn-MN"/>
        </w:rPr>
      </w:pPr>
    </w:p>
    <w:p w14:paraId="7A7DEC33" w14:textId="77777777" w:rsidR="001F1B50" w:rsidRPr="0042310B" w:rsidRDefault="001F1B50" w:rsidP="0050004F">
      <w:pPr>
        <w:pStyle w:val="NormalWeb"/>
        <w:jc w:val="center"/>
        <w:rPr>
          <w:rFonts w:ascii="Arial" w:hAnsi="Arial" w:cs="Arial"/>
          <w:b/>
          <w:lang w:val="mn-MN"/>
        </w:rPr>
      </w:pPr>
    </w:p>
    <w:p w14:paraId="4BDB59E9" w14:textId="77777777" w:rsidR="001F1B50" w:rsidRPr="0042310B" w:rsidRDefault="001F1B50" w:rsidP="0050004F">
      <w:pPr>
        <w:pStyle w:val="NormalWeb"/>
        <w:jc w:val="center"/>
        <w:rPr>
          <w:rFonts w:ascii="Arial" w:hAnsi="Arial" w:cs="Arial"/>
          <w:b/>
          <w:lang w:val="mn-MN"/>
        </w:rPr>
      </w:pPr>
    </w:p>
    <w:p w14:paraId="39152360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7AFAEAA5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0708B4CE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740CF5DC" w14:textId="77777777" w:rsidR="00937104" w:rsidRPr="0042310B" w:rsidRDefault="00937104" w:rsidP="0050004F">
      <w:pPr>
        <w:ind w:left="1" w:firstLine="719"/>
        <w:contextualSpacing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</w:pPr>
    </w:p>
    <w:p w14:paraId="3040ED83" w14:textId="4FC724C9" w:rsidR="00A20C3E" w:rsidRPr="0042310B" w:rsidRDefault="00937104" w:rsidP="0050004F">
      <w:pPr>
        <w:ind w:left="1" w:firstLine="719"/>
        <w:contextualSpacing/>
        <w:jc w:val="center"/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</w:pPr>
      <w:r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>НИЙГМИЙН</w:t>
      </w:r>
      <w:r w:rsidR="00791749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 xml:space="preserve"> ДАА</w:t>
      </w:r>
      <w:r w:rsidR="009F0E2A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>ТГАЛЫН САНГААС ОЛГОХ ТЭТГЭВРИЙН</w:t>
      </w:r>
      <w:r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 xml:space="preserve"> ТУХАЙ ХУУЛИЙН ШИНЭЧИЛСЭН НАЙРУУЛГЫН ТӨСӨЛД</w:t>
      </w:r>
      <w:r w:rsidR="00A20C3E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 xml:space="preserve"> </w:t>
      </w:r>
      <w:r w:rsidR="00444C3D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>ТУСГАСАН ЗАРИМ ЗОХИЦУУЛАЛТЫГ</w:t>
      </w:r>
      <w:r w:rsidR="00510346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 xml:space="preserve"> ХЭРЭГЖҮҮЛЭХЭД НЭМЭГ</w:t>
      </w:r>
      <w:r w:rsidR="0031500B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 xml:space="preserve">ДЭЖ ГАРАХ </w:t>
      </w:r>
      <w:r w:rsidR="00A20C3E" w:rsidRPr="0042310B">
        <w:rPr>
          <w:rFonts w:ascii="Arial" w:eastAsia="Times New Roman" w:hAnsi="Arial" w:cs="Arial"/>
          <w:b/>
          <w:color w:val="1F497D" w:themeColor="text2"/>
          <w:sz w:val="32"/>
          <w:szCs w:val="24"/>
          <w:lang w:val="mn-MN"/>
        </w:rPr>
        <w:t>ЗАРДЛЫН ТООЦОО</w:t>
      </w:r>
    </w:p>
    <w:p w14:paraId="45E48658" w14:textId="77777777" w:rsidR="00937104" w:rsidRPr="0042310B" w:rsidRDefault="00937104" w:rsidP="0050004F">
      <w:pPr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</w:pPr>
    </w:p>
    <w:p w14:paraId="6B02A9F2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603E89CB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5A392BB4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5E4E7500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02EB6E53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1CF41A28" w14:textId="77777777" w:rsidR="00937104" w:rsidRPr="0042310B" w:rsidRDefault="00937104" w:rsidP="0050004F">
      <w:pPr>
        <w:rPr>
          <w:rFonts w:ascii="Arial" w:hAnsi="Arial" w:cs="Arial"/>
          <w:sz w:val="24"/>
          <w:szCs w:val="24"/>
          <w:lang w:val="mn-MN"/>
        </w:rPr>
      </w:pPr>
    </w:p>
    <w:p w14:paraId="5B9C2641" w14:textId="77777777" w:rsidR="00587285" w:rsidRPr="0042310B" w:rsidRDefault="00587285" w:rsidP="0050004F">
      <w:pPr>
        <w:rPr>
          <w:rFonts w:ascii="Arial" w:hAnsi="Arial" w:cs="Arial"/>
          <w:sz w:val="24"/>
          <w:szCs w:val="24"/>
          <w:lang w:val="mn-MN"/>
        </w:rPr>
      </w:pPr>
    </w:p>
    <w:p w14:paraId="10748586" w14:textId="77777777" w:rsidR="00587285" w:rsidRPr="0042310B" w:rsidRDefault="00587285" w:rsidP="0050004F">
      <w:pPr>
        <w:rPr>
          <w:rFonts w:ascii="Arial" w:hAnsi="Arial" w:cs="Arial"/>
          <w:sz w:val="24"/>
          <w:szCs w:val="24"/>
          <w:lang w:val="mn-MN"/>
        </w:rPr>
      </w:pPr>
    </w:p>
    <w:p w14:paraId="61332D76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0363E229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29E7EDA7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4194E055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076EED5B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459472AE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6B006702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097CA3DA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3595444C" w14:textId="77777777" w:rsidR="007B5409" w:rsidRPr="0042310B" w:rsidRDefault="007B5409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3A69DE31" w14:textId="77777777" w:rsidR="007B5409" w:rsidRPr="0042310B" w:rsidRDefault="007B5409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550D46BC" w14:textId="4200F478" w:rsidR="007B5409" w:rsidRPr="0042310B" w:rsidRDefault="007B5409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39AF7D68" w14:textId="1C6AC225" w:rsidR="00CF5DA5" w:rsidRPr="0042310B" w:rsidRDefault="00CF5DA5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46A6C43B" w14:textId="06C2ED85" w:rsidR="00CF5DA5" w:rsidRPr="0042310B" w:rsidRDefault="00CF5DA5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7F1EB1DF" w14:textId="579ABECE" w:rsidR="00CF5DA5" w:rsidRPr="0042310B" w:rsidRDefault="00CF5DA5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6696DC58" w14:textId="4490114E" w:rsidR="00CF5DA5" w:rsidRPr="0042310B" w:rsidRDefault="00CF5DA5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65F4C868" w14:textId="77777777" w:rsidR="00CF5DA5" w:rsidRPr="0042310B" w:rsidRDefault="00CF5DA5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0DA699DF" w14:textId="77777777" w:rsidR="0050004F" w:rsidRPr="0042310B" w:rsidRDefault="0050004F" w:rsidP="0050004F">
      <w:pPr>
        <w:contextualSpacing/>
        <w:rPr>
          <w:rFonts w:ascii="Arial" w:hAnsi="Arial" w:cs="Arial"/>
          <w:sz w:val="24"/>
          <w:szCs w:val="24"/>
          <w:lang w:val="mn-MN"/>
        </w:rPr>
      </w:pPr>
    </w:p>
    <w:p w14:paraId="4B69B1EA" w14:textId="77777777" w:rsidR="00937104" w:rsidRPr="0042310B" w:rsidRDefault="004C0214" w:rsidP="0050004F">
      <w:pPr>
        <w:contextualSpacing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  <w:t>Улаанбаатар хот</w:t>
      </w:r>
    </w:p>
    <w:p w14:paraId="19996EB2" w14:textId="22F4BB89" w:rsidR="0050004F" w:rsidRPr="0042310B" w:rsidRDefault="001F1B50" w:rsidP="007B5409">
      <w:pPr>
        <w:contextualSpacing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  <w:t>202</w:t>
      </w:r>
      <w:r w:rsidR="00E97853" w:rsidRPr="0042310B"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  <w:t>2</w:t>
      </w:r>
      <w:r w:rsidR="007D19C6" w:rsidRPr="0042310B">
        <w:rPr>
          <w:rFonts w:ascii="Arial" w:eastAsia="Times New Roman" w:hAnsi="Arial" w:cs="Arial"/>
          <w:b/>
          <w:color w:val="1F497D" w:themeColor="text2"/>
          <w:sz w:val="24"/>
          <w:szCs w:val="24"/>
          <w:lang w:val="mn-MN"/>
        </w:rPr>
        <w:t xml:space="preserve"> он</w:t>
      </w:r>
    </w:p>
    <w:p w14:paraId="2E385C36" w14:textId="77777777" w:rsidR="001903E9" w:rsidRPr="0042310B" w:rsidRDefault="00DE73D8" w:rsidP="0050004F">
      <w:pPr>
        <w:ind w:left="1" w:firstLine="719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2310B">
        <w:rPr>
          <w:rFonts w:ascii="Arial" w:hAnsi="Arial" w:cs="Arial"/>
          <w:b/>
          <w:sz w:val="24"/>
          <w:szCs w:val="24"/>
          <w:lang w:val="mn-MN"/>
        </w:rPr>
        <w:lastRenderedPageBreak/>
        <w:t xml:space="preserve">НИЙГМИЙН ДААТГАЛЫН </w:t>
      </w:r>
      <w:r w:rsidR="007A2C0E" w:rsidRPr="0042310B">
        <w:rPr>
          <w:rFonts w:ascii="Arial" w:hAnsi="Arial" w:cs="Arial"/>
          <w:b/>
          <w:sz w:val="24"/>
          <w:szCs w:val="24"/>
          <w:lang w:val="mn-MN"/>
        </w:rPr>
        <w:t>САНГААС ОЛГОХ ТЭТГЭВРИЙН</w:t>
      </w:r>
      <w:r w:rsidRPr="0042310B">
        <w:rPr>
          <w:rFonts w:ascii="Arial" w:hAnsi="Arial" w:cs="Arial"/>
          <w:b/>
          <w:sz w:val="24"/>
          <w:szCs w:val="24"/>
          <w:lang w:val="mn-MN"/>
        </w:rPr>
        <w:t xml:space="preserve"> ТУХАЙ ХУУЛИЙН </w:t>
      </w:r>
      <w:r w:rsidR="00340DE9" w:rsidRPr="0042310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ШИНЭЧИЛСЭН НАЙРУУЛГЫН Т</w:t>
      </w:r>
      <w:r w:rsidR="001903E9" w:rsidRPr="0042310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ӨСӨЛД </w:t>
      </w:r>
      <w:r w:rsidR="00510346" w:rsidRPr="0042310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ТУСГАСАН ЗАРИМ ЗҮЙЛ, ЗААЛТЫГ ХЭРЭГЖҮҮЛЭХЭД НЭМЭГДЭЖ ГАРАХ ЗАРДЛЫН ТООЦОО</w:t>
      </w:r>
    </w:p>
    <w:p w14:paraId="43364A46" w14:textId="77777777" w:rsidR="001903E9" w:rsidRPr="0042310B" w:rsidRDefault="001903E9" w:rsidP="0050004F">
      <w:pPr>
        <w:rPr>
          <w:rFonts w:ascii="Arial" w:hAnsi="Arial" w:cs="Arial"/>
          <w:sz w:val="24"/>
          <w:szCs w:val="24"/>
          <w:lang w:val="mn-MN"/>
        </w:rPr>
      </w:pPr>
    </w:p>
    <w:p w14:paraId="14CC4449" w14:textId="77777777" w:rsidR="001903E9" w:rsidRPr="0042310B" w:rsidRDefault="00DE73D8" w:rsidP="0050004F">
      <w:pPr>
        <w:ind w:left="1" w:firstLine="719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2310B">
        <w:rPr>
          <w:rFonts w:ascii="Arial" w:hAnsi="Arial" w:cs="Arial"/>
          <w:sz w:val="24"/>
          <w:szCs w:val="24"/>
          <w:lang w:val="mn-MN"/>
        </w:rPr>
        <w:t xml:space="preserve">Нийгмийн даатгалын </w:t>
      </w:r>
      <w:r w:rsidR="007A2C0E" w:rsidRPr="0042310B">
        <w:rPr>
          <w:rFonts w:ascii="Arial" w:hAnsi="Arial" w:cs="Arial"/>
          <w:sz w:val="24"/>
          <w:szCs w:val="24"/>
          <w:lang w:val="mn-MN"/>
        </w:rPr>
        <w:t>сангаас олгох тэтгэврийн</w:t>
      </w:r>
      <w:r w:rsidRPr="0042310B">
        <w:rPr>
          <w:rFonts w:ascii="Arial" w:hAnsi="Arial" w:cs="Arial"/>
          <w:sz w:val="24"/>
          <w:szCs w:val="24"/>
          <w:lang w:val="mn-MN"/>
        </w:rPr>
        <w:t xml:space="preserve"> </w:t>
      </w:r>
      <w:r w:rsidR="00340DE9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хуулийн шинэчилсэн найруулгын </w:t>
      </w:r>
      <w:r w:rsidR="001903E9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>төслийг хэрэгжүүлэхтэй холбогдон гарах зардлыг Засгийн газрын 2016 оны 59 дүгээр тогтоолын</w:t>
      </w:r>
      <w:r w:rsidR="00EF7D1A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4 дүгээр хавсралтаар баталсан х</w:t>
      </w:r>
      <w:r w:rsidR="001903E9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ууль тогтоомжийг хэрэгжүүлэхтэй холбогдон гарах зардлын тооцоо хийх аргачлалын </w:t>
      </w:r>
      <w:r w:rsidR="00B767AF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этгээдийн, даатгуулагч /иргэн/, төрийн байгууллаг</w:t>
      </w:r>
      <w:r w:rsidR="00EF7D1A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>ад үүсэх зардлаар тус тус тооцов</w:t>
      </w:r>
      <w:r w:rsidR="00B767AF" w:rsidRPr="0042310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p w14:paraId="0A8E86F3" w14:textId="18DBBC05" w:rsidR="007904E0" w:rsidRPr="0042310B" w:rsidRDefault="00A72342" w:rsidP="007904E0">
      <w:pPr>
        <w:pStyle w:val="NormalWeb"/>
        <w:spacing w:after="0" w:afterAutospacing="0"/>
        <w:ind w:firstLine="720"/>
        <w:jc w:val="both"/>
        <w:rPr>
          <w:rFonts w:ascii="Arial" w:hAnsi="Arial" w:cs="Arial"/>
          <w:i/>
          <w:lang w:val="mn-MN"/>
        </w:rPr>
      </w:pPr>
      <w:r w:rsidRPr="0042310B">
        <w:rPr>
          <w:rFonts w:ascii="Arial" w:hAnsi="Arial" w:cs="Arial"/>
          <w:i/>
          <w:lang w:val="mn-MN"/>
        </w:rPr>
        <w:t>Хуулийн</w:t>
      </w:r>
      <w:r w:rsidR="001903E9" w:rsidRPr="0042310B">
        <w:rPr>
          <w:rFonts w:ascii="Arial" w:hAnsi="Arial" w:cs="Arial"/>
          <w:i/>
          <w:lang w:val="mn-MN"/>
        </w:rPr>
        <w:t xml:space="preserve"> төслийг хэрэгжүүлэхтэй холбоотой зардлыг тооцохдоо дараах нийтлэг зарчмыг баримталсан. Үүнд:</w:t>
      </w:r>
    </w:p>
    <w:p w14:paraId="565F42FA" w14:textId="77777777" w:rsidR="001903E9" w:rsidRPr="0042310B" w:rsidRDefault="001903E9" w:rsidP="0050004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42310B">
        <w:rPr>
          <w:rFonts w:ascii="Arial" w:hAnsi="Arial" w:cs="Arial"/>
          <w:color w:val="000000" w:themeColor="text1"/>
          <w:lang w:val="mn-MN"/>
        </w:rPr>
        <w:t>ажил олгогч, даатгуулагчийн гүйцэтгэх үүрэг нэг бүрийг оновчтой тодорхойлох;</w:t>
      </w:r>
    </w:p>
    <w:p w14:paraId="1F994FC2" w14:textId="77777777" w:rsidR="001903E9" w:rsidRPr="0042310B" w:rsidRDefault="001903E9" w:rsidP="0050004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2310B">
        <w:rPr>
          <w:rFonts w:ascii="Arial" w:hAnsi="Arial" w:cs="Arial"/>
          <w:lang w:val="mn-MN"/>
        </w:rPr>
        <w:t>үнэн бодит тоо мэдээлэлд тулгуурлах;</w:t>
      </w:r>
    </w:p>
    <w:p w14:paraId="57957E45" w14:textId="728B7F4B" w:rsidR="001903E9" w:rsidRPr="0042310B" w:rsidRDefault="00340DE9" w:rsidP="0050004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2310B">
        <w:rPr>
          <w:rFonts w:ascii="Arial" w:hAnsi="Arial" w:cs="Arial"/>
          <w:lang w:val="mn-MN"/>
        </w:rPr>
        <w:t>хуулийн төслийг 202</w:t>
      </w:r>
      <w:r w:rsidR="00A5407B" w:rsidRPr="002C1FC9">
        <w:rPr>
          <w:rFonts w:ascii="Arial" w:hAnsi="Arial" w:cs="Arial"/>
          <w:lang w:val="mn-MN"/>
        </w:rPr>
        <w:t>4</w:t>
      </w:r>
      <w:r w:rsidR="0050004F" w:rsidRPr="0042310B">
        <w:rPr>
          <w:rFonts w:ascii="Arial" w:hAnsi="Arial" w:cs="Arial"/>
          <w:lang w:val="mn-MN"/>
        </w:rPr>
        <w:t xml:space="preserve"> оноос хэрэгжинэ гэж үзэн </w:t>
      </w:r>
      <w:r w:rsidR="001903E9" w:rsidRPr="0042310B">
        <w:rPr>
          <w:rFonts w:ascii="Arial" w:hAnsi="Arial" w:cs="Arial"/>
          <w:lang w:val="mn-MN"/>
        </w:rPr>
        <w:t>зардлыг тооцох;</w:t>
      </w:r>
    </w:p>
    <w:p w14:paraId="1D1A1122" w14:textId="77777777" w:rsidR="001903E9" w:rsidRPr="0042310B" w:rsidRDefault="001903E9" w:rsidP="0050004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2310B">
        <w:rPr>
          <w:rFonts w:ascii="Arial" w:hAnsi="Arial" w:cs="Arial"/>
          <w:lang w:val="mn-MN"/>
        </w:rPr>
        <w:t>аргачлалд заасан тооцоо хийх үе шатыг баримтлах.</w:t>
      </w:r>
    </w:p>
    <w:p w14:paraId="0C1006B1" w14:textId="77777777" w:rsidR="001903E9" w:rsidRPr="0042310B" w:rsidRDefault="001903E9" w:rsidP="0050004F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lang w:val="mn-MN"/>
        </w:rPr>
      </w:pPr>
    </w:p>
    <w:p w14:paraId="5DDD76C3" w14:textId="40C8D7F2" w:rsidR="00DE73D8" w:rsidRPr="0042310B" w:rsidRDefault="00A72342" w:rsidP="0050004F">
      <w:pPr>
        <w:ind w:firstLine="720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Тэтгэврийн</w:t>
      </w:r>
      <w:r w:rsidR="00DE73D8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 xml:space="preserve"> даатгалын сан</w:t>
      </w:r>
    </w:p>
    <w:p w14:paraId="7411275E" w14:textId="77777777" w:rsidR="007904E0" w:rsidRPr="0042310B" w:rsidRDefault="007904E0" w:rsidP="0050004F">
      <w:pPr>
        <w:ind w:firstLine="720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421F51A" w14:textId="02272F4F" w:rsidR="008E3F46" w:rsidRPr="0042310B" w:rsidRDefault="007167D5" w:rsidP="002C1FC9">
      <w:pPr>
        <w:spacing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2C1FC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Нийгмийн даатгалын сангийн 2023 оны төсвийн тухай хуулиар 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т</w:t>
      </w:r>
      <w:r w:rsidR="003C1B11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этгэврийн 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даатгалын санд </w:t>
      </w:r>
      <w:r w:rsidR="00B726B3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2.6 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их наяд төгрөгийн</w:t>
      </w:r>
      <w:r w:rsidR="003C1B11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</w:t>
      </w:r>
      <w:r w:rsidR="008B43B1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рлого төвлөр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үүлж</w:t>
      </w:r>
      <w:r w:rsidR="008B43B1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,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  <w:r w:rsidR="008E3F46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улсын төсвөөс тэтгэврийн даатгалын санд </w:t>
      </w:r>
      <w:r w:rsidR="007904E0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5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37</w:t>
      </w:r>
      <w:r w:rsidR="008E3F46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7</w:t>
      </w:r>
      <w:r w:rsidR="008E3F46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тэрбум төгрөгийн татаас олгож, </w:t>
      </w:r>
      <w:r w:rsidR="00B726B3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="00F63207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8E3F46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их наяд төгрөг</w:t>
      </w:r>
      <w:r w:rsidR="00B726B3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ийг 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тэтгэврийн зардалд зарцуул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ахаар баталсан</w:t>
      </w:r>
      <w:r w:rsidR="004D6B7A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. </w:t>
      </w:r>
    </w:p>
    <w:p w14:paraId="110E9EB4" w14:textId="77777777" w:rsidR="00F42DC4" w:rsidRPr="0042310B" w:rsidRDefault="00F42DC4" w:rsidP="002C1FC9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1537630B" w14:textId="7F7EB5DD" w:rsidR="00970F15" w:rsidRPr="0042310B" w:rsidRDefault="007A4655" w:rsidP="002C1FC9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2C1FC9">
        <w:rPr>
          <w:rFonts w:ascii="Arial" w:eastAsia="Times New Roman" w:hAnsi="Arial" w:cs="Arial"/>
          <w:b/>
          <w:bCs/>
          <w:color w:val="000000"/>
          <w:szCs w:val="28"/>
          <w:lang w:val="mn-MN"/>
        </w:rPr>
        <w:t>Хүснэгт 1.</w:t>
      </w:r>
      <w:r w:rsidR="003C1B11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Тэтгэврийн д</w:t>
      </w:r>
      <w:r w:rsidR="008B43B1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аатгалын сангийн орлого</w:t>
      </w:r>
      <w:r w:rsidR="004D6B7A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, зарлага</w:t>
      </w:r>
      <w:r w:rsidR="008B43B1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 xml:space="preserve"> </w:t>
      </w:r>
      <w:r w:rsidR="008E22F1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/</w:t>
      </w:r>
      <w:r w:rsidR="008E22F1" w:rsidRPr="0042310B">
        <w:rPr>
          <w:rFonts w:ascii="Arial" w:hAnsi="Arial" w:cs="Arial"/>
          <w:b/>
          <w:bCs/>
          <w:sz w:val="21"/>
          <w:szCs w:val="24"/>
          <w:lang w:val="mn-MN"/>
        </w:rPr>
        <w:t>тэрбум ₮</w:t>
      </w:r>
      <w:r w:rsidR="003C1B11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/</w:t>
      </w:r>
    </w:p>
    <w:p w14:paraId="08DF5AF7" w14:textId="3B13DE4A" w:rsidR="004D6B7A" w:rsidRPr="0042310B" w:rsidRDefault="004D6B7A" w:rsidP="0050004F">
      <w:pPr>
        <w:ind w:firstLine="720"/>
        <w:jc w:val="right"/>
        <w:rPr>
          <w:rFonts w:ascii="Arial" w:eastAsia="Times New Roman" w:hAnsi="Arial" w:cs="Arial"/>
          <w:color w:val="000000"/>
          <w:sz w:val="20"/>
          <w:szCs w:val="24"/>
          <w:lang w:val="mn-MN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796"/>
        <w:gridCol w:w="1562"/>
        <w:gridCol w:w="1562"/>
        <w:gridCol w:w="1562"/>
        <w:gridCol w:w="1289"/>
        <w:gridCol w:w="1289"/>
      </w:tblGrid>
      <w:tr w:rsidR="00C926A3" w:rsidRPr="0042310B" w14:paraId="7B9E5802" w14:textId="587D8B09" w:rsidTr="002C1FC9">
        <w:trPr>
          <w:trHeight w:val="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F992" w14:textId="3D481E05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lang w:val="mn-MN"/>
              </w:rPr>
              <w:t>Үзүүлэлт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CC69B" w14:textId="36FD2003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lang w:val="mn-MN"/>
              </w:rPr>
              <w:t>2019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3B7F" w14:textId="7007C4B6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lang w:val="mn-MN"/>
              </w:rPr>
              <w:t>2020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6D0B2" w14:textId="087D09CA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lang w:val="mn-MN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5B43C" w14:textId="7552CB24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2C1FC9">
              <w:rPr>
                <w:rFonts w:ascii="Arial" w:eastAsia="Times New Roman" w:hAnsi="Arial" w:cs="Arial"/>
                <w:b/>
                <w:bCs/>
                <w:lang w:val="mn-MN"/>
              </w:rPr>
              <w:t>2022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BB10F" w14:textId="394F715A" w:rsidR="00C926A3" w:rsidRPr="0042310B" w:rsidRDefault="00C926A3" w:rsidP="00F42DC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val="mn-MN"/>
              </w:rPr>
            </w:pPr>
            <w:r w:rsidRPr="002C1FC9">
              <w:rPr>
                <w:rFonts w:ascii="Arial" w:eastAsia="Times New Roman" w:hAnsi="Arial" w:cs="Arial"/>
                <w:b/>
                <w:bCs/>
                <w:lang w:val="mn-MN"/>
              </w:rPr>
              <w:t>2023</w:t>
            </w:r>
          </w:p>
        </w:tc>
      </w:tr>
      <w:tr w:rsidR="00C926A3" w:rsidRPr="0042310B" w14:paraId="1C3A15BC" w14:textId="69D46FA7" w:rsidTr="002C1FC9">
        <w:trPr>
          <w:trHeight w:val="47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589F" w14:textId="7E0D2FDF" w:rsidR="00C926A3" w:rsidRPr="0042310B" w:rsidRDefault="00C926A3" w:rsidP="004554FE">
            <w:pPr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Орлого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3FE8" w14:textId="2F4D90A4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1,469</w:t>
            </w:r>
            <w:r w:rsidRPr="002C1FC9">
              <w:rPr>
                <w:rFonts w:ascii="Arial" w:eastAsia="Times New Roman" w:hAnsi="Arial" w:cs="Arial"/>
                <w:lang w:val="mn-MN"/>
              </w:rPr>
              <w:t>.5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771A" w14:textId="59D7E90C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1,198</w:t>
            </w:r>
            <w:r w:rsidRPr="002C1FC9">
              <w:rPr>
                <w:rFonts w:ascii="Arial" w:eastAsia="Times New Roman" w:hAnsi="Arial" w:cs="Arial"/>
                <w:lang w:val="mn-MN"/>
              </w:rPr>
              <w:t>.4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E4C3" w14:textId="6564ABE3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1,824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2831" w14:textId="1FFD1DA7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1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958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4664" w14:textId="1BAB72F6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2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634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</w:tr>
      <w:tr w:rsidR="00C926A3" w:rsidRPr="0042310B" w14:paraId="1F5CE05B" w14:textId="58B5334F" w:rsidTr="002C1FC9">
        <w:trPr>
          <w:trHeight w:val="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5CF5" w14:textId="3504D1F8" w:rsidR="00C926A3" w:rsidRPr="0042310B" w:rsidRDefault="00C926A3" w:rsidP="004554FE">
            <w:pPr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Зарлага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9338" w14:textId="6223070B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1,839</w:t>
            </w:r>
            <w:r w:rsidRPr="002C1FC9">
              <w:rPr>
                <w:rFonts w:ascii="Arial" w:eastAsia="Times New Roman" w:hAnsi="Arial" w:cs="Arial"/>
                <w:lang w:val="mn-MN"/>
              </w:rPr>
              <w:t>.2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8DED" w14:textId="3B43CAE7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eastAsia="Times New Roman" w:hAnsi="Arial" w:cs="Arial"/>
                <w:lang w:val="mn-MN"/>
              </w:rPr>
              <w:t>2,174</w:t>
            </w:r>
            <w:r w:rsidRPr="002C1FC9">
              <w:rPr>
                <w:rFonts w:ascii="Arial" w:eastAsia="Times New Roman" w:hAnsi="Arial" w:cs="Arial"/>
                <w:lang w:val="mn-MN"/>
              </w:rPr>
              <w:t>.</w:t>
            </w:r>
            <w:r w:rsidRPr="0042310B">
              <w:rPr>
                <w:rFonts w:ascii="Arial" w:eastAsia="Times New Roman" w:hAnsi="Arial" w:cs="Arial"/>
                <w:lang w:val="mn-MN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9A5D" w14:textId="513FBB38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2,281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86C9" w14:textId="71DFF9E1" w:rsidR="00C926A3" w:rsidRPr="0042310B" w:rsidRDefault="00C926A3" w:rsidP="004554FE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3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214</w:t>
            </w:r>
            <w:r w:rsidR="00BD5E7A"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E3464" w14:textId="4D30DC52" w:rsidR="00C926A3" w:rsidRPr="0042310B" w:rsidRDefault="00BD5E7A" w:rsidP="00F63207">
            <w:pPr>
              <w:spacing w:after="160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3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3</w:t>
            </w:r>
            <w:r w:rsidR="00F63207">
              <w:rPr>
                <w:rFonts w:ascii="Arial" w:hAnsi="Arial" w:cs="Arial"/>
                <w:color w:val="000000"/>
                <w:lang w:val="mn-MN"/>
              </w:rPr>
              <w:t>38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="00F63207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</w:tr>
    </w:tbl>
    <w:p w14:paraId="4917B915" w14:textId="77777777" w:rsidR="004D6B7A" w:rsidRPr="0042310B" w:rsidRDefault="004D6B7A" w:rsidP="0050004F">
      <w:pPr>
        <w:ind w:firstLine="72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2E24330C" w14:textId="00E4DD44" w:rsidR="00D551B7" w:rsidRPr="0042310B" w:rsidRDefault="008E22F1" w:rsidP="0050004F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Тэтгэврийн даатгалын сангаас </w:t>
      </w:r>
      <w:r w:rsidR="007167D5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2023 </w:t>
      </w:r>
      <w:r w:rsidR="00D551B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он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д 492.9</w:t>
      </w:r>
      <w:r w:rsidR="00D551B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мянган тэтгэвэр авагч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ид 3.3 их наяд төгрөгийн тэтгэвэр авахаас </w:t>
      </w:r>
      <w:r w:rsidR="00D551B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9</w:t>
      </w:r>
      <w:r w:rsidR="007F1E1E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D551B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="00D551B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мянга нь өн</w:t>
      </w:r>
      <w:r w:rsidR="0050004F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дөр насны</w:t>
      </w:r>
      <w:r w:rsidR="008C4F27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тэтгэвэр авагчид 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2.6 их наяд төгрөг зарцуулна</w:t>
      </w:r>
      <w:r w:rsidR="0050004F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.</w:t>
      </w:r>
    </w:p>
    <w:p w14:paraId="3DC713B9" w14:textId="64375473" w:rsidR="00D551B7" w:rsidRPr="0042310B" w:rsidRDefault="00D551B7" w:rsidP="0050004F">
      <w:pPr>
        <w:ind w:firstLine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</w:p>
    <w:p w14:paraId="194C7B2C" w14:textId="387E9295" w:rsidR="004D6B7A" w:rsidRPr="0042310B" w:rsidRDefault="0001679F" w:rsidP="002C1FC9">
      <w:pPr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</w:pPr>
      <w:r w:rsidRPr="002C1FC9">
        <w:rPr>
          <w:rFonts w:ascii="Arial" w:eastAsia="Times New Roman" w:hAnsi="Arial" w:cs="Arial"/>
          <w:b/>
          <w:bCs/>
          <w:color w:val="000000"/>
          <w:sz w:val="24"/>
          <w:szCs w:val="32"/>
          <w:lang w:val="mn-MN"/>
        </w:rPr>
        <w:t>Хүснэгт 2.</w:t>
      </w:r>
      <w:r w:rsidR="004D6B7A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Тэтгэвэр авагчдын тоо</w:t>
      </w:r>
      <w:r w:rsidR="008E3F46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, зарцуул</w:t>
      </w:r>
      <w:r w:rsidR="00A46BA1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ах</w:t>
      </w:r>
      <w:r w:rsidR="008E3F46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 xml:space="preserve"> хөрөнгө </w:t>
      </w:r>
      <w:r w:rsidR="004D6B7A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/202</w:t>
      </w:r>
      <w:r w:rsidR="007167D5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3</w:t>
      </w:r>
      <w:r w:rsidR="004D6B7A" w:rsidRPr="0042310B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 xml:space="preserve"> он/</w:t>
      </w:r>
    </w:p>
    <w:p w14:paraId="261E0E18" w14:textId="303F73EC" w:rsidR="004D6B7A" w:rsidRPr="0042310B" w:rsidRDefault="004D6B7A" w:rsidP="0050004F">
      <w:pPr>
        <w:ind w:firstLine="720"/>
        <w:jc w:val="right"/>
        <w:rPr>
          <w:rFonts w:ascii="Arial" w:eastAsia="Times New Roman" w:hAnsi="Arial" w:cs="Arial"/>
          <w:color w:val="000000"/>
          <w:sz w:val="20"/>
          <w:szCs w:val="24"/>
          <w:lang w:val="mn-MN"/>
        </w:rPr>
      </w:pPr>
    </w:p>
    <w:tbl>
      <w:tblPr>
        <w:tblW w:w="8617" w:type="dxa"/>
        <w:tblLook w:val="04A0" w:firstRow="1" w:lastRow="0" w:firstColumn="1" w:lastColumn="0" w:noHBand="0" w:noVBand="1"/>
      </w:tblPr>
      <w:tblGrid>
        <w:gridCol w:w="3775"/>
        <w:gridCol w:w="2574"/>
        <w:gridCol w:w="2268"/>
      </w:tblGrid>
      <w:tr w:rsidR="007F1E1E" w:rsidRPr="0042310B" w14:paraId="30EFADDD" w14:textId="65153535" w:rsidTr="002C1FC9">
        <w:trPr>
          <w:trHeight w:val="21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0A7" w14:textId="424E6D48" w:rsidR="007F1E1E" w:rsidRPr="0042310B" w:rsidRDefault="00A46BA1" w:rsidP="0050004F">
            <w:pPr>
              <w:ind w:firstLineChars="100" w:firstLine="211"/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  <w:t>Тэтгэврийн төрөл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6507" w14:textId="16FE5A31" w:rsidR="007F1E1E" w:rsidRPr="0042310B" w:rsidRDefault="007F1E1E" w:rsidP="007F1E1E">
            <w:pPr>
              <w:ind w:leftChars="-25" w:left="2" w:hangingChars="27" w:hanging="57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  <w:t>Тэтгэвэр авагчдын тоо</w:t>
            </w:r>
            <w:r w:rsidR="00A46BA1" w:rsidRPr="0042310B"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  <w:t xml:space="preserve"> /мян.хүн/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1F0C" w14:textId="55C33700" w:rsidR="007F1E1E" w:rsidRPr="0042310B" w:rsidRDefault="007F1E1E" w:rsidP="00A20B8B">
            <w:pPr>
              <w:ind w:firstLineChars="100" w:firstLine="211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>Зарцуул</w:t>
            </w:r>
            <w:r w:rsidR="00A46BA1" w:rsidRPr="0042310B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>ах</w:t>
            </w:r>
            <w:r w:rsidRPr="0042310B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 xml:space="preserve"> хөрөнгө</w:t>
            </w:r>
            <w:r w:rsidR="00A46BA1" w:rsidRPr="002C1FC9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 xml:space="preserve"> /</w:t>
            </w:r>
            <w:r w:rsidR="00A46BA1" w:rsidRPr="0042310B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>тэрбум ₮/</w:t>
            </w:r>
            <w:r w:rsidRPr="0042310B">
              <w:rPr>
                <w:rFonts w:ascii="Arial" w:hAnsi="Arial" w:cs="Arial"/>
                <w:b/>
                <w:bCs/>
                <w:sz w:val="21"/>
                <w:szCs w:val="24"/>
                <w:lang w:val="mn-MN"/>
              </w:rPr>
              <w:t xml:space="preserve"> </w:t>
            </w:r>
          </w:p>
        </w:tc>
      </w:tr>
      <w:tr w:rsidR="007F1E1E" w:rsidRPr="0042310B" w14:paraId="0B969647" w14:textId="1B5F05AC" w:rsidTr="002C1FC9">
        <w:trPr>
          <w:trHeight w:val="217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579" w14:textId="3D21DEA8" w:rsidR="007F1E1E" w:rsidRPr="0042310B" w:rsidRDefault="00A46BA1" w:rsidP="002C1FC9">
            <w:pPr>
              <w:ind w:firstLineChars="120" w:firstLine="252"/>
              <w:jc w:val="both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 xml:space="preserve">1. </w:t>
            </w:r>
            <w:r w:rsidR="007F1E1E"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 xml:space="preserve">Өндөр насны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BD6C" w14:textId="2760665D" w:rsidR="007F1E1E" w:rsidRPr="0042310B" w:rsidRDefault="007F1E1E" w:rsidP="00A46BA1">
            <w:pPr>
              <w:ind w:firstLineChars="16" w:firstLine="35"/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3</w:t>
            </w:r>
            <w:r w:rsidR="00A46BA1" w:rsidRPr="002C1FC9">
              <w:rPr>
                <w:rFonts w:ascii="Arial" w:hAnsi="Arial" w:cs="Arial"/>
                <w:color w:val="000000"/>
                <w:lang w:val="mn-MN"/>
              </w:rPr>
              <w:t>93.1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6A22" w14:textId="48740DA8" w:rsidR="007F1E1E" w:rsidRPr="0042310B" w:rsidRDefault="007167D5" w:rsidP="00F63207">
            <w:pPr>
              <w:ind w:firstLineChars="17" w:firstLine="37"/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2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62</w:t>
            </w:r>
            <w:r w:rsidR="00F63207">
              <w:rPr>
                <w:rFonts w:ascii="Arial" w:hAnsi="Arial" w:cs="Arial"/>
                <w:color w:val="000000"/>
                <w:lang w:val="mn-MN"/>
              </w:rPr>
              <w:t>8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="00F63207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</w:tr>
      <w:tr w:rsidR="007F1E1E" w:rsidRPr="0042310B" w14:paraId="30C93750" w14:textId="12195B3E" w:rsidTr="002C1FC9">
        <w:trPr>
          <w:trHeight w:val="251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48E" w14:textId="4F20A327" w:rsidR="007F1E1E" w:rsidRPr="0042310B" w:rsidRDefault="00A46BA1" w:rsidP="002C1FC9">
            <w:pPr>
              <w:ind w:firstLineChars="120" w:firstLine="252"/>
              <w:jc w:val="both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 xml:space="preserve">2. </w:t>
            </w:r>
            <w:r w:rsidR="007F1E1E"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>Тахир дутуугийн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52BF" w14:textId="67BF57DB" w:rsidR="007F1E1E" w:rsidRPr="0042310B" w:rsidRDefault="00A46BA1" w:rsidP="00A46BA1">
            <w:pPr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2C1FC9">
              <w:rPr>
                <w:rFonts w:ascii="Arial" w:hAnsi="Arial" w:cs="Arial"/>
                <w:color w:val="000000"/>
                <w:lang w:val="mn-MN"/>
              </w:rPr>
              <w:t>58.6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1889" w14:textId="7C739098" w:rsidR="007F1E1E" w:rsidRPr="0042310B" w:rsidRDefault="007167D5" w:rsidP="00A46BA1">
            <w:pPr>
              <w:ind w:firstLineChars="17" w:firstLine="37"/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354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</w:tr>
      <w:tr w:rsidR="007F1E1E" w:rsidRPr="0042310B" w14:paraId="450AC361" w14:textId="0A9036C2" w:rsidTr="002C1FC9">
        <w:trPr>
          <w:trHeight w:val="217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CE4E" w14:textId="2B4D1CA0" w:rsidR="007F1E1E" w:rsidRPr="0042310B" w:rsidRDefault="00A46BA1" w:rsidP="002C1FC9">
            <w:pPr>
              <w:ind w:firstLineChars="120" w:firstLine="252"/>
              <w:jc w:val="both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 xml:space="preserve">3. </w:t>
            </w:r>
            <w:r w:rsidR="007F1E1E"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>Тэжээгчээ алдсаны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0B7F" w14:textId="777365D0" w:rsidR="007F1E1E" w:rsidRPr="0042310B" w:rsidRDefault="00A46BA1" w:rsidP="00A46BA1">
            <w:pPr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2C1FC9">
              <w:rPr>
                <w:rFonts w:ascii="Arial" w:hAnsi="Arial" w:cs="Arial"/>
                <w:color w:val="000000"/>
                <w:lang w:val="mn-MN"/>
              </w:rPr>
              <w:t>20.1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7509" w14:textId="6EA8DEAC" w:rsidR="007F1E1E" w:rsidRPr="0042310B" w:rsidRDefault="007167D5" w:rsidP="00A46BA1">
            <w:pPr>
              <w:ind w:firstLineChars="17" w:firstLine="37"/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120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</w:tr>
      <w:tr w:rsidR="007F1E1E" w:rsidRPr="0042310B" w14:paraId="21753251" w14:textId="77777777" w:rsidTr="002C1FC9">
        <w:trPr>
          <w:trHeight w:val="217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F27F" w14:textId="29AD87E2" w:rsidR="007F1E1E" w:rsidRPr="0042310B" w:rsidRDefault="00A46BA1" w:rsidP="002C1FC9">
            <w:pPr>
              <w:ind w:firstLineChars="120" w:firstLine="264"/>
              <w:jc w:val="both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bCs/>
                <w:color w:val="000000"/>
                <w:lang w:val="mn-MN"/>
              </w:rPr>
              <w:t xml:space="preserve">4. </w:t>
            </w:r>
            <w:r w:rsidR="007F1E1E" w:rsidRPr="0042310B">
              <w:rPr>
                <w:rFonts w:ascii="Arial" w:eastAsia="Times New Roman" w:hAnsi="Arial" w:cs="Arial"/>
                <w:bCs/>
                <w:color w:val="000000"/>
                <w:lang w:val="mn-MN"/>
              </w:rPr>
              <w:t>Цэргийн тэтгэвэр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E06F" w14:textId="1E0F86C5" w:rsidR="007F1E1E" w:rsidRPr="0042310B" w:rsidRDefault="00A46BA1" w:rsidP="00A46BA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2C1FC9">
              <w:rPr>
                <w:rFonts w:ascii="Arial" w:hAnsi="Arial" w:cs="Arial"/>
                <w:color w:val="000000"/>
                <w:lang w:val="mn-MN"/>
              </w:rPr>
              <w:t>21.1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C430" w14:textId="6E34B1B4" w:rsidR="007F1E1E" w:rsidRPr="0042310B" w:rsidRDefault="007167D5" w:rsidP="00A46BA1">
            <w:pPr>
              <w:ind w:firstLineChars="17" w:firstLine="3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310B">
              <w:rPr>
                <w:rFonts w:ascii="Arial" w:hAnsi="Arial" w:cs="Arial"/>
                <w:color w:val="000000"/>
                <w:lang w:val="mn-MN"/>
              </w:rPr>
              <w:t>235</w:t>
            </w:r>
            <w:r w:rsidRPr="002C1FC9">
              <w:rPr>
                <w:rFonts w:ascii="Arial" w:hAnsi="Arial" w:cs="Arial"/>
                <w:color w:val="000000"/>
                <w:lang w:val="mn-MN"/>
              </w:rPr>
              <w:t>.</w:t>
            </w:r>
            <w:r w:rsidRPr="0042310B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</w:tr>
      <w:tr w:rsidR="00C9769F" w:rsidRPr="0042310B" w14:paraId="3D6D298E" w14:textId="77777777" w:rsidTr="002C1FC9">
        <w:trPr>
          <w:trHeight w:val="21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DF89" w14:textId="27CB53B1" w:rsidR="00C9769F" w:rsidRPr="0042310B" w:rsidRDefault="001026FA" w:rsidP="0055395D">
            <w:pPr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 xml:space="preserve">                                               </w:t>
            </w:r>
            <w:r w:rsidR="00C9769F" w:rsidRPr="0042310B">
              <w:rPr>
                <w:rFonts w:ascii="Arial" w:eastAsia="Times New Roman" w:hAnsi="Arial" w:cs="Arial"/>
                <w:sz w:val="21"/>
                <w:szCs w:val="24"/>
                <w:lang w:val="mn-MN"/>
              </w:rPr>
              <w:t>НИЙТ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3482" w14:textId="769246AA" w:rsidR="00C9769F" w:rsidRPr="0042310B" w:rsidRDefault="00A46BA1" w:rsidP="002C1FC9">
            <w:pPr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2C1FC9">
              <w:rPr>
                <w:rFonts w:ascii="Arial" w:hAnsi="Arial" w:cs="Arial"/>
                <w:b/>
                <w:bCs/>
                <w:color w:val="000000"/>
                <w:lang w:val="mn-MN"/>
              </w:rPr>
              <w:t>492.9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195F" w14:textId="1611C250" w:rsidR="00C9769F" w:rsidRPr="0042310B" w:rsidRDefault="007167D5" w:rsidP="00F63207">
            <w:pPr>
              <w:jc w:val="center"/>
              <w:rPr>
                <w:rFonts w:ascii="Arial" w:eastAsia="Times New Roman" w:hAnsi="Arial" w:cs="Arial"/>
                <w:sz w:val="21"/>
                <w:szCs w:val="24"/>
                <w:lang w:val="mn-MN"/>
              </w:rPr>
            </w:pPr>
            <w:r w:rsidRPr="0042310B">
              <w:rPr>
                <w:rFonts w:ascii="Arial" w:hAnsi="Arial" w:cs="Arial"/>
                <w:b/>
                <w:bCs/>
                <w:color w:val="000000"/>
                <w:lang w:val="mn-MN"/>
              </w:rPr>
              <w:t>3</w:t>
            </w:r>
            <w:r w:rsidRPr="002C1FC9">
              <w:rPr>
                <w:rFonts w:ascii="Arial" w:hAnsi="Arial" w:cs="Arial"/>
                <w:b/>
                <w:bCs/>
                <w:color w:val="000000"/>
                <w:lang w:val="mn-MN"/>
              </w:rPr>
              <w:t>,</w:t>
            </w:r>
            <w:r w:rsidRPr="0042310B">
              <w:rPr>
                <w:rFonts w:ascii="Arial" w:hAnsi="Arial" w:cs="Arial"/>
                <w:b/>
                <w:bCs/>
                <w:color w:val="000000"/>
                <w:lang w:val="mn-MN"/>
              </w:rPr>
              <w:t>33</w:t>
            </w:r>
            <w:r w:rsidR="00F63207">
              <w:rPr>
                <w:rFonts w:ascii="Arial" w:hAnsi="Arial" w:cs="Arial"/>
                <w:b/>
                <w:bCs/>
                <w:color w:val="000000"/>
                <w:lang w:val="mn-MN"/>
              </w:rPr>
              <w:t>8</w:t>
            </w:r>
            <w:r w:rsidRPr="002C1FC9">
              <w:rPr>
                <w:rFonts w:ascii="Arial" w:hAnsi="Arial" w:cs="Arial"/>
                <w:b/>
                <w:bCs/>
                <w:color w:val="000000"/>
                <w:lang w:val="mn-MN"/>
              </w:rPr>
              <w:t>.</w:t>
            </w:r>
            <w:r w:rsidR="00F63207">
              <w:rPr>
                <w:rFonts w:ascii="Arial" w:hAnsi="Arial" w:cs="Arial"/>
                <w:b/>
                <w:bCs/>
                <w:color w:val="000000"/>
                <w:lang w:val="mn-MN"/>
              </w:rPr>
              <w:t>7</w:t>
            </w:r>
          </w:p>
        </w:tc>
      </w:tr>
    </w:tbl>
    <w:p w14:paraId="5C2ECE71" w14:textId="77777777" w:rsidR="00911CE7" w:rsidRPr="0042310B" w:rsidRDefault="0050004F" w:rsidP="0050004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1. Хуулийн этгээдийн </w:t>
      </w:r>
      <w:r w:rsidR="00911CE7"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зардал</w:t>
      </w:r>
    </w:p>
    <w:p w14:paraId="483E6320" w14:textId="6C85B581" w:rsidR="007A38D0" w:rsidRPr="0042310B" w:rsidRDefault="007A38D0" w:rsidP="00650ECC">
      <w:pPr>
        <w:shd w:val="clear" w:color="auto" w:fill="FFFFFF" w:themeFill="background1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Нийгмийн даатгалын сангаас олгох тэтгэврийн тухай х</w:t>
      </w:r>
      <w:r w:rsidR="00911CE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уулийн төслийн үндсэн зорилго нь</w:t>
      </w:r>
      <w:r w:rsidR="00650ECC" w:rsidRPr="009A71F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тэтгэврийн төрлийг тодорхойлох, тэтгэвэр тогтоох, олгохтой холбогдсон харилцааг зохицуулахад </w:t>
      </w:r>
      <w:r w:rsidR="00911CE7" w:rsidRPr="009A71F1">
        <w:rPr>
          <w:rFonts w:ascii="Arial" w:eastAsia="Times New Roman" w:hAnsi="Arial" w:cs="Arial"/>
          <w:color w:val="000000"/>
          <w:sz w:val="24"/>
          <w:szCs w:val="24"/>
          <w:lang w:val="mn-MN"/>
        </w:rPr>
        <w:t>орши</w:t>
      </w:r>
      <w:r w:rsidR="0088551B" w:rsidRPr="009A71F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х бөгөөд хуулийн төсөл батлагдсанаар хуулийн этгээдэд </w:t>
      </w:r>
      <w:r w:rsidR="00911CE7"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ямар нэгэн нэмэлт зардал гарахгүй болно. </w:t>
      </w:r>
    </w:p>
    <w:p w14:paraId="18C45C5B" w14:textId="77777777" w:rsidR="0053081B" w:rsidRPr="009A71F1" w:rsidRDefault="00A44FD0" w:rsidP="009A71F1">
      <w:pPr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9A71F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lastRenderedPageBreak/>
        <w:t>2. Иргэнд үүсэх зардал</w:t>
      </w:r>
    </w:p>
    <w:p w14:paraId="4017CB14" w14:textId="77777777" w:rsidR="0053081B" w:rsidRPr="0042310B" w:rsidRDefault="0053081B" w:rsidP="0050004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1D56B370" w14:textId="22A5E388" w:rsidR="005D1496" w:rsidRPr="0042310B" w:rsidRDefault="007A38D0" w:rsidP="007A38D0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>Нийгмийн даатгалын сангаас олгох тэтгэврийн тухай х</w:t>
      </w:r>
      <w:r w:rsidR="00A44FD0" w:rsidRPr="0042310B">
        <w:rPr>
          <w:rFonts w:ascii="Arial" w:hAnsi="Arial" w:cs="Arial"/>
          <w:sz w:val="24"/>
          <w:szCs w:val="24"/>
          <w:lang w:val="mn-MN"/>
        </w:rPr>
        <w:t>уулийн төсөл батлагдсанаар иргэн</w:t>
      </w:r>
      <w:r w:rsidRPr="0042310B">
        <w:rPr>
          <w:rFonts w:ascii="Arial" w:hAnsi="Arial" w:cs="Arial"/>
          <w:sz w:val="24"/>
          <w:szCs w:val="24"/>
          <w:lang w:val="mn-MN"/>
        </w:rPr>
        <w:t xml:space="preserve">ээс нэмэлт </w:t>
      </w:r>
      <w:r w:rsidR="00A44FD0" w:rsidRPr="0042310B">
        <w:rPr>
          <w:rFonts w:ascii="Arial" w:hAnsi="Arial" w:cs="Arial"/>
          <w:sz w:val="24"/>
          <w:szCs w:val="24"/>
          <w:lang w:val="mn-MN"/>
        </w:rPr>
        <w:t>зардал гарахгүй</w:t>
      </w:r>
      <w:r w:rsidRPr="0042310B">
        <w:rPr>
          <w:rFonts w:ascii="Arial" w:hAnsi="Arial" w:cs="Arial"/>
          <w:sz w:val="24"/>
          <w:szCs w:val="24"/>
          <w:lang w:val="mn-MN"/>
        </w:rPr>
        <w:t xml:space="preserve">. </w:t>
      </w:r>
      <w:r w:rsidR="00A44FD0" w:rsidRPr="0042310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E62C9BE" w14:textId="29A3A044" w:rsidR="00753421" w:rsidRPr="0042310B" w:rsidRDefault="005E70B8" w:rsidP="0050004F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</w:t>
      </w:r>
      <w:r w:rsidR="009A71F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ab/>
      </w:r>
      <w:r w:rsidR="00231D30"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3.</w:t>
      </w:r>
      <w:r w:rsidR="007A38D0"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Төрийн байгууллагад үүсэх </w:t>
      </w:r>
      <w:r w:rsidR="00753421" w:rsidRPr="0042310B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зардал </w:t>
      </w:r>
    </w:p>
    <w:p w14:paraId="6EE26293" w14:textId="77777777" w:rsidR="00753421" w:rsidRPr="0042310B" w:rsidRDefault="00753421" w:rsidP="0050004F">
      <w:pPr>
        <w:pStyle w:val="ListParagraph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42310B">
        <w:rPr>
          <w:rFonts w:ascii="Arial" w:eastAsia="Times New Roman" w:hAnsi="Arial" w:cs="Arial"/>
          <w:bCs/>
          <w:color w:val="000000"/>
          <w:sz w:val="24"/>
          <w:szCs w:val="24"/>
          <w:lang w:val="mn-MN"/>
        </w:rPr>
        <w:t xml:space="preserve">Хуулийн төсөл батлагдсанаар уг хуулийг хэрэгжүүлэхтэй холбоотой төрийн байгууллагад нэмэлтээр хүний нөөцийн хэрэгцээ шаардлага үүсэхгүй болно. 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Өөрөөр хэлбэл нийгмийн даатгалын сангаас тэтгэвэр тогтоох, олгох харилцаа нь 1995 оноос хойш хэрэгжиж ирсэн бөгөөд </w:t>
      </w:r>
      <w:r w:rsidRPr="0042310B">
        <w:rPr>
          <w:rFonts w:ascii="Arial" w:hAnsi="Arial" w:cs="Arial"/>
          <w:sz w:val="24"/>
          <w:szCs w:val="24"/>
          <w:lang w:val="mn-MN"/>
        </w:rPr>
        <w:t>нийгмийн даатгалын төв, орон нутгийн байгууллага</w:t>
      </w:r>
      <w:r w:rsidRPr="0042310B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энэхүү хуулийн хэрэгжилтийг бүрэн зохион байгуулах боломжтой юм.</w:t>
      </w:r>
    </w:p>
    <w:p w14:paraId="7D0C40F2" w14:textId="77777777" w:rsidR="007A38D0" w:rsidRPr="0042310B" w:rsidRDefault="007A38D0" w:rsidP="0050004F">
      <w:pPr>
        <w:pStyle w:val="ListParagraph"/>
        <w:ind w:left="0" w:firstLine="567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</w:p>
    <w:p w14:paraId="7DEC9876" w14:textId="6801FD02" w:rsidR="00753421" w:rsidRPr="002C1FC9" w:rsidRDefault="00026E35" w:rsidP="002C1FC9">
      <w:pPr>
        <w:shd w:val="clear" w:color="auto" w:fill="FFFFFF" w:themeFill="background1"/>
        <w:ind w:firstLine="720"/>
        <w:jc w:val="both"/>
        <w:rPr>
          <w:rStyle w:val="mceitemhidden"/>
          <w:rFonts w:ascii="Arial" w:hAnsi="Arial" w:cs="Arial"/>
          <w:b/>
          <w:iCs/>
          <w:sz w:val="24"/>
          <w:szCs w:val="24"/>
          <w:lang w:val="mn-MN"/>
        </w:rPr>
      </w:pPr>
      <w:r w:rsidRPr="002C1FC9">
        <w:rPr>
          <w:rStyle w:val="mceitemhidden"/>
          <w:rFonts w:ascii="Arial" w:hAnsi="Arial" w:cs="Arial"/>
          <w:b/>
          <w:iCs/>
          <w:sz w:val="24"/>
          <w:szCs w:val="24"/>
          <w:lang w:val="mn-MN"/>
        </w:rPr>
        <w:t>4.</w:t>
      </w:r>
      <w:r w:rsidR="005C51FF" w:rsidRPr="002C1FC9">
        <w:rPr>
          <w:rStyle w:val="mceitemhidden"/>
          <w:rFonts w:ascii="Arial" w:hAnsi="Arial" w:cs="Arial"/>
          <w:b/>
          <w:iCs/>
          <w:sz w:val="24"/>
          <w:szCs w:val="24"/>
          <w:lang w:val="mn-MN"/>
        </w:rPr>
        <w:t>Улсын төсөвт үүсэх зардал</w:t>
      </w:r>
    </w:p>
    <w:p w14:paraId="23D54E7A" w14:textId="77777777" w:rsidR="00440078" w:rsidRPr="0042310B" w:rsidRDefault="00440078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A6FCB05" w14:textId="51F790F0" w:rsidR="00A37F0E" w:rsidRDefault="00A37F0E" w:rsidP="009A71F1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2C1FC9">
        <w:rPr>
          <w:rFonts w:ascii="Arial" w:eastAsia="Times New Roman" w:hAnsi="Arial" w:cs="Arial"/>
          <w:bCs/>
          <w:sz w:val="24"/>
          <w:szCs w:val="24"/>
          <w:lang w:val="mn-MN"/>
        </w:rPr>
        <w:t>Хуулийн төслийн 9</w:t>
      </w:r>
      <w:r w:rsidRPr="0042310B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дүгээр зүйлд </w:t>
      </w:r>
      <w:r w:rsidRPr="002C1FC9">
        <w:rPr>
          <w:rFonts w:ascii="Arial" w:eastAsia="Times New Roman" w:hAnsi="Arial" w:cs="Arial"/>
          <w:sz w:val="24"/>
          <w:szCs w:val="24"/>
          <w:lang w:val="mn-MN"/>
        </w:rPr>
        <w:t xml:space="preserve">өндөр насны тэтгэвэр авч байсан тэтгэвэр авагч нас барсан тохиолдолд түүний нөхөр, эсхүл эхнэрийн тэтгэврийг нас барсан тэтгэвэр авагчийн авч байсан тэтгэврийн 20 хувьтай тэнцүү хэмжээгээр нэмэгдүүлэх тусгай зохицуулалтыг тусгасан. </w:t>
      </w:r>
      <w:r w:rsidRPr="002C1FC9">
        <w:rPr>
          <w:rFonts w:ascii="Arial" w:eastAsia="Times New Roman" w:hAnsi="Arial" w:cs="Arial"/>
          <w:bCs/>
          <w:sz w:val="24"/>
          <w:szCs w:val="24"/>
          <w:lang w:val="mn-MN"/>
        </w:rPr>
        <w:t>Нас барсан тэтгэвэр авагч нь 1995 оноос өмнө тэтгэвэр авч байсан бол тэтгэврийн нэмэгдлийн зардлыг улсын төсвөөс хариуцна.</w:t>
      </w:r>
      <w:r w:rsidR="00725F91" w:rsidRPr="002C1FC9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="00600C18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Уг арга хэмжээнд </w:t>
      </w:r>
      <w:r w:rsidR="002A67EE">
        <w:rPr>
          <w:rFonts w:ascii="Arial" w:eastAsia="Times New Roman" w:hAnsi="Arial" w:cs="Arial"/>
          <w:bCs/>
          <w:sz w:val="24"/>
          <w:szCs w:val="24"/>
          <w:lang w:val="mn-MN"/>
        </w:rPr>
        <w:t>5.3 мянган тэтгэвэр авагч</w:t>
      </w:r>
      <w:r w:rsidR="00600C18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ид </w:t>
      </w:r>
      <w:r w:rsidR="002A67E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жилд 5.9 тэрбум төгрөг </w:t>
      </w:r>
      <w:r w:rsidR="00600C18">
        <w:rPr>
          <w:rFonts w:ascii="Arial" w:eastAsia="Times New Roman" w:hAnsi="Arial" w:cs="Arial"/>
          <w:bCs/>
          <w:sz w:val="24"/>
          <w:szCs w:val="24"/>
          <w:lang w:val="mn-MN"/>
        </w:rPr>
        <w:t>нэмж зарцуулах бөгөөд үүнээс 10 орчим хувь буюу 590.0 сая төгрөгийг улсын төсвөөс хариуцн</w:t>
      </w:r>
      <w:r w:rsidR="002A67E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а.  </w:t>
      </w:r>
    </w:p>
    <w:p w14:paraId="3ADA3C16" w14:textId="77777777" w:rsidR="009A71F1" w:rsidRPr="002C1FC9" w:rsidRDefault="009A71F1" w:rsidP="009A71F1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5CECC36" w14:textId="6ADC9A3F" w:rsidR="00E02C58" w:rsidRDefault="006206F8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42310B">
        <w:rPr>
          <w:rFonts w:ascii="Arial" w:eastAsia="Arial" w:hAnsi="Arial" w:cs="Arial"/>
          <w:sz w:val="24"/>
          <w:szCs w:val="24"/>
          <w:lang w:val="mn-MN"/>
        </w:rPr>
        <w:t>Монгол Улсын Засгийн газраас хүн амын амьжиргааны өртгийн өөрчлөлттэй уялдуулан 2018, 2019, 2020 онуудад нийгмийн даатгалын сангаас олгох бүх төрлийн тэтгэврийн хэмжээг жилд дунджаар 8-9 орчим хувиар нэмэгдүүлс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 xml:space="preserve">эн. </w:t>
      </w:r>
      <w:r w:rsidR="00765B2B" w:rsidRPr="0042310B">
        <w:rPr>
          <w:rFonts w:ascii="Arial" w:eastAsia="Arial" w:hAnsi="Arial" w:cs="Arial"/>
          <w:sz w:val="24"/>
          <w:szCs w:val="24"/>
          <w:lang w:val="mn-MN"/>
        </w:rPr>
        <w:t>Мөн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 xml:space="preserve"> 202</w:t>
      </w:r>
      <w:r w:rsidR="00AF2E10" w:rsidRPr="0042310B">
        <w:rPr>
          <w:rFonts w:ascii="Arial" w:eastAsia="Arial" w:hAnsi="Arial" w:cs="Arial"/>
          <w:sz w:val="24"/>
          <w:szCs w:val="24"/>
          <w:lang w:val="mn-MN"/>
        </w:rPr>
        <w:t>2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 xml:space="preserve"> онд инфляц</w:t>
      </w:r>
      <w:r w:rsidR="00A2465C" w:rsidRPr="0042310B">
        <w:rPr>
          <w:rFonts w:ascii="Arial" w:eastAsia="Arial" w:hAnsi="Arial" w:cs="Arial"/>
          <w:sz w:val="24"/>
          <w:szCs w:val="24"/>
          <w:lang w:val="mn-MN"/>
        </w:rPr>
        <w:t>ы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>н түвшин</w:t>
      </w:r>
      <w:r w:rsidR="00AF2E10" w:rsidRPr="0042310B">
        <w:rPr>
          <w:rFonts w:ascii="Arial" w:eastAsia="Arial" w:hAnsi="Arial" w:cs="Arial"/>
          <w:sz w:val="24"/>
          <w:szCs w:val="24"/>
          <w:lang w:val="mn-MN"/>
        </w:rPr>
        <w:t xml:space="preserve">д 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>үндэслэн нийгмийн даатгалын сангаас олгож байгаа болон цэргийн алба хаасны тэтгэвэр авч байгаа тэтгэвэр авагчдын тэтгэврийн хэмжээг 15</w:t>
      </w:r>
      <w:r w:rsidR="00765B2B" w:rsidRPr="0042310B">
        <w:rPr>
          <w:rFonts w:ascii="Arial" w:eastAsia="Arial" w:hAnsi="Arial" w:cs="Arial"/>
          <w:sz w:val="24"/>
          <w:szCs w:val="24"/>
          <w:lang w:val="mn-MN"/>
        </w:rPr>
        <w:t>-43</w:t>
      </w:r>
      <w:r w:rsidR="00483169" w:rsidRPr="0042310B">
        <w:rPr>
          <w:rFonts w:ascii="Arial" w:eastAsia="Arial" w:hAnsi="Arial" w:cs="Arial"/>
          <w:sz w:val="24"/>
          <w:szCs w:val="24"/>
          <w:lang w:val="mn-MN"/>
        </w:rPr>
        <w:t xml:space="preserve"> хувиар нэмэгдүүлж, </w:t>
      </w:r>
      <w:r w:rsidR="00765B2B" w:rsidRPr="0042310B">
        <w:rPr>
          <w:rFonts w:ascii="Arial" w:eastAsia="Arial" w:hAnsi="Arial" w:cs="Arial"/>
          <w:sz w:val="24"/>
          <w:szCs w:val="24"/>
          <w:lang w:val="mn-MN"/>
        </w:rPr>
        <w:t xml:space="preserve">нийгмийн даатгалын сан болон улсын төсвөөс </w:t>
      </w:r>
      <w:r w:rsidR="00E02C58" w:rsidRPr="0042310B">
        <w:rPr>
          <w:rFonts w:ascii="Arial" w:eastAsia="Arial" w:hAnsi="Arial" w:cs="Arial"/>
          <w:sz w:val="24"/>
          <w:szCs w:val="24"/>
          <w:lang w:val="mn-MN"/>
        </w:rPr>
        <w:t xml:space="preserve">637.3 тэрбум </w:t>
      </w:r>
      <w:r w:rsidR="00765B2B" w:rsidRPr="0042310B">
        <w:rPr>
          <w:rFonts w:ascii="Arial" w:eastAsia="Arial" w:hAnsi="Arial" w:cs="Arial"/>
          <w:sz w:val="24"/>
          <w:szCs w:val="24"/>
          <w:lang w:val="mn-MN"/>
        </w:rPr>
        <w:t>зарцуулахаар</w:t>
      </w:r>
      <w:r w:rsidR="003E255B" w:rsidRPr="0042310B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D2B5F" w:rsidRPr="0042310B">
        <w:rPr>
          <w:rFonts w:ascii="Arial" w:eastAsia="Arial" w:hAnsi="Arial" w:cs="Arial"/>
          <w:sz w:val="24"/>
          <w:szCs w:val="24"/>
          <w:lang w:val="mn-MN"/>
        </w:rPr>
        <w:t>төсө</w:t>
      </w:r>
      <w:r w:rsidR="00440078" w:rsidRPr="0042310B">
        <w:rPr>
          <w:rFonts w:ascii="Arial" w:eastAsia="Arial" w:hAnsi="Arial" w:cs="Arial"/>
          <w:sz w:val="24"/>
          <w:szCs w:val="24"/>
          <w:lang w:val="mn-MN"/>
        </w:rPr>
        <w:t>вт т</w:t>
      </w:r>
      <w:r w:rsidR="003E255B" w:rsidRPr="0042310B">
        <w:rPr>
          <w:rFonts w:ascii="Arial" w:eastAsia="Arial" w:hAnsi="Arial" w:cs="Arial"/>
          <w:sz w:val="24"/>
          <w:szCs w:val="24"/>
          <w:lang w:val="mn-MN"/>
        </w:rPr>
        <w:t>усгагд</w:t>
      </w:r>
      <w:r w:rsidR="00FC7A3C" w:rsidRPr="0042310B">
        <w:rPr>
          <w:rFonts w:ascii="Arial" w:eastAsia="Arial" w:hAnsi="Arial" w:cs="Arial"/>
          <w:sz w:val="24"/>
          <w:szCs w:val="24"/>
          <w:lang w:val="mn-MN"/>
        </w:rPr>
        <w:t>сан</w:t>
      </w:r>
      <w:r w:rsidR="00765B2B" w:rsidRPr="0042310B">
        <w:rPr>
          <w:rFonts w:ascii="Arial" w:eastAsia="Arial" w:hAnsi="Arial" w:cs="Arial"/>
          <w:sz w:val="24"/>
          <w:szCs w:val="24"/>
          <w:lang w:val="mn-MN"/>
        </w:rPr>
        <w:t xml:space="preserve">. </w:t>
      </w:r>
    </w:p>
    <w:p w14:paraId="2C165647" w14:textId="6FF8B124" w:rsidR="005D778E" w:rsidRDefault="005D778E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2B099A1" w14:textId="11312EDB" w:rsidR="005D778E" w:rsidRDefault="005D778E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Хуулийн төслийн 20 дугаар зүйлийн 20.1-д “</w:t>
      </w:r>
      <w:r w:rsidRPr="005D778E">
        <w:rPr>
          <w:rFonts w:ascii="Arial" w:eastAsia="Arial" w:hAnsi="Arial" w:cs="Arial"/>
          <w:sz w:val="24"/>
          <w:szCs w:val="24"/>
          <w:lang w:val="mn-MN"/>
        </w:rPr>
        <w:t>Тэтгэвэр тогтоолгох сарын дундаж цалин хөлс, түүнтэй адилтгах орлогыг тодорхойлохдоо даатгуулагчийн тэтгэврийн даатгалын шимтгэл төлсөн сүүлийн 20 жилийн доторх дараалсан 5 жилд шимтгэл төлсөн цалин хөлс, түүнтэй адилтгах орлогын нийлбэрийг 60-д хувааж бодно.</w:t>
      </w:r>
      <w:r>
        <w:rPr>
          <w:rFonts w:ascii="Arial" w:eastAsia="Arial" w:hAnsi="Arial" w:cs="Arial"/>
          <w:sz w:val="24"/>
          <w:szCs w:val="24"/>
          <w:lang w:val="mn-MN"/>
        </w:rPr>
        <w:t xml:space="preserve">” гэж тусгасан. Өөрөөр хэлбэл 7 жил буюу 84 сарын цалин хөлс, түүнтэй адилтгах орлогын нийлбэрээс тооцож тэтгэврийг тогтоож байсныг 5 жил буюу 60 сар болгосон. </w:t>
      </w:r>
    </w:p>
    <w:p w14:paraId="1CC54945" w14:textId="77777777" w:rsidR="005D778E" w:rsidRDefault="005D778E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810BC07" w14:textId="3EA50AED" w:rsidR="000716C0" w:rsidRDefault="005D778E" w:rsidP="00765B2B">
      <w:pPr>
        <w:ind w:firstLine="567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Хуулийн төслийн дээрх зохицуулалтыг хэрэгжүүлэхэд </w:t>
      </w:r>
      <w:r w:rsidR="00CF27B5" w:rsidRPr="005D778E">
        <w:rPr>
          <w:rFonts w:ascii="Arial" w:eastAsia="Arial" w:hAnsi="Arial" w:cs="Arial"/>
          <w:sz w:val="24"/>
          <w:szCs w:val="24"/>
          <w:lang w:val="mn-MN"/>
        </w:rPr>
        <w:t>2019-202</w:t>
      </w:r>
      <w:r w:rsidR="00CF27B5">
        <w:rPr>
          <w:rFonts w:ascii="Arial" w:eastAsia="Arial" w:hAnsi="Arial" w:cs="Arial"/>
          <w:sz w:val="24"/>
          <w:szCs w:val="24"/>
          <w:lang w:val="mn-MN"/>
        </w:rPr>
        <w:t>3</w:t>
      </w:r>
      <w:r w:rsidR="00CF27B5" w:rsidRPr="005D778E">
        <w:rPr>
          <w:rFonts w:ascii="Arial" w:eastAsia="Arial" w:hAnsi="Arial" w:cs="Arial"/>
          <w:sz w:val="24"/>
          <w:szCs w:val="24"/>
          <w:lang w:val="mn-MN"/>
        </w:rPr>
        <w:t xml:space="preserve"> онуудад шинээр тэтгэвэр тогтоолгосон </w:t>
      </w:r>
      <w:r w:rsidR="00CF27B5">
        <w:rPr>
          <w:rFonts w:ascii="Arial" w:eastAsia="Arial" w:hAnsi="Arial" w:cs="Arial"/>
          <w:sz w:val="24"/>
          <w:szCs w:val="24"/>
          <w:lang w:val="mn-MN"/>
        </w:rPr>
        <w:t>54</w:t>
      </w:r>
      <w:r w:rsidR="00CF27B5" w:rsidRPr="005D778E">
        <w:rPr>
          <w:rFonts w:ascii="Arial" w:eastAsia="Arial" w:hAnsi="Arial" w:cs="Arial"/>
          <w:sz w:val="24"/>
          <w:szCs w:val="24"/>
          <w:lang w:val="mn-MN"/>
        </w:rPr>
        <w:t>.</w:t>
      </w:r>
      <w:r w:rsidR="00CF27B5">
        <w:rPr>
          <w:rFonts w:ascii="Arial" w:eastAsia="Arial" w:hAnsi="Arial" w:cs="Arial"/>
          <w:sz w:val="24"/>
          <w:szCs w:val="24"/>
          <w:lang w:val="mn-MN"/>
        </w:rPr>
        <w:t>4</w:t>
      </w:r>
      <w:r w:rsidR="00CF27B5" w:rsidRPr="005D778E">
        <w:rPr>
          <w:rFonts w:ascii="Arial" w:eastAsia="Arial" w:hAnsi="Arial" w:cs="Arial"/>
          <w:sz w:val="24"/>
          <w:szCs w:val="24"/>
          <w:lang w:val="mn-MN"/>
        </w:rPr>
        <w:t xml:space="preserve"> мянган тэтгэвэр авагчдын тэтгэврийг шинэчлэн тогтоо</w:t>
      </w:r>
      <w:r w:rsidR="00CF27B5">
        <w:rPr>
          <w:rFonts w:ascii="Arial" w:eastAsia="Arial" w:hAnsi="Arial" w:cs="Arial"/>
          <w:sz w:val="24"/>
          <w:szCs w:val="24"/>
          <w:lang w:val="mn-MN"/>
        </w:rPr>
        <w:t xml:space="preserve">ж нөхөн олгоно гэж тооцвол </w:t>
      </w:r>
      <w:r w:rsidRPr="005D778E">
        <w:rPr>
          <w:rFonts w:ascii="Arial" w:eastAsia="Arial" w:hAnsi="Arial" w:cs="Arial"/>
          <w:sz w:val="24"/>
          <w:szCs w:val="24"/>
          <w:lang w:val="mn-MN"/>
        </w:rPr>
        <w:t>тэтгэврийн даатгалын сангийн зардал 202</w:t>
      </w:r>
      <w:r w:rsidR="00CF27B5">
        <w:rPr>
          <w:rFonts w:ascii="Arial" w:eastAsia="Arial" w:hAnsi="Arial" w:cs="Arial"/>
          <w:sz w:val="24"/>
          <w:szCs w:val="24"/>
          <w:lang w:val="mn-MN"/>
        </w:rPr>
        <w:t>4 онд 8</w:t>
      </w:r>
      <w:r w:rsidR="000716C0">
        <w:rPr>
          <w:rFonts w:ascii="Arial" w:eastAsia="Arial" w:hAnsi="Arial" w:cs="Arial"/>
          <w:sz w:val="24"/>
          <w:szCs w:val="24"/>
          <w:lang w:val="mn-MN"/>
        </w:rPr>
        <w:t>0.4 тэрбум төгрөгөөр</w:t>
      </w:r>
      <w:r w:rsidR="00CF27B5">
        <w:rPr>
          <w:rFonts w:ascii="Arial" w:eastAsia="Arial" w:hAnsi="Arial" w:cs="Arial"/>
          <w:sz w:val="24"/>
          <w:szCs w:val="24"/>
          <w:lang w:val="mn-MN"/>
        </w:rPr>
        <w:t xml:space="preserve"> нэмэгдэнэ. </w:t>
      </w:r>
    </w:p>
    <w:p w14:paraId="01DE7786" w14:textId="443D1FA0" w:rsidR="00440078" w:rsidRPr="0042310B" w:rsidRDefault="00440078" w:rsidP="00440078">
      <w:pPr>
        <w:pStyle w:val="Normal1"/>
        <w:spacing w:before="280" w:after="280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2310B">
        <w:rPr>
          <w:rFonts w:ascii="Arial" w:eastAsia="Arial" w:hAnsi="Arial" w:cs="Arial"/>
          <w:sz w:val="24"/>
          <w:szCs w:val="24"/>
        </w:rPr>
        <w:t xml:space="preserve">Хуулийн төслийн </w:t>
      </w:r>
      <w:r w:rsidR="00FC7A3C" w:rsidRPr="0042310B">
        <w:rPr>
          <w:rFonts w:ascii="Arial" w:eastAsia="Arial" w:hAnsi="Arial" w:cs="Arial"/>
          <w:sz w:val="24"/>
          <w:szCs w:val="24"/>
        </w:rPr>
        <w:t xml:space="preserve">27 </w:t>
      </w:r>
      <w:r w:rsidRPr="0042310B">
        <w:rPr>
          <w:rFonts w:ascii="Arial" w:eastAsia="Arial" w:hAnsi="Arial" w:cs="Arial"/>
          <w:sz w:val="24"/>
          <w:szCs w:val="24"/>
        </w:rPr>
        <w:t xml:space="preserve">дугаар зүйлийн </w:t>
      </w:r>
      <w:r w:rsidR="00FC7A3C" w:rsidRPr="0042310B">
        <w:rPr>
          <w:rFonts w:ascii="Arial" w:eastAsia="Arial" w:hAnsi="Arial" w:cs="Arial"/>
          <w:sz w:val="24"/>
          <w:szCs w:val="24"/>
        </w:rPr>
        <w:t>27</w:t>
      </w:r>
      <w:r w:rsidRPr="0042310B">
        <w:rPr>
          <w:rFonts w:ascii="Arial" w:eastAsia="Arial" w:hAnsi="Arial" w:cs="Arial"/>
          <w:sz w:val="24"/>
          <w:szCs w:val="24"/>
        </w:rPr>
        <w:t>.1-д “Тэтгэвэр авагчийн тэтгэ</w:t>
      </w:r>
      <w:r w:rsidR="00DA3859" w:rsidRPr="0042310B">
        <w:rPr>
          <w:rFonts w:ascii="Arial" w:eastAsia="Arial" w:hAnsi="Arial" w:cs="Arial"/>
          <w:sz w:val="24"/>
          <w:szCs w:val="24"/>
        </w:rPr>
        <w:t>врийн хэмжээг өмнөх оны инфляцы</w:t>
      </w:r>
      <w:r w:rsidRPr="0042310B">
        <w:rPr>
          <w:rFonts w:ascii="Arial" w:eastAsia="Arial" w:hAnsi="Arial" w:cs="Arial"/>
          <w:sz w:val="24"/>
          <w:szCs w:val="24"/>
        </w:rPr>
        <w:t xml:space="preserve">н жилийн дундаж түвшингээр жил бүрийн </w:t>
      </w:r>
      <w:r w:rsidR="005D778E">
        <w:rPr>
          <w:rFonts w:ascii="Arial" w:eastAsia="Arial" w:hAnsi="Arial" w:cs="Arial"/>
          <w:sz w:val="24"/>
          <w:szCs w:val="24"/>
        </w:rPr>
        <w:t xml:space="preserve">4 </w:t>
      </w:r>
      <w:r w:rsidRPr="0042310B">
        <w:rPr>
          <w:rFonts w:ascii="Arial" w:eastAsia="Arial" w:hAnsi="Arial" w:cs="Arial"/>
          <w:sz w:val="24"/>
          <w:szCs w:val="24"/>
        </w:rPr>
        <w:t xml:space="preserve">дүгээр сарын 1-ний өдрөөс эхлэн нэмэгдүүлнэ.”, </w:t>
      </w:r>
      <w:r w:rsidR="00FC7A3C" w:rsidRPr="0042310B">
        <w:rPr>
          <w:rFonts w:ascii="Arial" w:eastAsia="Arial" w:hAnsi="Arial" w:cs="Arial"/>
          <w:sz w:val="24"/>
          <w:szCs w:val="24"/>
        </w:rPr>
        <w:t>27</w:t>
      </w:r>
      <w:r w:rsidRPr="0042310B">
        <w:rPr>
          <w:rFonts w:ascii="Arial" w:eastAsia="Arial" w:hAnsi="Arial" w:cs="Arial"/>
          <w:sz w:val="24"/>
          <w:szCs w:val="24"/>
        </w:rPr>
        <w:t>.2-т</w:t>
      </w:r>
      <w:r w:rsidR="005D778E">
        <w:rPr>
          <w:rFonts w:ascii="Arial" w:eastAsia="Arial" w:hAnsi="Arial" w:cs="Arial"/>
          <w:sz w:val="24"/>
          <w:szCs w:val="24"/>
        </w:rPr>
        <w:t xml:space="preserve"> </w:t>
      </w:r>
      <w:r w:rsidRPr="0042310B">
        <w:rPr>
          <w:rFonts w:ascii="Arial" w:eastAsia="Arial" w:hAnsi="Arial" w:cs="Arial"/>
          <w:sz w:val="24"/>
          <w:szCs w:val="24"/>
        </w:rPr>
        <w:t xml:space="preserve">“Тэтгэврийн хэмжээг нэмэгдүүлэхэд шаардагдах хөрөнгийг улсын төсөв болон нийгмийн даатгалын сангийн төсөвт жил бүр тусгана.” гэж тус тус заасан. </w:t>
      </w:r>
      <w:r w:rsidR="005E3E41" w:rsidRPr="0042310B">
        <w:rPr>
          <w:rFonts w:ascii="Arial" w:eastAsia="Arial" w:hAnsi="Arial" w:cs="Arial"/>
          <w:sz w:val="24"/>
          <w:szCs w:val="24"/>
        </w:rPr>
        <w:t>Иймд х</w:t>
      </w:r>
      <w:r w:rsidRPr="0042310B">
        <w:rPr>
          <w:rFonts w:ascii="Arial" w:eastAsia="Arial" w:hAnsi="Arial" w:cs="Arial"/>
          <w:sz w:val="24"/>
          <w:szCs w:val="24"/>
        </w:rPr>
        <w:t xml:space="preserve">уулийн </w:t>
      </w:r>
      <w:r w:rsidR="00026E35" w:rsidRPr="0042310B">
        <w:rPr>
          <w:rFonts w:ascii="Arial" w:eastAsia="Arial" w:hAnsi="Arial" w:cs="Arial"/>
          <w:sz w:val="24"/>
          <w:szCs w:val="24"/>
        </w:rPr>
        <w:t>уг</w:t>
      </w:r>
      <w:r w:rsidRPr="0042310B">
        <w:rPr>
          <w:rFonts w:ascii="Arial" w:eastAsia="Arial" w:hAnsi="Arial" w:cs="Arial"/>
          <w:sz w:val="24"/>
          <w:szCs w:val="24"/>
        </w:rPr>
        <w:t xml:space="preserve"> заалтыг </w:t>
      </w:r>
      <w:r w:rsidRPr="0042310B">
        <w:rPr>
          <w:rFonts w:ascii="Arial" w:eastAsia="Arial" w:hAnsi="Arial" w:cs="Arial"/>
          <w:sz w:val="24"/>
          <w:szCs w:val="24"/>
        </w:rPr>
        <w:lastRenderedPageBreak/>
        <w:t>хэрэгжүүл</w:t>
      </w:r>
      <w:r w:rsidR="005E3E41" w:rsidRPr="0042310B">
        <w:rPr>
          <w:rFonts w:ascii="Arial" w:eastAsia="Arial" w:hAnsi="Arial" w:cs="Arial"/>
          <w:sz w:val="24"/>
          <w:szCs w:val="24"/>
        </w:rPr>
        <w:t>ж, тэтгэврийн хэмжээг</w:t>
      </w:r>
      <w:r w:rsidRPr="0042310B">
        <w:rPr>
          <w:rFonts w:ascii="Arial" w:eastAsia="Arial" w:hAnsi="Arial" w:cs="Arial"/>
          <w:sz w:val="24"/>
          <w:szCs w:val="24"/>
        </w:rPr>
        <w:t xml:space="preserve"> жил бүр </w:t>
      </w:r>
      <w:r w:rsidR="005E3E41" w:rsidRPr="0042310B">
        <w:rPr>
          <w:rFonts w:ascii="Arial" w:eastAsia="Arial" w:hAnsi="Arial" w:cs="Arial"/>
          <w:sz w:val="24"/>
          <w:szCs w:val="24"/>
        </w:rPr>
        <w:t xml:space="preserve">нэмэгдүүлэхэд </w:t>
      </w:r>
      <w:r w:rsidRPr="0042310B">
        <w:rPr>
          <w:rFonts w:ascii="Arial" w:eastAsia="Arial" w:hAnsi="Arial" w:cs="Arial"/>
          <w:sz w:val="24"/>
          <w:szCs w:val="24"/>
        </w:rPr>
        <w:t xml:space="preserve">улсын төсөв болон нийгмийн даатгалын сангийн төсөвт </w:t>
      </w:r>
      <w:r w:rsidR="008C7B50" w:rsidRPr="005D778E">
        <w:rPr>
          <w:rFonts w:ascii="Arial" w:eastAsia="Arial" w:hAnsi="Arial" w:cs="Arial"/>
          <w:sz w:val="24"/>
          <w:szCs w:val="24"/>
        </w:rPr>
        <w:t>2</w:t>
      </w:r>
      <w:r w:rsidR="005D778E" w:rsidRPr="005D778E">
        <w:rPr>
          <w:rFonts w:ascii="Arial" w:eastAsia="Arial" w:hAnsi="Arial" w:cs="Arial"/>
          <w:sz w:val="24"/>
          <w:szCs w:val="24"/>
        </w:rPr>
        <w:t>6</w:t>
      </w:r>
      <w:r w:rsidR="008C7B50" w:rsidRPr="005D778E">
        <w:rPr>
          <w:rFonts w:ascii="Arial" w:eastAsia="Arial" w:hAnsi="Arial" w:cs="Arial"/>
          <w:sz w:val="24"/>
          <w:szCs w:val="24"/>
        </w:rPr>
        <w:t>4.0</w:t>
      </w:r>
      <w:r w:rsidR="008C7B50" w:rsidRPr="0042310B">
        <w:rPr>
          <w:rFonts w:ascii="Arial" w:eastAsia="Arial" w:hAnsi="Arial" w:cs="Arial"/>
          <w:sz w:val="24"/>
          <w:szCs w:val="24"/>
        </w:rPr>
        <w:t xml:space="preserve"> тэрбум орчим төгрөг </w:t>
      </w:r>
      <w:r w:rsidR="005E3E41" w:rsidRPr="0042310B">
        <w:rPr>
          <w:rFonts w:ascii="Arial" w:eastAsia="Arial" w:hAnsi="Arial" w:cs="Arial"/>
          <w:sz w:val="24"/>
          <w:szCs w:val="24"/>
        </w:rPr>
        <w:t xml:space="preserve">тусгагдах юм. </w:t>
      </w:r>
    </w:p>
    <w:p w14:paraId="3BBBA534" w14:textId="5E169914" w:rsidR="002227C5" w:rsidRPr="0042310B" w:rsidRDefault="00762A5B" w:rsidP="009F0E2A">
      <w:pPr>
        <w:ind w:left="1" w:firstLine="719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42310B">
        <w:rPr>
          <w:rFonts w:ascii="Arial" w:eastAsia="Arial" w:hAnsi="Arial" w:cs="Arial"/>
          <w:b/>
          <w:sz w:val="24"/>
          <w:szCs w:val="24"/>
          <w:lang w:val="mn-MN"/>
        </w:rPr>
        <w:t>Дүгнэлт</w:t>
      </w:r>
    </w:p>
    <w:p w14:paraId="23FB7A52" w14:textId="77777777" w:rsidR="00A86178" w:rsidRPr="0042310B" w:rsidRDefault="00A86178" w:rsidP="009F0E2A">
      <w:pPr>
        <w:ind w:left="1" w:firstLine="719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8BD8B04" w14:textId="0606D09E" w:rsidR="00762A5B" w:rsidRPr="0042310B" w:rsidRDefault="00762A5B" w:rsidP="0050004F">
      <w:pPr>
        <w:spacing w:before="240"/>
        <w:ind w:left="1" w:firstLine="719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2310B">
        <w:rPr>
          <w:rFonts w:ascii="Arial" w:eastAsia="Arial" w:hAnsi="Arial" w:cs="Arial"/>
          <w:sz w:val="24"/>
          <w:szCs w:val="24"/>
          <w:lang w:val="mn-MN"/>
        </w:rPr>
        <w:t xml:space="preserve">Уг хуулийн төслийг хэрэгжүүлснээр гарах зардлын тооцооллыг </w:t>
      </w:r>
      <w:r w:rsidRPr="0042310B">
        <w:rPr>
          <w:rFonts w:ascii="Arial" w:hAnsi="Arial" w:cs="Arial"/>
          <w:sz w:val="24"/>
          <w:szCs w:val="24"/>
          <w:lang w:val="mn-MN"/>
        </w:rPr>
        <w:t xml:space="preserve">зардлын тооцоо хийх аргачлалын хуулийн этгээдийн, даатгуулагч /иргэн/, төрийн байгууллагад үүсэх зардлаар тус тус тооцож үзэхэд хуулийн этгээд болон иргэн, төрийн байгууллагад нэмэлт зардал үүсэхгүй бөгөөд одоо байгаа нийгмийн даатгалын тогтолцооны хүрээнд нэмж хүний нөөц шаардахгүйгээр хэрэгжүүлэх боломжтой </w:t>
      </w:r>
      <w:r w:rsidR="00197772">
        <w:rPr>
          <w:rFonts w:ascii="Arial" w:hAnsi="Arial" w:cs="Arial"/>
          <w:sz w:val="24"/>
          <w:szCs w:val="24"/>
          <w:lang w:val="mn-MN"/>
        </w:rPr>
        <w:t>юм</w:t>
      </w:r>
      <w:r w:rsidRPr="0042310B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3F8F51D9" w14:textId="1DDC938C" w:rsidR="00F27E52" w:rsidRPr="0042310B" w:rsidRDefault="00877264" w:rsidP="00F27E52">
      <w:pPr>
        <w:pStyle w:val="Normal1"/>
        <w:spacing w:before="280" w:after="28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</w:t>
      </w:r>
      <w:r w:rsidR="00762A5B" w:rsidRPr="0042310B">
        <w:rPr>
          <w:rFonts w:ascii="Arial" w:hAnsi="Arial" w:cs="Arial"/>
          <w:sz w:val="24"/>
          <w:szCs w:val="24"/>
        </w:rPr>
        <w:t>уул</w:t>
      </w:r>
      <w:r>
        <w:rPr>
          <w:rFonts w:ascii="Arial" w:hAnsi="Arial" w:cs="Arial"/>
          <w:sz w:val="24"/>
          <w:szCs w:val="24"/>
        </w:rPr>
        <w:t>ийг 2024 оноос хэрэгжинэ гэвэл дээрх</w:t>
      </w:r>
      <w:r w:rsidR="00F27E52" w:rsidRPr="00423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хуулийн зохицуулалттай холбогдон улсын төсвөөс 345.0 тэрбум төгрөг </w:t>
      </w:r>
      <w:r w:rsidR="00F27E52" w:rsidRPr="0042310B">
        <w:rPr>
          <w:rFonts w:ascii="Arial" w:eastAsia="Arial" w:hAnsi="Arial" w:cs="Arial"/>
          <w:sz w:val="24"/>
          <w:szCs w:val="24"/>
        </w:rPr>
        <w:t>нэмж шаардагда</w:t>
      </w:r>
      <w:r w:rsidR="00197772">
        <w:rPr>
          <w:rFonts w:ascii="Arial" w:eastAsia="Arial" w:hAnsi="Arial" w:cs="Arial"/>
          <w:sz w:val="24"/>
          <w:szCs w:val="24"/>
        </w:rPr>
        <w:t>на.</w:t>
      </w:r>
      <w:r w:rsidR="00F27E52" w:rsidRPr="0042310B">
        <w:rPr>
          <w:rFonts w:ascii="Arial" w:eastAsia="Arial" w:hAnsi="Arial" w:cs="Arial"/>
          <w:sz w:val="24"/>
          <w:szCs w:val="24"/>
        </w:rPr>
        <w:t xml:space="preserve"> </w:t>
      </w:r>
    </w:p>
    <w:p w14:paraId="3D8E416C" w14:textId="77777777" w:rsidR="00B30ACE" w:rsidRPr="0042310B" w:rsidRDefault="00753421" w:rsidP="00575D91">
      <w:pPr>
        <w:pStyle w:val="Normal1"/>
        <w:spacing w:before="280" w:after="280"/>
        <w:jc w:val="center"/>
        <w:rPr>
          <w:rFonts w:ascii="Arial" w:hAnsi="Arial" w:cs="Arial"/>
          <w:sz w:val="24"/>
          <w:szCs w:val="24"/>
        </w:rPr>
      </w:pPr>
      <w:r w:rsidRPr="0042310B">
        <w:rPr>
          <w:rStyle w:val="mceitemhidden"/>
          <w:rFonts w:ascii="Arial" w:hAnsi="Arial" w:cs="Arial"/>
          <w:sz w:val="24"/>
          <w:szCs w:val="24"/>
        </w:rPr>
        <w:t>---</w:t>
      </w:r>
      <w:r w:rsidRPr="0042310B">
        <w:rPr>
          <w:rStyle w:val="mceitemhiddenspellword"/>
          <w:rFonts w:ascii="Arial" w:hAnsi="Arial" w:cs="Arial"/>
          <w:sz w:val="24"/>
          <w:szCs w:val="24"/>
        </w:rPr>
        <w:t>оОо</w:t>
      </w:r>
      <w:r w:rsidRPr="0042310B">
        <w:rPr>
          <w:rStyle w:val="mceitemhidden"/>
          <w:rFonts w:ascii="Arial" w:hAnsi="Arial" w:cs="Arial"/>
          <w:sz w:val="24"/>
          <w:szCs w:val="24"/>
        </w:rPr>
        <w:t>---</w:t>
      </w:r>
    </w:p>
    <w:sectPr w:rsidR="00B30ACE" w:rsidRPr="0042310B" w:rsidSect="002227C5">
      <w:footerReference w:type="default" r:id="rId9"/>
      <w:pgSz w:w="11906" w:h="16838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5955" w14:textId="77777777" w:rsidR="002D6E76" w:rsidRDefault="002D6E76" w:rsidP="0011257D">
      <w:r>
        <w:separator/>
      </w:r>
    </w:p>
  </w:endnote>
  <w:endnote w:type="continuationSeparator" w:id="0">
    <w:p w14:paraId="66F09801" w14:textId="77777777" w:rsidR="002D6E76" w:rsidRDefault="002D6E76" w:rsidP="0011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NA Centurio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0FD6" w14:textId="77777777" w:rsidR="00444C3D" w:rsidRDefault="00444C3D">
    <w:pPr>
      <w:pStyle w:val="Footer"/>
      <w:jc w:val="right"/>
    </w:pPr>
  </w:p>
  <w:p w14:paraId="35B166F9" w14:textId="77777777" w:rsidR="00AF12FF" w:rsidRDefault="00AF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2085" w14:textId="77777777" w:rsidR="002D6E76" w:rsidRDefault="002D6E76" w:rsidP="0011257D">
      <w:r>
        <w:separator/>
      </w:r>
    </w:p>
  </w:footnote>
  <w:footnote w:type="continuationSeparator" w:id="0">
    <w:p w14:paraId="5BD253FE" w14:textId="77777777" w:rsidR="002D6E76" w:rsidRDefault="002D6E76" w:rsidP="0011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267"/>
    <w:multiLevelType w:val="hybridMultilevel"/>
    <w:tmpl w:val="48D69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14A65"/>
    <w:multiLevelType w:val="hybridMultilevel"/>
    <w:tmpl w:val="7282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44FCD"/>
    <w:multiLevelType w:val="hybridMultilevel"/>
    <w:tmpl w:val="6222375E"/>
    <w:lvl w:ilvl="0" w:tplc="F1B65FBE">
      <w:start w:val="1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33282"/>
    <w:multiLevelType w:val="hybridMultilevel"/>
    <w:tmpl w:val="AFB8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7128"/>
    <w:multiLevelType w:val="hybridMultilevel"/>
    <w:tmpl w:val="E676BDA2"/>
    <w:lvl w:ilvl="0" w:tplc="6DD036D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8C936F7"/>
    <w:multiLevelType w:val="hybridMultilevel"/>
    <w:tmpl w:val="A71A3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ED6803"/>
    <w:multiLevelType w:val="hybridMultilevel"/>
    <w:tmpl w:val="D80CECD4"/>
    <w:lvl w:ilvl="0" w:tplc="36E2FB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E0DA1"/>
    <w:multiLevelType w:val="hybridMultilevel"/>
    <w:tmpl w:val="6E18180A"/>
    <w:lvl w:ilvl="0" w:tplc="B0066B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4EC9"/>
    <w:multiLevelType w:val="hybridMultilevel"/>
    <w:tmpl w:val="59CA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D6E4F"/>
    <w:multiLevelType w:val="hybridMultilevel"/>
    <w:tmpl w:val="5788642A"/>
    <w:lvl w:ilvl="0" w:tplc="565EB33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70273"/>
    <w:multiLevelType w:val="hybridMultilevel"/>
    <w:tmpl w:val="E078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530E9"/>
    <w:multiLevelType w:val="hybridMultilevel"/>
    <w:tmpl w:val="406619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DB0E3D"/>
    <w:multiLevelType w:val="hybridMultilevel"/>
    <w:tmpl w:val="D266085E"/>
    <w:lvl w:ilvl="0" w:tplc="9AE481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50212"/>
    <w:multiLevelType w:val="hybridMultilevel"/>
    <w:tmpl w:val="7C6E2FA2"/>
    <w:lvl w:ilvl="0" w:tplc="CFEE9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E9"/>
    <w:rsid w:val="00012323"/>
    <w:rsid w:val="000164F1"/>
    <w:rsid w:val="0001679F"/>
    <w:rsid w:val="00026A9D"/>
    <w:rsid w:val="00026E35"/>
    <w:rsid w:val="00034526"/>
    <w:rsid w:val="000406F8"/>
    <w:rsid w:val="00051B6F"/>
    <w:rsid w:val="000661A9"/>
    <w:rsid w:val="000706DB"/>
    <w:rsid w:val="000716C0"/>
    <w:rsid w:val="00086DDF"/>
    <w:rsid w:val="000A0D78"/>
    <w:rsid w:val="000A1436"/>
    <w:rsid w:val="000A441D"/>
    <w:rsid w:val="000A4472"/>
    <w:rsid w:val="000B5495"/>
    <w:rsid w:val="000D1A35"/>
    <w:rsid w:val="000D2F3F"/>
    <w:rsid w:val="000E48AB"/>
    <w:rsid w:val="000F5208"/>
    <w:rsid w:val="000F557A"/>
    <w:rsid w:val="001026FA"/>
    <w:rsid w:val="0011257D"/>
    <w:rsid w:val="001135FD"/>
    <w:rsid w:val="00113DD1"/>
    <w:rsid w:val="00122ED1"/>
    <w:rsid w:val="00124140"/>
    <w:rsid w:val="001903E9"/>
    <w:rsid w:val="00194806"/>
    <w:rsid w:val="00197261"/>
    <w:rsid w:val="00197772"/>
    <w:rsid w:val="001C1CBB"/>
    <w:rsid w:val="001D00BA"/>
    <w:rsid w:val="001E27A8"/>
    <w:rsid w:val="001F1B50"/>
    <w:rsid w:val="001F6BB7"/>
    <w:rsid w:val="00213592"/>
    <w:rsid w:val="002227C5"/>
    <w:rsid w:val="0022514C"/>
    <w:rsid w:val="00231D30"/>
    <w:rsid w:val="00234220"/>
    <w:rsid w:val="00280309"/>
    <w:rsid w:val="002805CD"/>
    <w:rsid w:val="0029453E"/>
    <w:rsid w:val="002A67EE"/>
    <w:rsid w:val="002B12D3"/>
    <w:rsid w:val="002C1FC9"/>
    <w:rsid w:val="002D6E76"/>
    <w:rsid w:val="002E0DB7"/>
    <w:rsid w:val="002E737C"/>
    <w:rsid w:val="002F0E3B"/>
    <w:rsid w:val="0031500B"/>
    <w:rsid w:val="00333E17"/>
    <w:rsid w:val="00337073"/>
    <w:rsid w:val="00337283"/>
    <w:rsid w:val="00340DE9"/>
    <w:rsid w:val="003535E8"/>
    <w:rsid w:val="003641F1"/>
    <w:rsid w:val="00364AE4"/>
    <w:rsid w:val="003756CA"/>
    <w:rsid w:val="003776F4"/>
    <w:rsid w:val="00385C3D"/>
    <w:rsid w:val="00390031"/>
    <w:rsid w:val="003A6F0C"/>
    <w:rsid w:val="003C15C3"/>
    <w:rsid w:val="003C1B11"/>
    <w:rsid w:val="003C30E7"/>
    <w:rsid w:val="003C6C93"/>
    <w:rsid w:val="003D09A3"/>
    <w:rsid w:val="003D76C1"/>
    <w:rsid w:val="003E07F3"/>
    <w:rsid w:val="003E255B"/>
    <w:rsid w:val="003E648C"/>
    <w:rsid w:val="003F1F90"/>
    <w:rsid w:val="004211C3"/>
    <w:rsid w:val="0042310B"/>
    <w:rsid w:val="00432923"/>
    <w:rsid w:val="00440078"/>
    <w:rsid w:val="00444C3D"/>
    <w:rsid w:val="004554FE"/>
    <w:rsid w:val="00477D2E"/>
    <w:rsid w:val="00480650"/>
    <w:rsid w:val="004829B0"/>
    <w:rsid w:val="00483169"/>
    <w:rsid w:val="00484383"/>
    <w:rsid w:val="00487EED"/>
    <w:rsid w:val="004B794B"/>
    <w:rsid w:val="004C0214"/>
    <w:rsid w:val="004D2B5F"/>
    <w:rsid w:val="004D6B7A"/>
    <w:rsid w:val="004D7E73"/>
    <w:rsid w:val="004F56BF"/>
    <w:rsid w:val="0050004F"/>
    <w:rsid w:val="005025D1"/>
    <w:rsid w:val="00510346"/>
    <w:rsid w:val="0051103B"/>
    <w:rsid w:val="00520797"/>
    <w:rsid w:val="0053081B"/>
    <w:rsid w:val="005371AD"/>
    <w:rsid w:val="005429CE"/>
    <w:rsid w:val="00552625"/>
    <w:rsid w:val="0055395D"/>
    <w:rsid w:val="00573480"/>
    <w:rsid w:val="00575D91"/>
    <w:rsid w:val="00587285"/>
    <w:rsid w:val="005951CA"/>
    <w:rsid w:val="005969FC"/>
    <w:rsid w:val="005A6020"/>
    <w:rsid w:val="005B42F9"/>
    <w:rsid w:val="005C05C0"/>
    <w:rsid w:val="005C51FF"/>
    <w:rsid w:val="005D1496"/>
    <w:rsid w:val="005D778E"/>
    <w:rsid w:val="005E3E41"/>
    <w:rsid w:val="005E6472"/>
    <w:rsid w:val="005E70B8"/>
    <w:rsid w:val="005E716B"/>
    <w:rsid w:val="005F64E4"/>
    <w:rsid w:val="005F710A"/>
    <w:rsid w:val="00600C18"/>
    <w:rsid w:val="006206F8"/>
    <w:rsid w:val="00645FA3"/>
    <w:rsid w:val="00650ECC"/>
    <w:rsid w:val="00675E59"/>
    <w:rsid w:val="006765F3"/>
    <w:rsid w:val="00685312"/>
    <w:rsid w:val="0069691E"/>
    <w:rsid w:val="006B3042"/>
    <w:rsid w:val="006C7775"/>
    <w:rsid w:val="006F0B96"/>
    <w:rsid w:val="007167D5"/>
    <w:rsid w:val="00725D2B"/>
    <w:rsid w:val="00725F91"/>
    <w:rsid w:val="00726FCB"/>
    <w:rsid w:val="0075135C"/>
    <w:rsid w:val="00753421"/>
    <w:rsid w:val="00757842"/>
    <w:rsid w:val="00762A5B"/>
    <w:rsid w:val="00765B2B"/>
    <w:rsid w:val="00767EB5"/>
    <w:rsid w:val="00780133"/>
    <w:rsid w:val="007904E0"/>
    <w:rsid w:val="00791749"/>
    <w:rsid w:val="00794854"/>
    <w:rsid w:val="007A1A10"/>
    <w:rsid w:val="007A2C0E"/>
    <w:rsid w:val="007A2FD9"/>
    <w:rsid w:val="007A38D0"/>
    <w:rsid w:val="007A4655"/>
    <w:rsid w:val="007A49BA"/>
    <w:rsid w:val="007B5409"/>
    <w:rsid w:val="007C4AE0"/>
    <w:rsid w:val="007D19C6"/>
    <w:rsid w:val="007F1E1E"/>
    <w:rsid w:val="007F4227"/>
    <w:rsid w:val="00815EC1"/>
    <w:rsid w:val="0082334C"/>
    <w:rsid w:val="0084586A"/>
    <w:rsid w:val="0084626E"/>
    <w:rsid w:val="00854815"/>
    <w:rsid w:val="00864FB0"/>
    <w:rsid w:val="00871189"/>
    <w:rsid w:val="00876917"/>
    <w:rsid w:val="00877264"/>
    <w:rsid w:val="008818C7"/>
    <w:rsid w:val="0088551B"/>
    <w:rsid w:val="008867F3"/>
    <w:rsid w:val="008B4107"/>
    <w:rsid w:val="008B43B1"/>
    <w:rsid w:val="008B4518"/>
    <w:rsid w:val="008C44CA"/>
    <w:rsid w:val="008C4F27"/>
    <w:rsid w:val="008C68CF"/>
    <w:rsid w:val="008C7B50"/>
    <w:rsid w:val="008E22F1"/>
    <w:rsid w:val="008E3F46"/>
    <w:rsid w:val="008F0924"/>
    <w:rsid w:val="008F1A13"/>
    <w:rsid w:val="00911CE7"/>
    <w:rsid w:val="00912E8F"/>
    <w:rsid w:val="0093355A"/>
    <w:rsid w:val="00937104"/>
    <w:rsid w:val="00944054"/>
    <w:rsid w:val="009535F5"/>
    <w:rsid w:val="00967B33"/>
    <w:rsid w:val="00970F15"/>
    <w:rsid w:val="00981C6C"/>
    <w:rsid w:val="009859EF"/>
    <w:rsid w:val="00992D4C"/>
    <w:rsid w:val="009944B3"/>
    <w:rsid w:val="009A049F"/>
    <w:rsid w:val="009A32FB"/>
    <w:rsid w:val="009A54EC"/>
    <w:rsid w:val="009A63D0"/>
    <w:rsid w:val="009A71F1"/>
    <w:rsid w:val="009B2125"/>
    <w:rsid w:val="009B6CB9"/>
    <w:rsid w:val="009C3497"/>
    <w:rsid w:val="009D62B0"/>
    <w:rsid w:val="009F0E2A"/>
    <w:rsid w:val="009F2266"/>
    <w:rsid w:val="009F767D"/>
    <w:rsid w:val="00A034AD"/>
    <w:rsid w:val="00A04FB4"/>
    <w:rsid w:val="00A20B8B"/>
    <w:rsid w:val="00A20C3E"/>
    <w:rsid w:val="00A2465C"/>
    <w:rsid w:val="00A24DA5"/>
    <w:rsid w:val="00A3708B"/>
    <w:rsid w:val="00A37F0E"/>
    <w:rsid w:val="00A41C50"/>
    <w:rsid w:val="00A44FD0"/>
    <w:rsid w:val="00A46BA1"/>
    <w:rsid w:val="00A5407B"/>
    <w:rsid w:val="00A72342"/>
    <w:rsid w:val="00A80619"/>
    <w:rsid w:val="00A85B34"/>
    <w:rsid w:val="00A86178"/>
    <w:rsid w:val="00A86760"/>
    <w:rsid w:val="00AB28C3"/>
    <w:rsid w:val="00AC7567"/>
    <w:rsid w:val="00AD6694"/>
    <w:rsid w:val="00AF12FF"/>
    <w:rsid w:val="00AF2E10"/>
    <w:rsid w:val="00AF6D9F"/>
    <w:rsid w:val="00B0571B"/>
    <w:rsid w:val="00B079E7"/>
    <w:rsid w:val="00B129A9"/>
    <w:rsid w:val="00B30ACE"/>
    <w:rsid w:val="00B44882"/>
    <w:rsid w:val="00B726B3"/>
    <w:rsid w:val="00B767AF"/>
    <w:rsid w:val="00B77C38"/>
    <w:rsid w:val="00B84574"/>
    <w:rsid w:val="00B8543B"/>
    <w:rsid w:val="00B9248A"/>
    <w:rsid w:val="00BB5A44"/>
    <w:rsid w:val="00BC4851"/>
    <w:rsid w:val="00BD5E7A"/>
    <w:rsid w:val="00BE33E5"/>
    <w:rsid w:val="00C00906"/>
    <w:rsid w:val="00C2368E"/>
    <w:rsid w:val="00C347A5"/>
    <w:rsid w:val="00C3763D"/>
    <w:rsid w:val="00C61038"/>
    <w:rsid w:val="00C778DB"/>
    <w:rsid w:val="00C828A3"/>
    <w:rsid w:val="00C926A3"/>
    <w:rsid w:val="00C92BE3"/>
    <w:rsid w:val="00C9769F"/>
    <w:rsid w:val="00CE6583"/>
    <w:rsid w:val="00CF27B5"/>
    <w:rsid w:val="00CF5DA5"/>
    <w:rsid w:val="00D05F74"/>
    <w:rsid w:val="00D4594D"/>
    <w:rsid w:val="00D45BD1"/>
    <w:rsid w:val="00D551B7"/>
    <w:rsid w:val="00D65300"/>
    <w:rsid w:val="00D773E6"/>
    <w:rsid w:val="00D7783B"/>
    <w:rsid w:val="00D926C8"/>
    <w:rsid w:val="00DA19AC"/>
    <w:rsid w:val="00DA3859"/>
    <w:rsid w:val="00DA6C43"/>
    <w:rsid w:val="00DB2E68"/>
    <w:rsid w:val="00DB4A28"/>
    <w:rsid w:val="00DD473E"/>
    <w:rsid w:val="00DE73D8"/>
    <w:rsid w:val="00DF1D94"/>
    <w:rsid w:val="00DF4404"/>
    <w:rsid w:val="00E00087"/>
    <w:rsid w:val="00E00F10"/>
    <w:rsid w:val="00E02C58"/>
    <w:rsid w:val="00E06A10"/>
    <w:rsid w:val="00E1608B"/>
    <w:rsid w:val="00E1763B"/>
    <w:rsid w:val="00E20593"/>
    <w:rsid w:val="00E51F84"/>
    <w:rsid w:val="00E576E7"/>
    <w:rsid w:val="00E876A0"/>
    <w:rsid w:val="00E9413C"/>
    <w:rsid w:val="00E97853"/>
    <w:rsid w:val="00EB65FE"/>
    <w:rsid w:val="00EC3284"/>
    <w:rsid w:val="00ED71D3"/>
    <w:rsid w:val="00EF7D1A"/>
    <w:rsid w:val="00F058E6"/>
    <w:rsid w:val="00F13321"/>
    <w:rsid w:val="00F168CC"/>
    <w:rsid w:val="00F27E52"/>
    <w:rsid w:val="00F316DD"/>
    <w:rsid w:val="00F42DC4"/>
    <w:rsid w:val="00F63207"/>
    <w:rsid w:val="00F63DB9"/>
    <w:rsid w:val="00F7776A"/>
    <w:rsid w:val="00F926E7"/>
    <w:rsid w:val="00F966C8"/>
    <w:rsid w:val="00FA4098"/>
    <w:rsid w:val="00FA62FB"/>
    <w:rsid w:val="00FC1866"/>
    <w:rsid w:val="00FC7A3C"/>
    <w:rsid w:val="00FD1EA1"/>
    <w:rsid w:val="00FD3BFD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928A"/>
  <w15:docId w15:val="{1AAFEB9C-C6E3-4E44-8E24-8775CA70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E9"/>
  </w:style>
  <w:style w:type="paragraph" w:styleId="Heading1">
    <w:name w:val="heading 1"/>
    <w:basedOn w:val="Normal"/>
    <w:next w:val="Normal"/>
    <w:link w:val="Heading1Char"/>
    <w:qFormat/>
    <w:rsid w:val="00937104"/>
    <w:pPr>
      <w:keepNext/>
      <w:jc w:val="both"/>
      <w:outlineLvl w:val="0"/>
    </w:pPr>
    <w:rPr>
      <w:rFonts w:ascii="SUNA Centurion" w:eastAsia="Times New Roman" w:hAnsi="SUNA Centurion" w:cs="Times New Roman"/>
      <w:i/>
      <w:iCs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1903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903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IBL List Paragraph,Дэд гарчиг,Paragraph,List Paragraph1,Figure Title,Main numbered paragraph"/>
    <w:basedOn w:val="Normal"/>
    <w:link w:val="ListParagraphChar"/>
    <w:uiPriority w:val="34"/>
    <w:qFormat/>
    <w:rsid w:val="001903E9"/>
    <w:pPr>
      <w:ind w:left="720"/>
      <w:contextualSpacing/>
    </w:pPr>
  </w:style>
  <w:style w:type="paragraph" w:styleId="NoSpacing">
    <w:name w:val="No Spacing"/>
    <w:uiPriority w:val="1"/>
    <w:qFormat/>
    <w:rsid w:val="001903E9"/>
    <w:rPr>
      <w:rFonts w:ascii="Arial" w:hAnsi="Arial"/>
      <w:sz w:val="24"/>
    </w:rPr>
  </w:style>
  <w:style w:type="paragraph" w:styleId="PlainText">
    <w:name w:val="Plain Text"/>
    <w:basedOn w:val="Normal"/>
    <w:link w:val="PlainTextChar"/>
    <w:rsid w:val="001903E9"/>
    <w:pPr>
      <w:autoSpaceDE w:val="0"/>
      <w:autoSpaceDN w:val="0"/>
    </w:pPr>
    <w:rPr>
      <w:rFonts w:ascii="Courier New" w:eastAsia="MS Mincho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03E9"/>
    <w:rPr>
      <w:rFonts w:ascii="Courier New" w:eastAsia="MS Mincho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03E9"/>
    <w:rPr>
      <w:i/>
      <w:iCs/>
    </w:rPr>
  </w:style>
  <w:style w:type="table" w:styleId="MediumGrid1-Accent1">
    <w:name w:val="Medium Grid 1 Accent 1"/>
    <w:basedOn w:val="TableNormal"/>
    <w:uiPriority w:val="67"/>
    <w:rsid w:val="001903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190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3E9"/>
  </w:style>
  <w:style w:type="character" w:customStyle="1" w:styleId="highlight">
    <w:name w:val="highlight"/>
    <w:basedOn w:val="DefaultParagraphFont"/>
    <w:rsid w:val="004B794B"/>
  </w:style>
  <w:style w:type="paragraph" w:styleId="CommentText">
    <w:name w:val="annotation text"/>
    <w:basedOn w:val="Normal"/>
    <w:link w:val="CommentTextChar"/>
    <w:uiPriority w:val="99"/>
    <w:semiHidden/>
    <w:unhideWhenUsed/>
    <w:rsid w:val="00124140"/>
    <w:pPr>
      <w:spacing w:after="200"/>
    </w:pPr>
    <w:rPr>
      <w:rFonts w:ascii="Arial" w:eastAsia="Arial" w:hAnsi="Arial" w:cs="Arial"/>
      <w:sz w:val="20"/>
      <w:szCs w:val="20"/>
      <w:lang w:val="mn-M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12414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40"/>
    <w:rPr>
      <w:rFonts w:ascii="Arial" w:eastAsia="Arial" w:hAnsi="Arial" w:cs="Arial"/>
      <w:sz w:val="20"/>
      <w:szCs w:val="20"/>
      <w:lang w:val="mn-M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FootnoteReference">
    <w:name w:val="footnote reference"/>
    <w:basedOn w:val="DefaultParagraphFont"/>
    <w:uiPriority w:val="99"/>
    <w:semiHidden/>
    <w:unhideWhenUsed/>
    <w:rsid w:val="00124140"/>
    <w:rPr>
      <w:vertAlign w:val="superscript"/>
    </w:rPr>
  </w:style>
  <w:style w:type="paragraph" w:customStyle="1" w:styleId="msghead">
    <w:name w:val="msg_head"/>
    <w:basedOn w:val="Normal"/>
    <w:rsid w:val="00124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414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7104"/>
    <w:rPr>
      <w:rFonts w:ascii="SUNA Centurion" w:eastAsia="Times New Roman" w:hAnsi="SUNA Centurion" w:cs="Times New Roman"/>
      <w:i/>
      <w:iCs/>
      <w:color w:val="0000FF"/>
      <w:szCs w:val="24"/>
    </w:rPr>
  </w:style>
  <w:style w:type="paragraph" w:customStyle="1" w:styleId="Normal1">
    <w:name w:val="Normal1"/>
    <w:rsid w:val="00D05F74"/>
    <w:rPr>
      <w:rFonts w:ascii="Calibri" w:eastAsia="Calibri" w:hAnsi="Calibri" w:cs="Calibri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444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C3D"/>
  </w:style>
  <w:style w:type="character" w:customStyle="1" w:styleId="NormalWebChar">
    <w:name w:val="Normal (Web) Char"/>
    <w:link w:val="NormalWeb"/>
    <w:uiPriority w:val="99"/>
    <w:locked/>
    <w:rsid w:val="001F1B50"/>
    <w:rPr>
      <w:rFonts w:ascii="Times New Roman" w:eastAsia="Times New Roman" w:hAnsi="Times New Roma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753421"/>
  </w:style>
  <w:style w:type="character" w:customStyle="1" w:styleId="mceitemhiddenspellword">
    <w:name w:val="mceitemhiddenspellword"/>
    <w:basedOn w:val="DefaultParagraphFont"/>
    <w:rsid w:val="00753421"/>
  </w:style>
  <w:style w:type="paragraph" w:customStyle="1" w:styleId="bodytext2">
    <w:name w:val="bodytext2"/>
    <w:basedOn w:val="Normal"/>
    <w:rsid w:val="00753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BL List Paragraph Char,Дэд гарчиг Char,Paragraph Char,List Paragraph1 Char,Figure Title Char,Main numbered paragraph Char"/>
    <w:link w:val="ListParagraph"/>
    <w:uiPriority w:val="34"/>
    <w:locked/>
    <w:rsid w:val="003C30E7"/>
  </w:style>
  <w:style w:type="paragraph" w:styleId="BalloonText">
    <w:name w:val="Balloon Text"/>
    <w:basedOn w:val="Normal"/>
    <w:link w:val="BalloonTextChar"/>
    <w:uiPriority w:val="99"/>
    <w:semiHidden/>
    <w:unhideWhenUsed/>
    <w:rsid w:val="007D1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A091-D1FD-41F4-8770-FE7B9D58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Chimgee</dc:creator>
  <cp:lastModifiedBy>Orkhon3070</cp:lastModifiedBy>
  <cp:revision>2</cp:revision>
  <cp:lastPrinted>2021-06-21T18:42:00Z</cp:lastPrinted>
  <dcterms:created xsi:type="dcterms:W3CDTF">2023-01-03T06:35:00Z</dcterms:created>
  <dcterms:modified xsi:type="dcterms:W3CDTF">2023-01-03T06:35:00Z</dcterms:modified>
</cp:coreProperties>
</file>