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947F" w14:textId="77777777" w:rsidR="00113A75" w:rsidRPr="007247FC" w:rsidRDefault="00113A75" w:rsidP="00113A75">
      <w:pPr>
        <w:jc w:val="center"/>
        <w:rPr>
          <w:rFonts w:ascii="Arial" w:hAnsi="Arial" w:cs="Arial"/>
          <w:b/>
          <w:sz w:val="22"/>
          <w:szCs w:val="22"/>
        </w:rPr>
      </w:pPr>
      <w:r w:rsidRPr="007247FC">
        <w:rPr>
          <w:rFonts w:ascii="Arial" w:hAnsi="Arial" w:cs="Arial"/>
          <w:b/>
          <w:sz w:val="22"/>
          <w:szCs w:val="22"/>
        </w:rPr>
        <w:t xml:space="preserve">НИЙГМИЙН ДААТГАЛЫН САНГААС ОЛГОХ ТЭТГЭВРИЙН ТУХАЙ ХУУЛИЙН ТӨСӨЛД ЯАМД БОЛОН </w:t>
      </w:r>
    </w:p>
    <w:p w14:paraId="11BB9FD6" w14:textId="77777777" w:rsidR="00113A75" w:rsidRPr="007247FC" w:rsidRDefault="00113A75" w:rsidP="00113A75">
      <w:pPr>
        <w:jc w:val="center"/>
        <w:rPr>
          <w:rFonts w:ascii="Arial" w:hAnsi="Arial" w:cs="Arial"/>
          <w:b/>
          <w:sz w:val="22"/>
          <w:szCs w:val="22"/>
        </w:rPr>
      </w:pPr>
      <w:r w:rsidRPr="007247FC">
        <w:rPr>
          <w:rFonts w:ascii="Arial" w:hAnsi="Arial" w:cs="Arial"/>
          <w:b/>
          <w:sz w:val="22"/>
          <w:szCs w:val="22"/>
        </w:rPr>
        <w:t>БУСАД БАЙГУУЛЛАГУУДААС ИРҮҮЛСЭН САНАЛЫГ ТУСГАСАН БАЙДАЛ</w:t>
      </w:r>
    </w:p>
    <w:p w14:paraId="65EF8418" w14:textId="77777777" w:rsidR="00113A75" w:rsidRPr="007247FC" w:rsidRDefault="00113A75" w:rsidP="00113A75">
      <w:pPr>
        <w:rPr>
          <w:rFonts w:ascii="Arial" w:hAnsi="Arial" w:cs="Arial"/>
          <w:sz w:val="22"/>
          <w:szCs w:val="22"/>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046"/>
        <w:gridCol w:w="5136"/>
        <w:gridCol w:w="5670"/>
      </w:tblGrid>
      <w:tr w:rsidR="00113A75" w:rsidRPr="007247FC" w14:paraId="32878D38" w14:textId="77777777" w:rsidTr="00183026">
        <w:trPr>
          <w:trHeight w:val="926"/>
        </w:trPr>
        <w:tc>
          <w:tcPr>
            <w:tcW w:w="643" w:type="dxa"/>
            <w:vAlign w:val="center"/>
          </w:tcPr>
          <w:p w14:paraId="30AB8521" w14:textId="77777777" w:rsidR="00113A75" w:rsidRPr="007247FC" w:rsidRDefault="00113A75" w:rsidP="00183026">
            <w:pPr>
              <w:jc w:val="center"/>
              <w:rPr>
                <w:rFonts w:ascii="Arial" w:hAnsi="Arial" w:cs="Arial"/>
                <w:bCs/>
                <w:sz w:val="22"/>
                <w:szCs w:val="22"/>
              </w:rPr>
            </w:pPr>
            <w:r w:rsidRPr="007247FC">
              <w:rPr>
                <w:rFonts w:ascii="Arial" w:hAnsi="Arial" w:cs="Arial"/>
                <w:bCs/>
                <w:sz w:val="22"/>
                <w:szCs w:val="22"/>
              </w:rPr>
              <w:t>№</w:t>
            </w:r>
          </w:p>
        </w:tc>
        <w:tc>
          <w:tcPr>
            <w:tcW w:w="2046" w:type="dxa"/>
            <w:vAlign w:val="center"/>
          </w:tcPr>
          <w:p w14:paraId="3F1F18DB" w14:textId="77777777" w:rsidR="00113A75" w:rsidRPr="007247FC" w:rsidRDefault="00113A75" w:rsidP="00183026">
            <w:pPr>
              <w:jc w:val="center"/>
              <w:rPr>
                <w:rFonts w:ascii="Arial" w:hAnsi="Arial" w:cs="Arial"/>
                <w:bCs/>
                <w:sz w:val="22"/>
                <w:szCs w:val="22"/>
              </w:rPr>
            </w:pPr>
          </w:p>
          <w:p w14:paraId="2709698B" w14:textId="77777777" w:rsidR="00113A75" w:rsidRPr="007247FC" w:rsidRDefault="00113A75" w:rsidP="00183026">
            <w:pPr>
              <w:jc w:val="center"/>
              <w:rPr>
                <w:rFonts w:ascii="Arial" w:hAnsi="Arial" w:cs="Arial"/>
                <w:bCs/>
                <w:sz w:val="22"/>
                <w:szCs w:val="22"/>
              </w:rPr>
            </w:pPr>
            <w:r w:rsidRPr="007247FC">
              <w:rPr>
                <w:rFonts w:ascii="Arial" w:hAnsi="Arial" w:cs="Arial"/>
                <w:bCs/>
                <w:sz w:val="22"/>
                <w:szCs w:val="22"/>
              </w:rPr>
              <w:t>Яам, холбогдох бусад байгууллагын нэр, санал өгсөн бичгийн огноо, дугаар</w:t>
            </w:r>
          </w:p>
        </w:tc>
        <w:tc>
          <w:tcPr>
            <w:tcW w:w="5136" w:type="dxa"/>
            <w:vAlign w:val="center"/>
          </w:tcPr>
          <w:p w14:paraId="2F22C720" w14:textId="77777777" w:rsidR="00113A75" w:rsidRPr="007247FC" w:rsidRDefault="00113A75" w:rsidP="00183026">
            <w:pPr>
              <w:jc w:val="center"/>
              <w:rPr>
                <w:rFonts w:ascii="Arial" w:hAnsi="Arial" w:cs="Arial"/>
                <w:bCs/>
                <w:sz w:val="22"/>
                <w:szCs w:val="22"/>
              </w:rPr>
            </w:pPr>
            <w:r w:rsidRPr="007247FC">
              <w:rPr>
                <w:rFonts w:ascii="Arial" w:hAnsi="Arial" w:cs="Arial"/>
                <w:bCs/>
                <w:sz w:val="22"/>
                <w:szCs w:val="22"/>
              </w:rPr>
              <w:t>Саналын товч утга</w:t>
            </w:r>
          </w:p>
        </w:tc>
        <w:tc>
          <w:tcPr>
            <w:tcW w:w="5670" w:type="dxa"/>
            <w:vAlign w:val="center"/>
          </w:tcPr>
          <w:p w14:paraId="643DD0FE" w14:textId="77777777" w:rsidR="00113A75" w:rsidRPr="007247FC" w:rsidRDefault="00113A75" w:rsidP="00183026">
            <w:pPr>
              <w:jc w:val="center"/>
              <w:rPr>
                <w:rFonts w:ascii="Arial" w:hAnsi="Arial" w:cs="Arial"/>
                <w:bCs/>
                <w:sz w:val="22"/>
                <w:szCs w:val="22"/>
              </w:rPr>
            </w:pPr>
            <w:r w:rsidRPr="007247FC">
              <w:rPr>
                <w:rFonts w:ascii="Arial" w:hAnsi="Arial" w:cs="Arial"/>
                <w:bCs/>
                <w:sz w:val="22"/>
                <w:szCs w:val="22"/>
              </w:rPr>
              <w:t>Тусгасан байдал</w:t>
            </w:r>
          </w:p>
        </w:tc>
      </w:tr>
      <w:tr w:rsidR="006D5D11" w:rsidRPr="007247FC" w14:paraId="498D4EB1" w14:textId="77777777" w:rsidTr="00183026">
        <w:trPr>
          <w:trHeight w:val="926"/>
        </w:trPr>
        <w:tc>
          <w:tcPr>
            <w:tcW w:w="643" w:type="dxa"/>
            <w:vMerge w:val="restart"/>
            <w:vAlign w:val="center"/>
          </w:tcPr>
          <w:p w14:paraId="016A0CCC" w14:textId="4D10BC49" w:rsidR="006D5D11" w:rsidRPr="007247FC" w:rsidRDefault="006D5D11" w:rsidP="00183026">
            <w:pPr>
              <w:jc w:val="center"/>
              <w:rPr>
                <w:rFonts w:ascii="Arial" w:hAnsi="Arial" w:cs="Arial"/>
                <w:bCs/>
                <w:sz w:val="22"/>
                <w:szCs w:val="22"/>
                <w:lang w:val="en-US"/>
              </w:rPr>
            </w:pPr>
            <w:r w:rsidRPr="007247FC">
              <w:rPr>
                <w:rFonts w:ascii="Arial" w:hAnsi="Arial" w:cs="Arial"/>
                <w:bCs/>
                <w:sz w:val="22"/>
                <w:szCs w:val="22"/>
                <w:lang w:val="en-US"/>
              </w:rPr>
              <w:t>1</w:t>
            </w:r>
          </w:p>
        </w:tc>
        <w:tc>
          <w:tcPr>
            <w:tcW w:w="2046" w:type="dxa"/>
            <w:vMerge w:val="restart"/>
            <w:vAlign w:val="center"/>
          </w:tcPr>
          <w:p w14:paraId="5C79955F" w14:textId="16140A26" w:rsidR="006D5D11" w:rsidRPr="007247FC" w:rsidRDefault="006D5D11" w:rsidP="00183026">
            <w:pPr>
              <w:jc w:val="center"/>
              <w:rPr>
                <w:rFonts w:ascii="Arial" w:hAnsi="Arial" w:cs="Arial"/>
                <w:bCs/>
                <w:sz w:val="22"/>
                <w:szCs w:val="22"/>
              </w:rPr>
            </w:pPr>
            <w:r w:rsidRPr="007247FC">
              <w:rPr>
                <w:rFonts w:ascii="Arial" w:hAnsi="Arial" w:cs="Arial"/>
                <w:bCs/>
                <w:sz w:val="22"/>
                <w:szCs w:val="22"/>
              </w:rPr>
              <w:t xml:space="preserve">Сангийн яам </w:t>
            </w:r>
            <w:r w:rsidRPr="007247FC">
              <w:rPr>
                <w:rFonts w:ascii="Arial" w:hAnsi="Arial" w:cs="Arial"/>
                <w:bCs/>
                <w:sz w:val="22"/>
                <w:szCs w:val="22"/>
                <w:lang w:val="en-US"/>
              </w:rPr>
              <w:t>(</w:t>
            </w:r>
            <w:r w:rsidRPr="007247FC">
              <w:rPr>
                <w:rFonts w:ascii="Arial" w:hAnsi="Arial" w:cs="Arial"/>
                <w:bCs/>
                <w:sz w:val="22"/>
                <w:szCs w:val="22"/>
              </w:rPr>
              <w:t>2022.12.30 01/3972</w:t>
            </w:r>
            <w:r w:rsidRPr="007247FC">
              <w:rPr>
                <w:rFonts w:ascii="Arial" w:hAnsi="Arial" w:cs="Arial"/>
                <w:bCs/>
                <w:sz w:val="22"/>
                <w:szCs w:val="22"/>
                <w:lang w:val="en-US"/>
              </w:rPr>
              <w:t>)</w:t>
            </w:r>
          </w:p>
        </w:tc>
        <w:tc>
          <w:tcPr>
            <w:tcW w:w="5136" w:type="dxa"/>
            <w:vAlign w:val="center"/>
          </w:tcPr>
          <w:p w14:paraId="3475A011" w14:textId="77777777" w:rsidR="006D5D11" w:rsidRPr="007247FC" w:rsidRDefault="006D5D11" w:rsidP="00BB19CC">
            <w:pPr>
              <w:jc w:val="both"/>
              <w:rPr>
                <w:rFonts w:ascii="Arial" w:hAnsi="Arial" w:cs="Arial"/>
                <w:bCs/>
                <w:sz w:val="22"/>
                <w:szCs w:val="22"/>
              </w:rPr>
            </w:pPr>
            <w:r w:rsidRPr="007247FC">
              <w:rPr>
                <w:rFonts w:ascii="Arial" w:hAnsi="Arial" w:cs="Arial"/>
                <w:bCs/>
                <w:sz w:val="22"/>
                <w:szCs w:val="22"/>
              </w:rPr>
              <w:t xml:space="preserve">1.Улсын Их Хурлын 2015 оны 53 дугаар тогтоолоор баталсан "Төрөөс тэтгэврийн шинэчлэлийн талаар баримтлах бодлого" </w:t>
            </w:r>
          </w:p>
          <w:p w14:paraId="3F643E3F" w14:textId="7771C882" w:rsidR="006D5D11" w:rsidRPr="007247FC" w:rsidRDefault="006D5D11" w:rsidP="007247FC">
            <w:pPr>
              <w:jc w:val="both"/>
              <w:rPr>
                <w:rFonts w:ascii="Arial" w:hAnsi="Arial" w:cs="Arial"/>
                <w:bCs/>
                <w:sz w:val="22"/>
                <w:szCs w:val="22"/>
                <w:lang w:val="en-US"/>
              </w:rPr>
            </w:pPr>
            <w:r w:rsidRPr="007247FC">
              <w:rPr>
                <w:rFonts w:ascii="Arial" w:hAnsi="Arial" w:cs="Arial"/>
                <w:bCs/>
                <w:sz w:val="22"/>
                <w:szCs w:val="22"/>
              </w:rPr>
              <w:t>/2015-2030/-ын 3.2.8-д 2025 он гэхэд тэтгэвэр тогтооход даатгуулагчийн 10 жилийн цалин хөлсний дунджийг цаашид шимтгэл төлсөн нийт хугацааны дунджийг үндэслэнэ, 2.1.3-т Өндөр насны тэтгэвэр нь даатгуулагчийн авч байсан цалин хөлс, төлсөн шимтгэлийн хэмжээ, хугацаатай уялдаатай байна гэж тус тус заасан байна.</w:t>
            </w:r>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Иймд</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төслийн</w:t>
            </w:r>
            <w:proofErr w:type="spellEnd"/>
            <w:r w:rsidRPr="007247FC">
              <w:rPr>
                <w:rFonts w:ascii="Arial" w:hAnsi="Arial" w:cs="Arial"/>
                <w:bCs/>
                <w:sz w:val="22"/>
                <w:szCs w:val="22"/>
                <w:lang w:val="en-US"/>
              </w:rPr>
              <w:t xml:space="preserve"> 20 </w:t>
            </w:r>
            <w:proofErr w:type="spellStart"/>
            <w:r w:rsidRPr="007247FC">
              <w:rPr>
                <w:rFonts w:ascii="Arial" w:hAnsi="Arial" w:cs="Arial"/>
                <w:bCs/>
                <w:sz w:val="22"/>
                <w:szCs w:val="22"/>
                <w:lang w:val="en-US"/>
              </w:rPr>
              <w:t>дугаар</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зүйлийн</w:t>
            </w:r>
            <w:proofErr w:type="spellEnd"/>
            <w:r w:rsidRPr="007247FC">
              <w:rPr>
                <w:rFonts w:ascii="Arial" w:hAnsi="Arial" w:cs="Arial"/>
                <w:bCs/>
                <w:sz w:val="22"/>
                <w:szCs w:val="22"/>
                <w:lang w:val="en-US"/>
              </w:rPr>
              <w:t xml:space="preserve"> 20.1 </w:t>
            </w:r>
            <w:proofErr w:type="spellStart"/>
            <w:r w:rsidRPr="007247FC">
              <w:rPr>
                <w:rFonts w:ascii="Arial" w:hAnsi="Arial" w:cs="Arial"/>
                <w:bCs/>
                <w:sz w:val="22"/>
                <w:szCs w:val="22"/>
                <w:lang w:val="en-US"/>
              </w:rPr>
              <w:t>дэх</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хэсгийн</w:t>
            </w:r>
            <w:proofErr w:type="spellEnd"/>
            <w:r w:rsidRPr="007247FC">
              <w:rPr>
                <w:rFonts w:ascii="Arial" w:hAnsi="Arial" w:cs="Arial"/>
                <w:bCs/>
                <w:sz w:val="22"/>
                <w:szCs w:val="22"/>
                <w:lang w:val="en-US"/>
              </w:rPr>
              <w:t xml:space="preserve"> 5 </w:t>
            </w:r>
            <w:proofErr w:type="spellStart"/>
            <w:r w:rsidRPr="007247FC">
              <w:rPr>
                <w:rFonts w:ascii="Arial" w:hAnsi="Arial" w:cs="Arial"/>
                <w:bCs/>
                <w:sz w:val="22"/>
                <w:szCs w:val="22"/>
                <w:lang w:val="en-US"/>
              </w:rPr>
              <w:t>жилийг</w:t>
            </w:r>
            <w:proofErr w:type="spellEnd"/>
            <w:r w:rsidRPr="007247FC">
              <w:rPr>
                <w:rFonts w:ascii="Arial" w:hAnsi="Arial" w:cs="Arial"/>
                <w:bCs/>
                <w:sz w:val="22"/>
                <w:szCs w:val="22"/>
                <w:lang w:val="en-US"/>
              </w:rPr>
              <w:t xml:space="preserve"> 10 </w:t>
            </w:r>
            <w:proofErr w:type="spellStart"/>
            <w:r w:rsidRPr="007247FC">
              <w:rPr>
                <w:rFonts w:ascii="Arial" w:hAnsi="Arial" w:cs="Arial"/>
                <w:bCs/>
                <w:sz w:val="22"/>
                <w:szCs w:val="22"/>
                <w:lang w:val="en-US"/>
              </w:rPr>
              <w:t>жил</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байхаар</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өөрчлөх</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мөн</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хуулийг</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дагаж</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мөрдөх</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журмын</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хэсэгт</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цаашид</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жил</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бүр</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нэмэгдүүлэх</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замаар</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тодорхой</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хугацааны</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дараа</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шимтгэл</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төлсөн</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нийт</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хугацааны</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дунджийг</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үндэслэн</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тогтоох</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агуулга</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бүхий</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заалт</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нэмж</w:t>
            </w:r>
            <w:proofErr w:type="spellEnd"/>
            <w:r w:rsidRPr="007247FC">
              <w:rPr>
                <w:rFonts w:ascii="Arial" w:hAnsi="Arial" w:cs="Arial"/>
                <w:bCs/>
                <w:sz w:val="22"/>
                <w:szCs w:val="22"/>
                <w:lang w:val="en-US"/>
              </w:rPr>
              <w:t xml:space="preserve"> </w:t>
            </w:r>
            <w:proofErr w:type="spellStart"/>
            <w:r w:rsidRPr="007247FC">
              <w:rPr>
                <w:rFonts w:ascii="Arial" w:hAnsi="Arial" w:cs="Arial"/>
                <w:bCs/>
                <w:sz w:val="22"/>
                <w:szCs w:val="22"/>
                <w:lang w:val="en-US"/>
              </w:rPr>
              <w:t>тусгах</w:t>
            </w:r>
            <w:proofErr w:type="spellEnd"/>
            <w:r w:rsidRPr="007247FC">
              <w:rPr>
                <w:rFonts w:ascii="Arial" w:hAnsi="Arial" w:cs="Arial"/>
                <w:bCs/>
                <w:sz w:val="22"/>
                <w:szCs w:val="22"/>
                <w:lang w:val="en-US"/>
              </w:rPr>
              <w:t>;</w:t>
            </w:r>
          </w:p>
        </w:tc>
        <w:tc>
          <w:tcPr>
            <w:tcW w:w="5670" w:type="dxa"/>
            <w:vAlign w:val="center"/>
          </w:tcPr>
          <w:p w14:paraId="36164222" w14:textId="63AF1293" w:rsidR="006D5D11" w:rsidRDefault="006D5D11" w:rsidP="00BC604E">
            <w:pPr>
              <w:jc w:val="both"/>
              <w:rPr>
                <w:rFonts w:ascii="Arial" w:hAnsi="Arial" w:cs="Arial"/>
                <w:bCs/>
                <w:sz w:val="22"/>
                <w:szCs w:val="22"/>
              </w:rPr>
            </w:pPr>
            <w:r w:rsidRPr="00154CB6">
              <w:rPr>
                <w:rFonts w:ascii="Arial" w:hAnsi="Arial" w:cs="Arial"/>
                <w:bCs/>
                <w:sz w:val="22"/>
                <w:szCs w:val="22"/>
              </w:rPr>
              <w:t xml:space="preserve">УИХ дахь олонхын бүлгээс </w:t>
            </w:r>
            <w:r>
              <w:rPr>
                <w:rFonts w:ascii="Arial" w:hAnsi="Arial" w:cs="Arial"/>
                <w:bCs/>
                <w:sz w:val="22"/>
                <w:szCs w:val="22"/>
              </w:rPr>
              <w:t>“...</w:t>
            </w:r>
            <w:r w:rsidRPr="00154CB6">
              <w:rPr>
                <w:rFonts w:ascii="Arial" w:hAnsi="Arial" w:cs="Arial"/>
                <w:bCs/>
                <w:sz w:val="22"/>
                <w:szCs w:val="22"/>
              </w:rPr>
              <w:t>тэтгэвэр бодох дараалсан жилийг 10 бо</w:t>
            </w:r>
            <w:r>
              <w:rPr>
                <w:rFonts w:ascii="Arial" w:hAnsi="Arial" w:cs="Arial"/>
                <w:bCs/>
                <w:sz w:val="22"/>
                <w:szCs w:val="22"/>
              </w:rPr>
              <w:t xml:space="preserve">лгосныг дэмжихгүй, 5 жил болгож өөрчлөн найруулах” гэсэн үндэслэлээр 2021 оны 10 дугаар сард УИХ-д өргөн мэдүүлсэн Нийгмийн даатгалын сангаас олгох тэтгэврийн тухай хуулийн  төслийг буцаан авч, </w:t>
            </w:r>
            <w:r w:rsidRPr="00154CB6">
              <w:rPr>
                <w:rFonts w:ascii="Arial" w:hAnsi="Arial" w:cs="Arial"/>
                <w:bCs/>
                <w:sz w:val="22"/>
                <w:szCs w:val="22"/>
              </w:rPr>
              <w:t>дахин боловсруул</w:t>
            </w:r>
            <w:r>
              <w:rPr>
                <w:rFonts w:ascii="Arial" w:hAnsi="Arial" w:cs="Arial"/>
                <w:bCs/>
                <w:sz w:val="22"/>
                <w:szCs w:val="22"/>
              </w:rPr>
              <w:t xml:space="preserve">ж </w:t>
            </w:r>
            <w:r w:rsidRPr="00154CB6">
              <w:rPr>
                <w:rFonts w:ascii="Arial" w:hAnsi="Arial" w:cs="Arial"/>
                <w:bCs/>
                <w:sz w:val="22"/>
                <w:szCs w:val="22"/>
              </w:rPr>
              <w:t xml:space="preserve">УИХ-д өргөн мэдүүлэх чиглэлийг Засгийн газарт ирүүлсэн. </w:t>
            </w:r>
            <w:r>
              <w:rPr>
                <w:rFonts w:ascii="Arial" w:hAnsi="Arial" w:cs="Arial"/>
                <w:bCs/>
                <w:sz w:val="22"/>
                <w:szCs w:val="22"/>
              </w:rPr>
              <w:t xml:space="preserve">Мөн иргэд, олон нийтийн зүгээс тэтгэврийг </w:t>
            </w:r>
            <w:r w:rsidRPr="00154CB6">
              <w:rPr>
                <w:rFonts w:ascii="Arial" w:hAnsi="Arial" w:cs="Arial"/>
                <w:bCs/>
                <w:sz w:val="22"/>
                <w:szCs w:val="22"/>
              </w:rPr>
              <w:t>5 жилийн цалин хөлсний дунджаар тогтоодог байх</w:t>
            </w:r>
            <w:r>
              <w:rPr>
                <w:rFonts w:ascii="Arial" w:hAnsi="Arial" w:cs="Arial"/>
                <w:bCs/>
                <w:sz w:val="22"/>
                <w:szCs w:val="22"/>
              </w:rPr>
              <w:t xml:space="preserve"> шаардлагыг удаа дараа ирүүлсээр байгаа тул хуулийн төсөлд </w:t>
            </w:r>
            <w:r w:rsidRPr="00154CB6">
              <w:rPr>
                <w:rFonts w:ascii="Arial" w:hAnsi="Arial" w:cs="Arial"/>
                <w:bCs/>
                <w:sz w:val="22"/>
                <w:szCs w:val="22"/>
              </w:rPr>
              <w:t xml:space="preserve">даатгуулагчийн шимтгэл төлсөн </w:t>
            </w:r>
            <w:r>
              <w:rPr>
                <w:rFonts w:ascii="Arial" w:hAnsi="Arial" w:cs="Arial"/>
                <w:bCs/>
                <w:sz w:val="22"/>
                <w:szCs w:val="22"/>
              </w:rPr>
              <w:t xml:space="preserve">дараалсан 5 </w:t>
            </w:r>
            <w:r w:rsidRPr="00154CB6">
              <w:rPr>
                <w:rFonts w:ascii="Arial" w:hAnsi="Arial" w:cs="Arial"/>
                <w:bCs/>
                <w:sz w:val="22"/>
                <w:szCs w:val="22"/>
              </w:rPr>
              <w:t>жилийн хөдөлмөрийн хөлс, түүнтэй адилтгах орлогын</w:t>
            </w:r>
            <w:r>
              <w:rPr>
                <w:rFonts w:ascii="Arial" w:hAnsi="Arial" w:cs="Arial"/>
                <w:bCs/>
                <w:sz w:val="22"/>
                <w:szCs w:val="22"/>
              </w:rPr>
              <w:t xml:space="preserve"> дунджаас тэтгэвэр бодож тогтоодог байхаар тусгасан болно.</w:t>
            </w:r>
            <w:r w:rsidRPr="00154CB6">
              <w:rPr>
                <w:rFonts w:ascii="Arial" w:hAnsi="Arial" w:cs="Arial"/>
                <w:bCs/>
                <w:sz w:val="22"/>
                <w:szCs w:val="22"/>
              </w:rPr>
              <w:t xml:space="preserve">  </w:t>
            </w:r>
          </w:p>
          <w:p w14:paraId="5A4F0947" w14:textId="77777777" w:rsidR="006D5D11" w:rsidRDefault="006D5D11" w:rsidP="00BC604E">
            <w:pPr>
              <w:autoSpaceDE w:val="0"/>
              <w:autoSpaceDN w:val="0"/>
              <w:jc w:val="both"/>
              <w:rPr>
                <w:rFonts w:ascii="Arial" w:eastAsia="MS Mincho" w:hAnsi="Arial" w:cs="Arial"/>
                <w:sz w:val="22"/>
              </w:rPr>
            </w:pPr>
          </w:p>
          <w:p w14:paraId="03B4C8F0" w14:textId="11294B47" w:rsidR="006D5D11" w:rsidRPr="00BC604E" w:rsidRDefault="006D5D11" w:rsidP="006C1EE3">
            <w:pPr>
              <w:autoSpaceDE w:val="0"/>
              <w:autoSpaceDN w:val="0"/>
              <w:jc w:val="both"/>
              <w:rPr>
                <w:rFonts w:ascii="Arial" w:eastAsia="MS Mincho" w:hAnsi="Arial" w:cs="Arial"/>
                <w:sz w:val="22"/>
              </w:rPr>
            </w:pPr>
            <w:r w:rsidRPr="00BC604E">
              <w:rPr>
                <w:rFonts w:ascii="Arial" w:eastAsia="MS Mincho" w:hAnsi="Arial" w:cs="Arial"/>
                <w:sz w:val="22"/>
              </w:rPr>
              <w:t>Шимтгэл төлсөн сүүлийн 5 жилийн хөдөлмөрийн хөлс, түүнтэй адилтгах орлогын дунджаас тэтгэвэр бодож тогтоож байгаа нь сайн дурын даатгуулагч хөдөлмөрийн хөлсний доод хэмжээнээс тэтгэврийн даатгалын шимтгэл төлж байгаад тэтгэвэр тогтоолгохоос 5 жилийн өмнө өндөр шимтгэл төлж, өндөр тэтгэвэр тогтоолгох шударга бус хандлага үүсдэг. Гэтэл олон жил төрийн байгууллагад ажилласан төрийн албан хаагч хөдөлмөрийн хөлс, түүнтэй адилхан орлогоосоо тасралтгүй шимтгэл төлсөн боловч сайн дурын даатгалд даатгуулсан даатгуулагчдаас бага тэтгэвэр тогтоолгох нөхцөл үүсэж байна.</w:t>
            </w:r>
            <w:r>
              <w:rPr>
                <w:rFonts w:ascii="Arial" w:eastAsia="MS Mincho" w:hAnsi="Arial" w:cs="Arial"/>
                <w:sz w:val="22"/>
              </w:rPr>
              <w:t xml:space="preserve"> И</w:t>
            </w:r>
            <w:r w:rsidRPr="00BC604E">
              <w:rPr>
                <w:rFonts w:ascii="Arial" w:eastAsia="MS Mincho" w:hAnsi="Arial" w:cs="Arial"/>
                <w:sz w:val="22"/>
              </w:rPr>
              <w:t>йм</w:t>
            </w:r>
            <w:r>
              <w:rPr>
                <w:rFonts w:ascii="Arial" w:eastAsia="MS Mincho" w:hAnsi="Arial" w:cs="Arial"/>
                <w:sz w:val="22"/>
              </w:rPr>
              <w:t xml:space="preserve">д тэтгэвэр бодох дараалсан хугацааг 5 жил болгохоор хуулийн төсөлд тусгасантай холбоотой сайн дураар даатгуулагчийн шимтгэл төлөх орлогын дээд хэмжээг бууруулж, </w:t>
            </w:r>
            <w:r>
              <w:rPr>
                <w:rFonts w:ascii="Arial" w:eastAsia="MS Mincho" w:hAnsi="Arial" w:cs="Arial"/>
                <w:sz w:val="22"/>
              </w:rPr>
              <w:lastRenderedPageBreak/>
              <w:t xml:space="preserve">хязгаар тогтоох зорилгоор Нийгмийн даатгалын ерөнхий хуулийн төслийн 19.4-т </w:t>
            </w:r>
            <w:r w:rsidRPr="00BC604E">
              <w:rPr>
                <w:rFonts w:ascii="Arial" w:eastAsia="MS Mincho" w:hAnsi="Arial" w:cs="Arial"/>
                <w:sz w:val="22"/>
              </w:rPr>
              <w:t>“Нийгмийн даатгалын шимтгэл төлөх сарын цалин хөлс, түүнтэй адилтгах орлогын дээд хэмжээ нь албан журмаар даатгуулагчийн хувьд тухайн үед мөрдөж байгаа сарын хөдөлмөрийн хөлсний доод хэмжээг 10 дахин, сайн дураар даатгуулагчийн хувьд 7 дахин нэмэгдүүлсэнтэй тус тус тэнцүү байна.” гэж тусга</w:t>
            </w:r>
            <w:r>
              <w:rPr>
                <w:rFonts w:ascii="Arial" w:eastAsia="MS Mincho" w:hAnsi="Arial" w:cs="Arial"/>
                <w:sz w:val="22"/>
              </w:rPr>
              <w:t xml:space="preserve">сан болно. </w:t>
            </w:r>
          </w:p>
        </w:tc>
      </w:tr>
      <w:tr w:rsidR="006D5D11" w:rsidRPr="007247FC" w14:paraId="4E35DA6B" w14:textId="77777777" w:rsidTr="00BB19CC">
        <w:trPr>
          <w:trHeight w:val="521"/>
        </w:trPr>
        <w:tc>
          <w:tcPr>
            <w:tcW w:w="643" w:type="dxa"/>
            <w:vMerge/>
            <w:vAlign w:val="center"/>
          </w:tcPr>
          <w:p w14:paraId="2466CCAD" w14:textId="77777777" w:rsidR="006D5D11" w:rsidRPr="007247FC" w:rsidRDefault="006D5D11" w:rsidP="00183026">
            <w:pPr>
              <w:jc w:val="center"/>
              <w:rPr>
                <w:rFonts w:ascii="Arial" w:hAnsi="Arial" w:cs="Arial"/>
                <w:bCs/>
                <w:sz w:val="22"/>
                <w:szCs w:val="22"/>
                <w:lang w:val="en-US"/>
              </w:rPr>
            </w:pPr>
          </w:p>
        </w:tc>
        <w:tc>
          <w:tcPr>
            <w:tcW w:w="2046" w:type="dxa"/>
            <w:vMerge/>
            <w:vAlign w:val="center"/>
          </w:tcPr>
          <w:p w14:paraId="16C6D760" w14:textId="77777777" w:rsidR="006D5D11" w:rsidRPr="007247FC" w:rsidRDefault="006D5D11" w:rsidP="00183026">
            <w:pPr>
              <w:jc w:val="center"/>
              <w:rPr>
                <w:rFonts w:ascii="Arial" w:hAnsi="Arial" w:cs="Arial"/>
                <w:bCs/>
                <w:sz w:val="22"/>
                <w:szCs w:val="22"/>
              </w:rPr>
            </w:pPr>
          </w:p>
        </w:tc>
        <w:tc>
          <w:tcPr>
            <w:tcW w:w="5136" w:type="dxa"/>
            <w:vAlign w:val="center"/>
          </w:tcPr>
          <w:p w14:paraId="548F74B1" w14:textId="3CC20C6A" w:rsidR="006D5D11" w:rsidRPr="00BB19CC" w:rsidRDefault="006D5D11" w:rsidP="007247FC">
            <w:pPr>
              <w:jc w:val="both"/>
              <w:rPr>
                <w:rFonts w:ascii="Arial" w:hAnsi="Arial" w:cs="Arial"/>
                <w:bCs/>
                <w:sz w:val="22"/>
                <w:szCs w:val="22"/>
                <w:lang w:val="en-US"/>
              </w:rPr>
            </w:pPr>
            <w:r w:rsidRPr="007247FC">
              <w:rPr>
                <w:rFonts w:ascii="Arial" w:hAnsi="Arial" w:cs="Arial"/>
                <w:bCs/>
                <w:sz w:val="22"/>
                <w:szCs w:val="22"/>
              </w:rPr>
              <w:t>ААНОАТ-ын тухай хуульд нэмэлт оруулах тухай хуулийн төсөлд</w:t>
            </w:r>
          </w:p>
          <w:p w14:paraId="2F462E6F" w14:textId="4B615548" w:rsidR="006D5D11" w:rsidRPr="007247FC" w:rsidRDefault="006D5D11" w:rsidP="007247FC">
            <w:pPr>
              <w:jc w:val="both"/>
              <w:rPr>
                <w:rFonts w:ascii="Arial" w:hAnsi="Arial" w:cs="Arial"/>
                <w:bCs/>
                <w:sz w:val="22"/>
                <w:szCs w:val="22"/>
              </w:rPr>
            </w:pPr>
            <w:r w:rsidRPr="007247FC">
              <w:rPr>
                <w:rFonts w:ascii="Arial" w:hAnsi="Arial" w:cs="Arial"/>
                <w:bCs/>
                <w:sz w:val="22"/>
                <w:szCs w:val="22"/>
              </w:rPr>
              <w:t>1.ААНОАТ-ын тухай хуулийн 4</w:t>
            </w:r>
            <w:r>
              <w:rPr>
                <w:rFonts w:ascii="Arial" w:hAnsi="Arial" w:cs="Arial"/>
                <w:bCs/>
                <w:sz w:val="22"/>
                <w:szCs w:val="22"/>
                <w:lang w:val="en-US"/>
              </w:rPr>
              <w:t xml:space="preserve"> </w:t>
            </w:r>
            <w:r w:rsidRPr="007247FC">
              <w:rPr>
                <w:rFonts w:ascii="Arial" w:hAnsi="Arial" w:cs="Arial"/>
                <w:bCs/>
                <w:sz w:val="22"/>
                <w:szCs w:val="22"/>
              </w:rPr>
              <w:t>дүгээр зүйлийн 4</w:t>
            </w:r>
            <w:r>
              <w:rPr>
                <w:rFonts w:ascii="Arial" w:hAnsi="Arial" w:cs="Arial"/>
                <w:bCs/>
                <w:sz w:val="22"/>
                <w:szCs w:val="22"/>
              </w:rPr>
              <w:t>.1.1-</w:t>
            </w:r>
            <w:r w:rsidRPr="007247FC">
              <w:rPr>
                <w:rFonts w:ascii="Arial" w:hAnsi="Arial" w:cs="Arial"/>
                <w:bCs/>
                <w:sz w:val="22"/>
                <w:szCs w:val="22"/>
              </w:rPr>
              <w:t xml:space="preserve">д </w:t>
            </w:r>
            <w:r>
              <w:rPr>
                <w:rFonts w:ascii="Arial" w:hAnsi="Arial" w:cs="Arial"/>
                <w:bCs/>
                <w:sz w:val="22"/>
                <w:szCs w:val="22"/>
              </w:rPr>
              <w:t xml:space="preserve">“аж ахуйн нэгж” </w:t>
            </w:r>
            <w:r w:rsidRPr="007247FC">
              <w:rPr>
                <w:rFonts w:ascii="Arial" w:hAnsi="Arial" w:cs="Arial"/>
                <w:bCs/>
                <w:sz w:val="22"/>
                <w:szCs w:val="22"/>
              </w:rPr>
              <w:t xml:space="preserve">гэж улсын бүртгэлд бүртгэгдэж, аж ахуйн үйл ажиллагаа </w:t>
            </w:r>
            <w:r>
              <w:rPr>
                <w:rFonts w:ascii="Arial" w:hAnsi="Arial" w:cs="Arial"/>
                <w:bCs/>
                <w:sz w:val="22"/>
                <w:szCs w:val="22"/>
              </w:rPr>
              <w:t>э</w:t>
            </w:r>
            <w:r w:rsidRPr="007247FC">
              <w:rPr>
                <w:rFonts w:ascii="Arial" w:hAnsi="Arial" w:cs="Arial"/>
                <w:bCs/>
                <w:sz w:val="22"/>
                <w:szCs w:val="22"/>
              </w:rPr>
              <w:t xml:space="preserve">рхэлж байгаа компани, нөхөрлөл, хоршоо, төрийн болон орон нутгийн өмчит аж ахуйн тооцоотой үйлдвэрийн газар, тэдгээртэй адилтгах орлогын албан татвар төлөх </w:t>
            </w:r>
            <w:r>
              <w:rPr>
                <w:rFonts w:ascii="Arial" w:hAnsi="Arial" w:cs="Arial"/>
                <w:bCs/>
                <w:sz w:val="22"/>
                <w:szCs w:val="22"/>
              </w:rPr>
              <w:t>ү</w:t>
            </w:r>
            <w:r w:rsidRPr="007247FC">
              <w:rPr>
                <w:rFonts w:ascii="Arial" w:hAnsi="Arial" w:cs="Arial"/>
                <w:bCs/>
                <w:sz w:val="22"/>
                <w:szCs w:val="22"/>
              </w:rPr>
              <w:t xml:space="preserve">үрэг бүхий хуулийн этгээд, хуулийн этгээдийн эрхгүй этгээд болон үндсэн үйл ажиллагаа нь ашгийн бус боловч бараа борлуулах ажил гүйцэтгэх үйлчилгээ үзүүлж, орлого олсон </w:t>
            </w:r>
            <w:r>
              <w:rPr>
                <w:rFonts w:ascii="Arial" w:hAnsi="Arial" w:cs="Arial"/>
                <w:bCs/>
                <w:sz w:val="22"/>
                <w:szCs w:val="22"/>
              </w:rPr>
              <w:t>д</w:t>
            </w:r>
            <w:r w:rsidRPr="007247FC">
              <w:rPr>
                <w:rFonts w:ascii="Arial" w:hAnsi="Arial" w:cs="Arial"/>
                <w:bCs/>
                <w:sz w:val="22"/>
                <w:szCs w:val="22"/>
              </w:rPr>
              <w:t>отоод, гадаадын хуулийн этгээдийг ойлгохоор заасан</w:t>
            </w:r>
            <w:r>
              <w:rPr>
                <w:rFonts w:ascii="Arial" w:hAnsi="Arial" w:cs="Arial"/>
                <w:bCs/>
                <w:sz w:val="22"/>
                <w:szCs w:val="22"/>
              </w:rPr>
              <w:t>.</w:t>
            </w:r>
          </w:p>
          <w:p w14:paraId="7FEBC151" w14:textId="0F2C2B77" w:rsidR="006D5D11" w:rsidRPr="007247FC" w:rsidRDefault="006D5D11" w:rsidP="007247FC">
            <w:pPr>
              <w:jc w:val="both"/>
              <w:rPr>
                <w:rFonts w:ascii="Arial" w:hAnsi="Arial" w:cs="Arial"/>
                <w:bCs/>
                <w:sz w:val="22"/>
                <w:szCs w:val="22"/>
              </w:rPr>
            </w:pPr>
            <w:r w:rsidRPr="007247FC">
              <w:rPr>
                <w:rFonts w:ascii="Arial" w:hAnsi="Arial" w:cs="Arial"/>
                <w:bCs/>
                <w:sz w:val="22"/>
                <w:szCs w:val="22"/>
              </w:rPr>
              <w:t>Харин</w:t>
            </w:r>
            <w:r>
              <w:rPr>
                <w:rFonts w:ascii="Arial" w:hAnsi="Arial" w:cs="Arial"/>
                <w:bCs/>
                <w:sz w:val="22"/>
                <w:szCs w:val="22"/>
              </w:rPr>
              <w:t>,</w:t>
            </w:r>
            <w:r w:rsidRPr="007247FC">
              <w:rPr>
                <w:rFonts w:ascii="Arial" w:hAnsi="Arial" w:cs="Arial"/>
                <w:bCs/>
                <w:sz w:val="22"/>
                <w:szCs w:val="22"/>
              </w:rPr>
              <w:t xml:space="preserve"> Монгол Улсын З</w:t>
            </w:r>
            <w:r>
              <w:rPr>
                <w:rFonts w:ascii="Arial" w:hAnsi="Arial" w:cs="Arial"/>
                <w:bCs/>
                <w:sz w:val="22"/>
                <w:szCs w:val="22"/>
              </w:rPr>
              <w:t>асгийн газрын т</w:t>
            </w:r>
            <w:r w:rsidRPr="007247FC">
              <w:rPr>
                <w:rFonts w:ascii="Arial" w:hAnsi="Arial" w:cs="Arial"/>
                <w:bCs/>
                <w:sz w:val="22"/>
                <w:szCs w:val="22"/>
              </w:rPr>
              <w:t>усгай сан боло</w:t>
            </w:r>
            <w:r>
              <w:rPr>
                <w:rFonts w:ascii="Arial" w:hAnsi="Arial" w:cs="Arial"/>
                <w:bCs/>
                <w:sz w:val="22"/>
                <w:szCs w:val="22"/>
              </w:rPr>
              <w:t>х эрүүл мэндийн даатгалын сан  болон н</w:t>
            </w:r>
            <w:r w:rsidRPr="007247FC">
              <w:rPr>
                <w:rFonts w:ascii="Arial" w:hAnsi="Arial" w:cs="Arial"/>
                <w:bCs/>
                <w:sz w:val="22"/>
                <w:szCs w:val="22"/>
              </w:rPr>
              <w:t>ийгмийн даатгалын сан нь ААНОАТ-ын тухай хуулийн 4</w:t>
            </w:r>
            <w:r>
              <w:rPr>
                <w:rFonts w:ascii="Arial" w:hAnsi="Arial" w:cs="Arial"/>
                <w:bCs/>
                <w:sz w:val="22"/>
                <w:szCs w:val="22"/>
              </w:rPr>
              <w:t xml:space="preserve"> </w:t>
            </w:r>
            <w:r w:rsidRPr="007247FC">
              <w:rPr>
                <w:rFonts w:ascii="Arial" w:hAnsi="Arial" w:cs="Arial"/>
                <w:bCs/>
                <w:sz w:val="22"/>
                <w:szCs w:val="22"/>
              </w:rPr>
              <w:t>дүгээр зүйлийн 4</w:t>
            </w:r>
            <w:r>
              <w:rPr>
                <w:rFonts w:ascii="Arial" w:hAnsi="Arial" w:cs="Arial"/>
                <w:bCs/>
                <w:sz w:val="22"/>
                <w:szCs w:val="22"/>
              </w:rPr>
              <w:t>.1.4</w:t>
            </w:r>
            <w:r w:rsidRPr="007247FC">
              <w:rPr>
                <w:rFonts w:ascii="Arial" w:hAnsi="Arial" w:cs="Arial"/>
                <w:bCs/>
                <w:sz w:val="22"/>
                <w:szCs w:val="22"/>
              </w:rPr>
              <w:t>-</w:t>
            </w:r>
            <w:r>
              <w:rPr>
                <w:rFonts w:ascii="Arial" w:hAnsi="Arial" w:cs="Arial"/>
                <w:bCs/>
                <w:sz w:val="22"/>
                <w:szCs w:val="22"/>
              </w:rPr>
              <w:t>т</w:t>
            </w:r>
            <w:r w:rsidRPr="007247FC">
              <w:rPr>
                <w:rFonts w:ascii="Arial" w:hAnsi="Arial" w:cs="Arial"/>
                <w:bCs/>
                <w:sz w:val="22"/>
                <w:szCs w:val="22"/>
              </w:rPr>
              <w:t xml:space="preserve"> заасан </w:t>
            </w:r>
            <w:r>
              <w:rPr>
                <w:rFonts w:ascii="Arial" w:hAnsi="Arial" w:cs="Arial"/>
                <w:bCs/>
                <w:sz w:val="22"/>
                <w:szCs w:val="22"/>
              </w:rPr>
              <w:t>“</w:t>
            </w:r>
            <w:r w:rsidRPr="007247FC">
              <w:rPr>
                <w:rFonts w:ascii="Arial" w:hAnsi="Arial" w:cs="Arial"/>
                <w:bCs/>
                <w:sz w:val="22"/>
                <w:szCs w:val="22"/>
              </w:rPr>
              <w:t xml:space="preserve">аж </w:t>
            </w:r>
            <w:r>
              <w:rPr>
                <w:rFonts w:ascii="Arial" w:hAnsi="Arial" w:cs="Arial"/>
                <w:bCs/>
                <w:sz w:val="22"/>
                <w:szCs w:val="22"/>
              </w:rPr>
              <w:t>а</w:t>
            </w:r>
            <w:r w:rsidRPr="007247FC">
              <w:rPr>
                <w:rFonts w:ascii="Arial" w:hAnsi="Arial" w:cs="Arial"/>
                <w:bCs/>
                <w:sz w:val="22"/>
                <w:szCs w:val="22"/>
              </w:rPr>
              <w:t>хуйн нэгж</w:t>
            </w:r>
            <w:r>
              <w:rPr>
                <w:rFonts w:ascii="Arial" w:hAnsi="Arial" w:cs="Arial"/>
                <w:bCs/>
                <w:sz w:val="22"/>
                <w:szCs w:val="22"/>
              </w:rPr>
              <w:t>”-</w:t>
            </w:r>
            <w:r w:rsidRPr="007247FC">
              <w:rPr>
                <w:rFonts w:ascii="Arial" w:hAnsi="Arial" w:cs="Arial"/>
                <w:bCs/>
                <w:sz w:val="22"/>
                <w:szCs w:val="22"/>
              </w:rPr>
              <w:t xml:space="preserve">д хамаарахгүй бөгөөд улмаар </w:t>
            </w:r>
            <w:r>
              <w:rPr>
                <w:rFonts w:ascii="Arial" w:hAnsi="Arial" w:cs="Arial"/>
                <w:bCs/>
                <w:sz w:val="22"/>
                <w:szCs w:val="22"/>
              </w:rPr>
              <w:t xml:space="preserve">5 дугаар </w:t>
            </w:r>
            <w:r w:rsidRPr="007247FC">
              <w:rPr>
                <w:rFonts w:ascii="Arial" w:hAnsi="Arial" w:cs="Arial"/>
                <w:bCs/>
                <w:sz w:val="22"/>
                <w:szCs w:val="22"/>
              </w:rPr>
              <w:t xml:space="preserve">зүйлийн </w:t>
            </w:r>
            <w:r>
              <w:rPr>
                <w:rFonts w:ascii="Arial" w:hAnsi="Arial" w:cs="Arial"/>
                <w:bCs/>
                <w:sz w:val="22"/>
                <w:szCs w:val="22"/>
              </w:rPr>
              <w:t>5.1-</w:t>
            </w:r>
            <w:r w:rsidRPr="007247FC">
              <w:rPr>
                <w:rFonts w:ascii="Arial" w:hAnsi="Arial" w:cs="Arial"/>
                <w:bCs/>
                <w:sz w:val="22"/>
                <w:szCs w:val="22"/>
              </w:rPr>
              <w:t>д тодорхойлсон албан татвар төлөгч биш тул татвар төлөх үүрэг хүлээхгүй юм.</w:t>
            </w:r>
          </w:p>
          <w:p w14:paraId="65413F23" w14:textId="6F0B4136" w:rsidR="006D5D11" w:rsidRPr="007247FC" w:rsidRDefault="006D5D11" w:rsidP="007247FC">
            <w:pPr>
              <w:jc w:val="both"/>
              <w:rPr>
                <w:rFonts w:ascii="Arial" w:hAnsi="Arial" w:cs="Arial"/>
                <w:bCs/>
                <w:sz w:val="22"/>
                <w:szCs w:val="22"/>
              </w:rPr>
            </w:pPr>
            <w:r w:rsidRPr="007247FC">
              <w:rPr>
                <w:rFonts w:ascii="Arial" w:hAnsi="Arial" w:cs="Arial"/>
                <w:bCs/>
                <w:sz w:val="22"/>
                <w:szCs w:val="22"/>
              </w:rPr>
              <w:t>ААНОАТ-ын тухай хуулийн 21</w:t>
            </w:r>
            <w:r>
              <w:rPr>
                <w:rFonts w:ascii="Arial" w:hAnsi="Arial" w:cs="Arial"/>
                <w:bCs/>
                <w:sz w:val="22"/>
                <w:szCs w:val="22"/>
                <w:lang w:val="en-US"/>
              </w:rPr>
              <w:t xml:space="preserve"> </w:t>
            </w:r>
            <w:r w:rsidRPr="007247FC">
              <w:rPr>
                <w:rFonts w:ascii="Arial" w:hAnsi="Arial" w:cs="Arial"/>
                <w:bCs/>
                <w:sz w:val="22"/>
                <w:szCs w:val="22"/>
              </w:rPr>
              <w:t>дүгээр зүйлд Нийгмийн даатгалын сангийн орлогыг албан татвараас чөлөөлөх шаардлагагүй тул хуулийн төслийг хасах.</w:t>
            </w:r>
          </w:p>
        </w:tc>
        <w:tc>
          <w:tcPr>
            <w:tcW w:w="5670" w:type="dxa"/>
            <w:vAlign w:val="center"/>
          </w:tcPr>
          <w:p w14:paraId="0FFDCD42" w14:textId="22708B2E" w:rsidR="006D5D11" w:rsidRPr="00BB19CC" w:rsidRDefault="006D5D11" w:rsidP="000C1BA0">
            <w:pPr>
              <w:jc w:val="both"/>
              <w:rPr>
                <w:rFonts w:ascii="Arial" w:hAnsi="Arial" w:cs="Arial"/>
                <w:bCs/>
                <w:sz w:val="22"/>
                <w:szCs w:val="22"/>
                <w:lang w:val="en-US"/>
              </w:rPr>
            </w:pPr>
            <w:r>
              <w:rPr>
                <w:rFonts w:ascii="Arial" w:hAnsi="Arial" w:cs="Arial"/>
                <w:bCs/>
                <w:sz w:val="22"/>
                <w:szCs w:val="22"/>
              </w:rPr>
              <w:t xml:space="preserve">Саналыг тусгаж, Аж ахуйн нэгжийн орлогын албан татварын тухай хуульд нэмэлт оруулах тухай хуулийн төслийг хасав. </w:t>
            </w:r>
          </w:p>
          <w:p w14:paraId="13200393" w14:textId="5F23F213" w:rsidR="006D5D11" w:rsidRPr="007247FC" w:rsidRDefault="006D5D11" w:rsidP="00183026">
            <w:pPr>
              <w:jc w:val="center"/>
              <w:rPr>
                <w:rFonts w:ascii="Arial" w:hAnsi="Arial" w:cs="Arial"/>
                <w:bCs/>
                <w:sz w:val="22"/>
                <w:szCs w:val="22"/>
              </w:rPr>
            </w:pPr>
          </w:p>
        </w:tc>
      </w:tr>
      <w:tr w:rsidR="00113A75" w:rsidRPr="007247FC" w14:paraId="770285F2" w14:textId="77777777" w:rsidTr="00183026">
        <w:trPr>
          <w:trHeight w:val="926"/>
        </w:trPr>
        <w:tc>
          <w:tcPr>
            <w:tcW w:w="643" w:type="dxa"/>
            <w:vAlign w:val="center"/>
          </w:tcPr>
          <w:p w14:paraId="12797D02" w14:textId="43EA9AEE" w:rsidR="00113A75" w:rsidRPr="007247FC" w:rsidRDefault="007247FC" w:rsidP="00183026">
            <w:pPr>
              <w:jc w:val="center"/>
              <w:rPr>
                <w:rFonts w:ascii="Arial" w:hAnsi="Arial" w:cs="Arial"/>
                <w:bCs/>
                <w:sz w:val="22"/>
                <w:szCs w:val="22"/>
                <w:lang w:val="en-US"/>
              </w:rPr>
            </w:pPr>
            <w:r w:rsidRPr="007247FC">
              <w:rPr>
                <w:rFonts w:ascii="Arial" w:hAnsi="Arial" w:cs="Arial"/>
                <w:bCs/>
                <w:sz w:val="22"/>
                <w:szCs w:val="22"/>
                <w:lang w:val="en-US"/>
              </w:rPr>
              <w:t>2</w:t>
            </w:r>
          </w:p>
        </w:tc>
        <w:tc>
          <w:tcPr>
            <w:tcW w:w="2046" w:type="dxa"/>
            <w:vAlign w:val="center"/>
          </w:tcPr>
          <w:p w14:paraId="038D28EA" w14:textId="77777777" w:rsidR="00113A75" w:rsidRPr="007247FC" w:rsidRDefault="00113A75" w:rsidP="00113A75">
            <w:pPr>
              <w:jc w:val="center"/>
              <w:rPr>
                <w:rFonts w:ascii="Arial" w:hAnsi="Arial" w:cs="Arial"/>
                <w:bCs/>
                <w:sz w:val="22"/>
                <w:szCs w:val="22"/>
              </w:rPr>
            </w:pPr>
            <w:r w:rsidRPr="007247FC">
              <w:rPr>
                <w:rFonts w:ascii="Arial" w:hAnsi="Arial" w:cs="Arial"/>
                <w:bCs/>
                <w:sz w:val="22"/>
                <w:szCs w:val="22"/>
              </w:rPr>
              <w:t>Эдийн засаг, хөгжлийн яам</w:t>
            </w:r>
          </w:p>
          <w:p w14:paraId="59675C24" w14:textId="77777777" w:rsidR="00113A75" w:rsidRPr="007247FC" w:rsidRDefault="00113A75" w:rsidP="00113A75">
            <w:pPr>
              <w:jc w:val="center"/>
              <w:rPr>
                <w:rFonts w:ascii="Arial" w:hAnsi="Arial" w:cs="Arial"/>
                <w:bCs/>
                <w:sz w:val="22"/>
                <w:szCs w:val="22"/>
              </w:rPr>
            </w:pPr>
            <w:r w:rsidRPr="007247FC">
              <w:rPr>
                <w:rFonts w:ascii="Arial" w:hAnsi="Arial" w:cs="Arial"/>
                <w:sz w:val="22"/>
                <w:szCs w:val="22"/>
              </w:rPr>
              <w:t>(2022.</w:t>
            </w:r>
            <w:r w:rsidRPr="007247FC">
              <w:rPr>
                <w:rFonts w:ascii="Arial" w:hAnsi="Arial" w:cs="Arial"/>
                <w:sz w:val="22"/>
                <w:szCs w:val="22"/>
                <w:lang w:val="en-US"/>
              </w:rPr>
              <w:t>12</w:t>
            </w:r>
            <w:r w:rsidRPr="007247FC">
              <w:rPr>
                <w:rFonts w:ascii="Arial" w:hAnsi="Arial" w:cs="Arial"/>
                <w:sz w:val="22"/>
                <w:szCs w:val="22"/>
              </w:rPr>
              <w:t>.</w:t>
            </w:r>
            <w:r w:rsidRPr="007247FC">
              <w:rPr>
                <w:rFonts w:ascii="Arial" w:hAnsi="Arial" w:cs="Arial"/>
                <w:sz w:val="22"/>
                <w:szCs w:val="22"/>
                <w:lang w:val="en-US"/>
              </w:rPr>
              <w:t xml:space="preserve">26 </w:t>
            </w:r>
            <w:r w:rsidRPr="007247FC">
              <w:rPr>
                <w:rFonts w:ascii="Arial" w:hAnsi="Arial" w:cs="Arial"/>
                <w:sz w:val="22"/>
                <w:szCs w:val="22"/>
              </w:rPr>
              <w:t>№</w:t>
            </w:r>
            <w:r w:rsidRPr="007247FC">
              <w:rPr>
                <w:rFonts w:ascii="Arial" w:hAnsi="Arial" w:cs="Arial"/>
                <w:sz w:val="22"/>
                <w:szCs w:val="22"/>
                <w:lang w:val="en-US"/>
              </w:rPr>
              <w:t>01/1657</w:t>
            </w:r>
            <w:r w:rsidRPr="007247FC">
              <w:rPr>
                <w:rFonts w:ascii="Arial" w:hAnsi="Arial" w:cs="Arial"/>
                <w:sz w:val="22"/>
                <w:szCs w:val="22"/>
              </w:rPr>
              <w:t>)</w:t>
            </w:r>
          </w:p>
          <w:p w14:paraId="59BD61EF" w14:textId="77777777" w:rsidR="00113A75" w:rsidRPr="007247FC" w:rsidRDefault="00113A75" w:rsidP="00183026">
            <w:pPr>
              <w:jc w:val="center"/>
              <w:rPr>
                <w:rFonts w:ascii="Arial" w:hAnsi="Arial" w:cs="Arial"/>
                <w:bCs/>
                <w:sz w:val="22"/>
                <w:szCs w:val="22"/>
              </w:rPr>
            </w:pPr>
          </w:p>
        </w:tc>
        <w:tc>
          <w:tcPr>
            <w:tcW w:w="5136" w:type="dxa"/>
            <w:vAlign w:val="center"/>
          </w:tcPr>
          <w:p w14:paraId="5162EE1B" w14:textId="19B83041" w:rsidR="00113A75" w:rsidRPr="007247FC" w:rsidRDefault="00CB63A3" w:rsidP="00CB63A3">
            <w:pPr>
              <w:jc w:val="both"/>
              <w:rPr>
                <w:rFonts w:ascii="Arial" w:hAnsi="Arial" w:cs="Arial"/>
                <w:bCs/>
                <w:sz w:val="22"/>
                <w:szCs w:val="22"/>
              </w:rPr>
            </w:pPr>
            <w:r w:rsidRPr="007247FC">
              <w:rPr>
                <w:rFonts w:ascii="Arial" w:hAnsi="Arial" w:cs="Arial"/>
                <w:sz w:val="22"/>
                <w:szCs w:val="22"/>
              </w:rPr>
              <w:t xml:space="preserve">Нийгмийн даатгалын санд даатгуулагчдын шударга байдлыг хангах үүднээс санд оруулсан өнөөгийн үнэ цэнээр илэрхийлэгдсэн нийт хувь нэмрээс хамааруулан тэтгэврийг шударга тогтоох тогтолцоог нэвтрүүлэх шаардлагатай бөгөөд үүнтэй холбогдуулан тэтгэвэр авагчдын </w:t>
            </w:r>
            <w:r w:rsidRPr="007247FC">
              <w:rPr>
                <w:rFonts w:ascii="Arial" w:hAnsi="Arial" w:cs="Arial"/>
                <w:sz w:val="22"/>
                <w:szCs w:val="22"/>
              </w:rPr>
              <w:lastRenderedPageBreak/>
              <w:t>цалинд суурилсан өнөөгийн хуваарилалтын аргаар тогтоогдсон тэтгэврийн хэмжээ болон санд оруулсан хувь нэмэртэй уялдуулан шударгаар тооцсон тэтгэврийн хэмжээ хоорондын зөрүүг тодорхой хугацаанд үе шаттай</w:t>
            </w:r>
            <w:r w:rsidR="00041CC5" w:rsidRPr="007247FC">
              <w:rPr>
                <w:rFonts w:ascii="Arial" w:hAnsi="Arial" w:cs="Arial"/>
                <w:sz w:val="22"/>
                <w:szCs w:val="22"/>
              </w:rPr>
              <w:t>гаар арилгах зохицуулалтыг хуул</w:t>
            </w:r>
            <w:r w:rsidRPr="007247FC">
              <w:rPr>
                <w:rFonts w:ascii="Arial" w:hAnsi="Arial" w:cs="Arial"/>
                <w:sz w:val="22"/>
                <w:szCs w:val="22"/>
              </w:rPr>
              <w:t xml:space="preserve">ийн төсөлд тусгах  </w:t>
            </w:r>
          </w:p>
        </w:tc>
        <w:tc>
          <w:tcPr>
            <w:tcW w:w="5670" w:type="dxa"/>
            <w:vAlign w:val="center"/>
          </w:tcPr>
          <w:p w14:paraId="5B556B4E" w14:textId="49F0AF80" w:rsidR="00113A75" w:rsidRPr="007247FC" w:rsidRDefault="00831E18" w:rsidP="00831E18">
            <w:pPr>
              <w:jc w:val="both"/>
              <w:rPr>
                <w:rFonts w:ascii="Arial" w:hAnsi="Arial" w:cs="Arial"/>
                <w:sz w:val="22"/>
                <w:szCs w:val="22"/>
              </w:rPr>
            </w:pPr>
            <w:r w:rsidRPr="007247FC">
              <w:rPr>
                <w:rFonts w:ascii="Arial" w:hAnsi="Arial" w:cs="Arial"/>
                <w:sz w:val="22"/>
                <w:szCs w:val="22"/>
              </w:rPr>
              <w:lastRenderedPageBreak/>
              <w:t xml:space="preserve">Хуулийн төсөлд өндөр насны тэтгэврийг бодохдоо даатгуулагч 1960 оны 1 дүгээр сарын 1-ний өдрөөс өмнө төрсөн бол цалинд үндэслэсэн аргыг, 1979 оны 1 дүгээр сарын 1-ний өдөр ба түүнээс хойш төрсөн бол нэрийн дансны аргыг,  1960-1979 онд төрсөн бол дээрх 2  аргаас өөртөө таатайг сонгон хэрэглэхээр </w:t>
            </w:r>
            <w:r w:rsidRPr="007247FC">
              <w:rPr>
                <w:rFonts w:ascii="Arial" w:hAnsi="Arial" w:cs="Arial"/>
                <w:sz w:val="22"/>
                <w:szCs w:val="22"/>
              </w:rPr>
              <w:lastRenderedPageBreak/>
              <w:t xml:space="preserve">тусгасан. </w:t>
            </w:r>
            <w:r w:rsidR="00041CC5" w:rsidRPr="007247FC">
              <w:rPr>
                <w:rFonts w:ascii="Arial" w:hAnsi="Arial" w:cs="Arial"/>
                <w:bCs/>
                <w:sz w:val="22"/>
                <w:szCs w:val="22"/>
              </w:rPr>
              <w:t xml:space="preserve"> </w:t>
            </w:r>
          </w:p>
        </w:tc>
      </w:tr>
      <w:tr w:rsidR="00113A75" w:rsidRPr="007247FC" w14:paraId="1D07F326" w14:textId="77777777" w:rsidTr="00183026">
        <w:trPr>
          <w:trHeight w:val="926"/>
        </w:trPr>
        <w:tc>
          <w:tcPr>
            <w:tcW w:w="643" w:type="dxa"/>
            <w:vMerge w:val="restart"/>
            <w:vAlign w:val="center"/>
          </w:tcPr>
          <w:p w14:paraId="15417B3B" w14:textId="11439B13" w:rsidR="00113A75" w:rsidRPr="007247FC" w:rsidRDefault="007247FC" w:rsidP="00113A75">
            <w:pPr>
              <w:jc w:val="center"/>
              <w:rPr>
                <w:rFonts w:ascii="Arial" w:hAnsi="Arial" w:cs="Arial"/>
                <w:bCs/>
                <w:sz w:val="22"/>
                <w:szCs w:val="22"/>
                <w:lang w:val="en-US"/>
              </w:rPr>
            </w:pPr>
            <w:r w:rsidRPr="007247FC">
              <w:rPr>
                <w:rFonts w:ascii="Arial" w:hAnsi="Arial" w:cs="Arial"/>
                <w:bCs/>
                <w:sz w:val="22"/>
                <w:szCs w:val="22"/>
                <w:lang w:val="en-US"/>
              </w:rPr>
              <w:lastRenderedPageBreak/>
              <w:t>3</w:t>
            </w:r>
          </w:p>
        </w:tc>
        <w:tc>
          <w:tcPr>
            <w:tcW w:w="2046" w:type="dxa"/>
            <w:vMerge w:val="restart"/>
            <w:vAlign w:val="center"/>
          </w:tcPr>
          <w:p w14:paraId="6D46C7B0" w14:textId="1022A8A1" w:rsidR="00113A75" w:rsidRPr="007247FC" w:rsidRDefault="00113A75" w:rsidP="00113A75">
            <w:pPr>
              <w:jc w:val="center"/>
              <w:rPr>
                <w:rFonts w:ascii="Arial" w:hAnsi="Arial" w:cs="Arial"/>
                <w:bCs/>
                <w:sz w:val="22"/>
                <w:szCs w:val="22"/>
              </w:rPr>
            </w:pPr>
            <w:r w:rsidRPr="007247FC">
              <w:rPr>
                <w:rFonts w:ascii="Arial" w:hAnsi="Arial" w:cs="Arial"/>
                <w:bCs/>
                <w:sz w:val="22"/>
                <w:szCs w:val="22"/>
              </w:rPr>
              <w:t>Эрүүл мэндийн яам</w:t>
            </w:r>
          </w:p>
          <w:p w14:paraId="4F679962" w14:textId="097227DF" w:rsidR="00113A75" w:rsidRPr="007247FC" w:rsidRDefault="00113A75" w:rsidP="00113A75">
            <w:pPr>
              <w:jc w:val="center"/>
              <w:rPr>
                <w:rFonts w:ascii="Arial" w:hAnsi="Arial" w:cs="Arial"/>
                <w:bCs/>
                <w:sz w:val="22"/>
                <w:szCs w:val="22"/>
              </w:rPr>
            </w:pPr>
            <w:r w:rsidRPr="007247FC">
              <w:rPr>
                <w:rFonts w:ascii="Arial" w:hAnsi="Arial" w:cs="Arial"/>
                <w:sz w:val="22"/>
                <w:szCs w:val="22"/>
              </w:rPr>
              <w:t>(2022.</w:t>
            </w:r>
            <w:r w:rsidRPr="007247FC">
              <w:rPr>
                <w:rFonts w:ascii="Arial" w:hAnsi="Arial" w:cs="Arial"/>
                <w:sz w:val="22"/>
                <w:szCs w:val="22"/>
                <w:lang w:val="en-US"/>
              </w:rPr>
              <w:t>12</w:t>
            </w:r>
            <w:r w:rsidRPr="007247FC">
              <w:rPr>
                <w:rFonts w:ascii="Arial" w:hAnsi="Arial" w:cs="Arial"/>
                <w:sz w:val="22"/>
                <w:szCs w:val="22"/>
              </w:rPr>
              <w:t>.</w:t>
            </w:r>
            <w:r w:rsidRPr="007247FC">
              <w:rPr>
                <w:rFonts w:ascii="Arial" w:hAnsi="Arial" w:cs="Arial"/>
                <w:sz w:val="22"/>
                <w:szCs w:val="22"/>
                <w:lang w:val="en-US"/>
              </w:rPr>
              <w:t xml:space="preserve">26 </w:t>
            </w:r>
            <w:r w:rsidRPr="007247FC">
              <w:rPr>
                <w:rFonts w:ascii="Arial" w:hAnsi="Arial" w:cs="Arial"/>
                <w:sz w:val="22"/>
                <w:szCs w:val="22"/>
              </w:rPr>
              <w:t>№</w:t>
            </w:r>
            <w:r w:rsidRPr="007247FC">
              <w:rPr>
                <w:rFonts w:ascii="Arial" w:hAnsi="Arial" w:cs="Arial"/>
                <w:sz w:val="22"/>
                <w:szCs w:val="22"/>
                <w:lang w:val="en-US"/>
              </w:rPr>
              <w:t>01/</w:t>
            </w:r>
            <w:r w:rsidRPr="007247FC">
              <w:rPr>
                <w:rFonts w:ascii="Arial" w:hAnsi="Arial" w:cs="Arial"/>
                <w:sz w:val="22"/>
                <w:szCs w:val="22"/>
              </w:rPr>
              <w:t>5830)</w:t>
            </w:r>
          </w:p>
          <w:p w14:paraId="0C2150C4" w14:textId="77777777" w:rsidR="00113A75" w:rsidRPr="007247FC" w:rsidRDefault="00113A75" w:rsidP="00113A75">
            <w:pPr>
              <w:jc w:val="center"/>
              <w:rPr>
                <w:rFonts w:ascii="Arial" w:hAnsi="Arial" w:cs="Arial"/>
                <w:bCs/>
                <w:sz w:val="22"/>
                <w:szCs w:val="22"/>
              </w:rPr>
            </w:pPr>
          </w:p>
        </w:tc>
        <w:tc>
          <w:tcPr>
            <w:tcW w:w="5136" w:type="dxa"/>
            <w:vAlign w:val="center"/>
          </w:tcPr>
          <w:p w14:paraId="752429DE" w14:textId="5115DDFC" w:rsidR="00113A75" w:rsidRPr="007247FC" w:rsidRDefault="00113A75" w:rsidP="00113A75">
            <w:pPr>
              <w:jc w:val="both"/>
              <w:rPr>
                <w:rFonts w:ascii="Arial" w:hAnsi="Arial" w:cs="Arial"/>
                <w:bCs/>
                <w:sz w:val="22"/>
                <w:szCs w:val="22"/>
              </w:rPr>
            </w:pPr>
            <w:r w:rsidRPr="007247FC">
              <w:rPr>
                <w:rFonts w:ascii="Arial" w:hAnsi="Arial" w:cs="Arial"/>
                <w:sz w:val="22"/>
                <w:szCs w:val="22"/>
              </w:rPr>
              <w:t xml:space="preserve">Хуулийн төслийн 9 дүгээр зүйлийн 9.1 дэх хэсэгт өндөр насны тэтгэвэр авагч нас барсан тохиолдолд түүний нөхөр эсхүл эхнэрийн өндөр насны тэтгэврийг нэмэгдүүлэхээр заажээ. Гэвч өндөр насны тэтгэвэр авагч нас барсан ч нөхөр эсхүл эхнэр нь өндөр насны тэтгэвэр авах хугацаа нь болоогүй эсхүл огт авах боломжгүй зэрэг тохиолдолд хэрхэн, хэзээнээс нас барагчийн өндөр насны тэтгэврийн хуульд заасан хувийг авах нь тодорхойгүй байгаа тул тус заалтыг өргөжүүлж, тодорхой болгох; </w:t>
            </w:r>
          </w:p>
        </w:tc>
        <w:tc>
          <w:tcPr>
            <w:tcW w:w="5670" w:type="dxa"/>
            <w:vAlign w:val="center"/>
          </w:tcPr>
          <w:p w14:paraId="07673279" w14:textId="0977B58C" w:rsidR="00113A75" w:rsidRPr="007247FC" w:rsidRDefault="00041CC5" w:rsidP="00A953FF">
            <w:pPr>
              <w:jc w:val="both"/>
              <w:rPr>
                <w:rFonts w:ascii="Arial" w:hAnsi="Arial" w:cs="Arial"/>
                <w:bCs/>
                <w:sz w:val="22"/>
                <w:szCs w:val="22"/>
              </w:rPr>
            </w:pPr>
            <w:r w:rsidRPr="007247FC">
              <w:rPr>
                <w:rFonts w:ascii="Arial" w:hAnsi="Arial" w:cs="Arial"/>
                <w:bCs/>
                <w:sz w:val="22"/>
                <w:szCs w:val="22"/>
              </w:rPr>
              <w:t xml:space="preserve">Хуулийн төсөлд </w:t>
            </w:r>
            <w:r w:rsidRPr="007247FC">
              <w:rPr>
                <w:rFonts w:ascii="Arial" w:hAnsi="Arial" w:cs="Arial"/>
                <w:sz w:val="22"/>
                <w:szCs w:val="22"/>
              </w:rPr>
              <w:t xml:space="preserve">өндөр насны тэтгэвэр авагч нас барсан тохиолдолд түүний нөхөр эсхүл эхнэрийн өндөр насны тэтгэврийг нэмэгдүүлэхээр заасан. </w:t>
            </w:r>
            <w:r w:rsidR="006A1F7E" w:rsidRPr="007247FC">
              <w:rPr>
                <w:rFonts w:ascii="Arial" w:hAnsi="Arial" w:cs="Arial"/>
                <w:sz w:val="22"/>
                <w:szCs w:val="22"/>
              </w:rPr>
              <w:t xml:space="preserve">Иймд энэхүү хуулийн үйлчлэлд хамрагдах хугацааны хязгаарлалт хуулиар тогтоогоогүй тул </w:t>
            </w:r>
            <w:r w:rsidR="00541298" w:rsidRPr="007247FC">
              <w:rPr>
                <w:rFonts w:ascii="Arial" w:hAnsi="Arial" w:cs="Arial"/>
                <w:sz w:val="22"/>
                <w:szCs w:val="22"/>
              </w:rPr>
              <w:t xml:space="preserve">нас барсан </w:t>
            </w:r>
            <w:r w:rsidRPr="007247FC">
              <w:rPr>
                <w:rFonts w:ascii="Arial" w:hAnsi="Arial" w:cs="Arial"/>
                <w:sz w:val="22"/>
                <w:szCs w:val="22"/>
              </w:rPr>
              <w:t>тэтгэвэр авагчийн эхнэр, нөхөр тэтгэвэр тогтоолгох насанд хүр</w:t>
            </w:r>
            <w:r w:rsidR="00541298" w:rsidRPr="007247FC">
              <w:rPr>
                <w:rFonts w:ascii="Arial" w:hAnsi="Arial" w:cs="Arial"/>
                <w:sz w:val="22"/>
                <w:szCs w:val="22"/>
              </w:rPr>
              <w:t xml:space="preserve">ч хуулийн 9 дүгээр зүйлд заасан шаардлагыг хангасан үед тэтгэврээ нэмэгдүүлэх эрхтэй байхаар </w:t>
            </w:r>
            <w:r w:rsidRPr="007247FC">
              <w:rPr>
                <w:rFonts w:ascii="Arial" w:hAnsi="Arial" w:cs="Arial"/>
                <w:sz w:val="22"/>
                <w:szCs w:val="22"/>
              </w:rPr>
              <w:t>хуулийн төсөлд тусгасан болно.</w:t>
            </w:r>
            <w:r w:rsidR="006A1F7E" w:rsidRPr="007247FC">
              <w:rPr>
                <w:rFonts w:ascii="Arial" w:hAnsi="Arial" w:cs="Arial"/>
                <w:sz w:val="22"/>
                <w:szCs w:val="22"/>
              </w:rPr>
              <w:t xml:space="preserve"> </w:t>
            </w:r>
          </w:p>
        </w:tc>
      </w:tr>
      <w:tr w:rsidR="00113A75" w:rsidRPr="007247FC" w14:paraId="21862A58" w14:textId="77777777" w:rsidTr="00041CC5">
        <w:trPr>
          <w:trHeight w:val="260"/>
        </w:trPr>
        <w:tc>
          <w:tcPr>
            <w:tcW w:w="643" w:type="dxa"/>
            <w:vMerge/>
            <w:vAlign w:val="center"/>
          </w:tcPr>
          <w:p w14:paraId="25E0CC5A" w14:textId="77777777" w:rsidR="00113A75" w:rsidRPr="007247FC" w:rsidRDefault="00113A75" w:rsidP="00113A75">
            <w:pPr>
              <w:jc w:val="center"/>
              <w:rPr>
                <w:rFonts w:ascii="Arial" w:hAnsi="Arial" w:cs="Arial"/>
                <w:bCs/>
                <w:sz w:val="22"/>
                <w:szCs w:val="22"/>
              </w:rPr>
            </w:pPr>
          </w:p>
        </w:tc>
        <w:tc>
          <w:tcPr>
            <w:tcW w:w="2046" w:type="dxa"/>
            <w:vMerge/>
            <w:vAlign w:val="center"/>
          </w:tcPr>
          <w:p w14:paraId="3C0C5E9B" w14:textId="77777777" w:rsidR="00113A75" w:rsidRPr="007247FC" w:rsidRDefault="00113A75" w:rsidP="00113A75">
            <w:pPr>
              <w:jc w:val="center"/>
              <w:rPr>
                <w:rFonts w:ascii="Arial" w:hAnsi="Arial" w:cs="Arial"/>
                <w:bCs/>
                <w:sz w:val="22"/>
                <w:szCs w:val="22"/>
              </w:rPr>
            </w:pPr>
          </w:p>
        </w:tc>
        <w:tc>
          <w:tcPr>
            <w:tcW w:w="5136" w:type="dxa"/>
            <w:vAlign w:val="center"/>
          </w:tcPr>
          <w:p w14:paraId="419625D8" w14:textId="46F2FCAC" w:rsidR="00113A75" w:rsidRPr="007247FC" w:rsidRDefault="00113A75" w:rsidP="00113A75">
            <w:pPr>
              <w:jc w:val="both"/>
              <w:rPr>
                <w:rFonts w:ascii="Arial" w:hAnsi="Arial" w:cs="Arial"/>
                <w:sz w:val="22"/>
                <w:szCs w:val="22"/>
              </w:rPr>
            </w:pPr>
            <w:r w:rsidRPr="007247FC">
              <w:rPr>
                <w:rFonts w:ascii="Arial" w:hAnsi="Arial" w:cs="Arial"/>
                <w:sz w:val="22"/>
                <w:szCs w:val="22"/>
              </w:rPr>
              <w:t xml:space="preserve">Хуулийн төслийн 9 дүгээр зүйлийн 9.2 дахь хэсэгт 20 хувь байхаар заажээ. Үүнийг шууд хатуу тодорхой хувь заахгүйгээр </w:t>
            </w:r>
            <w:r w:rsidR="00041CC5" w:rsidRPr="007247FC">
              <w:rPr>
                <w:rFonts w:ascii="Arial" w:hAnsi="Arial" w:cs="Arial"/>
                <w:sz w:val="22"/>
                <w:szCs w:val="22"/>
              </w:rPr>
              <w:t>инфляцын</w:t>
            </w:r>
            <w:r w:rsidRPr="007247FC">
              <w:rPr>
                <w:rFonts w:ascii="Arial" w:hAnsi="Arial" w:cs="Arial"/>
                <w:sz w:val="22"/>
                <w:szCs w:val="22"/>
              </w:rPr>
              <w:t xml:space="preserve"> түвшинтэй уялдуулж тогтоодог байх зэрэг саналтай байна. </w:t>
            </w:r>
          </w:p>
        </w:tc>
        <w:tc>
          <w:tcPr>
            <w:tcW w:w="5670" w:type="dxa"/>
            <w:vAlign w:val="center"/>
          </w:tcPr>
          <w:p w14:paraId="38369886" w14:textId="6C91048B" w:rsidR="00113A75" w:rsidRPr="007247FC" w:rsidRDefault="00041CC5" w:rsidP="008D16CD">
            <w:pPr>
              <w:jc w:val="both"/>
              <w:rPr>
                <w:rFonts w:ascii="Arial" w:hAnsi="Arial" w:cs="Arial"/>
                <w:bCs/>
                <w:sz w:val="22"/>
                <w:szCs w:val="22"/>
              </w:rPr>
            </w:pPr>
            <w:r w:rsidRPr="007247FC">
              <w:rPr>
                <w:rFonts w:ascii="Arial" w:hAnsi="Arial" w:cs="Arial"/>
                <w:bCs/>
                <w:sz w:val="22"/>
                <w:szCs w:val="22"/>
              </w:rPr>
              <w:t xml:space="preserve">Төлсөн шимтгэл, ажилласан жилд нь үндэслэн тооцсон тэтгэврийн хэмжээнээс 20 хувь тооцон нэмэгдэл олгож байхаар тусгасан. Харин ямар нэг хэмжээ хуулиар тогтоохгүй бол нэмэгдлийн хэмжээ төлсөн шимтгэл, ажилласан жилтэй уялдахгүй байх, тэтгэврийн зөрүү ойртох сөрөг нөхцөл үүсэх юм. </w:t>
            </w:r>
          </w:p>
        </w:tc>
      </w:tr>
      <w:tr w:rsidR="00A605D5" w:rsidRPr="007247FC" w14:paraId="2227C341" w14:textId="77777777" w:rsidTr="00E16E6F">
        <w:trPr>
          <w:trHeight w:val="926"/>
        </w:trPr>
        <w:tc>
          <w:tcPr>
            <w:tcW w:w="643" w:type="dxa"/>
            <w:vAlign w:val="center"/>
          </w:tcPr>
          <w:p w14:paraId="0882993A" w14:textId="59F62D75" w:rsidR="00A605D5" w:rsidRPr="007247FC" w:rsidRDefault="007247FC" w:rsidP="00097BFA">
            <w:pPr>
              <w:jc w:val="center"/>
              <w:rPr>
                <w:rFonts w:ascii="Arial" w:hAnsi="Arial" w:cs="Arial"/>
                <w:bCs/>
                <w:sz w:val="22"/>
                <w:szCs w:val="22"/>
                <w:lang w:val="en-US"/>
              </w:rPr>
            </w:pPr>
            <w:r w:rsidRPr="007247FC">
              <w:rPr>
                <w:rFonts w:ascii="Arial" w:hAnsi="Arial" w:cs="Arial"/>
                <w:bCs/>
                <w:sz w:val="22"/>
                <w:szCs w:val="22"/>
                <w:lang w:val="en-US"/>
              </w:rPr>
              <w:t>4</w:t>
            </w:r>
          </w:p>
        </w:tc>
        <w:tc>
          <w:tcPr>
            <w:tcW w:w="2046" w:type="dxa"/>
            <w:vAlign w:val="center"/>
          </w:tcPr>
          <w:p w14:paraId="6AB5D6CE" w14:textId="77777777" w:rsidR="00A605D5" w:rsidRPr="007247FC" w:rsidRDefault="00A605D5" w:rsidP="00DC5625">
            <w:pPr>
              <w:jc w:val="center"/>
              <w:rPr>
                <w:rFonts w:ascii="Arial" w:hAnsi="Arial" w:cs="Arial"/>
                <w:sz w:val="22"/>
                <w:szCs w:val="22"/>
              </w:rPr>
            </w:pPr>
            <w:r w:rsidRPr="007247FC">
              <w:rPr>
                <w:rFonts w:ascii="Arial" w:hAnsi="Arial" w:cs="Arial"/>
                <w:sz w:val="22"/>
                <w:szCs w:val="22"/>
              </w:rPr>
              <w:t>Барилга, хот байгуулалтын яам</w:t>
            </w:r>
          </w:p>
          <w:p w14:paraId="153CFE46" w14:textId="5CFE9445" w:rsidR="00A605D5" w:rsidRPr="007247FC" w:rsidRDefault="00A605D5" w:rsidP="00DC5625">
            <w:pPr>
              <w:jc w:val="center"/>
              <w:rPr>
                <w:rFonts w:ascii="Arial" w:hAnsi="Arial" w:cs="Arial"/>
                <w:bCs/>
                <w:sz w:val="22"/>
                <w:szCs w:val="22"/>
              </w:rPr>
            </w:pPr>
            <w:r w:rsidRPr="007247FC">
              <w:rPr>
                <w:rFonts w:ascii="Arial" w:hAnsi="Arial" w:cs="Arial"/>
                <w:sz w:val="22"/>
                <w:szCs w:val="22"/>
              </w:rPr>
              <w:t>(2022.12.23 №</w:t>
            </w:r>
            <w:r w:rsidRPr="007247FC">
              <w:rPr>
                <w:rFonts w:ascii="Arial" w:hAnsi="Arial" w:cs="Arial"/>
                <w:sz w:val="22"/>
                <w:szCs w:val="22"/>
                <w:lang w:val="en-US"/>
              </w:rPr>
              <w:t>1/</w:t>
            </w:r>
            <w:r w:rsidRPr="007247FC">
              <w:rPr>
                <w:rFonts w:ascii="Arial" w:hAnsi="Arial" w:cs="Arial"/>
                <w:sz w:val="22"/>
                <w:szCs w:val="22"/>
              </w:rPr>
              <w:t>5943)</w:t>
            </w:r>
          </w:p>
        </w:tc>
        <w:tc>
          <w:tcPr>
            <w:tcW w:w="10806" w:type="dxa"/>
            <w:gridSpan w:val="2"/>
            <w:vAlign w:val="center"/>
          </w:tcPr>
          <w:p w14:paraId="192B033C" w14:textId="6FE8887F" w:rsidR="00A605D5" w:rsidRPr="007247FC" w:rsidRDefault="00A605D5" w:rsidP="00A605D5">
            <w:pPr>
              <w:rPr>
                <w:rFonts w:ascii="Arial" w:hAnsi="Arial" w:cs="Arial"/>
                <w:bCs/>
                <w:sz w:val="22"/>
                <w:szCs w:val="22"/>
              </w:rPr>
            </w:pPr>
            <w:r w:rsidRPr="007247FC">
              <w:rPr>
                <w:rFonts w:ascii="Arial" w:hAnsi="Arial" w:cs="Arial"/>
                <w:sz w:val="22"/>
                <w:szCs w:val="22"/>
              </w:rPr>
              <w:t>Хуулийн төсөлд тусгайлан өгөх саналгүй байна.</w:t>
            </w:r>
          </w:p>
        </w:tc>
      </w:tr>
      <w:tr w:rsidR="00A605D5" w:rsidRPr="007247FC" w14:paraId="410E46C1" w14:textId="77777777" w:rsidTr="00B2582E">
        <w:trPr>
          <w:trHeight w:val="926"/>
        </w:trPr>
        <w:tc>
          <w:tcPr>
            <w:tcW w:w="643" w:type="dxa"/>
            <w:vAlign w:val="center"/>
          </w:tcPr>
          <w:p w14:paraId="2B35EE72" w14:textId="6D2EE542" w:rsidR="00A605D5" w:rsidRPr="007247FC" w:rsidRDefault="007247FC" w:rsidP="00097BFA">
            <w:pPr>
              <w:jc w:val="center"/>
              <w:rPr>
                <w:rFonts w:ascii="Arial" w:hAnsi="Arial" w:cs="Arial"/>
                <w:bCs/>
                <w:sz w:val="22"/>
                <w:szCs w:val="22"/>
                <w:lang w:val="en-US"/>
              </w:rPr>
            </w:pPr>
            <w:r w:rsidRPr="007247FC">
              <w:rPr>
                <w:rFonts w:ascii="Arial" w:hAnsi="Arial" w:cs="Arial"/>
                <w:bCs/>
                <w:sz w:val="22"/>
                <w:szCs w:val="22"/>
                <w:lang w:val="en-US"/>
              </w:rPr>
              <w:t>5</w:t>
            </w:r>
          </w:p>
        </w:tc>
        <w:tc>
          <w:tcPr>
            <w:tcW w:w="2046" w:type="dxa"/>
            <w:vAlign w:val="center"/>
          </w:tcPr>
          <w:p w14:paraId="4F095CB6" w14:textId="7D3142BE" w:rsidR="00A605D5" w:rsidRPr="007247FC" w:rsidRDefault="00A605D5" w:rsidP="00097BFA">
            <w:pPr>
              <w:jc w:val="center"/>
              <w:rPr>
                <w:rFonts w:ascii="Arial" w:hAnsi="Arial" w:cs="Arial"/>
                <w:bCs/>
                <w:sz w:val="22"/>
                <w:szCs w:val="22"/>
              </w:rPr>
            </w:pPr>
            <w:r w:rsidRPr="007247FC">
              <w:rPr>
                <w:rFonts w:ascii="Arial" w:hAnsi="Arial" w:cs="Arial"/>
                <w:sz w:val="22"/>
                <w:szCs w:val="22"/>
              </w:rPr>
              <w:t>Байгаль орчин, аялал, жуулчлалын яам 2022.12.27 №01/7609)</w:t>
            </w:r>
          </w:p>
        </w:tc>
        <w:tc>
          <w:tcPr>
            <w:tcW w:w="10806" w:type="dxa"/>
            <w:gridSpan w:val="2"/>
            <w:vAlign w:val="center"/>
          </w:tcPr>
          <w:p w14:paraId="0919E261" w14:textId="2330D094" w:rsidR="00A605D5" w:rsidRPr="007247FC" w:rsidRDefault="00A605D5" w:rsidP="00A605D5">
            <w:pPr>
              <w:rPr>
                <w:rFonts w:ascii="Arial" w:hAnsi="Arial" w:cs="Arial"/>
                <w:bCs/>
                <w:sz w:val="22"/>
                <w:szCs w:val="22"/>
              </w:rPr>
            </w:pPr>
            <w:r w:rsidRPr="007247FC">
              <w:rPr>
                <w:rFonts w:ascii="Arial" w:hAnsi="Arial" w:cs="Arial"/>
                <w:sz w:val="22"/>
                <w:szCs w:val="22"/>
              </w:rPr>
              <w:t>Хуулийн төсөлд тусгайлан өгөх саналгүй байна.</w:t>
            </w:r>
          </w:p>
        </w:tc>
      </w:tr>
      <w:tr w:rsidR="00A605D5" w:rsidRPr="007247FC" w14:paraId="10ED544C" w14:textId="77777777" w:rsidTr="00AB03DF">
        <w:trPr>
          <w:trHeight w:val="926"/>
        </w:trPr>
        <w:tc>
          <w:tcPr>
            <w:tcW w:w="643" w:type="dxa"/>
            <w:vAlign w:val="center"/>
          </w:tcPr>
          <w:p w14:paraId="16894E4B" w14:textId="0973363E" w:rsidR="00A605D5" w:rsidRPr="007247FC" w:rsidRDefault="007247FC" w:rsidP="00097BFA">
            <w:pPr>
              <w:jc w:val="center"/>
              <w:rPr>
                <w:rFonts w:ascii="Arial" w:hAnsi="Arial" w:cs="Arial"/>
                <w:bCs/>
                <w:sz w:val="22"/>
                <w:szCs w:val="22"/>
                <w:lang w:val="en-US"/>
              </w:rPr>
            </w:pPr>
            <w:r w:rsidRPr="007247FC">
              <w:rPr>
                <w:rFonts w:ascii="Arial" w:hAnsi="Arial" w:cs="Arial"/>
                <w:bCs/>
                <w:sz w:val="22"/>
                <w:szCs w:val="22"/>
                <w:lang w:val="en-US"/>
              </w:rPr>
              <w:t>6</w:t>
            </w:r>
          </w:p>
        </w:tc>
        <w:tc>
          <w:tcPr>
            <w:tcW w:w="2046" w:type="dxa"/>
            <w:vAlign w:val="center"/>
          </w:tcPr>
          <w:p w14:paraId="2C8D63F2" w14:textId="032E7432" w:rsidR="00A605D5" w:rsidRPr="007247FC" w:rsidRDefault="00A605D5" w:rsidP="00097BFA">
            <w:pPr>
              <w:jc w:val="center"/>
              <w:rPr>
                <w:rFonts w:ascii="Arial" w:hAnsi="Arial" w:cs="Arial"/>
                <w:bCs/>
                <w:sz w:val="22"/>
                <w:szCs w:val="22"/>
              </w:rPr>
            </w:pPr>
            <w:r w:rsidRPr="007247FC">
              <w:rPr>
                <w:rFonts w:ascii="Arial" w:hAnsi="Arial" w:cs="Arial"/>
                <w:sz w:val="22"/>
                <w:szCs w:val="22"/>
              </w:rPr>
              <w:t xml:space="preserve">Гадаад харилцааны яам </w:t>
            </w:r>
            <w:r w:rsidRPr="007247FC">
              <w:rPr>
                <w:rFonts w:ascii="Arial" w:hAnsi="Arial" w:cs="Arial"/>
                <w:sz w:val="22"/>
                <w:szCs w:val="22"/>
                <w:lang w:val="en-US"/>
              </w:rPr>
              <w:t>(</w:t>
            </w:r>
            <w:r w:rsidRPr="007247FC">
              <w:rPr>
                <w:rFonts w:ascii="Arial" w:hAnsi="Arial" w:cs="Arial"/>
                <w:sz w:val="22"/>
                <w:szCs w:val="22"/>
              </w:rPr>
              <w:t>2022.12.27 08/6759</w:t>
            </w:r>
            <w:r w:rsidRPr="007247FC">
              <w:rPr>
                <w:rFonts w:ascii="Arial" w:hAnsi="Arial" w:cs="Arial"/>
                <w:sz w:val="22"/>
                <w:szCs w:val="22"/>
                <w:lang w:val="en-US"/>
              </w:rPr>
              <w:t>)</w:t>
            </w:r>
          </w:p>
        </w:tc>
        <w:tc>
          <w:tcPr>
            <w:tcW w:w="10806" w:type="dxa"/>
            <w:gridSpan w:val="2"/>
            <w:vAlign w:val="center"/>
          </w:tcPr>
          <w:p w14:paraId="7E43FA7C" w14:textId="26DFE573" w:rsidR="00A605D5" w:rsidRPr="007247FC" w:rsidRDefault="00A605D5" w:rsidP="00A605D5">
            <w:pPr>
              <w:rPr>
                <w:rFonts w:ascii="Arial" w:hAnsi="Arial" w:cs="Arial"/>
                <w:bCs/>
                <w:sz w:val="22"/>
                <w:szCs w:val="22"/>
              </w:rPr>
            </w:pPr>
            <w:r w:rsidRPr="007247FC">
              <w:rPr>
                <w:rFonts w:ascii="Arial" w:hAnsi="Arial" w:cs="Arial"/>
                <w:sz w:val="22"/>
                <w:szCs w:val="22"/>
              </w:rPr>
              <w:t>Хуулийн төсөлд тусгайлан өгөх саналгүй байна.</w:t>
            </w:r>
          </w:p>
        </w:tc>
      </w:tr>
      <w:tr w:rsidR="00097BFA" w:rsidRPr="007247FC" w14:paraId="585B17EE" w14:textId="77777777" w:rsidTr="006460E6">
        <w:trPr>
          <w:trHeight w:val="550"/>
        </w:trPr>
        <w:tc>
          <w:tcPr>
            <w:tcW w:w="643" w:type="dxa"/>
            <w:vMerge w:val="restart"/>
            <w:vAlign w:val="center"/>
          </w:tcPr>
          <w:p w14:paraId="62AB598B" w14:textId="788D6F21" w:rsidR="00097BFA" w:rsidRPr="007247FC" w:rsidRDefault="007247FC" w:rsidP="00097BFA">
            <w:pPr>
              <w:jc w:val="center"/>
              <w:rPr>
                <w:rFonts w:ascii="Arial" w:hAnsi="Arial" w:cs="Arial"/>
                <w:bCs/>
                <w:sz w:val="22"/>
                <w:szCs w:val="22"/>
                <w:lang w:val="en-US"/>
              </w:rPr>
            </w:pPr>
            <w:r w:rsidRPr="007247FC">
              <w:rPr>
                <w:rFonts w:ascii="Arial" w:hAnsi="Arial" w:cs="Arial"/>
                <w:bCs/>
                <w:sz w:val="22"/>
                <w:szCs w:val="22"/>
                <w:lang w:val="en-US"/>
              </w:rPr>
              <w:t>7</w:t>
            </w:r>
          </w:p>
        </w:tc>
        <w:tc>
          <w:tcPr>
            <w:tcW w:w="2046" w:type="dxa"/>
            <w:vMerge w:val="restart"/>
            <w:vAlign w:val="center"/>
          </w:tcPr>
          <w:p w14:paraId="62972533" w14:textId="308867F2" w:rsidR="00097BFA" w:rsidRPr="007247FC" w:rsidRDefault="00DC5625" w:rsidP="00097BFA">
            <w:pPr>
              <w:jc w:val="center"/>
              <w:rPr>
                <w:rFonts w:ascii="Arial" w:hAnsi="Arial" w:cs="Arial"/>
                <w:bCs/>
                <w:sz w:val="22"/>
                <w:szCs w:val="22"/>
              </w:rPr>
            </w:pPr>
            <w:r w:rsidRPr="007247FC">
              <w:rPr>
                <w:rFonts w:ascii="Arial" w:hAnsi="Arial" w:cs="Arial"/>
                <w:sz w:val="22"/>
                <w:szCs w:val="22"/>
              </w:rPr>
              <w:t>Батлан хамгаалах яам</w:t>
            </w:r>
            <w:r w:rsidRPr="007247FC">
              <w:rPr>
                <w:rFonts w:ascii="Arial" w:hAnsi="Arial" w:cs="Arial"/>
                <w:sz w:val="22"/>
                <w:szCs w:val="22"/>
                <w:lang w:val="en-US"/>
              </w:rPr>
              <w:t xml:space="preserve"> </w:t>
            </w:r>
            <w:r w:rsidRPr="007247FC">
              <w:rPr>
                <w:rFonts w:ascii="Arial" w:hAnsi="Arial" w:cs="Arial"/>
                <w:sz w:val="22"/>
                <w:szCs w:val="22"/>
                <w:lang w:val="en-US"/>
              </w:rPr>
              <w:lastRenderedPageBreak/>
              <w:t>(</w:t>
            </w:r>
            <w:r w:rsidRPr="007247FC">
              <w:rPr>
                <w:rFonts w:ascii="Arial" w:hAnsi="Arial" w:cs="Arial"/>
                <w:sz w:val="22"/>
                <w:szCs w:val="22"/>
              </w:rPr>
              <w:t xml:space="preserve">2022.12.27 </w:t>
            </w:r>
            <w:r w:rsidRPr="007247FC">
              <w:rPr>
                <w:rFonts w:ascii="Arial" w:hAnsi="Arial" w:cs="Arial"/>
                <w:sz w:val="22"/>
                <w:szCs w:val="22"/>
                <w:lang w:val="en-US"/>
              </w:rPr>
              <w:t>1</w:t>
            </w:r>
            <w:r w:rsidRPr="007247FC">
              <w:rPr>
                <w:rFonts w:ascii="Arial" w:hAnsi="Arial" w:cs="Arial"/>
                <w:sz w:val="22"/>
                <w:szCs w:val="22"/>
              </w:rPr>
              <w:t>а/4759</w:t>
            </w:r>
            <w:r w:rsidRPr="007247FC">
              <w:rPr>
                <w:rFonts w:ascii="Arial" w:hAnsi="Arial" w:cs="Arial"/>
                <w:sz w:val="22"/>
                <w:szCs w:val="22"/>
                <w:lang w:val="en-US"/>
              </w:rPr>
              <w:t>)</w:t>
            </w:r>
          </w:p>
        </w:tc>
        <w:tc>
          <w:tcPr>
            <w:tcW w:w="5136" w:type="dxa"/>
            <w:vAlign w:val="center"/>
          </w:tcPr>
          <w:p w14:paraId="5B7B1175" w14:textId="103CFE00" w:rsidR="00097BFA" w:rsidRPr="007247FC" w:rsidRDefault="00097BFA" w:rsidP="00097BFA">
            <w:pPr>
              <w:jc w:val="both"/>
              <w:rPr>
                <w:rFonts w:ascii="Arial" w:hAnsi="Arial" w:cs="Arial"/>
                <w:sz w:val="22"/>
                <w:szCs w:val="22"/>
              </w:rPr>
            </w:pPr>
            <w:r w:rsidRPr="007247FC">
              <w:rPr>
                <w:rFonts w:ascii="Arial" w:hAnsi="Arial" w:cs="Arial"/>
                <w:sz w:val="22"/>
                <w:szCs w:val="22"/>
              </w:rPr>
              <w:lastRenderedPageBreak/>
              <w:t xml:space="preserve">1.Хуулийн төслийн 5 дугаар зүйлийн 5.1.1 дэх заалтад “... 65 насанд ...” гэснийг “... 60 насанд </w:t>
            </w:r>
            <w:r w:rsidRPr="007247FC">
              <w:rPr>
                <w:rFonts w:ascii="Arial" w:hAnsi="Arial" w:cs="Arial"/>
                <w:sz w:val="22"/>
                <w:szCs w:val="22"/>
              </w:rPr>
              <w:lastRenderedPageBreak/>
              <w:t>...” гэж, 9 дүгээр зүйлийн 9.2 дахь хэсгийн “... 20 хувьтай ...” гэснийг “... 50 хувьтай ...” гэж, 21 дүгээр зүйлийн 21.1.1 дэх заалтын “... 75 хувиас ...” гэснийг “... 85 хувиас ...” гэж, 26 дугаар зүйлийн 26.2 дахь хэсгийн “... 50 хувиас ...” гэснийг “... 30 хувиас ...” гэж тус тус өөрчлөх;</w:t>
            </w:r>
          </w:p>
        </w:tc>
        <w:tc>
          <w:tcPr>
            <w:tcW w:w="5670" w:type="dxa"/>
            <w:vAlign w:val="center"/>
          </w:tcPr>
          <w:p w14:paraId="4694C000" w14:textId="5731DCAE" w:rsidR="008D16CD" w:rsidRPr="007247FC" w:rsidRDefault="008D16CD" w:rsidP="008D16CD">
            <w:pPr>
              <w:contextualSpacing/>
              <w:jc w:val="both"/>
              <w:rPr>
                <w:rFonts w:ascii="Arial" w:hAnsi="Arial" w:cs="Arial"/>
                <w:sz w:val="22"/>
                <w:szCs w:val="22"/>
              </w:rPr>
            </w:pPr>
            <w:r w:rsidRPr="007247FC">
              <w:rPr>
                <w:rFonts w:ascii="Arial" w:hAnsi="Arial" w:cs="Arial"/>
                <w:sz w:val="22"/>
                <w:szCs w:val="22"/>
              </w:rPr>
              <w:lastRenderedPageBreak/>
              <w:t xml:space="preserve">Монгол Улсын хүн амын дундаж наслалт 2021 онд 71.01 жил болж, 26 жилийн өмнөх дундаж наслалтын </w:t>
            </w:r>
            <w:r w:rsidRPr="007247FC">
              <w:rPr>
                <w:rFonts w:ascii="Arial" w:hAnsi="Arial" w:cs="Arial"/>
                <w:sz w:val="22"/>
                <w:szCs w:val="22"/>
              </w:rPr>
              <w:lastRenderedPageBreak/>
              <w:t xml:space="preserve">түвшинтэй харьцуулахад 7.23 жилээр өссөн. Тухайлбал, эрэгтэйчүүдийн дундаж наслалт 67.05 болж 4.95 жилээр, эмэгтэйчүүдийнх 76.47 болж 11.04 жилээр тус тус өссөн байна. Тэтгэврийн насны хүн 2020 онд нийт хүн амын 9.85 хувийг эзэлж байсан бол 2030 онд 13.37, 2050 онд 19.42 хувьд хүрэхээр байна. </w:t>
            </w:r>
          </w:p>
          <w:p w14:paraId="5396A095" w14:textId="77777777" w:rsidR="008D16CD" w:rsidRPr="007247FC" w:rsidRDefault="008D16CD" w:rsidP="008D16CD">
            <w:pPr>
              <w:ind w:firstLine="720"/>
              <w:contextualSpacing/>
              <w:jc w:val="both"/>
              <w:rPr>
                <w:rFonts w:ascii="Arial" w:hAnsi="Arial" w:cs="Arial"/>
                <w:sz w:val="22"/>
                <w:szCs w:val="22"/>
              </w:rPr>
            </w:pPr>
          </w:p>
          <w:p w14:paraId="3E14C280" w14:textId="77777777" w:rsidR="00097BFA" w:rsidRPr="007247FC" w:rsidRDefault="008D16CD" w:rsidP="009C5CF7">
            <w:pPr>
              <w:jc w:val="both"/>
              <w:rPr>
                <w:rFonts w:ascii="Arial" w:hAnsi="Arial" w:cs="Arial"/>
                <w:sz w:val="22"/>
                <w:szCs w:val="22"/>
              </w:rPr>
            </w:pPr>
            <w:r w:rsidRPr="007247FC">
              <w:rPr>
                <w:rFonts w:ascii="Arial" w:hAnsi="Arial" w:cs="Arial"/>
                <w:iCs/>
                <w:sz w:val="22"/>
                <w:szCs w:val="22"/>
              </w:rPr>
              <w:t>Монгол Улс тэтгэврийн даатгалын тогтолцоондоо параметрийн шинэчлэл хийхээ хойшлуулах тусам төсвийн зардал нэмэгдэж, илүү тогтвортой, шударга байдлыг хангасан параметр бүхий тогтолцоонд шилжихэд улам л хүндрэлтэй болно</w:t>
            </w:r>
            <w:r w:rsidRPr="007247FC">
              <w:rPr>
                <w:rFonts w:ascii="Arial" w:hAnsi="Arial" w:cs="Arial"/>
                <w:b/>
                <w:i/>
                <w:sz w:val="22"/>
                <w:szCs w:val="22"/>
              </w:rPr>
              <w:t xml:space="preserve">. </w:t>
            </w:r>
            <w:r w:rsidR="009C5CF7" w:rsidRPr="007247FC">
              <w:rPr>
                <w:rFonts w:ascii="Arial" w:hAnsi="Arial" w:cs="Arial"/>
                <w:iCs/>
                <w:sz w:val="22"/>
                <w:szCs w:val="22"/>
              </w:rPr>
              <w:t>Цаашид</w:t>
            </w:r>
            <w:r w:rsidR="009C5CF7" w:rsidRPr="007247FC">
              <w:rPr>
                <w:rFonts w:ascii="Arial" w:hAnsi="Arial" w:cs="Arial"/>
                <w:b/>
                <w:i/>
                <w:sz w:val="22"/>
                <w:szCs w:val="22"/>
              </w:rPr>
              <w:t xml:space="preserve"> </w:t>
            </w:r>
            <w:r w:rsidRPr="007247FC">
              <w:rPr>
                <w:rFonts w:ascii="Arial" w:hAnsi="Arial" w:cs="Arial"/>
                <w:sz w:val="22"/>
                <w:szCs w:val="22"/>
              </w:rPr>
              <w:t>тэтгэврийн даатгалын санд шаардагдах улсын төсвийн татаас хурдацтай өсч, төсвийн</w:t>
            </w:r>
            <w:r w:rsidR="009C5CF7" w:rsidRPr="007247FC">
              <w:rPr>
                <w:rFonts w:ascii="Arial" w:hAnsi="Arial" w:cs="Arial"/>
                <w:sz w:val="22"/>
                <w:szCs w:val="22"/>
              </w:rPr>
              <w:t xml:space="preserve"> даацаас хэтрэх түвшинд очих, </w:t>
            </w:r>
            <w:r w:rsidRPr="007247FC">
              <w:rPr>
                <w:rFonts w:ascii="Arial" w:hAnsi="Arial" w:cs="Arial"/>
                <w:sz w:val="22"/>
                <w:szCs w:val="22"/>
              </w:rPr>
              <w:t xml:space="preserve">Улсын төсвийн татаас 2021 онд ДНБ-ий 1.4 хувьтай тэнцэж байсан бол 2030 онд 6.8 хувь, 2050 онд 11.3 хувь хүртэл өсөх төлөвтэй байна. </w:t>
            </w:r>
          </w:p>
          <w:p w14:paraId="1B599FFB" w14:textId="068A96E7" w:rsidR="009C5CF7" w:rsidRPr="007247FC" w:rsidRDefault="009C5CF7" w:rsidP="009C5CF7">
            <w:pPr>
              <w:jc w:val="both"/>
              <w:rPr>
                <w:rFonts w:ascii="Arial" w:hAnsi="Arial" w:cs="Arial"/>
                <w:sz w:val="22"/>
                <w:szCs w:val="22"/>
              </w:rPr>
            </w:pPr>
            <w:r w:rsidRPr="007247FC">
              <w:rPr>
                <w:rFonts w:ascii="Arial" w:hAnsi="Arial" w:cs="Arial"/>
                <w:sz w:val="22"/>
                <w:szCs w:val="22"/>
              </w:rPr>
              <w:t>Иймд нийгмийн даатгалын сан, улсын төсвийн зардлыг нэмэгдүүлэх саналыг тусгах боломжгүй</w:t>
            </w:r>
            <w:r w:rsidR="00D55ED6" w:rsidRPr="007247FC">
              <w:rPr>
                <w:rFonts w:ascii="Arial" w:hAnsi="Arial" w:cs="Arial"/>
                <w:sz w:val="22"/>
                <w:szCs w:val="22"/>
              </w:rPr>
              <w:t xml:space="preserve"> </w:t>
            </w:r>
            <w:r w:rsidRPr="007247FC">
              <w:rPr>
                <w:rFonts w:ascii="Arial" w:hAnsi="Arial" w:cs="Arial"/>
                <w:sz w:val="22"/>
                <w:szCs w:val="22"/>
              </w:rPr>
              <w:t>байна.</w:t>
            </w:r>
          </w:p>
        </w:tc>
      </w:tr>
      <w:tr w:rsidR="00097BFA" w:rsidRPr="007247FC" w14:paraId="0D4D03A7" w14:textId="77777777" w:rsidTr="00183026">
        <w:trPr>
          <w:trHeight w:val="926"/>
        </w:trPr>
        <w:tc>
          <w:tcPr>
            <w:tcW w:w="643" w:type="dxa"/>
            <w:vMerge/>
            <w:vAlign w:val="center"/>
          </w:tcPr>
          <w:p w14:paraId="26484633" w14:textId="77777777" w:rsidR="00097BFA" w:rsidRPr="007247FC" w:rsidRDefault="00097BFA" w:rsidP="00097BFA">
            <w:pPr>
              <w:jc w:val="center"/>
              <w:rPr>
                <w:rFonts w:ascii="Arial" w:hAnsi="Arial" w:cs="Arial"/>
                <w:bCs/>
                <w:sz w:val="22"/>
                <w:szCs w:val="22"/>
              </w:rPr>
            </w:pPr>
          </w:p>
        </w:tc>
        <w:tc>
          <w:tcPr>
            <w:tcW w:w="2046" w:type="dxa"/>
            <w:vMerge/>
            <w:vAlign w:val="center"/>
          </w:tcPr>
          <w:p w14:paraId="3DB9C6C1" w14:textId="77777777" w:rsidR="00097BFA" w:rsidRPr="007247FC" w:rsidRDefault="00097BFA" w:rsidP="00097BFA">
            <w:pPr>
              <w:jc w:val="center"/>
              <w:rPr>
                <w:rFonts w:ascii="Arial" w:hAnsi="Arial" w:cs="Arial"/>
                <w:bCs/>
                <w:sz w:val="22"/>
                <w:szCs w:val="22"/>
              </w:rPr>
            </w:pPr>
          </w:p>
        </w:tc>
        <w:tc>
          <w:tcPr>
            <w:tcW w:w="5136" w:type="dxa"/>
            <w:vAlign w:val="center"/>
          </w:tcPr>
          <w:p w14:paraId="1B0AA4BF" w14:textId="0D11962A" w:rsidR="00097BFA" w:rsidRPr="007247FC" w:rsidRDefault="00097BFA" w:rsidP="00097BFA">
            <w:pPr>
              <w:jc w:val="both"/>
              <w:rPr>
                <w:rFonts w:ascii="Arial" w:hAnsi="Arial" w:cs="Arial"/>
                <w:sz w:val="22"/>
                <w:szCs w:val="22"/>
              </w:rPr>
            </w:pPr>
            <w:r w:rsidRPr="007247FC">
              <w:rPr>
                <w:rFonts w:ascii="Arial" w:hAnsi="Arial" w:cs="Arial"/>
                <w:sz w:val="22"/>
                <w:szCs w:val="22"/>
              </w:rPr>
              <w:t>2.Хуулийн төслийн 9.3 дахь хэсгийн “... дараагийн 2 дахь сараас ...” гэснийг “... дараагийн сараас ...” гэж, 16 дугаар зүйлийн 16.2 дахь хэсгийн “... түүний энэ зүйлийн 16.1-д заасан ...” гэснийг “... энэ зүйлийн 16.1-д заасан түүний ...” гэж, 28 дугаар зүйлийн 28.2 дахь хэсгийг “Энэ хуулийг зөрчсөн албан тушаалтан, иргэний үйлдэл нь гэмт хэргийн шинжтэй бол Эрүүгийн хууль, зөрчлийн шинжтэй бол Зөрчлийн тухай хуульд заасан хариуцлага хүлээлгэнэ.” гэж тус тус өөрчлөн найруулах;</w:t>
            </w:r>
          </w:p>
        </w:tc>
        <w:tc>
          <w:tcPr>
            <w:tcW w:w="5670" w:type="dxa"/>
            <w:vAlign w:val="center"/>
          </w:tcPr>
          <w:p w14:paraId="025EE392" w14:textId="60778471" w:rsidR="00097BFA" w:rsidRPr="007247FC" w:rsidRDefault="009E53DF" w:rsidP="009E53DF">
            <w:pPr>
              <w:jc w:val="both"/>
              <w:rPr>
                <w:rFonts w:ascii="Arial" w:hAnsi="Arial" w:cs="Arial"/>
                <w:bCs/>
                <w:sz w:val="22"/>
                <w:szCs w:val="22"/>
              </w:rPr>
            </w:pPr>
            <w:r w:rsidRPr="007247FC">
              <w:rPr>
                <w:rFonts w:ascii="Arial" w:eastAsia="Times New Roman" w:hAnsi="Arial" w:cs="Arial"/>
                <w:sz w:val="22"/>
                <w:szCs w:val="22"/>
              </w:rPr>
              <w:t xml:space="preserve">Агуулгын хувьд адил байх тул өөрчлөх шаардлагагүй болно. </w:t>
            </w:r>
            <w:r w:rsidRPr="007247FC">
              <w:rPr>
                <w:rFonts w:ascii="Arial" w:hAnsi="Arial" w:cs="Arial"/>
                <w:sz w:val="22"/>
                <w:szCs w:val="22"/>
              </w:rPr>
              <w:t xml:space="preserve"> </w:t>
            </w:r>
          </w:p>
        </w:tc>
      </w:tr>
      <w:tr w:rsidR="00097BFA" w:rsidRPr="007247FC" w14:paraId="5EC9842E" w14:textId="77777777" w:rsidTr="00183026">
        <w:trPr>
          <w:trHeight w:val="926"/>
        </w:trPr>
        <w:tc>
          <w:tcPr>
            <w:tcW w:w="643" w:type="dxa"/>
            <w:vMerge/>
            <w:vAlign w:val="center"/>
          </w:tcPr>
          <w:p w14:paraId="0C7167DD" w14:textId="77777777" w:rsidR="00097BFA" w:rsidRPr="007247FC" w:rsidRDefault="00097BFA" w:rsidP="00097BFA">
            <w:pPr>
              <w:jc w:val="center"/>
              <w:rPr>
                <w:rFonts w:ascii="Arial" w:hAnsi="Arial" w:cs="Arial"/>
                <w:bCs/>
                <w:sz w:val="22"/>
                <w:szCs w:val="22"/>
              </w:rPr>
            </w:pPr>
          </w:p>
        </w:tc>
        <w:tc>
          <w:tcPr>
            <w:tcW w:w="2046" w:type="dxa"/>
            <w:vMerge/>
            <w:vAlign w:val="center"/>
          </w:tcPr>
          <w:p w14:paraId="75AA3138" w14:textId="77777777" w:rsidR="00097BFA" w:rsidRPr="007247FC" w:rsidRDefault="00097BFA" w:rsidP="00097BFA">
            <w:pPr>
              <w:jc w:val="center"/>
              <w:rPr>
                <w:rFonts w:ascii="Arial" w:hAnsi="Arial" w:cs="Arial"/>
                <w:bCs/>
                <w:sz w:val="22"/>
                <w:szCs w:val="22"/>
              </w:rPr>
            </w:pPr>
          </w:p>
        </w:tc>
        <w:tc>
          <w:tcPr>
            <w:tcW w:w="5136" w:type="dxa"/>
            <w:vAlign w:val="center"/>
          </w:tcPr>
          <w:p w14:paraId="1D2F2A6E" w14:textId="14267112" w:rsidR="00097BFA" w:rsidRPr="007247FC" w:rsidRDefault="00097BFA" w:rsidP="00097BFA">
            <w:pPr>
              <w:jc w:val="both"/>
              <w:rPr>
                <w:rFonts w:ascii="Arial" w:hAnsi="Arial" w:cs="Arial"/>
                <w:sz w:val="22"/>
                <w:szCs w:val="22"/>
              </w:rPr>
            </w:pPr>
            <w:r w:rsidRPr="007247FC">
              <w:rPr>
                <w:rFonts w:ascii="Arial" w:hAnsi="Arial" w:cs="Arial"/>
                <w:sz w:val="22"/>
                <w:szCs w:val="22"/>
              </w:rPr>
              <w:t>3.Хуулийн төсөлд “2</w:t>
            </w:r>
            <w:r w:rsidRPr="007247FC">
              <w:rPr>
                <w:rFonts w:ascii="Arial" w:hAnsi="Arial" w:cs="Arial"/>
                <w:sz w:val="22"/>
                <w:szCs w:val="22"/>
                <w:vertAlign w:val="superscript"/>
              </w:rPr>
              <w:t>1</w:t>
            </w:r>
            <w:r w:rsidRPr="007247FC">
              <w:rPr>
                <w:rFonts w:ascii="Arial" w:hAnsi="Arial" w:cs="Arial"/>
                <w:sz w:val="22"/>
                <w:szCs w:val="22"/>
              </w:rPr>
              <w:t xml:space="preserve"> дүгээр зүйл.Хамрах хүрээ.” гэсэн зүйл, “2</w:t>
            </w:r>
            <w:r w:rsidRPr="007247FC">
              <w:rPr>
                <w:rFonts w:ascii="Arial" w:hAnsi="Arial" w:cs="Arial"/>
                <w:sz w:val="22"/>
                <w:szCs w:val="22"/>
                <w:vertAlign w:val="superscript"/>
              </w:rPr>
              <w:t>1</w:t>
            </w:r>
            <w:r w:rsidRPr="007247FC">
              <w:rPr>
                <w:rFonts w:ascii="Arial" w:hAnsi="Arial" w:cs="Arial"/>
                <w:sz w:val="22"/>
                <w:szCs w:val="22"/>
              </w:rPr>
              <w:t xml:space="preserve">.1.Цэргийн алба хаагчийн тэтгэвэртэй холбогдсон харилцааг Цэргийн алба хаагчийн тэтгэвэр, тэтгэмжийн тухай хуулиар зохицуулна.” гэсэн хэсэг, 5 дугаар зүйлд “5.1.8.Цэргийн алба хаагчийн тэтгэвэр, тэтгэмжийн тухай хуулийн үйлчлэх хүрээнд хамаарах байгууллагуудын харьяа мэргэжлийн соёл, урлагийн байгууллагын гоцлол дуучин, бүжигчин, хөөмийчин, найрал хөгжмийн үлээвэр </w:t>
            </w:r>
            <w:r w:rsidRPr="007247FC">
              <w:rPr>
                <w:rFonts w:ascii="Arial" w:hAnsi="Arial" w:cs="Arial"/>
                <w:sz w:val="22"/>
                <w:szCs w:val="22"/>
              </w:rPr>
              <w:lastRenderedPageBreak/>
              <w:t>хөгжимчнөөр 15-аас доошгүй жил ажилласан цэргийн алба хаагч.” гэсэн заалт тус тус нэмэх;</w:t>
            </w:r>
          </w:p>
        </w:tc>
        <w:tc>
          <w:tcPr>
            <w:tcW w:w="5670" w:type="dxa"/>
            <w:vAlign w:val="center"/>
          </w:tcPr>
          <w:p w14:paraId="357B85D1" w14:textId="1C8D0276" w:rsidR="00097BFA" w:rsidRPr="007247FC" w:rsidRDefault="009E53DF" w:rsidP="009E53DF">
            <w:pPr>
              <w:jc w:val="both"/>
              <w:rPr>
                <w:rFonts w:ascii="Arial" w:hAnsi="Arial" w:cs="Arial"/>
                <w:bCs/>
                <w:sz w:val="22"/>
                <w:szCs w:val="22"/>
              </w:rPr>
            </w:pPr>
            <w:r w:rsidRPr="007247FC">
              <w:rPr>
                <w:rFonts w:ascii="Arial" w:hAnsi="Arial" w:cs="Arial"/>
                <w:bCs/>
                <w:sz w:val="22"/>
                <w:szCs w:val="22"/>
              </w:rPr>
              <w:lastRenderedPageBreak/>
              <w:t>Энэхүү зохицуулалт нь нийгмийн даатгалын хуулийн төслийн харилцаанд хамаарахгүй болно.</w:t>
            </w:r>
          </w:p>
        </w:tc>
      </w:tr>
      <w:tr w:rsidR="00097BFA" w:rsidRPr="007247FC" w14:paraId="661FD981" w14:textId="77777777" w:rsidTr="006460E6">
        <w:trPr>
          <w:trHeight w:val="551"/>
        </w:trPr>
        <w:tc>
          <w:tcPr>
            <w:tcW w:w="643" w:type="dxa"/>
            <w:vMerge/>
            <w:vAlign w:val="center"/>
          </w:tcPr>
          <w:p w14:paraId="04D78C84" w14:textId="77777777" w:rsidR="00097BFA" w:rsidRPr="007247FC" w:rsidRDefault="00097BFA" w:rsidP="00097BFA">
            <w:pPr>
              <w:jc w:val="center"/>
              <w:rPr>
                <w:rFonts w:ascii="Arial" w:hAnsi="Arial" w:cs="Arial"/>
                <w:bCs/>
                <w:sz w:val="22"/>
                <w:szCs w:val="22"/>
              </w:rPr>
            </w:pPr>
          </w:p>
        </w:tc>
        <w:tc>
          <w:tcPr>
            <w:tcW w:w="2046" w:type="dxa"/>
            <w:vMerge/>
            <w:vAlign w:val="center"/>
          </w:tcPr>
          <w:p w14:paraId="5C36667D" w14:textId="77777777" w:rsidR="00097BFA" w:rsidRPr="007247FC" w:rsidRDefault="00097BFA" w:rsidP="00097BFA">
            <w:pPr>
              <w:jc w:val="center"/>
              <w:rPr>
                <w:rFonts w:ascii="Arial" w:hAnsi="Arial" w:cs="Arial"/>
                <w:bCs/>
                <w:sz w:val="22"/>
                <w:szCs w:val="22"/>
              </w:rPr>
            </w:pPr>
          </w:p>
        </w:tc>
        <w:tc>
          <w:tcPr>
            <w:tcW w:w="5136" w:type="dxa"/>
            <w:vAlign w:val="center"/>
          </w:tcPr>
          <w:p w14:paraId="2E06AEA4" w14:textId="3E30F1EC" w:rsidR="00097BFA" w:rsidRPr="007247FC" w:rsidRDefault="00097BFA" w:rsidP="00097BFA">
            <w:pPr>
              <w:jc w:val="both"/>
              <w:rPr>
                <w:rFonts w:ascii="Arial" w:hAnsi="Arial" w:cs="Arial"/>
                <w:sz w:val="22"/>
                <w:szCs w:val="22"/>
              </w:rPr>
            </w:pPr>
            <w:r w:rsidRPr="007247FC">
              <w:rPr>
                <w:rFonts w:ascii="Arial" w:hAnsi="Arial" w:cs="Arial"/>
                <w:sz w:val="22"/>
                <w:szCs w:val="22"/>
              </w:rPr>
              <w:t xml:space="preserve">4.Хамт өргөн мэдүүлэх Цэргийн алба хаагчийн тэтгэвэр, тэтгэмжийн тухай хуульд нэмэлт, өөрчлөлт оруулах тухай хуулийн төслийн 19 дүгээр зүйлийн 8 дахь хэсэгт “Энэ хуулийн 18 дугаар зүйлийн 2-т заасан тэтгэмжийн хэмжээ нь Нийгмийн даатгалын сангаас олгох тэтгэмжийн тухай хуулийн 8.3-т заасны дагуу тогтоосон хэмжээтэй тэнцүү байна. Уг тэтгэмжийг улсын төсвөөс олгоно.” гэж заасан ч хуулийн төсөлд санал авахаар ирүүлсэн холбогдох материалд Нийгмийн даатгалын сангаас олгох тэтгэмжийн тухай хуулийн төслийг ирүүлээгүйгээс тэтгэмжийн хэмжээг хэрхэн тогтоох нь тодорхой бус байх тул тухайн зохицуулалтад холбогдох санал өгөх боломжгүй байгааг анхаарах зэрэг болно. </w:t>
            </w:r>
          </w:p>
        </w:tc>
        <w:tc>
          <w:tcPr>
            <w:tcW w:w="5670" w:type="dxa"/>
            <w:vAlign w:val="center"/>
          </w:tcPr>
          <w:p w14:paraId="51668C43" w14:textId="5A18E057" w:rsidR="00097BFA" w:rsidRPr="007247FC" w:rsidRDefault="009E53DF" w:rsidP="007D5C44">
            <w:pPr>
              <w:jc w:val="both"/>
              <w:rPr>
                <w:rFonts w:ascii="Arial" w:hAnsi="Arial" w:cs="Arial"/>
                <w:bCs/>
                <w:sz w:val="22"/>
                <w:szCs w:val="22"/>
              </w:rPr>
            </w:pPr>
            <w:r w:rsidRPr="007247FC">
              <w:rPr>
                <w:rFonts w:ascii="Arial" w:hAnsi="Arial" w:cs="Arial"/>
                <w:bCs/>
                <w:sz w:val="22"/>
                <w:szCs w:val="22"/>
              </w:rPr>
              <w:t xml:space="preserve">Нийгмийн даатгалын сангаас олгох </w:t>
            </w:r>
            <w:r w:rsidR="00544245" w:rsidRPr="007247FC">
              <w:rPr>
                <w:rFonts w:ascii="Arial" w:hAnsi="Arial" w:cs="Arial"/>
                <w:bCs/>
                <w:sz w:val="22"/>
                <w:szCs w:val="22"/>
              </w:rPr>
              <w:t xml:space="preserve">тэтгэмжийн тухай хуулийн төслийг 2021 онд УИХ-д өргөн мэдүүлсэн бөгөөд тухайн үед яамдаас </w:t>
            </w:r>
            <w:r w:rsidRPr="007247FC">
              <w:rPr>
                <w:rFonts w:ascii="Arial" w:hAnsi="Arial" w:cs="Arial"/>
                <w:bCs/>
                <w:sz w:val="22"/>
                <w:szCs w:val="22"/>
              </w:rPr>
              <w:t>санал а</w:t>
            </w:r>
            <w:r w:rsidR="00544245" w:rsidRPr="007247FC">
              <w:rPr>
                <w:rFonts w:ascii="Arial" w:hAnsi="Arial" w:cs="Arial"/>
                <w:bCs/>
                <w:sz w:val="22"/>
                <w:szCs w:val="22"/>
              </w:rPr>
              <w:t xml:space="preserve">всан бөгөөд Нийгмийн даатгалын сангаас олгох тэтгэврийн тухай хуулийн төслийг буцаан авч дахин боловсруулан санал авч байгаа болно. </w:t>
            </w:r>
            <w:r w:rsidRPr="007247FC">
              <w:rPr>
                <w:rFonts w:ascii="Arial" w:hAnsi="Arial" w:cs="Arial"/>
                <w:bCs/>
                <w:sz w:val="22"/>
                <w:szCs w:val="22"/>
              </w:rPr>
              <w:t xml:space="preserve"> </w:t>
            </w:r>
          </w:p>
        </w:tc>
      </w:tr>
      <w:tr w:rsidR="00097BFA" w:rsidRPr="007247FC" w14:paraId="1CF7C952" w14:textId="77777777" w:rsidTr="00183026">
        <w:trPr>
          <w:trHeight w:val="926"/>
        </w:trPr>
        <w:tc>
          <w:tcPr>
            <w:tcW w:w="643" w:type="dxa"/>
            <w:vAlign w:val="center"/>
          </w:tcPr>
          <w:p w14:paraId="245AD28B" w14:textId="7A95FC60" w:rsidR="00097BFA" w:rsidRPr="007247FC" w:rsidRDefault="007247FC" w:rsidP="00097BFA">
            <w:pPr>
              <w:jc w:val="center"/>
              <w:rPr>
                <w:rFonts w:ascii="Arial" w:hAnsi="Arial" w:cs="Arial"/>
                <w:bCs/>
                <w:sz w:val="22"/>
                <w:szCs w:val="22"/>
                <w:lang w:val="en-US"/>
              </w:rPr>
            </w:pPr>
            <w:r w:rsidRPr="007247FC">
              <w:rPr>
                <w:rFonts w:ascii="Arial" w:hAnsi="Arial" w:cs="Arial"/>
                <w:bCs/>
                <w:sz w:val="22"/>
                <w:szCs w:val="22"/>
                <w:lang w:val="en-US"/>
              </w:rPr>
              <w:t>8</w:t>
            </w:r>
          </w:p>
        </w:tc>
        <w:tc>
          <w:tcPr>
            <w:tcW w:w="2046" w:type="dxa"/>
            <w:vAlign w:val="center"/>
          </w:tcPr>
          <w:p w14:paraId="4B4BF3EA" w14:textId="6C5E47D8" w:rsidR="00097BFA" w:rsidRPr="007247FC" w:rsidRDefault="00097BFA" w:rsidP="00097BFA">
            <w:pPr>
              <w:jc w:val="center"/>
              <w:rPr>
                <w:rFonts w:ascii="Arial" w:hAnsi="Arial" w:cs="Arial"/>
                <w:bCs/>
                <w:sz w:val="22"/>
                <w:szCs w:val="22"/>
              </w:rPr>
            </w:pPr>
            <w:r w:rsidRPr="007247FC">
              <w:rPr>
                <w:rFonts w:ascii="Arial" w:hAnsi="Arial" w:cs="Arial"/>
                <w:sz w:val="22"/>
                <w:szCs w:val="22"/>
              </w:rPr>
              <w:t xml:space="preserve">Цахим хөгжлийн яам </w:t>
            </w:r>
            <w:r w:rsidRPr="007247FC">
              <w:rPr>
                <w:rFonts w:ascii="Arial" w:hAnsi="Arial" w:cs="Arial"/>
                <w:sz w:val="22"/>
                <w:szCs w:val="22"/>
                <w:lang w:val="en-US"/>
              </w:rPr>
              <w:t>(</w:t>
            </w:r>
            <w:r w:rsidRPr="007247FC">
              <w:rPr>
                <w:rFonts w:ascii="Arial" w:hAnsi="Arial" w:cs="Arial"/>
                <w:sz w:val="22"/>
                <w:szCs w:val="22"/>
              </w:rPr>
              <w:t>2022.12.27 01/2347</w:t>
            </w:r>
            <w:r w:rsidRPr="007247FC">
              <w:rPr>
                <w:rFonts w:ascii="Arial" w:hAnsi="Arial" w:cs="Arial"/>
                <w:sz w:val="22"/>
                <w:szCs w:val="22"/>
                <w:lang w:val="en-US"/>
              </w:rPr>
              <w:t>)</w:t>
            </w:r>
          </w:p>
        </w:tc>
        <w:tc>
          <w:tcPr>
            <w:tcW w:w="5136" w:type="dxa"/>
            <w:vAlign w:val="center"/>
          </w:tcPr>
          <w:p w14:paraId="3BD9348B" w14:textId="4C9A71AF" w:rsidR="00097BFA" w:rsidRPr="007247FC" w:rsidRDefault="00097BFA" w:rsidP="00097BFA">
            <w:pPr>
              <w:jc w:val="both"/>
              <w:rPr>
                <w:rFonts w:ascii="Arial" w:hAnsi="Arial" w:cs="Arial"/>
                <w:sz w:val="22"/>
                <w:szCs w:val="22"/>
                <w:highlight w:val="yellow"/>
              </w:rPr>
            </w:pPr>
            <w:r w:rsidRPr="007247FC">
              <w:rPr>
                <w:rFonts w:ascii="Arial" w:hAnsi="Arial" w:cs="Arial"/>
                <w:sz w:val="22"/>
                <w:szCs w:val="22"/>
              </w:rPr>
              <w:t>Иргэний хуулийн 24 дүгээр зүйлтэй нийцүүлэн хуулийн төслийн 18.2 дахь хэсгийг “Шүүхээс тэжээгчийг нас барсан гэж зарласан тохиолдолд 60 хүртэлх сарын тэтгэврийг нөхөн олгоно.” гэж өөрчлөх саналтай байна.</w:t>
            </w:r>
          </w:p>
        </w:tc>
        <w:tc>
          <w:tcPr>
            <w:tcW w:w="5670" w:type="dxa"/>
            <w:vAlign w:val="center"/>
          </w:tcPr>
          <w:p w14:paraId="16C19EDA" w14:textId="7D2403A2" w:rsidR="00097BFA" w:rsidRPr="007247FC" w:rsidRDefault="00641CE3" w:rsidP="006D4D53">
            <w:pPr>
              <w:pStyle w:val="Normal1"/>
              <w:shd w:val="clear" w:color="auto" w:fill="FFFFFF"/>
              <w:spacing w:after="0"/>
              <w:jc w:val="both"/>
              <w:rPr>
                <w:rFonts w:ascii="Arial" w:eastAsia="Courier New" w:hAnsi="Arial" w:cs="Arial"/>
                <w:color w:val="000000"/>
                <w:lang w:eastAsia="mn-MN" w:bidi="mn-MN"/>
              </w:rPr>
            </w:pPr>
            <w:r w:rsidRPr="007247FC">
              <w:rPr>
                <w:rFonts w:ascii="Arial" w:eastAsia="Courier New" w:hAnsi="Arial" w:cs="Arial"/>
                <w:color w:val="000000"/>
                <w:lang w:eastAsia="mn-MN" w:bidi="mn-MN"/>
              </w:rPr>
              <w:t>Иргэний хуулийн 24 дүгээр зүйлийн 24.3-т “Иргэнийг нас барсанд тооцсон шүүхийн шийдвэр хүчин төгөлдөр болсон өдрийг уг этгээдийн нас барсан өдөр гэж үзнэ.” гэж заасныг үндэслэ</w:t>
            </w:r>
            <w:r w:rsidR="006D4D53" w:rsidRPr="007247FC">
              <w:rPr>
                <w:rFonts w:ascii="Arial" w:eastAsia="Courier New" w:hAnsi="Arial" w:cs="Arial"/>
                <w:color w:val="000000"/>
                <w:lang w:eastAsia="mn-MN" w:bidi="mn-MN"/>
              </w:rPr>
              <w:t>н “</w:t>
            </w:r>
            <w:r w:rsidRPr="007247FC">
              <w:rPr>
                <w:rFonts w:ascii="Arial" w:eastAsia="Courier New" w:hAnsi="Arial" w:cs="Arial"/>
                <w:color w:val="000000"/>
                <w:lang w:eastAsia="mn-MN" w:bidi="mn-MN"/>
              </w:rPr>
              <w:t>Тэжээгчийг сураггүй алга болсныг нь тогтоож, нас барснаар тооцсон шүүхийн шийдвэр гарсан тохиолдолд 60 хүртэлх сарын тэтгэврийг энэ хуулийн 16.1-д заасан гэр бүлийн гишүүнд нөхөн олгоно.</w:t>
            </w:r>
            <w:r w:rsidR="006D4D53" w:rsidRPr="007247FC">
              <w:rPr>
                <w:rFonts w:ascii="Arial" w:eastAsia="Courier New" w:hAnsi="Arial" w:cs="Arial"/>
                <w:color w:val="000000"/>
                <w:lang w:eastAsia="mn-MN" w:bidi="mn-MN"/>
              </w:rPr>
              <w:t>” гэж найруулсан.</w:t>
            </w:r>
          </w:p>
        </w:tc>
      </w:tr>
      <w:tr w:rsidR="006D4D53" w:rsidRPr="007247FC" w14:paraId="2E3AC5AE" w14:textId="77777777" w:rsidTr="00DC1560">
        <w:trPr>
          <w:trHeight w:val="926"/>
        </w:trPr>
        <w:tc>
          <w:tcPr>
            <w:tcW w:w="643" w:type="dxa"/>
            <w:vAlign w:val="center"/>
          </w:tcPr>
          <w:p w14:paraId="13693EE5" w14:textId="7FFFEC90" w:rsidR="006D4D53" w:rsidRPr="007247FC" w:rsidRDefault="007247FC" w:rsidP="00990DD7">
            <w:pPr>
              <w:jc w:val="center"/>
              <w:rPr>
                <w:rFonts w:ascii="Arial" w:hAnsi="Arial" w:cs="Arial"/>
                <w:bCs/>
                <w:sz w:val="22"/>
                <w:szCs w:val="22"/>
                <w:lang w:val="en-US"/>
              </w:rPr>
            </w:pPr>
            <w:r w:rsidRPr="007247FC">
              <w:rPr>
                <w:rFonts w:ascii="Arial" w:hAnsi="Arial" w:cs="Arial"/>
                <w:bCs/>
                <w:sz w:val="22"/>
                <w:szCs w:val="22"/>
                <w:lang w:val="en-US"/>
              </w:rPr>
              <w:t>9</w:t>
            </w:r>
          </w:p>
        </w:tc>
        <w:tc>
          <w:tcPr>
            <w:tcW w:w="2046" w:type="dxa"/>
            <w:vAlign w:val="center"/>
          </w:tcPr>
          <w:p w14:paraId="479E838C" w14:textId="590C5A4C" w:rsidR="006D4D53" w:rsidRPr="007247FC" w:rsidRDefault="006D4D53" w:rsidP="00990DD7">
            <w:pPr>
              <w:jc w:val="center"/>
              <w:rPr>
                <w:rFonts w:ascii="Arial" w:hAnsi="Arial" w:cs="Arial"/>
                <w:bCs/>
                <w:sz w:val="22"/>
                <w:szCs w:val="22"/>
              </w:rPr>
            </w:pPr>
            <w:r w:rsidRPr="007247FC">
              <w:rPr>
                <w:rFonts w:ascii="Arial" w:hAnsi="Arial" w:cs="Arial"/>
                <w:sz w:val="22"/>
                <w:szCs w:val="22"/>
              </w:rPr>
              <w:t>Хүнс, хөдөө аж ахуй, хөнгөн үйлдвэрийн яам (2022.12.26 01/4116)</w:t>
            </w:r>
          </w:p>
        </w:tc>
        <w:tc>
          <w:tcPr>
            <w:tcW w:w="10806" w:type="dxa"/>
            <w:gridSpan w:val="2"/>
            <w:vAlign w:val="center"/>
          </w:tcPr>
          <w:p w14:paraId="7E236085" w14:textId="300BF624" w:rsidR="006D4D53" w:rsidRPr="007247FC" w:rsidRDefault="006D4D53" w:rsidP="00A605D5">
            <w:pPr>
              <w:rPr>
                <w:rFonts w:ascii="Arial" w:hAnsi="Arial" w:cs="Arial"/>
                <w:bCs/>
                <w:sz w:val="22"/>
                <w:szCs w:val="22"/>
              </w:rPr>
            </w:pPr>
            <w:r w:rsidRPr="007247FC">
              <w:rPr>
                <w:rFonts w:ascii="Arial" w:hAnsi="Arial" w:cs="Arial"/>
                <w:sz w:val="22"/>
                <w:szCs w:val="22"/>
              </w:rPr>
              <w:t>Хуулийн төсөлд тусгайлан өгөх саналгүй байна.</w:t>
            </w:r>
          </w:p>
        </w:tc>
      </w:tr>
      <w:tr w:rsidR="008B0313" w:rsidRPr="007247FC" w14:paraId="13C03592" w14:textId="77777777" w:rsidTr="00183026">
        <w:trPr>
          <w:trHeight w:val="926"/>
        </w:trPr>
        <w:tc>
          <w:tcPr>
            <w:tcW w:w="643" w:type="dxa"/>
            <w:vMerge w:val="restart"/>
            <w:vAlign w:val="center"/>
          </w:tcPr>
          <w:p w14:paraId="0C55D046" w14:textId="68EE97AD" w:rsidR="008B0313" w:rsidRPr="007247FC" w:rsidRDefault="007247FC" w:rsidP="008B0313">
            <w:pPr>
              <w:jc w:val="center"/>
              <w:rPr>
                <w:rFonts w:ascii="Arial" w:hAnsi="Arial" w:cs="Arial"/>
                <w:bCs/>
                <w:sz w:val="22"/>
                <w:szCs w:val="22"/>
                <w:lang w:val="en-US"/>
              </w:rPr>
            </w:pPr>
            <w:r w:rsidRPr="007247FC">
              <w:rPr>
                <w:rFonts w:ascii="Arial" w:hAnsi="Arial" w:cs="Arial"/>
                <w:bCs/>
                <w:sz w:val="22"/>
                <w:szCs w:val="22"/>
                <w:lang w:val="en-US"/>
              </w:rPr>
              <w:t>10</w:t>
            </w:r>
          </w:p>
        </w:tc>
        <w:tc>
          <w:tcPr>
            <w:tcW w:w="2046" w:type="dxa"/>
            <w:vMerge w:val="restart"/>
            <w:vAlign w:val="center"/>
          </w:tcPr>
          <w:p w14:paraId="15516627" w14:textId="77777777" w:rsidR="008B0313" w:rsidRPr="007247FC" w:rsidRDefault="008B0313" w:rsidP="008B0313">
            <w:pPr>
              <w:jc w:val="center"/>
              <w:rPr>
                <w:rFonts w:ascii="Arial" w:hAnsi="Arial" w:cs="Arial"/>
                <w:sz w:val="22"/>
                <w:szCs w:val="22"/>
              </w:rPr>
            </w:pPr>
            <w:r w:rsidRPr="007247FC">
              <w:rPr>
                <w:rFonts w:ascii="Arial" w:hAnsi="Arial" w:cs="Arial"/>
                <w:sz w:val="22"/>
                <w:szCs w:val="22"/>
              </w:rPr>
              <w:t>Хууль зүй, дотоод хэргийн яам</w:t>
            </w:r>
          </w:p>
          <w:p w14:paraId="5323B717" w14:textId="6EC8A27C" w:rsidR="008B0313" w:rsidRPr="007247FC" w:rsidRDefault="008B0313" w:rsidP="008B0313">
            <w:pPr>
              <w:jc w:val="center"/>
              <w:rPr>
                <w:rFonts w:ascii="Arial" w:hAnsi="Arial" w:cs="Arial"/>
                <w:bCs/>
                <w:sz w:val="22"/>
                <w:szCs w:val="22"/>
              </w:rPr>
            </w:pPr>
            <w:r w:rsidRPr="007247FC">
              <w:rPr>
                <w:rFonts w:ascii="Arial" w:hAnsi="Arial" w:cs="Arial"/>
                <w:sz w:val="22"/>
                <w:szCs w:val="22"/>
              </w:rPr>
              <w:t>(2022.12.27 1/6558)</w:t>
            </w:r>
          </w:p>
        </w:tc>
        <w:tc>
          <w:tcPr>
            <w:tcW w:w="5136" w:type="dxa"/>
            <w:vAlign w:val="center"/>
          </w:tcPr>
          <w:p w14:paraId="1C33C6E6" w14:textId="178C2E46" w:rsidR="008B0313" w:rsidRPr="007247FC" w:rsidRDefault="002D1574" w:rsidP="007464D1">
            <w:pPr>
              <w:jc w:val="both"/>
              <w:rPr>
                <w:rFonts w:ascii="Arial" w:hAnsi="Arial" w:cs="Arial"/>
                <w:sz w:val="22"/>
                <w:szCs w:val="22"/>
                <w:highlight w:val="yellow"/>
              </w:rPr>
            </w:pPr>
            <w:r w:rsidRPr="007247FC">
              <w:rPr>
                <w:rFonts w:ascii="Arial" w:hAnsi="Arial" w:cs="Arial"/>
                <w:sz w:val="22"/>
                <w:szCs w:val="22"/>
              </w:rPr>
              <w:t>1.</w:t>
            </w:r>
            <w:r w:rsidR="00CE3BA5" w:rsidRPr="007247FC">
              <w:rPr>
                <w:rFonts w:ascii="Arial" w:hAnsi="Arial" w:cs="Arial"/>
                <w:sz w:val="22"/>
                <w:szCs w:val="22"/>
              </w:rPr>
              <w:t xml:space="preserve">Хуулийн төслийн 5 дугаар зүйлийн 5.1 дэх хэсэгт “нийтдээ 20-оос доошгүй жил, үүнээс 10-аас доошгүй жил нь хилийн анги, салбарт ажиллаж, тэтгэврийн даатгалын шимтгэл төлсөн 52 насанд хүрсэн эрэгтэй, нийтдээ 20-оос доошгүй жил, үүнээс 10-аас доошгүй жил нь хилийн анги, салбарт ажиллаж тэтгэврийн </w:t>
            </w:r>
            <w:r w:rsidR="00CE3BA5" w:rsidRPr="007247FC">
              <w:rPr>
                <w:rFonts w:ascii="Arial" w:hAnsi="Arial" w:cs="Arial"/>
                <w:sz w:val="22"/>
                <w:szCs w:val="22"/>
              </w:rPr>
              <w:lastRenderedPageBreak/>
              <w:t>даатгалын шимтгэл төлсөн 47 насанд хүрсэн эмэгтэй</w:t>
            </w:r>
            <w:r w:rsidR="007464D1" w:rsidRPr="007247FC">
              <w:rPr>
                <w:rFonts w:ascii="Arial" w:hAnsi="Arial" w:cs="Arial"/>
                <w:sz w:val="22"/>
                <w:szCs w:val="22"/>
              </w:rPr>
              <w:t>.” гэсэн 5.1.8</w:t>
            </w:r>
            <w:r w:rsidR="00CE3BA5" w:rsidRPr="007247FC">
              <w:rPr>
                <w:rFonts w:ascii="Arial" w:hAnsi="Arial" w:cs="Arial"/>
                <w:sz w:val="22"/>
                <w:szCs w:val="22"/>
              </w:rPr>
              <w:t xml:space="preserve"> дахь заалт нэмэх</w:t>
            </w:r>
            <w:r w:rsidR="008B0313" w:rsidRPr="007247FC">
              <w:rPr>
                <w:rFonts w:ascii="Arial" w:hAnsi="Arial" w:cs="Arial"/>
                <w:sz w:val="22"/>
                <w:szCs w:val="22"/>
              </w:rPr>
              <w:t xml:space="preserve"> </w:t>
            </w:r>
          </w:p>
        </w:tc>
        <w:tc>
          <w:tcPr>
            <w:tcW w:w="5670" w:type="dxa"/>
            <w:vAlign w:val="center"/>
          </w:tcPr>
          <w:p w14:paraId="09621B5B" w14:textId="6F071CCD" w:rsidR="008B0313" w:rsidRPr="007247FC" w:rsidRDefault="008B0313" w:rsidP="00454A28">
            <w:pPr>
              <w:jc w:val="both"/>
              <w:rPr>
                <w:rFonts w:ascii="Arial" w:hAnsi="Arial" w:cs="Arial"/>
                <w:bCs/>
                <w:sz w:val="22"/>
                <w:szCs w:val="22"/>
              </w:rPr>
            </w:pPr>
            <w:r w:rsidRPr="007247FC">
              <w:rPr>
                <w:rFonts w:ascii="Arial" w:hAnsi="Arial" w:cs="Arial"/>
                <w:sz w:val="22"/>
                <w:szCs w:val="22"/>
              </w:rPr>
              <w:lastRenderedPageBreak/>
              <w:t xml:space="preserve">Хөдөлмөрийн хэвийн бус нөхцөлд ажиллаж байхдаа шимтгэл төлөх хугацааны болзлыг хангасан даатгуулагчид нийгмийн даатгалын хууль тогтоомжид заасны дагуу өндөр насны тэтгэврийг эрт тогтоож, олгодог. Уг хөдөлмөрийн хэвийн бус нөхцөлийг тодорхойлохдоо эдийн засгийн үйл ажиллагааны салбар болон ажил мэргэжлээр нь </w:t>
            </w:r>
            <w:r w:rsidRPr="007247FC">
              <w:rPr>
                <w:rFonts w:ascii="Arial" w:hAnsi="Arial" w:cs="Arial"/>
                <w:sz w:val="22"/>
                <w:szCs w:val="22"/>
              </w:rPr>
              <w:lastRenderedPageBreak/>
              <w:t xml:space="preserve">ангилсан "Тэтгэврийг хөнгөлөлттэй тогтооход баримтлах ажил мэргэжлийн жагсаалт"-ыг үндэслэдэг. Харин хилийн анги, салбарт </w:t>
            </w:r>
            <w:r w:rsidR="00454A28" w:rsidRPr="007247FC">
              <w:rPr>
                <w:rFonts w:ascii="Arial" w:hAnsi="Arial" w:cs="Arial"/>
                <w:sz w:val="22"/>
                <w:szCs w:val="22"/>
              </w:rPr>
              <w:t xml:space="preserve">энгийнээр </w:t>
            </w:r>
            <w:r w:rsidR="00341B9A" w:rsidRPr="007247FC">
              <w:rPr>
                <w:rFonts w:ascii="Arial" w:hAnsi="Arial" w:cs="Arial"/>
                <w:sz w:val="22"/>
                <w:szCs w:val="22"/>
              </w:rPr>
              <w:t xml:space="preserve">хэвийн нөхцөлд </w:t>
            </w:r>
            <w:r w:rsidRPr="007247FC">
              <w:rPr>
                <w:rFonts w:ascii="Arial" w:hAnsi="Arial" w:cs="Arial"/>
                <w:sz w:val="22"/>
                <w:szCs w:val="22"/>
              </w:rPr>
              <w:t>ажиллаж, тэтгэврийн даатгалын шимтгэл төлсөн даатгуулагчийн хөдөлмөрийн нөхцөлийг хэвийн бус нөхцөлд хамааруулан хуулийн төсөлд тусгаснаар бусад цэрги</w:t>
            </w:r>
            <w:r w:rsidR="00454A28" w:rsidRPr="007247FC">
              <w:rPr>
                <w:rFonts w:ascii="Arial" w:hAnsi="Arial" w:cs="Arial"/>
                <w:sz w:val="22"/>
                <w:szCs w:val="22"/>
              </w:rPr>
              <w:t xml:space="preserve">йн албаны байгууллагад </w:t>
            </w:r>
            <w:r w:rsidRPr="007247FC">
              <w:rPr>
                <w:rFonts w:ascii="Arial" w:hAnsi="Arial" w:cs="Arial"/>
                <w:sz w:val="22"/>
                <w:szCs w:val="22"/>
              </w:rPr>
              <w:t>ажиллаж буй даатгуулагчдад тэгш бус байдал үүсэх юм.</w:t>
            </w:r>
          </w:p>
        </w:tc>
      </w:tr>
      <w:tr w:rsidR="00CE3BA5" w:rsidRPr="007247FC" w14:paraId="2B2C93C4" w14:textId="77777777" w:rsidTr="00183026">
        <w:trPr>
          <w:trHeight w:val="926"/>
        </w:trPr>
        <w:tc>
          <w:tcPr>
            <w:tcW w:w="643" w:type="dxa"/>
            <w:vMerge/>
            <w:vAlign w:val="center"/>
          </w:tcPr>
          <w:p w14:paraId="5553560A" w14:textId="77777777" w:rsidR="00CE3BA5" w:rsidRPr="007247FC" w:rsidRDefault="00CE3BA5" w:rsidP="00CE3BA5">
            <w:pPr>
              <w:jc w:val="center"/>
              <w:rPr>
                <w:rFonts w:ascii="Arial" w:hAnsi="Arial" w:cs="Arial"/>
                <w:bCs/>
                <w:sz w:val="22"/>
                <w:szCs w:val="22"/>
              </w:rPr>
            </w:pPr>
          </w:p>
        </w:tc>
        <w:tc>
          <w:tcPr>
            <w:tcW w:w="2046" w:type="dxa"/>
            <w:vMerge/>
            <w:vAlign w:val="center"/>
          </w:tcPr>
          <w:p w14:paraId="7918AD33" w14:textId="77777777" w:rsidR="00CE3BA5" w:rsidRPr="007247FC" w:rsidRDefault="00CE3BA5" w:rsidP="00CE3BA5">
            <w:pPr>
              <w:jc w:val="center"/>
              <w:rPr>
                <w:rFonts w:ascii="Arial" w:hAnsi="Arial" w:cs="Arial"/>
                <w:sz w:val="22"/>
                <w:szCs w:val="22"/>
              </w:rPr>
            </w:pPr>
          </w:p>
        </w:tc>
        <w:tc>
          <w:tcPr>
            <w:tcW w:w="5136" w:type="dxa"/>
            <w:vAlign w:val="center"/>
          </w:tcPr>
          <w:p w14:paraId="42B96920" w14:textId="322693EB" w:rsidR="00CE3BA5" w:rsidRPr="007247FC" w:rsidRDefault="002D1574" w:rsidP="00CE3BA5">
            <w:pPr>
              <w:jc w:val="both"/>
              <w:rPr>
                <w:rFonts w:ascii="Arial" w:hAnsi="Arial" w:cs="Arial"/>
                <w:sz w:val="22"/>
                <w:szCs w:val="22"/>
              </w:rPr>
            </w:pPr>
            <w:r w:rsidRPr="007247FC">
              <w:rPr>
                <w:rFonts w:ascii="Arial" w:hAnsi="Arial" w:cs="Arial"/>
                <w:sz w:val="22"/>
                <w:szCs w:val="22"/>
              </w:rPr>
              <w:t>2.</w:t>
            </w:r>
            <w:r w:rsidR="00CE3BA5" w:rsidRPr="007247FC">
              <w:rPr>
                <w:rFonts w:ascii="Arial" w:hAnsi="Arial" w:cs="Arial"/>
                <w:sz w:val="22"/>
                <w:szCs w:val="22"/>
              </w:rPr>
              <w:t>Нийгмийн даатгалын сангаас олгох тэтгэврийн тухай хуулийн төслийг дагалдан боловсруулсан Монгол Улсын шүүхийн тухай хуульд өөрчлөлт оруулах тухай хуулийн төслийн нэгдүгээр зүйлд 47-гийн 6 шүүгчид өндөр насны тэтгэвэр тогтоох, олгох харилцааг Нийгмийн даатгалын сангаас олгох тэтгэврийн тухай хуульд зааснаар зохицуулна гэж тусгасан нь шүүх эрх Мэдлэгийн шинэтгэлийн хүрээн дэх шүүгчийг хараат бус байдлыг хангах баталгаатай холбоотой хуульчилсан чухал зохицуулалтыг хөндөж байгааг иргэн нягтлах,</w:t>
            </w:r>
          </w:p>
        </w:tc>
        <w:tc>
          <w:tcPr>
            <w:tcW w:w="5670" w:type="dxa"/>
            <w:vAlign w:val="center"/>
          </w:tcPr>
          <w:p w14:paraId="5E02C42B" w14:textId="0C3A74B3" w:rsidR="00CE3BA5" w:rsidRPr="007247FC" w:rsidRDefault="00CE3BA5" w:rsidP="00CE3BA5">
            <w:pPr>
              <w:jc w:val="both"/>
              <w:rPr>
                <w:rFonts w:ascii="Arial" w:hAnsi="Arial" w:cs="Arial"/>
                <w:sz w:val="22"/>
                <w:szCs w:val="22"/>
              </w:rPr>
            </w:pPr>
            <w:r w:rsidRPr="007247FC">
              <w:rPr>
                <w:rFonts w:ascii="Arial" w:hAnsi="Arial" w:cs="Arial"/>
                <w:sz w:val="22"/>
                <w:szCs w:val="22"/>
              </w:rPr>
              <w:t>Зарим салбарын хууль тогтоомж (Монгол Улсын Шүүхийн тухай, Монгол Улсын Үндсэн хуулийн цэцийн тухай, Монгол Улсын Хилийн тухай, Гаалийн тухай, Дипломат албаны тухай хууль зэрэг)-д нийгмийн даатгалын шимтгэл төлөх, тэтгэвэр тогтоох харилцааг зохицуулсан нь даатгуулагчдад тэгш бус байдал үүсгэж байна. Иймд Нийгмийн даатгалын ерөнхий хуулийн төслийн үзэл баримтлалын хүрээнд нийгмийн даатгалын харилцааг зөвхөн нарийвчилсан хуулиар зохицуулах бодлого баримталж, холбогдох хуульд өөрчлөлт оруулах хуулийн төслийг боловсруулсан болно.</w:t>
            </w:r>
          </w:p>
        </w:tc>
      </w:tr>
      <w:tr w:rsidR="00CE3BA5" w:rsidRPr="007247FC" w14:paraId="11A5C8F0" w14:textId="77777777" w:rsidTr="00183026">
        <w:trPr>
          <w:trHeight w:val="926"/>
        </w:trPr>
        <w:tc>
          <w:tcPr>
            <w:tcW w:w="643" w:type="dxa"/>
            <w:vAlign w:val="center"/>
          </w:tcPr>
          <w:p w14:paraId="6A377AC3" w14:textId="6D7BD712" w:rsidR="00CE3BA5" w:rsidRPr="007247FC" w:rsidRDefault="00CE3BA5" w:rsidP="00CE3BA5">
            <w:pPr>
              <w:jc w:val="center"/>
              <w:rPr>
                <w:rFonts w:ascii="Arial" w:hAnsi="Arial" w:cs="Arial"/>
                <w:bCs/>
                <w:sz w:val="22"/>
                <w:szCs w:val="22"/>
                <w:lang w:val="en-US"/>
              </w:rPr>
            </w:pPr>
            <w:r w:rsidRPr="007247FC">
              <w:rPr>
                <w:rFonts w:ascii="Arial" w:hAnsi="Arial" w:cs="Arial"/>
                <w:bCs/>
                <w:sz w:val="22"/>
                <w:szCs w:val="22"/>
              </w:rPr>
              <w:t>1</w:t>
            </w:r>
            <w:r w:rsidR="007247FC" w:rsidRPr="007247FC">
              <w:rPr>
                <w:rFonts w:ascii="Arial" w:hAnsi="Arial" w:cs="Arial"/>
                <w:bCs/>
                <w:sz w:val="22"/>
                <w:szCs w:val="22"/>
                <w:lang w:val="en-US"/>
              </w:rPr>
              <w:t>1</w:t>
            </w:r>
          </w:p>
        </w:tc>
        <w:tc>
          <w:tcPr>
            <w:tcW w:w="2046" w:type="dxa"/>
            <w:vAlign w:val="center"/>
          </w:tcPr>
          <w:p w14:paraId="6D6D8A71" w14:textId="56AB3D23" w:rsidR="00CE3BA5" w:rsidRPr="007247FC" w:rsidRDefault="00CE3BA5" w:rsidP="00CE3BA5">
            <w:pPr>
              <w:jc w:val="center"/>
              <w:rPr>
                <w:rFonts w:ascii="Arial" w:hAnsi="Arial" w:cs="Arial"/>
                <w:bCs/>
                <w:sz w:val="22"/>
                <w:szCs w:val="22"/>
              </w:rPr>
            </w:pPr>
            <w:r w:rsidRPr="007247FC">
              <w:rPr>
                <w:rFonts w:ascii="Arial" w:hAnsi="Arial" w:cs="Arial"/>
                <w:sz w:val="22"/>
                <w:szCs w:val="22"/>
              </w:rPr>
              <w:t>Уул уурхай, хүнд үйлдвэрийн сайд (2022.12.23 01/3395</w:t>
            </w:r>
          </w:p>
        </w:tc>
        <w:tc>
          <w:tcPr>
            <w:tcW w:w="5136" w:type="dxa"/>
            <w:vAlign w:val="center"/>
          </w:tcPr>
          <w:p w14:paraId="67BF5045" w14:textId="23FE9705" w:rsidR="00CE3BA5" w:rsidRPr="007247FC" w:rsidRDefault="00CE3BA5" w:rsidP="00CE3BA5">
            <w:pPr>
              <w:jc w:val="both"/>
              <w:rPr>
                <w:rFonts w:ascii="Arial" w:hAnsi="Arial" w:cs="Arial"/>
                <w:color w:val="000000" w:themeColor="text1"/>
                <w:sz w:val="22"/>
                <w:szCs w:val="22"/>
              </w:rPr>
            </w:pPr>
            <w:r w:rsidRPr="007247FC">
              <w:rPr>
                <w:rFonts w:ascii="Arial" w:hAnsi="Arial" w:cs="Arial"/>
                <w:color w:val="000000" w:themeColor="text1"/>
                <w:sz w:val="22"/>
                <w:szCs w:val="22"/>
              </w:rPr>
              <w:t xml:space="preserve">Нийгмийн даатгалын сангаас олгох тэтгэврийн тухай хуулийн төслийн 2.1.2-т “тэтгэвэр бодох нэрийн дансны арга гэж” даатгуулагчийн нэрийн дансанд бүртгэсэн нийт орлого, тэтгэвэр авах дундаж хугацааны илэрхийлэлд үндэслэн сард олгох тэтгэврийн хэмжээг тооцохыг ойлгоно, мөн 8 дугаар зүйлд өндөр насны тэтгэврийн хэмжээг нэрийн дансны аргаар бодох талаар тус тус тусгажээ. </w:t>
            </w:r>
          </w:p>
          <w:p w14:paraId="1E64F7B4" w14:textId="49F5D684" w:rsidR="00CE3BA5" w:rsidRPr="007247FC" w:rsidRDefault="00CE3BA5" w:rsidP="00CE3BA5">
            <w:pPr>
              <w:jc w:val="both"/>
              <w:rPr>
                <w:rFonts w:ascii="Arial" w:hAnsi="Arial" w:cs="Arial"/>
                <w:sz w:val="22"/>
                <w:szCs w:val="22"/>
                <w:highlight w:val="yellow"/>
              </w:rPr>
            </w:pPr>
            <w:r w:rsidRPr="007247FC">
              <w:rPr>
                <w:rFonts w:ascii="Arial" w:hAnsi="Arial" w:cs="Arial"/>
                <w:color w:val="000000" w:themeColor="text1"/>
                <w:sz w:val="22"/>
                <w:szCs w:val="22"/>
              </w:rPr>
              <w:t>Мөн төслийн 23.1-д “нийгмийн даатгалын байгууллага энэ хуулийн 4 дүгээр зүйлд заасан тэтгэврийг тэтгэвэр авагчийн сонгосон арилжааны банкаар дамжуулан сар бүр олгоно” гэжээ. Даатгуулагчийн тэтгэвэр тогтоолгосноос хойш хугацааны наслалт харилцан адилгүй байх тул өөрийн нэрийн данс дахь тэтгэврийг сар бүр, эсхүл хэсэгчлэн нэг удаа бүтнээр нь авах зохицуулалтыг сонголттойгоор шинэчилсэн найруулгын төсөлд зайлшгүй тусгах шаардлагатай гэсэн саналтай байна.</w:t>
            </w:r>
          </w:p>
        </w:tc>
        <w:tc>
          <w:tcPr>
            <w:tcW w:w="5670" w:type="dxa"/>
            <w:vAlign w:val="center"/>
          </w:tcPr>
          <w:p w14:paraId="227F888A" w14:textId="7FAE8CBD" w:rsidR="00CE3BA5" w:rsidRPr="007247FC" w:rsidRDefault="001A35CA" w:rsidP="001A35CA">
            <w:pPr>
              <w:jc w:val="both"/>
              <w:rPr>
                <w:rFonts w:ascii="Arial" w:hAnsi="Arial" w:cs="Arial"/>
                <w:bCs/>
                <w:sz w:val="22"/>
                <w:szCs w:val="22"/>
              </w:rPr>
            </w:pPr>
            <w:r w:rsidRPr="007247FC">
              <w:rPr>
                <w:rFonts w:ascii="Arial" w:hAnsi="Arial" w:cs="Arial"/>
                <w:sz w:val="22"/>
                <w:szCs w:val="22"/>
              </w:rPr>
              <w:t xml:space="preserve">Нийгмийн даатгал нь эв санааны нэгдлийн зарчимтай  хуваарилалтын тогтолцоотой тул тэтгэвэр авагчийн нийгмийн баталгааг алдагдуулахгүй байх зорилгоор тэтгэврийг сар бүр олгодог. Харин бүрэн хуримтлалын тогтолцоотой улс орнууд </w:t>
            </w:r>
            <w:r w:rsidRPr="007247FC">
              <w:rPr>
                <w:rFonts w:ascii="Arial" w:hAnsi="Arial" w:cs="Arial"/>
                <w:color w:val="000000" w:themeColor="text1"/>
                <w:sz w:val="22"/>
                <w:szCs w:val="22"/>
              </w:rPr>
              <w:t xml:space="preserve">тэтгэврийг сар бүр, эсхүл хэсэгчлэн нэг удаа бүтнээр нь авах  сонголттой байдаг. Монгол Улсын тухайд бүрэн хуримтлалын тогтолцоонд шилжсэн тохиолдолд уг зохицуулалтыг тусган хэрэгжүүлэх боломжтой. </w:t>
            </w:r>
          </w:p>
        </w:tc>
      </w:tr>
      <w:tr w:rsidR="00A605D5" w:rsidRPr="007247FC" w14:paraId="504760FF" w14:textId="77777777" w:rsidTr="00183026">
        <w:trPr>
          <w:trHeight w:val="926"/>
        </w:trPr>
        <w:tc>
          <w:tcPr>
            <w:tcW w:w="643" w:type="dxa"/>
            <w:vMerge w:val="restart"/>
            <w:vAlign w:val="center"/>
          </w:tcPr>
          <w:p w14:paraId="441C4B83" w14:textId="77777777" w:rsidR="00A605D5" w:rsidRPr="007247FC" w:rsidRDefault="00A605D5" w:rsidP="00A605D5">
            <w:pPr>
              <w:jc w:val="center"/>
              <w:rPr>
                <w:rFonts w:ascii="Arial" w:hAnsi="Arial" w:cs="Arial"/>
                <w:bCs/>
                <w:sz w:val="22"/>
                <w:szCs w:val="22"/>
              </w:rPr>
            </w:pPr>
          </w:p>
          <w:p w14:paraId="0C89B231" w14:textId="77777777" w:rsidR="00A605D5" w:rsidRPr="007247FC" w:rsidRDefault="00A605D5" w:rsidP="00A605D5">
            <w:pPr>
              <w:jc w:val="center"/>
              <w:rPr>
                <w:rFonts w:ascii="Arial" w:hAnsi="Arial" w:cs="Arial"/>
                <w:bCs/>
                <w:sz w:val="22"/>
                <w:szCs w:val="22"/>
              </w:rPr>
            </w:pPr>
          </w:p>
          <w:p w14:paraId="4ACF8812" w14:textId="0E03E905" w:rsidR="00A605D5" w:rsidRPr="007247FC" w:rsidRDefault="00A605D5" w:rsidP="00A605D5">
            <w:pPr>
              <w:jc w:val="center"/>
              <w:rPr>
                <w:rFonts w:ascii="Arial" w:hAnsi="Arial" w:cs="Arial"/>
                <w:bCs/>
                <w:sz w:val="22"/>
                <w:szCs w:val="22"/>
                <w:lang w:val="en-US"/>
              </w:rPr>
            </w:pPr>
            <w:r w:rsidRPr="007247FC">
              <w:rPr>
                <w:rFonts w:ascii="Arial" w:hAnsi="Arial" w:cs="Arial"/>
                <w:bCs/>
                <w:sz w:val="22"/>
                <w:szCs w:val="22"/>
              </w:rPr>
              <w:t>1</w:t>
            </w:r>
            <w:r w:rsidR="007247FC" w:rsidRPr="007247FC">
              <w:rPr>
                <w:rFonts w:ascii="Arial" w:hAnsi="Arial" w:cs="Arial"/>
                <w:bCs/>
                <w:sz w:val="22"/>
                <w:szCs w:val="22"/>
                <w:lang w:val="en-US"/>
              </w:rPr>
              <w:t>2</w:t>
            </w:r>
          </w:p>
        </w:tc>
        <w:tc>
          <w:tcPr>
            <w:tcW w:w="2046" w:type="dxa"/>
            <w:vMerge w:val="restart"/>
            <w:vAlign w:val="center"/>
          </w:tcPr>
          <w:p w14:paraId="386BA345" w14:textId="77777777" w:rsidR="00A605D5" w:rsidRPr="007247FC" w:rsidRDefault="00A605D5" w:rsidP="00A605D5">
            <w:pPr>
              <w:jc w:val="center"/>
              <w:rPr>
                <w:rFonts w:ascii="Arial" w:hAnsi="Arial" w:cs="Arial"/>
                <w:sz w:val="22"/>
                <w:szCs w:val="22"/>
              </w:rPr>
            </w:pPr>
            <w:r w:rsidRPr="007247FC">
              <w:rPr>
                <w:rFonts w:ascii="Arial" w:hAnsi="Arial" w:cs="Arial"/>
                <w:sz w:val="22"/>
                <w:szCs w:val="22"/>
              </w:rPr>
              <w:t>Нийслэлийн засаг дарга</w:t>
            </w:r>
          </w:p>
          <w:p w14:paraId="16A3F727" w14:textId="14635972" w:rsidR="00A605D5" w:rsidRPr="007247FC" w:rsidRDefault="00A605D5" w:rsidP="00A605D5">
            <w:pPr>
              <w:jc w:val="center"/>
              <w:rPr>
                <w:rFonts w:ascii="Arial" w:hAnsi="Arial" w:cs="Arial"/>
                <w:sz w:val="22"/>
                <w:szCs w:val="22"/>
              </w:rPr>
            </w:pPr>
            <w:r w:rsidRPr="007247FC">
              <w:rPr>
                <w:rFonts w:ascii="Arial" w:hAnsi="Arial" w:cs="Arial"/>
                <w:sz w:val="22"/>
                <w:szCs w:val="22"/>
                <w:lang w:val="en-US"/>
              </w:rPr>
              <w:t>(</w:t>
            </w:r>
            <w:r w:rsidRPr="007247FC">
              <w:rPr>
                <w:rFonts w:ascii="Arial" w:hAnsi="Arial" w:cs="Arial"/>
                <w:sz w:val="22"/>
                <w:szCs w:val="22"/>
              </w:rPr>
              <w:t>2022.12.26 01/6946</w:t>
            </w:r>
            <w:r w:rsidRPr="007247FC">
              <w:rPr>
                <w:rFonts w:ascii="Arial" w:hAnsi="Arial" w:cs="Arial"/>
                <w:sz w:val="22"/>
                <w:szCs w:val="22"/>
                <w:lang w:val="en-US"/>
              </w:rPr>
              <w:t>)</w:t>
            </w:r>
          </w:p>
        </w:tc>
        <w:tc>
          <w:tcPr>
            <w:tcW w:w="5136" w:type="dxa"/>
            <w:vAlign w:val="center"/>
          </w:tcPr>
          <w:p w14:paraId="2B4D5A20" w14:textId="5747E4A4" w:rsidR="00A605D5" w:rsidRPr="007247FC" w:rsidRDefault="00A605D5" w:rsidP="00A605D5">
            <w:pPr>
              <w:jc w:val="both"/>
              <w:rPr>
                <w:rFonts w:ascii="Arial" w:hAnsi="Arial" w:cs="Arial"/>
                <w:sz w:val="22"/>
                <w:szCs w:val="22"/>
              </w:rPr>
            </w:pPr>
            <w:r w:rsidRPr="007247FC">
              <w:rPr>
                <w:rFonts w:ascii="Arial" w:hAnsi="Arial" w:cs="Arial"/>
                <w:bCs/>
                <w:sz w:val="22"/>
                <w:szCs w:val="22"/>
              </w:rPr>
              <w:t>1.Хуулийн төслийн 21 дүгээр зүйлийн 21.1.1 дэх заалтын “хөдөлмөрийн хөлсний доод хэмжээний 75 хувиас багагүй байхаар” гэснийг “хөдөлмөрийн хөлсний доод хэмжээнээс багагүй байхаар” гэж, 21.1.2 дахь заалтын “хөдөлмөрийн хөлсний доод хэмжээний 50 хувиас багагүй байхаар” гэснийг “хөдөлмөрийн хөлсний доод хэмжээний 75 хувиас багагүй байхаар” гэж тус тус өөрчлөх</w:t>
            </w:r>
          </w:p>
        </w:tc>
        <w:tc>
          <w:tcPr>
            <w:tcW w:w="5670" w:type="dxa"/>
            <w:vAlign w:val="center"/>
          </w:tcPr>
          <w:p w14:paraId="518757FD" w14:textId="5AE1E57F" w:rsidR="00A605D5" w:rsidRPr="007247FC" w:rsidRDefault="00A605D5" w:rsidP="00A605D5">
            <w:pPr>
              <w:jc w:val="both"/>
              <w:rPr>
                <w:rFonts w:ascii="Arial" w:hAnsi="Arial" w:cs="Arial"/>
                <w:sz w:val="22"/>
                <w:szCs w:val="22"/>
              </w:rPr>
            </w:pPr>
            <w:r w:rsidRPr="007247FC">
              <w:rPr>
                <w:rFonts w:ascii="Arial" w:hAnsi="Arial" w:cs="Arial"/>
                <w:sz w:val="22"/>
                <w:szCs w:val="22"/>
              </w:rPr>
              <w:t>Уг зохицуулалт нь нийгмийн даатгалын сангийн болон улсын төсвийн зардлыг нэмэгдүүлэх тул саналыг тусгах боломжгүй байна.</w:t>
            </w:r>
          </w:p>
        </w:tc>
      </w:tr>
      <w:tr w:rsidR="00A605D5" w:rsidRPr="007247FC" w14:paraId="62B70BD1" w14:textId="77777777" w:rsidTr="002D1574">
        <w:trPr>
          <w:trHeight w:val="557"/>
        </w:trPr>
        <w:tc>
          <w:tcPr>
            <w:tcW w:w="643" w:type="dxa"/>
            <w:vMerge/>
            <w:vAlign w:val="center"/>
          </w:tcPr>
          <w:p w14:paraId="3566FE0A" w14:textId="77777777" w:rsidR="00A605D5" w:rsidRPr="007247FC" w:rsidRDefault="00A605D5" w:rsidP="00A605D5">
            <w:pPr>
              <w:jc w:val="center"/>
              <w:rPr>
                <w:rFonts w:ascii="Arial" w:hAnsi="Arial" w:cs="Arial"/>
                <w:bCs/>
                <w:sz w:val="22"/>
                <w:szCs w:val="22"/>
              </w:rPr>
            </w:pPr>
          </w:p>
        </w:tc>
        <w:tc>
          <w:tcPr>
            <w:tcW w:w="2046" w:type="dxa"/>
            <w:vMerge/>
            <w:vAlign w:val="center"/>
          </w:tcPr>
          <w:p w14:paraId="4B2C85EC" w14:textId="77777777" w:rsidR="00A605D5" w:rsidRPr="007247FC" w:rsidRDefault="00A605D5" w:rsidP="00A605D5">
            <w:pPr>
              <w:jc w:val="center"/>
              <w:rPr>
                <w:rFonts w:ascii="Arial" w:hAnsi="Arial" w:cs="Arial"/>
                <w:sz w:val="22"/>
                <w:szCs w:val="22"/>
              </w:rPr>
            </w:pPr>
          </w:p>
        </w:tc>
        <w:tc>
          <w:tcPr>
            <w:tcW w:w="5136" w:type="dxa"/>
            <w:vAlign w:val="center"/>
          </w:tcPr>
          <w:p w14:paraId="061A82BC" w14:textId="077F9419" w:rsidR="00A605D5" w:rsidRPr="007247FC" w:rsidRDefault="002D1574" w:rsidP="00A605D5">
            <w:pPr>
              <w:jc w:val="both"/>
              <w:rPr>
                <w:rFonts w:ascii="Arial" w:hAnsi="Arial" w:cs="Arial"/>
                <w:bCs/>
                <w:sz w:val="22"/>
                <w:szCs w:val="22"/>
              </w:rPr>
            </w:pPr>
            <w:r w:rsidRPr="007247FC">
              <w:rPr>
                <w:rFonts w:ascii="Arial" w:hAnsi="Arial" w:cs="Arial"/>
                <w:bCs/>
                <w:sz w:val="22"/>
                <w:szCs w:val="22"/>
              </w:rPr>
              <w:t>2.</w:t>
            </w:r>
            <w:r w:rsidR="00A605D5" w:rsidRPr="007247FC">
              <w:rPr>
                <w:rFonts w:ascii="Arial" w:hAnsi="Arial" w:cs="Arial"/>
                <w:bCs/>
                <w:sz w:val="22"/>
                <w:szCs w:val="22"/>
              </w:rPr>
              <w:t>Хуулийн төслийн 22 дугаар зүйлийн 22.1.2 дахь заалтын “14 хоногийн, хэрэв хүндэтгэх үзэх шалтгаантай бол 3 сарын дотор” гэснийг “хуульд заасан тухайн тэтгэврийг олгох хугацааны дотор” гэж, 22.1.3 дахь заалтын “30 хоногийн, хэрэв хүндэтгэн үзэх шалтгаантай бол 6 сарын дотор” гэснийг “хуульд заасан тухайн тэтгэврийг олгох хугацааны дотор” гэж тус тус өөрчлөх</w:t>
            </w:r>
          </w:p>
        </w:tc>
        <w:tc>
          <w:tcPr>
            <w:tcW w:w="5670" w:type="dxa"/>
            <w:vAlign w:val="center"/>
          </w:tcPr>
          <w:p w14:paraId="263D6DC1" w14:textId="3FD2B2D7" w:rsidR="00A605D5" w:rsidRPr="007247FC" w:rsidRDefault="00A605D5" w:rsidP="00A605D5">
            <w:pPr>
              <w:jc w:val="both"/>
              <w:rPr>
                <w:rFonts w:ascii="Arial" w:hAnsi="Arial" w:cs="Arial"/>
                <w:bCs/>
                <w:sz w:val="22"/>
                <w:szCs w:val="22"/>
              </w:rPr>
            </w:pPr>
            <w:r w:rsidRPr="007247FC">
              <w:rPr>
                <w:rFonts w:ascii="Arial" w:hAnsi="Arial" w:cs="Arial"/>
                <w:bCs/>
                <w:sz w:val="22"/>
                <w:szCs w:val="22"/>
              </w:rPr>
              <w:t xml:space="preserve">Энэхүү зохицуулалт нь даатгуулагчийн тэтгэвэр тогтоолгох өргөдөл гаргах хугацааг зохицуулсан заалт тул саналыг тусгах боломжгүй.  </w:t>
            </w:r>
          </w:p>
          <w:p w14:paraId="42160B29" w14:textId="77777777" w:rsidR="00A605D5" w:rsidRPr="007247FC" w:rsidRDefault="00A605D5" w:rsidP="00A605D5">
            <w:pPr>
              <w:jc w:val="both"/>
              <w:rPr>
                <w:rFonts w:ascii="Arial" w:hAnsi="Arial" w:cs="Arial"/>
                <w:sz w:val="22"/>
                <w:szCs w:val="22"/>
              </w:rPr>
            </w:pPr>
          </w:p>
        </w:tc>
      </w:tr>
      <w:tr w:rsidR="00A605D5" w:rsidRPr="007247FC" w14:paraId="56955B21" w14:textId="77777777" w:rsidTr="00183026">
        <w:trPr>
          <w:trHeight w:val="926"/>
        </w:trPr>
        <w:tc>
          <w:tcPr>
            <w:tcW w:w="643" w:type="dxa"/>
            <w:vMerge/>
            <w:vAlign w:val="center"/>
          </w:tcPr>
          <w:p w14:paraId="5BBF58BA" w14:textId="77777777" w:rsidR="00A605D5" w:rsidRPr="007247FC" w:rsidRDefault="00A605D5" w:rsidP="00A605D5">
            <w:pPr>
              <w:jc w:val="center"/>
              <w:rPr>
                <w:rFonts w:ascii="Arial" w:hAnsi="Arial" w:cs="Arial"/>
                <w:bCs/>
                <w:sz w:val="22"/>
                <w:szCs w:val="22"/>
              </w:rPr>
            </w:pPr>
          </w:p>
        </w:tc>
        <w:tc>
          <w:tcPr>
            <w:tcW w:w="2046" w:type="dxa"/>
            <w:vMerge/>
            <w:vAlign w:val="center"/>
          </w:tcPr>
          <w:p w14:paraId="56BBB18F" w14:textId="77777777" w:rsidR="00A605D5" w:rsidRPr="007247FC" w:rsidRDefault="00A605D5" w:rsidP="00A605D5">
            <w:pPr>
              <w:jc w:val="center"/>
              <w:rPr>
                <w:rFonts w:ascii="Arial" w:hAnsi="Arial" w:cs="Arial"/>
                <w:sz w:val="22"/>
                <w:szCs w:val="22"/>
              </w:rPr>
            </w:pPr>
          </w:p>
        </w:tc>
        <w:tc>
          <w:tcPr>
            <w:tcW w:w="5136" w:type="dxa"/>
            <w:vAlign w:val="center"/>
          </w:tcPr>
          <w:p w14:paraId="79979A8E" w14:textId="622BD453" w:rsidR="00A605D5" w:rsidRPr="007247FC" w:rsidRDefault="002D1574" w:rsidP="00A605D5">
            <w:pPr>
              <w:jc w:val="both"/>
              <w:rPr>
                <w:rFonts w:ascii="Arial" w:hAnsi="Arial" w:cs="Arial"/>
                <w:bCs/>
                <w:sz w:val="22"/>
                <w:szCs w:val="22"/>
              </w:rPr>
            </w:pPr>
            <w:r w:rsidRPr="007247FC">
              <w:rPr>
                <w:rFonts w:ascii="Arial" w:hAnsi="Arial" w:cs="Arial"/>
                <w:bCs/>
                <w:sz w:val="22"/>
                <w:szCs w:val="22"/>
                <w:lang w:val="en-US"/>
              </w:rPr>
              <w:t>3.</w:t>
            </w:r>
            <w:r w:rsidR="00A605D5" w:rsidRPr="007247FC">
              <w:rPr>
                <w:rFonts w:ascii="Arial" w:hAnsi="Arial" w:cs="Arial"/>
                <w:bCs/>
                <w:sz w:val="22"/>
                <w:szCs w:val="22"/>
              </w:rPr>
              <w:t>Хуулийн төслийн 25 дугаар зүйлд “25.</w:t>
            </w:r>
            <w:proofErr w:type="gramStart"/>
            <w:r w:rsidR="00A605D5" w:rsidRPr="007247FC">
              <w:rPr>
                <w:rFonts w:ascii="Arial" w:hAnsi="Arial" w:cs="Arial"/>
                <w:bCs/>
                <w:sz w:val="22"/>
                <w:szCs w:val="22"/>
              </w:rPr>
              <w:t>4.Тэтгэвэр</w:t>
            </w:r>
            <w:proofErr w:type="gramEnd"/>
            <w:r w:rsidR="00A605D5" w:rsidRPr="007247FC">
              <w:rPr>
                <w:rFonts w:ascii="Arial" w:hAnsi="Arial" w:cs="Arial"/>
                <w:bCs/>
                <w:sz w:val="22"/>
                <w:szCs w:val="22"/>
              </w:rPr>
              <w:t xml:space="preserve"> авагч өндөр насны тэтгэвэр тогтоолгосноос хойш 12 сараас доошгүй хугацаанд хөдөлмөр эрхэлж тэтгэврийн даатгалын шимтгэл төлсөн бол тухайн шимтгэл төлсөн нийт сарын хөдөлмөрийн хөлс, түүнтэй адилтгах орлогын дунджаас 12 сар тутамд 2.0 хувиар тооцон тэтгэврийн хэмжээг нэмэгдүүлнэ” гэсэн хэсэг нэмэх;</w:t>
            </w:r>
          </w:p>
        </w:tc>
        <w:tc>
          <w:tcPr>
            <w:tcW w:w="5670" w:type="dxa"/>
            <w:vAlign w:val="center"/>
          </w:tcPr>
          <w:p w14:paraId="48113119" w14:textId="046004FD" w:rsidR="00A605D5" w:rsidRPr="007247FC" w:rsidRDefault="00A605D5" w:rsidP="00A605D5">
            <w:pPr>
              <w:jc w:val="both"/>
              <w:rPr>
                <w:rFonts w:ascii="Arial" w:hAnsi="Arial" w:cs="Arial"/>
                <w:sz w:val="22"/>
                <w:szCs w:val="22"/>
              </w:rPr>
            </w:pPr>
            <w:r w:rsidRPr="007247FC">
              <w:rPr>
                <w:rFonts w:ascii="Arial" w:eastAsia="Times New Roman" w:hAnsi="Arial" w:cs="Arial"/>
                <w:sz w:val="22"/>
                <w:szCs w:val="22"/>
              </w:rPr>
              <w:t xml:space="preserve">Тус саналыг хуулийн төслийн 7.4, 7.5 дахь хэсэгт тусгасан байгаа болно. </w:t>
            </w:r>
          </w:p>
        </w:tc>
      </w:tr>
      <w:tr w:rsidR="00A605D5" w:rsidRPr="007247FC" w14:paraId="4DADEE54" w14:textId="77777777" w:rsidTr="002D1574">
        <w:trPr>
          <w:trHeight w:val="926"/>
        </w:trPr>
        <w:tc>
          <w:tcPr>
            <w:tcW w:w="643" w:type="dxa"/>
            <w:vMerge/>
            <w:vAlign w:val="center"/>
          </w:tcPr>
          <w:p w14:paraId="0DB03D0D" w14:textId="77777777" w:rsidR="00A605D5" w:rsidRPr="007247FC" w:rsidRDefault="00A605D5" w:rsidP="00A605D5">
            <w:pPr>
              <w:jc w:val="center"/>
              <w:rPr>
                <w:rFonts w:ascii="Arial" w:hAnsi="Arial" w:cs="Arial"/>
                <w:bCs/>
                <w:sz w:val="22"/>
                <w:szCs w:val="22"/>
              </w:rPr>
            </w:pPr>
          </w:p>
        </w:tc>
        <w:tc>
          <w:tcPr>
            <w:tcW w:w="2046" w:type="dxa"/>
            <w:vMerge/>
            <w:vAlign w:val="center"/>
          </w:tcPr>
          <w:p w14:paraId="3D22CEAD" w14:textId="77777777" w:rsidR="00A605D5" w:rsidRPr="007247FC" w:rsidRDefault="00A605D5" w:rsidP="00A605D5">
            <w:pPr>
              <w:jc w:val="center"/>
              <w:rPr>
                <w:rFonts w:ascii="Arial" w:hAnsi="Arial" w:cs="Arial"/>
                <w:sz w:val="22"/>
                <w:szCs w:val="22"/>
              </w:rPr>
            </w:pPr>
          </w:p>
        </w:tc>
        <w:tc>
          <w:tcPr>
            <w:tcW w:w="5136" w:type="dxa"/>
          </w:tcPr>
          <w:p w14:paraId="72AC1DF9" w14:textId="30C36408" w:rsidR="00A605D5" w:rsidRPr="007247FC" w:rsidRDefault="002D1574" w:rsidP="002D1574">
            <w:pPr>
              <w:pStyle w:val="Bodytext20"/>
              <w:tabs>
                <w:tab w:val="left" w:pos="970"/>
              </w:tabs>
              <w:spacing w:after="0" w:line="276" w:lineRule="auto"/>
              <w:ind w:firstLine="0"/>
              <w:rPr>
                <w:rFonts w:eastAsia="Courier New"/>
                <w:color w:val="000000"/>
                <w:lang w:val="mn-MN" w:eastAsia="mn-MN" w:bidi="mn-MN"/>
              </w:rPr>
            </w:pPr>
            <w:r w:rsidRPr="007247FC">
              <w:rPr>
                <w:rFonts w:eastAsia="Courier New"/>
                <w:color w:val="000000"/>
                <w:lang w:val="mn-MN" w:eastAsia="mn-MN" w:bidi="mn-MN"/>
              </w:rPr>
              <w:t xml:space="preserve">4. </w:t>
            </w:r>
            <w:r w:rsidR="00A605D5" w:rsidRPr="007247FC">
              <w:rPr>
                <w:rFonts w:eastAsia="Courier New"/>
                <w:color w:val="000000"/>
                <w:lang w:val="mn-MN" w:eastAsia="mn-MN" w:bidi="mn-MN"/>
              </w:rPr>
              <w:t>Хуулийн төслүүдэд дараах харилцааны зохицуулалтыг шинээр тусгах шаардлагатай гэж үзэж байна:</w:t>
            </w:r>
          </w:p>
          <w:p w14:paraId="52E1501C" w14:textId="77777777" w:rsidR="002D1574" w:rsidRPr="007247FC" w:rsidRDefault="002D1574" w:rsidP="002D1574">
            <w:pPr>
              <w:pStyle w:val="Bodytext20"/>
              <w:tabs>
                <w:tab w:val="left" w:pos="970"/>
              </w:tabs>
              <w:spacing w:after="0" w:line="276" w:lineRule="auto"/>
              <w:ind w:firstLine="0"/>
              <w:rPr>
                <w:rFonts w:eastAsia="Courier New"/>
                <w:color w:val="000000"/>
                <w:lang w:val="mn-MN" w:eastAsia="mn-MN" w:bidi="mn-MN"/>
              </w:rPr>
            </w:pPr>
          </w:p>
          <w:p w14:paraId="5006BEE9" w14:textId="2F8C3469" w:rsidR="00A605D5" w:rsidRPr="007247FC" w:rsidRDefault="002D1574" w:rsidP="002D1574">
            <w:pPr>
              <w:pStyle w:val="Bodytext20"/>
              <w:tabs>
                <w:tab w:val="left" w:pos="997"/>
              </w:tabs>
              <w:ind w:firstLine="0"/>
              <w:jc w:val="both"/>
              <w:rPr>
                <w:rFonts w:eastAsia="Courier New"/>
                <w:color w:val="000000"/>
                <w:lang w:val="mn-MN" w:eastAsia="mn-MN" w:bidi="mn-MN"/>
              </w:rPr>
            </w:pPr>
            <w:r w:rsidRPr="007247FC">
              <w:rPr>
                <w:rFonts w:eastAsia="Courier New"/>
                <w:color w:val="000000"/>
                <w:lang w:val="mn-MN" w:eastAsia="mn-MN" w:bidi="mn-MN"/>
              </w:rPr>
              <w:t>Н</w:t>
            </w:r>
            <w:r w:rsidR="00A605D5" w:rsidRPr="007247FC">
              <w:rPr>
                <w:rFonts w:eastAsia="Courier New"/>
                <w:color w:val="000000"/>
                <w:lang w:val="mn-MN" w:eastAsia="mn-MN" w:bidi="mn-MN"/>
              </w:rPr>
              <w:t>эмэлт тэтгэвэр буюу хувийн тэтгэврийн хуримтлал үүсгэх;</w:t>
            </w:r>
            <w:r w:rsidR="00A605D5" w:rsidRPr="007247FC">
              <w:rPr>
                <w:rFonts w:eastAsia="Courier New"/>
                <w:color w:val="000000"/>
                <w:lang w:val="mn-MN" w:eastAsia="mn-MN" w:bidi="mn-MN"/>
              </w:rPr>
              <w:br w:type="page"/>
            </w:r>
          </w:p>
          <w:p w14:paraId="2DD6C863" w14:textId="13B8205A" w:rsidR="00A605D5" w:rsidRPr="007247FC" w:rsidRDefault="002D1574" w:rsidP="002D1574">
            <w:pPr>
              <w:pStyle w:val="Bodytext20"/>
              <w:tabs>
                <w:tab w:val="left" w:pos="918"/>
              </w:tabs>
              <w:ind w:firstLine="0"/>
              <w:jc w:val="both"/>
              <w:rPr>
                <w:rFonts w:eastAsia="Courier New"/>
                <w:color w:val="000000"/>
                <w:lang w:val="mn-MN" w:eastAsia="mn-MN" w:bidi="mn-MN"/>
              </w:rPr>
            </w:pPr>
            <w:r w:rsidRPr="007247FC">
              <w:rPr>
                <w:rFonts w:eastAsia="Courier New"/>
                <w:color w:val="000000"/>
                <w:lang w:val="mn-MN" w:eastAsia="mn-MN" w:bidi="mn-MN"/>
              </w:rPr>
              <w:t>Ө</w:t>
            </w:r>
            <w:r w:rsidR="00A605D5" w:rsidRPr="007247FC">
              <w:rPr>
                <w:rFonts w:eastAsia="Courier New"/>
                <w:color w:val="000000"/>
                <w:lang w:val="mn-MN" w:eastAsia="mn-MN" w:bidi="mn-MN"/>
              </w:rPr>
              <w:t xml:space="preserve">ндөр насны тэтгэвэр тогтоолгох насанд хүрээгүй байхад, эсхүл өндөр насны тэтгэвэр тогтоолгосон боловч 120 сараас дээш хугацаанд тэтгэвэр аваагүй байхдаа нас барсан даатгуулагчийн тэтгэврийн нэрийн дансны </w:t>
            </w:r>
            <w:r w:rsidR="00A605D5" w:rsidRPr="007247FC">
              <w:rPr>
                <w:rFonts w:eastAsia="Courier New"/>
                <w:color w:val="000000"/>
                <w:lang w:val="mn-MN" w:eastAsia="mn-MN" w:bidi="mn-MN"/>
              </w:rPr>
              <w:lastRenderedPageBreak/>
              <w:t>үлдэгдлийг өвлүүлдэг байх;</w:t>
            </w:r>
          </w:p>
          <w:p w14:paraId="7B5F8A1A" w14:textId="42253CE3" w:rsidR="00A605D5" w:rsidRPr="007247FC" w:rsidRDefault="005832BC" w:rsidP="002D1574">
            <w:pPr>
              <w:jc w:val="both"/>
              <w:rPr>
                <w:rFonts w:ascii="Arial" w:hAnsi="Arial" w:cs="Arial"/>
                <w:sz w:val="22"/>
                <w:szCs w:val="22"/>
              </w:rPr>
            </w:pPr>
            <w:r w:rsidRPr="007247FC">
              <w:rPr>
                <w:rFonts w:ascii="Arial" w:hAnsi="Arial" w:cs="Arial"/>
                <w:sz w:val="22"/>
                <w:szCs w:val="22"/>
              </w:rPr>
              <w:t>Н</w:t>
            </w:r>
            <w:r w:rsidR="00A605D5" w:rsidRPr="007247FC">
              <w:rPr>
                <w:rFonts w:ascii="Arial" w:hAnsi="Arial" w:cs="Arial"/>
                <w:sz w:val="22"/>
                <w:szCs w:val="22"/>
              </w:rPr>
              <w:t>ийгмийн даатгалын санд төлөх шимтгэлийн хэмжээг даатгуулагчийн хөдөлмөрийн хөлсний хэмжээнээс шалтгаалж биш даатгуулагч өөрөө сонгож төлбөрийн хэмжээг тогтоох, тогтоосон хэмжээний дагуу тэтгэврийг хуваарилж олгох гэх мэт уян хатан зохицуулалтыг тусгах.</w:t>
            </w:r>
          </w:p>
        </w:tc>
        <w:tc>
          <w:tcPr>
            <w:tcW w:w="5670" w:type="dxa"/>
            <w:vAlign w:val="center"/>
          </w:tcPr>
          <w:p w14:paraId="3F5F2A57" w14:textId="77777777" w:rsidR="002D1574" w:rsidRPr="007247FC" w:rsidRDefault="002D1574" w:rsidP="00A605D5">
            <w:pPr>
              <w:jc w:val="both"/>
              <w:rPr>
                <w:rFonts w:ascii="Arial" w:hAnsi="Arial" w:cs="Arial"/>
                <w:sz w:val="22"/>
                <w:szCs w:val="22"/>
              </w:rPr>
            </w:pPr>
          </w:p>
          <w:p w14:paraId="27417D72" w14:textId="19D277DB" w:rsidR="002D1574" w:rsidRPr="007247FC" w:rsidRDefault="002D1574" w:rsidP="00A605D5">
            <w:pPr>
              <w:jc w:val="both"/>
              <w:rPr>
                <w:rFonts w:ascii="Arial" w:hAnsi="Arial" w:cs="Arial"/>
                <w:sz w:val="22"/>
                <w:szCs w:val="22"/>
              </w:rPr>
            </w:pPr>
          </w:p>
          <w:p w14:paraId="13803A05" w14:textId="77777777" w:rsidR="002D1574" w:rsidRPr="007247FC" w:rsidRDefault="002D1574" w:rsidP="00A605D5">
            <w:pPr>
              <w:jc w:val="both"/>
              <w:rPr>
                <w:rFonts w:ascii="Arial" w:hAnsi="Arial" w:cs="Arial"/>
                <w:sz w:val="22"/>
                <w:szCs w:val="22"/>
              </w:rPr>
            </w:pPr>
          </w:p>
          <w:p w14:paraId="54559098" w14:textId="77777777" w:rsidR="002D1574" w:rsidRPr="007247FC" w:rsidRDefault="002D1574" w:rsidP="00A605D5">
            <w:pPr>
              <w:jc w:val="both"/>
              <w:rPr>
                <w:rFonts w:ascii="Arial" w:hAnsi="Arial" w:cs="Arial"/>
                <w:sz w:val="22"/>
                <w:szCs w:val="22"/>
              </w:rPr>
            </w:pPr>
          </w:p>
          <w:p w14:paraId="72EBFC70" w14:textId="167652DC" w:rsidR="00A605D5" w:rsidRPr="007247FC" w:rsidRDefault="002D1574" w:rsidP="00A605D5">
            <w:pPr>
              <w:jc w:val="both"/>
              <w:rPr>
                <w:rFonts w:ascii="Arial" w:hAnsi="Arial" w:cs="Arial"/>
                <w:sz w:val="22"/>
                <w:szCs w:val="22"/>
              </w:rPr>
            </w:pPr>
            <w:r w:rsidRPr="007247FC">
              <w:rPr>
                <w:rFonts w:ascii="Arial" w:hAnsi="Arial" w:cs="Arial"/>
                <w:sz w:val="22"/>
                <w:szCs w:val="22"/>
              </w:rPr>
              <w:t xml:space="preserve">Уг харилцаа нь </w:t>
            </w:r>
            <w:r w:rsidR="00A605D5" w:rsidRPr="007247FC">
              <w:rPr>
                <w:rFonts w:ascii="Arial" w:hAnsi="Arial" w:cs="Arial"/>
                <w:sz w:val="22"/>
                <w:szCs w:val="22"/>
              </w:rPr>
              <w:t xml:space="preserve">Хувийн нэмэлт тэтгэврийн хуулиар зохицуулагдана. </w:t>
            </w:r>
          </w:p>
          <w:p w14:paraId="7E99E67A" w14:textId="77777777" w:rsidR="005832BC" w:rsidRPr="007247FC" w:rsidRDefault="005832BC" w:rsidP="00DE3BEF">
            <w:pPr>
              <w:autoSpaceDE w:val="0"/>
              <w:autoSpaceDN w:val="0"/>
              <w:jc w:val="both"/>
              <w:rPr>
                <w:rFonts w:ascii="Arial" w:hAnsi="Arial" w:cs="Arial"/>
                <w:sz w:val="22"/>
                <w:szCs w:val="22"/>
              </w:rPr>
            </w:pPr>
          </w:p>
          <w:p w14:paraId="38C65088" w14:textId="77777777" w:rsidR="005832BC" w:rsidRPr="007247FC" w:rsidRDefault="005832BC" w:rsidP="00DE3BEF">
            <w:pPr>
              <w:autoSpaceDE w:val="0"/>
              <w:autoSpaceDN w:val="0"/>
              <w:jc w:val="both"/>
              <w:rPr>
                <w:rFonts w:ascii="Arial" w:hAnsi="Arial" w:cs="Arial"/>
                <w:sz w:val="22"/>
                <w:szCs w:val="22"/>
              </w:rPr>
            </w:pPr>
          </w:p>
          <w:p w14:paraId="62404EBE" w14:textId="1DAB3D73" w:rsidR="00DE3BEF" w:rsidRPr="007247FC" w:rsidRDefault="00DE3BEF" w:rsidP="00DE3BEF">
            <w:pPr>
              <w:autoSpaceDE w:val="0"/>
              <w:autoSpaceDN w:val="0"/>
              <w:jc w:val="both"/>
              <w:rPr>
                <w:rFonts w:ascii="Arial" w:hAnsi="Arial" w:cs="Arial"/>
                <w:sz w:val="22"/>
                <w:szCs w:val="22"/>
              </w:rPr>
            </w:pPr>
            <w:r w:rsidRPr="007247FC">
              <w:rPr>
                <w:rFonts w:ascii="Arial" w:hAnsi="Arial" w:cs="Arial"/>
                <w:sz w:val="22"/>
                <w:szCs w:val="22"/>
              </w:rPr>
              <w:t xml:space="preserve">Хуулийн төслийн 29 дүгээр зүйлд заасан тэтгэврийн нөөц санд  хуримтлал бий болсноор хуримтлагдсан орлогыг өвлүүлэх бөгөөд уг харилцаа нь хууль батлагдсан хугацаанаас эхэлж хэрэгжихгүй бөгөөд 2030 оноос өвлүүлэх харилцаа үүсэх тул хуулийн төсөлд нарийвчлан тусгаагүй болно. </w:t>
            </w:r>
          </w:p>
          <w:p w14:paraId="5CB996A9" w14:textId="77777777" w:rsidR="005832BC" w:rsidRPr="007247FC" w:rsidRDefault="005832BC" w:rsidP="00A605D5">
            <w:pPr>
              <w:jc w:val="both"/>
              <w:rPr>
                <w:rFonts w:ascii="Arial" w:hAnsi="Arial" w:cs="Arial"/>
                <w:sz w:val="22"/>
                <w:szCs w:val="22"/>
              </w:rPr>
            </w:pPr>
          </w:p>
          <w:p w14:paraId="1B41FDAF" w14:textId="77FD6735" w:rsidR="005832BC" w:rsidRPr="007247FC" w:rsidRDefault="005832BC" w:rsidP="007348E8">
            <w:pPr>
              <w:jc w:val="both"/>
              <w:rPr>
                <w:rFonts w:ascii="Arial" w:hAnsi="Arial" w:cs="Arial"/>
                <w:sz w:val="22"/>
                <w:szCs w:val="22"/>
              </w:rPr>
            </w:pPr>
            <w:r w:rsidRPr="007247FC">
              <w:rPr>
                <w:rFonts w:ascii="Arial" w:hAnsi="Arial" w:cs="Arial"/>
                <w:sz w:val="22"/>
                <w:szCs w:val="22"/>
              </w:rPr>
              <w:t xml:space="preserve">Нийгмийн даатгал нь иргэний нийгмийн баталгааг алдагдуулахгүй байх зорилгоор урьдчилан шимтгэл төлүүлж ирээдүйд үүсэх эрсдэлийг нь хуваалцдаг. Иймд шимтгэлийн </w:t>
            </w:r>
            <w:r w:rsidR="005B78B4" w:rsidRPr="007247FC">
              <w:rPr>
                <w:rFonts w:ascii="Arial" w:hAnsi="Arial" w:cs="Arial"/>
                <w:sz w:val="22"/>
                <w:szCs w:val="22"/>
              </w:rPr>
              <w:t xml:space="preserve">хувь </w:t>
            </w:r>
            <w:r w:rsidRPr="007247FC">
              <w:rPr>
                <w:rFonts w:ascii="Arial" w:hAnsi="Arial" w:cs="Arial"/>
                <w:sz w:val="22"/>
                <w:szCs w:val="22"/>
              </w:rPr>
              <w:t>хэмжээ</w:t>
            </w:r>
            <w:r w:rsidR="007348E8" w:rsidRPr="007247FC">
              <w:rPr>
                <w:rFonts w:ascii="Arial" w:hAnsi="Arial" w:cs="Arial"/>
                <w:sz w:val="22"/>
                <w:szCs w:val="22"/>
              </w:rPr>
              <w:t xml:space="preserve">г </w:t>
            </w:r>
            <w:r w:rsidR="005B78B4" w:rsidRPr="007247FC">
              <w:rPr>
                <w:rFonts w:ascii="Arial" w:hAnsi="Arial" w:cs="Arial"/>
                <w:sz w:val="22"/>
                <w:szCs w:val="22"/>
              </w:rPr>
              <w:t xml:space="preserve">хуулиар тодорхой зохицуулснаар </w:t>
            </w:r>
            <w:r w:rsidR="007348E8" w:rsidRPr="007247FC">
              <w:rPr>
                <w:rFonts w:ascii="Arial" w:hAnsi="Arial" w:cs="Arial"/>
                <w:sz w:val="22"/>
                <w:szCs w:val="22"/>
              </w:rPr>
              <w:t xml:space="preserve">даатгуулагчийн </w:t>
            </w:r>
            <w:r w:rsidR="005B78B4" w:rsidRPr="007247FC">
              <w:rPr>
                <w:rFonts w:ascii="Arial" w:hAnsi="Arial" w:cs="Arial"/>
                <w:sz w:val="22"/>
                <w:szCs w:val="22"/>
              </w:rPr>
              <w:t>нийгмийн баталгаа</w:t>
            </w:r>
            <w:r w:rsidR="007348E8" w:rsidRPr="007247FC">
              <w:rPr>
                <w:rFonts w:ascii="Arial" w:hAnsi="Arial" w:cs="Arial"/>
                <w:sz w:val="22"/>
                <w:szCs w:val="22"/>
              </w:rPr>
              <w:t xml:space="preserve"> нь </w:t>
            </w:r>
            <w:r w:rsidR="005B78B4" w:rsidRPr="007247FC">
              <w:rPr>
                <w:rFonts w:ascii="Arial" w:hAnsi="Arial" w:cs="Arial"/>
                <w:sz w:val="22"/>
                <w:szCs w:val="22"/>
              </w:rPr>
              <w:t>ханга</w:t>
            </w:r>
            <w:r w:rsidR="007348E8" w:rsidRPr="007247FC">
              <w:rPr>
                <w:rFonts w:ascii="Arial" w:hAnsi="Arial" w:cs="Arial"/>
                <w:sz w:val="22"/>
                <w:szCs w:val="22"/>
              </w:rPr>
              <w:t>гд</w:t>
            </w:r>
            <w:r w:rsidR="005B78B4" w:rsidRPr="007247FC">
              <w:rPr>
                <w:rFonts w:ascii="Arial" w:hAnsi="Arial" w:cs="Arial"/>
                <w:sz w:val="22"/>
                <w:szCs w:val="22"/>
              </w:rPr>
              <w:t xml:space="preserve">даг. </w:t>
            </w:r>
            <w:r w:rsidR="007348E8" w:rsidRPr="007247FC">
              <w:rPr>
                <w:rFonts w:ascii="Arial" w:hAnsi="Arial" w:cs="Arial"/>
                <w:sz w:val="22"/>
                <w:szCs w:val="22"/>
              </w:rPr>
              <w:t xml:space="preserve">Нийгмийн даатгалын шимтгэл төлөх орлогын хэмжээг </w:t>
            </w:r>
            <w:r w:rsidR="005B78B4" w:rsidRPr="007247FC">
              <w:rPr>
                <w:rFonts w:ascii="Arial" w:hAnsi="Arial" w:cs="Arial"/>
                <w:sz w:val="22"/>
                <w:szCs w:val="22"/>
              </w:rPr>
              <w:t>с</w:t>
            </w:r>
            <w:r w:rsidR="007348E8" w:rsidRPr="007247FC">
              <w:rPr>
                <w:rFonts w:ascii="Arial" w:hAnsi="Arial" w:cs="Arial"/>
                <w:sz w:val="22"/>
                <w:szCs w:val="22"/>
              </w:rPr>
              <w:t>айн дураар даатгуулагчийн хувьд</w:t>
            </w:r>
            <w:r w:rsidR="005B78B4" w:rsidRPr="007247FC">
              <w:rPr>
                <w:rFonts w:ascii="Arial" w:hAnsi="Arial" w:cs="Arial"/>
                <w:sz w:val="22"/>
                <w:szCs w:val="22"/>
              </w:rPr>
              <w:t xml:space="preserve"> өөрөө тодорхойл</w:t>
            </w:r>
            <w:r w:rsidR="007348E8" w:rsidRPr="007247FC">
              <w:rPr>
                <w:rFonts w:ascii="Arial" w:hAnsi="Arial" w:cs="Arial"/>
                <w:sz w:val="22"/>
                <w:szCs w:val="22"/>
              </w:rPr>
              <w:t xml:space="preserve">дог болно. </w:t>
            </w:r>
          </w:p>
        </w:tc>
      </w:tr>
      <w:tr w:rsidR="00A605D5" w:rsidRPr="007247FC" w14:paraId="68082B80" w14:textId="77777777" w:rsidTr="00D729B7">
        <w:trPr>
          <w:trHeight w:val="926"/>
        </w:trPr>
        <w:tc>
          <w:tcPr>
            <w:tcW w:w="643" w:type="dxa"/>
            <w:vAlign w:val="center"/>
          </w:tcPr>
          <w:p w14:paraId="3B8543B1" w14:textId="29C1DFCF" w:rsidR="00A605D5" w:rsidRPr="007247FC" w:rsidRDefault="00A605D5" w:rsidP="00A605D5">
            <w:pPr>
              <w:jc w:val="center"/>
              <w:rPr>
                <w:rFonts w:ascii="Arial" w:hAnsi="Arial" w:cs="Arial"/>
                <w:bCs/>
                <w:sz w:val="22"/>
                <w:szCs w:val="22"/>
              </w:rPr>
            </w:pPr>
            <w:r w:rsidRPr="007247FC">
              <w:rPr>
                <w:rFonts w:ascii="Arial" w:hAnsi="Arial" w:cs="Arial"/>
                <w:sz w:val="22"/>
                <w:szCs w:val="22"/>
                <w:lang w:val="en-US"/>
              </w:rPr>
              <w:lastRenderedPageBreak/>
              <w:t>1</w:t>
            </w:r>
            <w:r w:rsidR="007247FC" w:rsidRPr="007247FC">
              <w:rPr>
                <w:rFonts w:ascii="Arial" w:hAnsi="Arial" w:cs="Arial"/>
                <w:sz w:val="22"/>
                <w:szCs w:val="22"/>
                <w:lang w:val="en-US"/>
              </w:rPr>
              <w:t>3</w:t>
            </w:r>
          </w:p>
        </w:tc>
        <w:tc>
          <w:tcPr>
            <w:tcW w:w="2046" w:type="dxa"/>
            <w:vAlign w:val="center"/>
          </w:tcPr>
          <w:p w14:paraId="0282A16A" w14:textId="3C723FF2" w:rsidR="00A605D5" w:rsidRPr="007247FC" w:rsidRDefault="00A605D5" w:rsidP="00A605D5">
            <w:pPr>
              <w:jc w:val="center"/>
              <w:rPr>
                <w:rFonts w:ascii="Arial" w:hAnsi="Arial" w:cs="Arial"/>
                <w:sz w:val="22"/>
                <w:szCs w:val="22"/>
              </w:rPr>
            </w:pPr>
            <w:r w:rsidRPr="007247FC">
              <w:rPr>
                <w:rFonts w:ascii="Arial" w:hAnsi="Arial" w:cs="Arial"/>
                <w:sz w:val="22"/>
                <w:szCs w:val="22"/>
              </w:rPr>
              <w:t>Эрчим хүчний яам 2022.12.27 а/4955</w:t>
            </w:r>
          </w:p>
        </w:tc>
        <w:tc>
          <w:tcPr>
            <w:tcW w:w="10806" w:type="dxa"/>
            <w:gridSpan w:val="2"/>
            <w:vAlign w:val="center"/>
          </w:tcPr>
          <w:p w14:paraId="3BC3F7DA" w14:textId="0E0635D4" w:rsidR="00A605D5" w:rsidRPr="007247FC" w:rsidRDefault="00A605D5" w:rsidP="00A605D5">
            <w:pPr>
              <w:jc w:val="both"/>
              <w:rPr>
                <w:rFonts w:ascii="Arial" w:hAnsi="Arial" w:cs="Arial"/>
                <w:sz w:val="22"/>
                <w:szCs w:val="22"/>
              </w:rPr>
            </w:pPr>
            <w:r w:rsidRPr="007247FC">
              <w:rPr>
                <w:rFonts w:ascii="Arial" w:hAnsi="Arial" w:cs="Arial"/>
                <w:sz w:val="22"/>
                <w:szCs w:val="22"/>
              </w:rPr>
              <w:t>Хуулийн төсөлд тусгайлан өгөх саналгүй байна.</w:t>
            </w:r>
          </w:p>
        </w:tc>
      </w:tr>
    </w:tbl>
    <w:p w14:paraId="3C7713FD" w14:textId="091CF02C" w:rsidR="00113A75" w:rsidRDefault="00113A75" w:rsidP="00166521">
      <w:pPr>
        <w:jc w:val="center"/>
        <w:rPr>
          <w:rFonts w:ascii="Arial" w:hAnsi="Arial" w:cs="Arial"/>
          <w:sz w:val="22"/>
          <w:szCs w:val="22"/>
        </w:rPr>
      </w:pPr>
    </w:p>
    <w:p w14:paraId="36366B47" w14:textId="4B4CB59D" w:rsidR="007247FC" w:rsidRDefault="007247FC" w:rsidP="00166521">
      <w:pPr>
        <w:jc w:val="center"/>
        <w:rPr>
          <w:rFonts w:ascii="Arial" w:hAnsi="Arial" w:cs="Arial"/>
          <w:sz w:val="22"/>
          <w:szCs w:val="22"/>
        </w:rPr>
      </w:pPr>
    </w:p>
    <w:p w14:paraId="2CCA9A28" w14:textId="77777777" w:rsidR="00E4768A" w:rsidRPr="007247FC" w:rsidRDefault="00E4768A" w:rsidP="00E4768A">
      <w:pPr>
        <w:rPr>
          <w:rFonts w:ascii="Arial" w:hAnsi="Arial" w:cs="Arial"/>
          <w:sz w:val="22"/>
          <w:szCs w:val="22"/>
        </w:rPr>
      </w:pPr>
    </w:p>
    <w:p w14:paraId="7388B7B6" w14:textId="77777777" w:rsidR="00E4768A" w:rsidRPr="007247FC" w:rsidRDefault="00E4768A" w:rsidP="00E4768A">
      <w:pPr>
        <w:jc w:val="center"/>
        <w:rPr>
          <w:rFonts w:ascii="Arial" w:hAnsi="Arial" w:cs="Arial"/>
          <w:sz w:val="22"/>
          <w:szCs w:val="22"/>
        </w:rPr>
      </w:pPr>
      <w:r w:rsidRPr="007247FC">
        <w:rPr>
          <w:rFonts w:ascii="Arial" w:hAnsi="Arial" w:cs="Arial"/>
          <w:sz w:val="22"/>
          <w:szCs w:val="22"/>
        </w:rPr>
        <w:t>---оОо---</w:t>
      </w:r>
    </w:p>
    <w:p w14:paraId="58E037D4" w14:textId="77777777" w:rsidR="00E4768A" w:rsidRPr="00E4768A" w:rsidRDefault="00E4768A" w:rsidP="00166521">
      <w:pPr>
        <w:jc w:val="center"/>
        <w:rPr>
          <w:rFonts w:ascii="Arial" w:hAnsi="Arial" w:cs="Arial"/>
          <w:sz w:val="20"/>
          <w:szCs w:val="20"/>
        </w:rPr>
      </w:pPr>
    </w:p>
    <w:sectPr w:rsidR="00E4768A" w:rsidRPr="00E4768A" w:rsidSect="00E34406">
      <w:pgSz w:w="15840" w:h="12240" w:orient="landscape" w:code="1"/>
      <w:pgMar w:top="720" w:right="1077"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8F00" w14:textId="77777777" w:rsidR="00E10354" w:rsidRDefault="00E10354" w:rsidP="008D16CD">
      <w:r>
        <w:separator/>
      </w:r>
    </w:p>
  </w:endnote>
  <w:endnote w:type="continuationSeparator" w:id="0">
    <w:p w14:paraId="0F22555F" w14:textId="77777777" w:rsidR="00E10354" w:rsidRDefault="00E10354" w:rsidP="008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0DA1" w14:textId="77777777" w:rsidR="00E10354" w:rsidRDefault="00E10354" w:rsidP="008D16CD">
      <w:r>
        <w:separator/>
      </w:r>
    </w:p>
  </w:footnote>
  <w:footnote w:type="continuationSeparator" w:id="0">
    <w:p w14:paraId="4AF0CDBF" w14:textId="77777777" w:rsidR="00E10354" w:rsidRDefault="00E10354" w:rsidP="008D1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520"/>
    <w:multiLevelType w:val="hybridMultilevel"/>
    <w:tmpl w:val="18B08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203C"/>
    <w:multiLevelType w:val="hybridMultilevel"/>
    <w:tmpl w:val="51F2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009A"/>
    <w:multiLevelType w:val="multilevel"/>
    <w:tmpl w:val="584AA1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5113CC"/>
    <w:multiLevelType w:val="hybridMultilevel"/>
    <w:tmpl w:val="8B0CADA8"/>
    <w:lvl w:ilvl="0" w:tplc="DFD0F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D33B9"/>
    <w:multiLevelType w:val="hybridMultilevel"/>
    <w:tmpl w:val="52A4D7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4634"/>
    <w:multiLevelType w:val="hybridMultilevel"/>
    <w:tmpl w:val="F3AA4F80"/>
    <w:lvl w:ilvl="0" w:tplc="AD981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51BF7"/>
    <w:multiLevelType w:val="hybridMultilevel"/>
    <w:tmpl w:val="E944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D5D30"/>
    <w:multiLevelType w:val="hybridMultilevel"/>
    <w:tmpl w:val="AC282B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4687E"/>
    <w:multiLevelType w:val="multilevel"/>
    <w:tmpl w:val="DAA479A8"/>
    <w:lvl w:ilvl="0">
      <w:start w:val="1"/>
      <w:numFmt w:val="decimal"/>
      <w:lvlText w:val="%1"/>
      <w:lvlJc w:val="left"/>
      <w:rPr>
        <w:rFonts w:ascii="Arial" w:eastAsia="Arial" w:hAnsi="Arial" w:cs="Arial"/>
        <w:b w:val="0"/>
        <w:bCs w:val="0"/>
        <w:i w:val="0"/>
        <w:iCs w:val="0"/>
        <w:smallCaps w:val="0"/>
        <w:strike w:val="0"/>
        <w:color w:val="464646"/>
        <w:spacing w:val="0"/>
        <w:w w:val="100"/>
        <w:position w:val="0"/>
        <w:sz w:val="22"/>
        <w:szCs w:val="22"/>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464646"/>
        <w:spacing w:val="0"/>
        <w:w w:val="100"/>
        <w:position w:val="0"/>
        <w:sz w:val="22"/>
        <w:szCs w:val="22"/>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56A27"/>
    <w:multiLevelType w:val="multilevel"/>
    <w:tmpl w:val="572E0546"/>
    <w:lvl w:ilvl="0">
      <w:start w:val="1"/>
      <w:numFmt w:val="bullet"/>
      <w:lvlText w:val="-"/>
      <w:lvlJc w:val="left"/>
      <w:rPr>
        <w:rFonts w:ascii="Arial" w:eastAsia="Arial" w:hAnsi="Arial" w:cs="Arial"/>
        <w:b w:val="0"/>
        <w:bCs w:val="0"/>
        <w:i w:val="0"/>
        <w:iCs w:val="0"/>
        <w:smallCaps w:val="0"/>
        <w:strike w:val="0"/>
        <w:color w:val="464646"/>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DC631A"/>
    <w:multiLevelType w:val="multilevel"/>
    <w:tmpl w:val="5AE2F97A"/>
    <w:lvl w:ilvl="0">
      <w:start w:val="1"/>
      <w:numFmt w:val="decimal"/>
      <w:lvlText w:val="%1"/>
      <w:lvlJc w:val="left"/>
      <w:rPr>
        <w:rFonts w:ascii="Arial" w:eastAsia="Arial" w:hAnsi="Arial" w:cs="Arial"/>
        <w:b w:val="0"/>
        <w:bCs w:val="0"/>
        <w:i w:val="0"/>
        <w:iCs w:val="0"/>
        <w:smallCaps w:val="0"/>
        <w:strike w:val="0"/>
        <w:color w:val="3D3D3D"/>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C1101"/>
    <w:multiLevelType w:val="multilevel"/>
    <w:tmpl w:val="ED02F2B0"/>
    <w:lvl w:ilvl="0">
      <w:start w:val="6"/>
      <w:numFmt w:val="decimal"/>
      <w:lvlText w:val="%1"/>
      <w:lvlJc w:val="left"/>
      <w:rPr>
        <w:rFonts w:ascii="Arial" w:eastAsia="Arial" w:hAnsi="Arial" w:cs="Arial"/>
        <w:b w:val="0"/>
        <w:bCs w:val="0"/>
        <w:i w:val="0"/>
        <w:iCs w:val="0"/>
        <w:smallCaps w:val="0"/>
        <w:strike w:val="0"/>
        <w:color w:val="3D3D3D"/>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0371E8"/>
    <w:multiLevelType w:val="hybridMultilevel"/>
    <w:tmpl w:val="AC282B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00BDC"/>
    <w:multiLevelType w:val="multilevel"/>
    <w:tmpl w:val="584AA1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114E2"/>
    <w:multiLevelType w:val="multilevel"/>
    <w:tmpl w:val="584AA1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D6E3D4F"/>
    <w:multiLevelType w:val="hybridMultilevel"/>
    <w:tmpl w:val="0E1E09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13"/>
  </w:num>
  <w:num w:numId="5">
    <w:abstractNumId w:val="2"/>
  </w:num>
  <w:num w:numId="6">
    <w:abstractNumId w:val="15"/>
  </w:num>
  <w:num w:numId="7">
    <w:abstractNumId w:val="14"/>
  </w:num>
  <w:num w:numId="8">
    <w:abstractNumId w:val="4"/>
  </w:num>
  <w:num w:numId="9">
    <w:abstractNumId w:val="7"/>
  </w:num>
  <w:num w:numId="10">
    <w:abstractNumId w:val="12"/>
  </w:num>
  <w:num w:numId="11">
    <w:abstractNumId w:val="0"/>
  </w:num>
  <w:num w:numId="12">
    <w:abstractNumId w:val="5"/>
  </w:num>
  <w:num w:numId="13">
    <w:abstractNumId w:val="10"/>
  </w:num>
  <w:num w:numId="14">
    <w:abstractNumId w:val="1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55"/>
    <w:rsid w:val="000046D8"/>
    <w:rsid w:val="00007C73"/>
    <w:rsid w:val="0001433B"/>
    <w:rsid w:val="00014EA9"/>
    <w:rsid w:val="00023ED1"/>
    <w:rsid w:val="00026600"/>
    <w:rsid w:val="000329DF"/>
    <w:rsid w:val="00034E46"/>
    <w:rsid w:val="0004057F"/>
    <w:rsid w:val="00041233"/>
    <w:rsid w:val="000419C0"/>
    <w:rsid w:val="00041CC5"/>
    <w:rsid w:val="00042C3A"/>
    <w:rsid w:val="00047878"/>
    <w:rsid w:val="000501FF"/>
    <w:rsid w:val="00055B9B"/>
    <w:rsid w:val="00057739"/>
    <w:rsid w:val="00064C24"/>
    <w:rsid w:val="00077E70"/>
    <w:rsid w:val="000878E2"/>
    <w:rsid w:val="00087EC0"/>
    <w:rsid w:val="00097BFA"/>
    <w:rsid w:val="000A0527"/>
    <w:rsid w:val="000A0681"/>
    <w:rsid w:val="000A6E7C"/>
    <w:rsid w:val="000A6F31"/>
    <w:rsid w:val="000A74D9"/>
    <w:rsid w:val="000A77FD"/>
    <w:rsid w:val="000A7AF6"/>
    <w:rsid w:val="000B0094"/>
    <w:rsid w:val="000C018E"/>
    <w:rsid w:val="000C1A37"/>
    <w:rsid w:val="000C1BA0"/>
    <w:rsid w:val="000C5BDF"/>
    <w:rsid w:val="000D45B7"/>
    <w:rsid w:val="000E35E0"/>
    <w:rsid w:val="000E7700"/>
    <w:rsid w:val="000F1EBB"/>
    <w:rsid w:val="000F2286"/>
    <w:rsid w:val="000F7B60"/>
    <w:rsid w:val="00111B06"/>
    <w:rsid w:val="00113A75"/>
    <w:rsid w:val="001150B3"/>
    <w:rsid w:val="00117C77"/>
    <w:rsid w:val="00125E68"/>
    <w:rsid w:val="00132D2D"/>
    <w:rsid w:val="00133CE9"/>
    <w:rsid w:val="001357B0"/>
    <w:rsid w:val="00140AC2"/>
    <w:rsid w:val="00141800"/>
    <w:rsid w:val="0014680C"/>
    <w:rsid w:val="00147B44"/>
    <w:rsid w:val="001532C0"/>
    <w:rsid w:val="00154CB6"/>
    <w:rsid w:val="00155B3C"/>
    <w:rsid w:val="001604E6"/>
    <w:rsid w:val="00164355"/>
    <w:rsid w:val="0016632B"/>
    <w:rsid w:val="00166521"/>
    <w:rsid w:val="0017119E"/>
    <w:rsid w:val="001719DB"/>
    <w:rsid w:val="00173A24"/>
    <w:rsid w:val="001910AC"/>
    <w:rsid w:val="001956EF"/>
    <w:rsid w:val="001A332F"/>
    <w:rsid w:val="001A35CA"/>
    <w:rsid w:val="001A58EE"/>
    <w:rsid w:val="001B092E"/>
    <w:rsid w:val="001B1229"/>
    <w:rsid w:val="001B2A7F"/>
    <w:rsid w:val="001B2B20"/>
    <w:rsid w:val="001C2795"/>
    <w:rsid w:val="001C285C"/>
    <w:rsid w:val="001C52CB"/>
    <w:rsid w:val="001D0C09"/>
    <w:rsid w:val="001E2D30"/>
    <w:rsid w:val="001E5A1B"/>
    <w:rsid w:val="001E60DC"/>
    <w:rsid w:val="001E7F97"/>
    <w:rsid w:val="001F2228"/>
    <w:rsid w:val="001F78D3"/>
    <w:rsid w:val="0020325F"/>
    <w:rsid w:val="002041B8"/>
    <w:rsid w:val="002051DC"/>
    <w:rsid w:val="00206AD2"/>
    <w:rsid w:val="002153DE"/>
    <w:rsid w:val="00223703"/>
    <w:rsid w:val="00225076"/>
    <w:rsid w:val="002260A1"/>
    <w:rsid w:val="002262BE"/>
    <w:rsid w:val="00227ED3"/>
    <w:rsid w:val="00234BCC"/>
    <w:rsid w:val="00235059"/>
    <w:rsid w:val="002510EF"/>
    <w:rsid w:val="00256EE3"/>
    <w:rsid w:val="00262AA2"/>
    <w:rsid w:val="0026645E"/>
    <w:rsid w:val="00281B02"/>
    <w:rsid w:val="00281E3B"/>
    <w:rsid w:val="00284548"/>
    <w:rsid w:val="00286078"/>
    <w:rsid w:val="00291725"/>
    <w:rsid w:val="00296024"/>
    <w:rsid w:val="002A0416"/>
    <w:rsid w:val="002A5AAC"/>
    <w:rsid w:val="002B28D1"/>
    <w:rsid w:val="002C20B2"/>
    <w:rsid w:val="002C413A"/>
    <w:rsid w:val="002C6566"/>
    <w:rsid w:val="002D0529"/>
    <w:rsid w:val="002D0881"/>
    <w:rsid w:val="002D1574"/>
    <w:rsid w:val="002D40A7"/>
    <w:rsid w:val="002E1C25"/>
    <w:rsid w:val="002E3AD3"/>
    <w:rsid w:val="002E3CCB"/>
    <w:rsid w:val="002E5C21"/>
    <w:rsid w:val="002E60BE"/>
    <w:rsid w:val="002E6905"/>
    <w:rsid w:val="002E6CAB"/>
    <w:rsid w:val="00301BDB"/>
    <w:rsid w:val="00303206"/>
    <w:rsid w:val="00307032"/>
    <w:rsid w:val="00307241"/>
    <w:rsid w:val="00307C89"/>
    <w:rsid w:val="00312595"/>
    <w:rsid w:val="0032298A"/>
    <w:rsid w:val="003248E6"/>
    <w:rsid w:val="00324C9F"/>
    <w:rsid w:val="00326AF5"/>
    <w:rsid w:val="003308C9"/>
    <w:rsid w:val="00332425"/>
    <w:rsid w:val="00341B9A"/>
    <w:rsid w:val="00354E87"/>
    <w:rsid w:val="00356BE6"/>
    <w:rsid w:val="00361E2E"/>
    <w:rsid w:val="003636BB"/>
    <w:rsid w:val="00365C2F"/>
    <w:rsid w:val="0037331F"/>
    <w:rsid w:val="00374BB1"/>
    <w:rsid w:val="00376B6F"/>
    <w:rsid w:val="00382E4F"/>
    <w:rsid w:val="00383D14"/>
    <w:rsid w:val="00385C33"/>
    <w:rsid w:val="00395CE5"/>
    <w:rsid w:val="00396F9C"/>
    <w:rsid w:val="0039791B"/>
    <w:rsid w:val="003A03C6"/>
    <w:rsid w:val="003A749C"/>
    <w:rsid w:val="003B2806"/>
    <w:rsid w:val="003C5F48"/>
    <w:rsid w:val="003C758F"/>
    <w:rsid w:val="003D53C3"/>
    <w:rsid w:val="003D5BB3"/>
    <w:rsid w:val="003D6164"/>
    <w:rsid w:val="003E0B53"/>
    <w:rsid w:val="003E5424"/>
    <w:rsid w:val="003E7217"/>
    <w:rsid w:val="003F6405"/>
    <w:rsid w:val="004007CD"/>
    <w:rsid w:val="00401D5A"/>
    <w:rsid w:val="00402D6E"/>
    <w:rsid w:val="004104F7"/>
    <w:rsid w:val="00420C4A"/>
    <w:rsid w:val="00425355"/>
    <w:rsid w:val="00425A34"/>
    <w:rsid w:val="00454A28"/>
    <w:rsid w:val="004554D9"/>
    <w:rsid w:val="00461A3A"/>
    <w:rsid w:val="004622BA"/>
    <w:rsid w:val="00465BE1"/>
    <w:rsid w:val="0046747B"/>
    <w:rsid w:val="00467B63"/>
    <w:rsid w:val="00470D29"/>
    <w:rsid w:val="0047123E"/>
    <w:rsid w:val="004720B5"/>
    <w:rsid w:val="00475EE4"/>
    <w:rsid w:val="004764F1"/>
    <w:rsid w:val="0048434B"/>
    <w:rsid w:val="0048704E"/>
    <w:rsid w:val="00487CFC"/>
    <w:rsid w:val="00494C62"/>
    <w:rsid w:val="0049766E"/>
    <w:rsid w:val="004A66EE"/>
    <w:rsid w:val="004B6ACD"/>
    <w:rsid w:val="004B6DD6"/>
    <w:rsid w:val="004C011C"/>
    <w:rsid w:val="004C7F60"/>
    <w:rsid w:val="004D1BE3"/>
    <w:rsid w:val="004D6425"/>
    <w:rsid w:val="004D66B1"/>
    <w:rsid w:val="004D730D"/>
    <w:rsid w:val="004D78D8"/>
    <w:rsid w:val="004E06CB"/>
    <w:rsid w:val="004E1FE2"/>
    <w:rsid w:val="004E2E73"/>
    <w:rsid w:val="004E39AD"/>
    <w:rsid w:val="004F5BBC"/>
    <w:rsid w:val="004F6AC2"/>
    <w:rsid w:val="00500ABF"/>
    <w:rsid w:val="00501057"/>
    <w:rsid w:val="00502792"/>
    <w:rsid w:val="00503702"/>
    <w:rsid w:val="00506663"/>
    <w:rsid w:val="0050708B"/>
    <w:rsid w:val="00512D76"/>
    <w:rsid w:val="0052534B"/>
    <w:rsid w:val="005322D7"/>
    <w:rsid w:val="00532B1C"/>
    <w:rsid w:val="00533655"/>
    <w:rsid w:val="00540A15"/>
    <w:rsid w:val="00541298"/>
    <w:rsid w:val="00544245"/>
    <w:rsid w:val="00546F3A"/>
    <w:rsid w:val="005551B8"/>
    <w:rsid w:val="005676BF"/>
    <w:rsid w:val="00567733"/>
    <w:rsid w:val="005734BA"/>
    <w:rsid w:val="0057638E"/>
    <w:rsid w:val="00581762"/>
    <w:rsid w:val="00581E9A"/>
    <w:rsid w:val="00582388"/>
    <w:rsid w:val="005832BC"/>
    <w:rsid w:val="00593C2B"/>
    <w:rsid w:val="00593E07"/>
    <w:rsid w:val="00595484"/>
    <w:rsid w:val="005A0874"/>
    <w:rsid w:val="005A4E13"/>
    <w:rsid w:val="005A788B"/>
    <w:rsid w:val="005B78B4"/>
    <w:rsid w:val="005B7D48"/>
    <w:rsid w:val="005C07FF"/>
    <w:rsid w:val="005D17B4"/>
    <w:rsid w:val="005D4FF5"/>
    <w:rsid w:val="005E2E9E"/>
    <w:rsid w:val="005E3053"/>
    <w:rsid w:val="005E38A8"/>
    <w:rsid w:val="005E7A1C"/>
    <w:rsid w:val="005E7A69"/>
    <w:rsid w:val="005F5C29"/>
    <w:rsid w:val="0060035A"/>
    <w:rsid w:val="00601697"/>
    <w:rsid w:val="0060183D"/>
    <w:rsid w:val="00602F78"/>
    <w:rsid w:val="00604D52"/>
    <w:rsid w:val="006074DC"/>
    <w:rsid w:val="00611EE8"/>
    <w:rsid w:val="00616A7A"/>
    <w:rsid w:val="00617660"/>
    <w:rsid w:val="00624D35"/>
    <w:rsid w:val="00625F3E"/>
    <w:rsid w:val="00633007"/>
    <w:rsid w:val="00636EEB"/>
    <w:rsid w:val="00641CE3"/>
    <w:rsid w:val="006460E6"/>
    <w:rsid w:val="0065372D"/>
    <w:rsid w:val="00673152"/>
    <w:rsid w:val="00673A37"/>
    <w:rsid w:val="0067579D"/>
    <w:rsid w:val="00686D9C"/>
    <w:rsid w:val="0069164B"/>
    <w:rsid w:val="00692517"/>
    <w:rsid w:val="0069689E"/>
    <w:rsid w:val="0069720A"/>
    <w:rsid w:val="006A0632"/>
    <w:rsid w:val="006A1F7E"/>
    <w:rsid w:val="006A2BA5"/>
    <w:rsid w:val="006B03FD"/>
    <w:rsid w:val="006B0455"/>
    <w:rsid w:val="006B1FAC"/>
    <w:rsid w:val="006B2534"/>
    <w:rsid w:val="006C1EE3"/>
    <w:rsid w:val="006C33A4"/>
    <w:rsid w:val="006D039D"/>
    <w:rsid w:val="006D09B8"/>
    <w:rsid w:val="006D1AF7"/>
    <w:rsid w:val="006D4D53"/>
    <w:rsid w:val="006D5D11"/>
    <w:rsid w:val="006D7E75"/>
    <w:rsid w:val="006E78CF"/>
    <w:rsid w:val="006E7BBC"/>
    <w:rsid w:val="006F1B8C"/>
    <w:rsid w:val="006F23E5"/>
    <w:rsid w:val="006F3F29"/>
    <w:rsid w:val="006F4486"/>
    <w:rsid w:val="00702630"/>
    <w:rsid w:val="0070477E"/>
    <w:rsid w:val="0071029A"/>
    <w:rsid w:val="0071133E"/>
    <w:rsid w:val="00716715"/>
    <w:rsid w:val="0071748D"/>
    <w:rsid w:val="0071795C"/>
    <w:rsid w:val="007211B8"/>
    <w:rsid w:val="007247FC"/>
    <w:rsid w:val="00726077"/>
    <w:rsid w:val="007326DA"/>
    <w:rsid w:val="007348E8"/>
    <w:rsid w:val="00735EEE"/>
    <w:rsid w:val="00736779"/>
    <w:rsid w:val="007464D1"/>
    <w:rsid w:val="007469AE"/>
    <w:rsid w:val="007478B3"/>
    <w:rsid w:val="007503E4"/>
    <w:rsid w:val="00751DD5"/>
    <w:rsid w:val="00752552"/>
    <w:rsid w:val="00756E03"/>
    <w:rsid w:val="00765CA9"/>
    <w:rsid w:val="0077267C"/>
    <w:rsid w:val="007813EF"/>
    <w:rsid w:val="00790043"/>
    <w:rsid w:val="0079107E"/>
    <w:rsid w:val="00792A7F"/>
    <w:rsid w:val="007A09FC"/>
    <w:rsid w:val="007A1921"/>
    <w:rsid w:val="007A5672"/>
    <w:rsid w:val="007B00DF"/>
    <w:rsid w:val="007B43D7"/>
    <w:rsid w:val="007D07DB"/>
    <w:rsid w:val="007D3006"/>
    <w:rsid w:val="007D4447"/>
    <w:rsid w:val="007D5C44"/>
    <w:rsid w:val="007D5FFF"/>
    <w:rsid w:val="007E0DCA"/>
    <w:rsid w:val="007E3197"/>
    <w:rsid w:val="007E3635"/>
    <w:rsid w:val="007E579F"/>
    <w:rsid w:val="007E749A"/>
    <w:rsid w:val="007F1157"/>
    <w:rsid w:val="007F26BE"/>
    <w:rsid w:val="007F38E2"/>
    <w:rsid w:val="008072D3"/>
    <w:rsid w:val="00812386"/>
    <w:rsid w:val="00812715"/>
    <w:rsid w:val="00815430"/>
    <w:rsid w:val="00820ED5"/>
    <w:rsid w:val="008259D6"/>
    <w:rsid w:val="008305AF"/>
    <w:rsid w:val="0083163E"/>
    <w:rsid w:val="0083197E"/>
    <w:rsid w:val="00831E18"/>
    <w:rsid w:val="00832AA2"/>
    <w:rsid w:val="00833334"/>
    <w:rsid w:val="008338C1"/>
    <w:rsid w:val="008378FC"/>
    <w:rsid w:val="008426D9"/>
    <w:rsid w:val="00844B9E"/>
    <w:rsid w:val="00846155"/>
    <w:rsid w:val="00846284"/>
    <w:rsid w:val="00853048"/>
    <w:rsid w:val="00854500"/>
    <w:rsid w:val="00865FF8"/>
    <w:rsid w:val="0086634A"/>
    <w:rsid w:val="008724D1"/>
    <w:rsid w:val="00874C8F"/>
    <w:rsid w:val="0088295B"/>
    <w:rsid w:val="00884714"/>
    <w:rsid w:val="008A030F"/>
    <w:rsid w:val="008A1F66"/>
    <w:rsid w:val="008A5058"/>
    <w:rsid w:val="008A5AF5"/>
    <w:rsid w:val="008B0313"/>
    <w:rsid w:val="008B0958"/>
    <w:rsid w:val="008B0B6B"/>
    <w:rsid w:val="008B4280"/>
    <w:rsid w:val="008B4BA5"/>
    <w:rsid w:val="008B5389"/>
    <w:rsid w:val="008C3226"/>
    <w:rsid w:val="008D16CD"/>
    <w:rsid w:val="008D1DD8"/>
    <w:rsid w:val="008E3211"/>
    <w:rsid w:val="008E573A"/>
    <w:rsid w:val="008F015D"/>
    <w:rsid w:val="008F06C2"/>
    <w:rsid w:val="008F0B42"/>
    <w:rsid w:val="009001B8"/>
    <w:rsid w:val="0090347F"/>
    <w:rsid w:val="009046A4"/>
    <w:rsid w:val="009114AE"/>
    <w:rsid w:val="00912575"/>
    <w:rsid w:val="00915188"/>
    <w:rsid w:val="00917B66"/>
    <w:rsid w:val="00923F4E"/>
    <w:rsid w:val="00934EDE"/>
    <w:rsid w:val="00935FFB"/>
    <w:rsid w:val="00941BAC"/>
    <w:rsid w:val="00952EE6"/>
    <w:rsid w:val="009555C3"/>
    <w:rsid w:val="0095668A"/>
    <w:rsid w:val="009613DE"/>
    <w:rsid w:val="00962372"/>
    <w:rsid w:val="00973554"/>
    <w:rsid w:val="00974CD9"/>
    <w:rsid w:val="00975388"/>
    <w:rsid w:val="0098593C"/>
    <w:rsid w:val="00990B1D"/>
    <w:rsid w:val="00990DD7"/>
    <w:rsid w:val="00992897"/>
    <w:rsid w:val="009A008F"/>
    <w:rsid w:val="009B2142"/>
    <w:rsid w:val="009B5E4B"/>
    <w:rsid w:val="009C011A"/>
    <w:rsid w:val="009C5CF7"/>
    <w:rsid w:val="009C672E"/>
    <w:rsid w:val="009C7285"/>
    <w:rsid w:val="009D433F"/>
    <w:rsid w:val="009E0C33"/>
    <w:rsid w:val="009E2E42"/>
    <w:rsid w:val="009E3FF4"/>
    <w:rsid w:val="009E53DF"/>
    <w:rsid w:val="009E78E2"/>
    <w:rsid w:val="009F001C"/>
    <w:rsid w:val="00A03C8F"/>
    <w:rsid w:val="00A07A86"/>
    <w:rsid w:val="00A12679"/>
    <w:rsid w:val="00A12F91"/>
    <w:rsid w:val="00A13189"/>
    <w:rsid w:val="00A1426B"/>
    <w:rsid w:val="00A22400"/>
    <w:rsid w:val="00A25580"/>
    <w:rsid w:val="00A32489"/>
    <w:rsid w:val="00A3354D"/>
    <w:rsid w:val="00A40587"/>
    <w:rsid w:val="00A40F15"/>
    <w:rsid w:val="00A46008"/>
    <w:rsid w:val="00A555F6"/>
    <w:rsid w:val="00A605D5"/>
    <w:rsid w:val="00A63897"/>
    <w:rsid w:val="00A642C8"/>
    <w:rsid w:val="00A84454"/>
    <w:rsid w:val="00A87D9F"/>
    <w:rsid w:val="00A953FF"/>
    <w:rsid w:val="00A96B49"/>
    <w:rsid w:val="00AA0ED6"/>
    <w:rsid w:val="00AA1A33"/>
    <w:rsid w:val="00AB0DC6"/>
    <w:rsid w:val="00AB3341"/>
    <w:rsid w:val="00AB6196"/>
    <w:rsid w:val="00AB671A"/>
    <w:rsid w:val="00AC15F5"/>
    <w:rsid w:val="00AC6ADD"/>
    <w:rsid w:val="00AC6C51"/>
    <w:rsid w:val="00AC7F24"/>
    <w:rsid w:val="00AD74F8"/>
    <w:rsid w:val="00AE1A99"/>
    <w:rsid w:val="00AE3194"/>
    <w:rsid w:val="00AE491A"/>
    <w:rsid w:val="00AF42E4"/>
    <w:rsid w:val="00AF4B78"/>
    <w:rsid w:val="00B006B0"/>
    <w:rsid w:val="00B01D5C"/>
    <w:rsid w:val="00B04479"/>
    <w:rsid w:val="00B077C0"/>
    <w:rsid w:val="00B13880"/>
    <w:rsid w:val="00B13ABF"/>
    <w:rsid w:val="00B30706"/>
    <w:rsid w:val="00B3095E"/>
    <w:rsid w:val="00B31EE5"/>
    <w:rsid w:val="00B3346C"/>
    <w:rsid w:val="00B33530"/>
    <w:rsid w:val="00B42201"/>
    <w:rsid w:val="00B45AE6"/>
    <w:rsid w:val="00B46C1A"/>
    <w:rsid w:val="00B53C5E"/>
    <w:rsid w:val="00B606ED"/>
    <w:rsid w:val="00B63F21"/>
    <w:rsid w:val="00B644B8"/>
    <w:rsid w:val="00B65747"/>
    <w:rsid w:val="00B7050F"/>
    <w:rsid w:val="00B75290"/>
    <w:rsid w:val="00B75FDD"/>
    <w:rsid w:val="00B82A94"/>
    <w:rsid w:val="00B836B8"/>
    <w:rsid w:val="00B875B1"/>
    <w:rsid w:val="00B87CEF"/>
    <w:rsid w:val="00B94878"/>
    <w:rsid w:val="00BA3770"/>
    <w:rsid w:val="00BA3797"/>
    <w:rsid w:val="00BA3C9B"/>
    <w:rsid w:val="00BA409F"/>
    <w:rsid w:val="00BB19CC"/>
    <w:rsid w:val="00BB2C9A"/>
    <w:rsid w:val="00BB318C"/>
    <w:rsid w:val="00BB4311"/>
    <w:rsid w:val="00BB6CA1"/>
    <w:rsid w:val="00BC0A7E"/>
    <w:rsid w:val="00BC4D25"/>
    <w:rsid w:val="00BC604E"/>
    <w:rsid w:val="00BD405D"/>
    <w:rsid w:val="00BE1311"/>
    <w:rsid w:val="00BF1476"/>
    <w:rsid w:val="00BF2301"/>
    <w:rsid w:val="00BF5393"/>
    <w:rsid w:val="00BF7814"/>
    <w:rsid w:val="00BF7EC7"/>
    <w:rsid w:val="00C01BC2"/>
    <w:rsid w:val="00C10E4D"/>
    <w:rsid w:val="00C20DF2"/>
    <w:rsid w:val="00C2651D"/>
    <w:rsid w:val="00C265E8"/>
    <w:rsid w:val="00C26C76"/>
    <w:rsid w:val="00C26D80"/>
    <w:rsid w:val="00C31174"/>
    <w:rsid w:val="00C378CB"/>
    <w:rsid w:val="00C37CCD"/>
    <w:rsid w:val="00C432A9"/>
    <w:rsid w:val="00C43FA3"/>
    <w:rsid w:val="00C46D1F"/>
    <w:rsid w:val="00C47273"/>
    <w:rsid w:val="00C477B4"/>
    <w:rsid w:val="00C50472"/>
    <w:rsid w:val="00C53D07"/>
    <w:rsid w:val="00C56213"/>
    <w:rsid w:val="00C6082A"/>
    <w:rsid w:val="00C6180C"/>
    <w:rsid w:val="00C63549"/>
    <w:rsid w:val="00C645DC"/>
    <w:rsid w:val="00C74F3D"/>
    <w:rsid w:val="00C87347"/>
    <w:rsid w:val="00C9107F"/>
    <w:rsid w:val="00C915C3"/>
    <w:rsid w:val="00C9332B"/>
    <w:rsid w:val="00C945FD"/>
    <w:rsid w:val="00C95E26"/>
    <w:rsid w:val="00CA0939"/>
    <w:rsid w:val="00CA1C17"/>
    <w:rsid w:val="00CA2BA5"/>
    <w:rsid w:val="00CB2915"/>
    <w:rsid w:val="00CB2B15"/>
    <w:rsid w:val="00CB332A"/>
    <w:rsid w:val="00CB63A3"/>
    <w:rsid w:val="00CC452F"/>
    <w:rsid w:val="00CD0B07"/>
    <w:rsid w:val="00CD22C1"/>
    <w:rsid w:val="00CD46D4"/>
    <w:rsid w:val="00CD5DC7"/>
    <w:rsid w:val="00CD5F12"/>
    <w:rsid w:val="00CE3BA5"/>
    <w:rsid w:val="00CE3E96"/>
    <w:rsid w:val="00D0249E"/>
    <w:rsid w:val="00D1174C"/>
    <w:rsid w:val="00D2161F"/>
    <w:rsid w:val="00D2468F"/>
    <w:rsid w:val="00D26B2D"/>
    <w:rsid w:val="00D336C1"/>
    <w:rsid w:val="00D44B52"/>
    <w:rsid w:val="00D47595"/>
    <w:rsid w:val="00D521B0"/>
    <w:rsid w:val="00D55ED6"/>
    <w:rsid w:val="00D674DF"/>
    <w:rsid w:val="00D70205"/>
    <w:rsid w:val="00D751D4"/>
    <w:rsid w:val="00D771F7"/>
    <w:rsid w:val="00D802DB"/>
    <w:rsid w:val="00D824E4"/>
    <w:rsid w:val="00D87FE2"/>
    <w:rsid w:val="00D938AB"/>
    <w:rsid w:val="00DB40DB"/>
    <w:rsid w:val="00DB69E0"/>
    <w:rsid w:val="00DC0D39"/>
    <w:rsid w:val="00DC243E"/>
    <w:rsid w:val="00DC5625"/>
    <w:rsid w:val="00DD6776"/>
    <w:rsid w:val="00DD6C9E"/>
    <w:rsid w:val="00DE3BEF"/>
    <w:rsid w:val="00DF1887"/>
    <w:rsid w:val="00DF1F9D"/>
    <w:rsid w:val="00DF53A6"/>
    <w:rsid w:val="00DF6604"/>
    <w:rsid w:val="00DF7149"/>
    <w:rsid w:val="00DF7D0F"/>
    <w:rsid w:val="00E039E4"/>
    <w:rsid w:val="00E10354"/>
    <w:rsid w:val="00E16F75"/>
    <w:rsid w:val="00E217A4"/>
    <w:rsid w:val="00E31968"/>
    <w:rsid w:val="00E32246"/>
    <w:rsid w:val="00E3386D"/>
    <w:rsid w:val="00E34406"/>
    <w:rsid w:val="00E3457E"/>
    <w:rsid w:val="00E36CE8"/>
    <w:rsid w:val="00E41B9B"/>
    <w:rsid w:val="00E43F84"/>
    <w:rsid w:val="00E44DBC"/>
    <w:rsid w:val="00E4768A"/>
    <w:rsid w:val="00E542CE"/>
    <w:rsid w:val="00E54FD2"/>
    <w:rsid w:val="00E6288F"/>
    <w:rsid w:val="00E65032"/>
    <w:rsid w:val="00E657C7"/>
    <w:rsid w:val="00E71505"/>
    <w:rsid w:val="00E74CB2"/>
    <w:rsid w:val="00E75CA4"/>
    <w:rsid w:val="00E76755"/>
    <w:rsid w:val="00E774A2"/>
    <w:rsid w:val="00E827D5"/>
    <w:rsid w:val="00E9147B"/>
    <w:rsid w:val="00E921BF"/>
    <w:rsid w:val="00E93E85"/>
    <w:rsid w:val="00E9512A"/>
    <w:rsid w:val="00E95AA2"/>
    <w:rsid w:val="00E967F5"/>
    <w:rsid w:val="00E972A2"/>
    <w:rsid w:val="00E97B40"/>
    <w:rsid w:val="00EA1049"/>
    <w:rsid w:val="00EA2BDC"/>
    <w:rsid w:val="00EA3B1B"/>
    <w:rsid w:val="00EA45B9"/>
    <w:rsid w:val="00EA4BE9"/>
    <w:rsid w:val="00EA4C0A"/>
    <w:rsid w:val="00EA555F"/>
    <w:rsid w:val="00EB2623"/>
    <w:rsid w:val="00EC1AAD"/>
    <w:rsid w:val="00ED3600"/>
    <w:rsid w:val="00ED6508"/>
    <w:rsid w:val="00EE3A92"/>
    <w:rsid w:val="00EF084C"/>
    <w:rsid w:val="00EF12FF"/>
    <w:rsid w:val="00EF24D3"/>
    <w:rsid w:val="00EF271A"/>
    <w:rsid w:val="00EF31AE"/>
    <w:rsid w:val="00EF3AAF"/>
    <w:rsid w:val="00EF6548"/>
    <w:rsid w:val="00F07933"/>
    <w:rsid w:val="00F11BD1"/>
    <w:rsid w:val="00F12553"/>
    <w:rsid w:val="00F21C60"/>
    <w:rsid w:val="00F2348E"/>
    <w:rsid w:val="00F25C39"/>
    <w:rsid w:val="00F25E02"/>
    <w:rsid w:val="00F27705"/>
    <w:rsid w:val="00F358C2"/>
    <w:rsid w:val="00F42933"/>
    <w:rsid w:val="00F44A0B"/>
    <w:rsid w:val="00F51E41"/>
    <w:rsid w:val="00F634E9"/>
    <w:rsid w:val="00F64D9D"/>
    <w:rsid w:val="00F65402"/>
    <w:rsid w:val="00F67E6E"/>
    <w:rsid w:val="00F7479A"/>
    <w:rsid w:val="00F77925"/>
    <w:rsid w:val="00F83E3B"/>
    <w:rsid w:val="00F8791E"/>
    <w:rsid w:val="00F87BCE"/>
    <w:rsid w:val="00F90AD7"/>
    <w:rsid w:val="00FA0EBC"/>
    <w:rsid w:val="00FA12E8"/>
    <w:rsid w:val="00FA47EF"/>
    <w:rsid w:val="00FB164E"/>
    <w:rsid w:val="00FB24BE"/>
    <w:rsid w:val="00FB3D89"/>
    <w:rsid w:val="00FB3E88"/>
    <w:rsid w:val="00FC5888"/>
    <w:rsid w:val="00FC5B93"/>
    <w:rsid w:val="00FD0C1E"/>
    <w:rsid w:val="00FD1D1D"/>
    <w:rsid w:val="00FE2263"/>
    <w:rsid w:val="00FE2EDE"/>
    <w:rsid w:val="00FF7A62"/>
    <w:rsid w:val="00FF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51F"/>
  <w15:chartTrackingRefBased/>
  <w15:docId w15:val="{888C656A-40EF-4BA9-B591-228F3F1B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2B"/>
    <w:pPr>
      <w:widowControl w:val="0"/>
      <w:spacing w:after="0" w:line="240" w:lineRule="auto"/>
    </w:pPr>
    <w:rPr>
      <w:rFonts w:ascii="Courier New" w:eastAsia="Courier New" w:hAnsi="Courier New" w:cs="Courier New"/>
      <w:color w:val="000000"/>
      <w:sz w:val="24"/>
      <w:szCs w:val="24"/>
      <w:lang w:val="mn-MN" w:eastAsia="mn-MN" w:bidi="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655"/>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383D14"/>
    <w:pPr>
      <w:ind w:left="720"/>
      <w:contextualSpacing/>
    </w:pPr>
  </w:style>
  <w:style w:type="character" w:customStyle="1" w:styleId="highlight2">
    <w:name w:val="highlight2"/>
    <w:basedOn w:val="DefaultParagraphFont"/>
    <w:rsid w:val="00F90AD7"/>
  </w:style>
  <w:style w:type="paragraph" w:customStyle="1" w:styleId="Style1">
    <w:name w:val="Style1"/>
    <w:basedOn w:val="Normal"/>
    <w:uiPriority w:val="99"/>
    <w:rsid w:val="00D47595"/>
    <w:pPr>
      <w:autoSpaceDE w:val="0"/>
      <w:autoSpaceDN w:val="0"/>
      <w:adjustRightInd w:val="0"/>
      <w:spacing w:line="317" w:lineRule="exact"/>
      <w:jc w:val="both"/>
    </w:pPr>
    <w:rPr>
      <w:rFonts w:ascii="Arial" w:eastAsia="Times New Roman" w:hAnsi="Arial" w:cs="Arial"/>
      <w:color w:val="auto"/>
      <w:lang w:val="en-US" w:eastAsia="en-US" w:bidi="ar-SA"/>
    </w:rPr>
  </w:style>
  <w:style w:type="character" w:customStyle="1" w:styleId="FontStyle12">
    <w:name w:val="Font Style12"/>
    <w:uiPriority w:val="99"/>
    <w:rsid w:val="00D47595"/>
    <w:rPr>
      <w:rFonts w:ascii="Arial" w:hAnsi="Arial" w:cs="Arial"/>
      <w:b/>
      <w:bCs/>
      <w:sz w:val="22"/>
      <w:szCs w:val="22"/>
    </w:rPr>
  </w:style>
  <w:style w:type="paragraph" w:customStyle="1" w:styleId="Normal1">
    <w:name w:val="Normal1"/>
    <w:rsid w:val="00716715"/>
    <w:pPr>
      <w:spacing w:after="200" w:line="276" w:lineRule="auto"/>
    </w:pPr>
    <w:rPr>
      <w:rFonts w:ascii="Calibri" w:eastAsia="Calibri" w:hAnsi="Calibri" w:cs="Calibri"/>
      <w:lang w:val="mn-MN"/>
    </w:rPr>
  </w:style>
  <w:style w:type="character" w:styleId="Strong">
    <w:name w:val="Strong"/>
    <w:basedOn w:val="DefaultParagraphFont"/>
    <w:uiPriority w:val="22"/>
    <w:qFormat/>
    <w:rsid w:val="0004057F"/>
    <w:rPr>
      <w:b/>
      <w:bCs/>
    </w:rPr>
  </w:style>
  <w:style w:type="character" w:customStyle="1" w:styleId="pull-right">
    <w:name w:val="pull-right"/>
    <w:basedOn w:val="DefaultParagraphFont"/>
    <w:rsid w:val="00026600"/>
  </w:style>
  <w:style w:type="character" w:customStyle="1" w:styleId="BodyTextChar">
    <w:name w:val="Body Text Char"/>
    <w:basedOn w:val="DefaultParagraphFont"/>
    <w:link w:val="BodyText"/>
    <w:rsid w:val="00B82A94"/>
    <w:rPr>
      <w:rFonts w:ascii="Arial" w:eastAsia="Arial" w:hAnsi="Arial" w:cs="Arial"/>
      <w:color w:val="3D3D3D"/>
    </w:rPr>
  </w:style>
  <w:style w:type="paragraph" w:styleId="BodyText">
    <w:name w:val="Body Text"/>
    <w:basedOn w:val="Normal"/>
    <w:link w:val="BodyTextChar"/>
    <w:qFormat/>
    <w:rsid w:val="00B82A94"/>
    <w:pPr>
      <w:spacing w:after="260" w:line="264" w:lineRule="auto"/>
      <w:ind w:firstLine="400"/>
    </w:pPr>
    <w:rPr>
      <w:rFonts w:ascii="Arial" w:eastAsia="Arial" w:hAnsi="Arial" w:cs="Arial"/>
      <w:color w:val="3D3D3D"/>
      <w:sz w:val="22"/>
      <w:szCs w:val="22"/>
      <w:lang w:val="en-US" w:eastAsia="en-US" w:bidi="ar-SA"/>
    </w:rPr>
  </w:style>
  <w:style w:type="character" w:customStyle="1" w:styleId="BodyTextChar1">
    <w:name w:val="Body Text Char1"/>
    <w:basedOn w:val="DefaultParagraphFont"/>
    <w:uiPriority w:val="99"/>
    <w:semiHidden/>
    <w:rsid w:val="00B82A94"/>
    <w:rPr>
      <w:rFonts w:ascii="Courier New" w:eastAsia="Courier New" w:hAnsi="Courier New" w:cs="Courier New"/>
      <w:color w:val="000000"/>
      <w:sz w:val="24"/>
      <w:szCs w:val="24"/>
      <w:lang w:val="mn-MN" w:eastAsia="mn-MN" w:bidi="mn-MN"/>
    </w:rPr>
  </w:style>
  <w:style w:type="character" w:styleId="Emphasis">
    <w:name w:val="Emphasis"/>
    <w:basedOn w:val="DefaultParagraphFont"/>
    <w:uiPriority w:val="20"/>
    <w:qFormat/>
    <w:rsid w:val="005734BA"/>
    <w:rPr>
      <w:i/>
      <w:iCs/>
    </w:rPr>
  </w:style>
  <w:style w:type="character" w:customStyle="1" w:styleId="Bodytext2">
    <w:name w:val="Body text (2)_"/>
    <w:basedOn w:val="DefaultParagraphFont"/>
    <w:link w:val="Bodytext20"/>
    <w:rsid w:val="004B6DD6"/>
    <w:rPr>
      <w:rFonts w:ascii="Arial" w:eastAsia="Arial" w:hAnsi="Arial" w:cs="Arial"/>
      <w:color w:val="464646"/>
    </w:rPr>
  </w:style>
  <w:style w:type="paragraph" w:customStyle="1" w:styleId="Bodytext20">
    <w:name w:val="Body text (2)"/>
    <w:basedOn w:val="Normal"/>
    <w:link w:val="Bodytext2"/>
    <w:rsid w:val="004B6DD6"/>
    <w:pPr>
      <w:spacing w:after="260" w:line="264" w:lineRule="auto"/>
      <w:ind w:firstLine="780"/>
    </w:pPr>
    <w:rPr>
      <w:rFonts w:ascii="Arial" w:eastAsia="Arial" w:hAnsi="Arial" w:cs="Arial"/>
      <w:color w:val="464646"/>
      <w:sz w:val="22"/>
      <w:szCs w:val="22"/>
      <w:lang w:val="en-US" w:eastAsia="en-US" w:bidi="ar-SA"/>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D16CD"/>
    <w:pPr>
      <w:widowControl/>
    </w:pPr>
    <w:rPr>
      <w:rFonts w:asciiTheme="minorHAnsi" w:eastAsiaTheme="minorHAnsi" w:hAnsiTheme="minorHAnsi" w:cstheme="minorBidi"/>
      <w:color w:val="auto"/>
      <w:sz w:val="20"/>
      <w:szCs w:val="20"/>
      <w:lang w:val="en-US" w:eastAsia="en-US" w:bidi="ar-SA"/>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8D16CD"/>
    <w:rPr>
      <w:sz w:val="20"/>
      <w:szCs w:val="20"/>
    </w:rPr>
  </w:style>
  <w:style w:type="character" w:styleId="FootnoteReference">
    <w:name w:val="footnote reference"/>
    <w:basedOn w:val="DefaultParagraphFont"/>
    <w:uiPriority w:val="99"/>
    <w:unhideWhenUsed/>
    <w:rsid w:val="008D16CD"/>
    <w:rPr>
      <w:vertAlign w:val="superscript"/>
    </w:rPr>
  </w:style>
  <w:style w:type="paragraph" w:customStyle="1" w:styleId="msghead">
    <w:name w:val="msg_head"/>
    <w:basedOn w:val="Normal"/>
    <w:rsid w:val="008A1F66"/>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250">
      <w:bodyDiv w:val="1"/>
      <w:marLeft w:val="0"/>
      <w:marRight w:val="0"/>
      <w:marTop w:val="0"/>
      <w:marBottom w:val="0"/>
      <w:divBdr>
        <w:top w:val="none" w:sz="0" w:space="0" w:color="auto"/>
        <w:left w:val="none" w:sz="0" w:space="0" w:color="auto"/>
        <w:bottom w:val="none" w:sz="0" w:space="0" w:color="auto"/>
        <w:right w:val="none" w:sz="0" w:space="0" w:color="auto"/>
      </w:divBdr>
      <w:divsChild>
        <w:div w:id="1458255860">
          <w:marLeft w:val="0"/>
          <w:marRight w:val="0"/>
          <w:marTop w:val="150"/>
          <w:marBottom w:val="0"/>
          <w:divBdr>
            <w:top w:val="none" w:sz="0" w:space="0" w:color="auto"/>
            <w:left w:val="none" w:sz="0" w:space="0" w:color="auto"/>
            <w:bottom w:val="none" w:sz="0" w:space="0" w:color="auto"/>
            <w:right w:val="none" w:sz="0" w:space="0" w:color="auto"/>
          </w:divBdr>
        </w:div>
        <w:div w:id="410274435">
          <w:marLeft w:val="0"/>
          <w:marRight w:val="0"/>
          <w:marTop w:val="150"/>
          <w:marBottom w:val="0"/>
          <w:divBdr>
            <w:top w:val="none" w:sz="0" w:space="0" w:color="auto"/>
            <w:left w:val="none" w:sz="0" w:space="0" w:color="auto"/>
            <w:bottom w:val="none" w:sz="0" w:space="0" w:color="auto"/>
            <w:right w:val="none" w:sz="0" w:space="0" w:color="auto"/>
          </w:divBdr>
        </w:div>
        <w:div w:id="775709719">
          <w:marLeft w:val="0"/>
          <w:marRight w:val="0"/>
          <w:marTop w:val="150"/>
          <w:marBottom w:val="0"/>
          <w:divBdr>
            <w:top w:val="none" w:sz="0" w:space="0" w:color="auto"/>
            <w:left w:val="none" w:sz="0" w:space="0" w:color="auto"/>
            <w:bottom w:val="none" w:sz="0" w:space="0" w:color="auto"/>
            <w:right w:val="none" w:sz="0" w:space="0" w:color="auto"/>
          </w:divBdr>
        </w:div>
        <w:div w:id="2106414481">
          <w:marLeft w:val="0"/>
          <w:marRight w:val="0"/>
          <w:marTop w:val="150"/>
          <w:marBottom w:val="0"/>
          <w:divBdr>
            <w:top w:val="none" w:sz="0" w:space="0" w:color="auto"/>
            <w:left w:val="none" w:sz="0" w:space="0" w:color="auto"/>
            <w:bottom w:val="none" w:sz="0" w:space="0" w:color="auto"/>
            <w:right w:val="none" w:sz="0" w:space="0" w:color="auto"/>
          </w:divBdr>
        </w:div>
        <w:div w:id="1332483614">
          <w:marLeft w:val="0"/>
          <w:marRight w:val="0"/>
          <w:marTop w:val="150"/>
          <w:marBottom w:val="0"/>
          <w:divBdr>
            <w:top w:val="none" w:sz="0" w:space="0" w:color="auto"/>
            <w:left w:val="none" w:sz="0" w:space="0" w:color="auto"/>
            <w:bottom w:val="none" w:sz="0" w:space="0" w:color="auto"/>
            <w:right w:val="none" w:sz="0" w:space="0" w:color="auto"/>
          </w:divBdr>
        </w:div>
        <w:div w:id="2068650989">
          <w:marLeft w:val="0"/>
          <w:marRight w:val="0"/>
          <w:marTop w:val="150"/>
          <w:marBottom w:val="0"/>
          <w:divBdr>
            <w:top w:val="none" w:sz="0" w:space="0" w:color="auto"/>
            <w:left w:val="none" w:sz="0" w:space="0" w:color="auto"/>
            <w:bottom w:val="none" w:sz="0" w:space="0" w:color="auto"/>
            <w:right w:val="none" w:sz="0" w:space="0" w:color="auto"/>
          </w:divBdr>
        </w:div>
        <w:div w:id="1897886226">
          <w:marLeft w:val="0"/>
          <w:marRight w:val="0"/>
          <w:marTop w:val="150"/>
          <w:marBottom w:val="0"/>
          <w:divBdr>
            <w:top w:val="none" w:sz="0" w:space="0" w:color="auto"/>
            <w:left w:val="none" w:sz="0" w:space="0" w:color="auto"/>
            <w:bottom w:val="none" w:sz="0" w:space="0" w:color="auto"/>
            <w:right w:val="none" w:sz="0" w:space="0" w:color="auto"/>
          </w:divBdr>
        </w:div>
        <w:div w:id="1239361984">
          <w:marLeft w:val="0"/>
          <w:marRight w:val="0"/>
          <w:marTop w:val="150"/>
          <w:marBottom w:val="0"/>
          <w:divBdr>
            <w:top w:val="none" w:sz="0" w:space="0" w:color="auto"/>
            <w:left w:val="none" w:sz="0" w:space="0" w:color="auto"/>
            <w:bottom w:val="none" w:sz="0" w:space="0" w:color="auto"/>
            <w:right w:val="none" w:sz="0" w:space="0" w:color="auto"/>
          </w:divBdr>
        </w:div>
        <w:div w:id="1218933397">
          <w:marLeft w:val="0"/>
          <w:marRight w:val="0"/>
          <w:marTop w:val="150"/>
          <w:marBottom w:val="0"/>
          <w:divBdr>
            <w:top w:val="none" w:sz="0" w:space="0" w:color="auto"/>
            <w:left w:val="none" w:sz="0" w:space="0" w:color="auto"/>
            <w:bottom w:val="none" w:sz="0" w:space="0" w:color="auto"/>
            <w:right w:val="none" w:sz="0" w:space="0" w:color="auto"/>
          </w:divBdr>
        </w:div>
        <w:div w:id="1768229110">
          <w:marLeft w:val="0"/>
          <w:marRight w:val="0"/>
          <w:marTop w:val="150"/>
          <w:marBottom w:val="0"/>
          <w:divBdr>
            <w:top w:val="none" w:sz="0" w:space="0" w:color="auto"/>
            <w:left w:val="none" w:sz="0" w:space="0" w:color="auto"/>
            <w:bottom w:val="none" w:sz="0" w:space="0" w:color="auto"/>
            <w:right w:val="none" w:sz="0" w:space="0" w:color="auto"/>
          </w:divBdr>
        </w:div>
        <w:div w:id="1399942369">
          <w:marLeft w:val="0"/>
          <w:marRight w:val="0"/>
          <w:marTop w:val="150"/>
          <w:marBottom w:val="0"/>
          <w:divBdr>
            <w:top w:val="none" w:sz="0" w:space="0" w:color="auto"/>
            <w:left w:val="none" w:sz="0" w:space="0" w:color="auto"/>
            <w:bottom w:val="none" w:sz="0" w:space="0" w:color="auto"/>
            <w:right w:val="none" w:sz="0" w:space="0" w:color="auto"/>
          </w:divBdr>
        </w:div>
        <w:div w:id="766074168">
          <w:marLeft w:val="0"/>
          <w:marRight w:val="0"/>
          <w:marTop w:val="150"/>
          <w:marBottom w:val="0"/>
          <w:divBdr>
            <w:top w:val="none" w:sz="0" w:space="0" w:color="auto"/>
            <w:left w:val="none" w:sz="0" w:space="0" w:color="auto"/>
            <w:bottom w:val="none" w:sz="0" w:space="0" w:color="auto"/>
            <w:right w:val="none" w:sz="0" w:space="0" w:color="auto"/>
          </w:divBdr>
        </w:div>
        <w:div w:id="1193495048">
          <w:marLeft w:val="0"/>
          <w:marRight w:val="0"/>
          <w:marTop w:val="150"/>
          <w:marBottom w:val="0"/>
          <w:divBdr>
            <w:top w:val="none" w:sz="0" w:space="0" w:color="auto"/>
            <w:left w:val="none" w:sz="0" w:space="0" w:color="auto"/>
            <w:bottom w:val="none" w:sz="0" w:space="0" w:color="auto"/>
            <w:right w:val="none" w:sz="0" w:space="0" w:color="auto"/>
          </w:divBdr>
        </w:div>
        <w:div w:id="1018042563">
          <w:marLeft w:val="0"/>
          <w:marRight w:val="0"/>
          <w:marTop w:val="150"/>
          <w:marBottom w:val="0"/>
          <w:divBdr>
            <w:top w:val="none" w:sz="0" w:space="0" w:color="auto"/>
            <w:left w:val="none" w:sz="0" w:space="0" w:color="auto"/>
            <w:bottom w:val="none" w:sz="0" w:space="0" w:color="auto"/>
            <w:right w:val="none" w:sz="0" w:space="0" w:color="auto"/>
          </w:divBdr>
        </w:div>
        <w:div w:id="230966473">
          <w:marLeft w:val="0"/>
          <w:marRight w:val="0"/>
          <w:marTop w:val="150"/>
          <w:marBottom w:val="0"/>
          <w:divBdr>
            <w:top w:val="none" w:sz="0" w:space="0" w:color="auto"/>
            <w:left w:val="none" w:sz="0" w:space="0" w:color="auto"/>
            <w:bottom w:val="none" w:sz="0" w:space="0" w:color="auto"/>
            <w:right w:val="none" w:sz="0" w:space="0" w:color="auto"/>
          </w:divBdr>
        </w:div>
        <w:div w:id="2517727">
          <w:marLeft w:val="0"/>
          <w:marRight w:val="0"/>
          <w:marTop w:val="150"/>
          <w:marBottom w:val="0"/>
          <w:divBdr>
            <w:top w:val="none" w:sz="0" w:space="0" w:color="auto"/>
            <w:left w:val="none" w:sz="0" w:space="0" w:color="auto"/>
            <w:bottom w:val="none" w:sz="0" w:space="0" w:color="auto"/>
            <w:right w:val="none" w:sz="0" w:space="0" w:color="auto"/>
          </w:divBdr>
        </w:div>
        <w:div w:id="283969715">
          <w:marLeft w:val="0"/>
          <w:marRight w:val="0"/>
          <w:marTop w:val="150"/>
          <w:marBottom w:val="0"/>
          <w:divBdr>
            <w:top w:val="none" w:sz="0" w:space="0" w:color="auto"/>
            <w:left w:val="none" w:sz="0" w:space="0" w:color="auto"/>
            <w:bottom w:val="none" w:sz="0" w:space="0" w:color="auto"/>
            <w:right w:val="none" w:sz="0" w:space="0" w:color="auto"/>
          </w:divBdr>
        </w:div>
        <w:div w:id="1354764817">
          <w:marLeft w:val="0"/>
          <w:marRight w:val="0"/>
          <w:marTop w:val="150"/>
          <w:marBottom w:val="0"/>
          <w:divBdr>
            <w:top w:val="none" w:sz="0" w:space="0" w:color="auto"/>
            <w:left w:val="none" w:sz="0" w:space="0" w:color="auto"/>
            <w:bottom w:val="none" w:sz="0" w:space="0" w:color="auto"/>
            <w:right w:val="none" w:sz="0" w:space="0" w:color="auto"/>
          </w:divBdr>
        </w:div>
        <w:div w:id="664210464">
          <w:marLeft w:val="0"/>
          <w:marRight w:val="0"/>
          <w:marTop w:val="150"/>
          <w:marBottom w:val="0"/>
          <w:divBdr>
            <w:top w:val="none" w:sz="0" w:space="0" w:color="auto"/>
            <w:left w:val="none" w:sz="0" w:space="0" w:color="auto"/>
            <w:bottom w:val="none" w:sz="0" w:space="0" w:color="auto"/>
            <w:right w:val="none" w:sz="0" w:space="0" w:color="auto"/>
          </w:divBdr>
        </w:div>
        <w:div w:id="1178932864">
          <w:marLeft w:val="0"/>
          <w:marRight w:val="0"/>
          <w:marTop w:val="150"/>
          <w:marBottom w:val="0"/>
          <w:divBdr>
            <w:top w:val="none" w:sz="0" w:space="0" w:color="auto"/>
            <w:left w:val="none" w:sz="0" w:space="0" w:color="auto"/>
            <w:bottom w:val="none" w:sz="0" w:space="0" w:color="auto"/>
            <w:right w:val="none" w:sz="0" w:space="0" w:color="auto"/>
          </w:divBdr>
        </w:div>
        <w:div w:id="1281108550">
          <w:marLeft w:val="0"/>
          <w:marRight w:val="0"/>
          <w:marTop w:val="150"/>
          <w:marBottom w:val="0"/>
          <w:divBdr>
            <w:top w:val="none" w:sz="0" w:space="0" w:color="auto"/>
            <w:left w:val="none" w:sz="0" w:space="0" w:color="auto"/>
            <w:bottom w:val="none" w:sz="0" w:space="0" w:color="auto"/>
            <w:right w:val="none" w:sz="0" w:space="0" w:color="auto"/>
          </w:divBdr>
        </w:div>
        <w:div w:id="1297221435">
          <w:marLeft w:val="0"/>
          <w:marRight w:val="0"/>
          <w:marTop w:val="150"/>
          <w:marBottom w:val="0"/>
          <w:divBdr>
            <w:top w:val="none" w:sz="0" w:space="0" w:color="auto"/>
            <w:left w:val="none" w:sz="0" w:space="0" w:color="auto"/>
            <w:bottom w:val="none" w:sz="0" w:space="0" w:color="auto"/>
            <w:right w:val="none" w:sz="0" w:space="0" w:color="auto"/>
          </w:divBdr>
        </w:div>
        <w:div w:id="2107726986">
          <w:marLeft w:val="0"/>
          <w:marRight w:val="0"/>
          <w:marTop w:val="150"/>
          <w:marBottom w:val="0"/>
          <w:divBdr>
            <w:top w:val="none" w:sz="0" w:space="0" w:color="auto"/>
            <w:left w:val="none" w:sz="0" w:space="0" w:color="auto"/>
            <w:bottom w:val="none" w:sz="0" w:space="0" w:color="auto"/>
            <w:right w:val="none" w:sz="0" w:space="0" w:color="auto"/>
          </w:divBdr>
        </w:div>
        <w:div w:id="1121655683">
          <w:marLeft w:val="0"/>
          <w:marRight w:val="0"/>
          <w:marTop w:val="150"/>
          <w:marBottom w:val="0"/>
          <w:divBdr>
            <w:top w:val="none" w:sz="0" w:space="0" w:color="auto"/>
            <w:left w:val="none" w:sz="0" w:space="0" w:color="auto"/>
            <w:bottom w:val="none" w:sz="0" w:space="0" w:color="auto"/>
            <w:right w:val="none" w:sz="0" w:space="0" w:color="auto"/>
          </w:divBdr>
        </w:div>
      </w:divsChild>
    </w:div>
    <w:div w:id="463811374">
      <w:bodyDiv w:val="1"/>
      <w:marLeft w:val="0"/>
      <w:marRight w:val="0"/>
      <w:marTop w:val="0"/>
      <w:marBottom w:val="0"/>
      <w:divBdr>
        <w:top w:val="none" w:sz="0" w:space="0" w:color="auto"/>
        <w:left w:val="none" w:sz="0" w:space="0" w:color="auto"/>
        <w:bottom w:val="none" w:sz="0" w:space="0" w:color="auto"/>
        <w:right w:val="none" w:sz="0" w:space="0" w:color="auto"/>
      </w:divBdr>
      <w:divsChild>
        <w:div w:id="1468281649">
          <w:marLeft w:val="0"/>
          <w:marRight w:val="0"/>
          <w:marTop w:val="300"/>
          <w:marBottom w:val="0"/>
          <w:divBdr>
            <w:top w:val="none" w:sz="0" w:space="0" w:color="auto"/>
            <w:left w:val="none" w:sz="0" w:space="0" w:color="auto"/>
            <w:bottom w:val="none" w:sz="0" w:space="0" w:color="auto"/>
            <w:right w:val="none" w:sz="0" w:space="0" w:color="auto"/>
          </w:divBdr>
        </w:div>
        <w:div w:id="92631007">
          <w:marLeft w:val="0"/>
          <w:marRight w:val="0"/>
          <w:marTop w:val="150"/>
          <w:marBottom w:val="0"/>
          <w:divBdr>
            <w:top w:val="none" w:sz="0" w:space="0" w:color="auto"/>
            <w:left w:val="none" w:sz="0" w:space="0" w:color="auto"/>
            <w:bottom w:val="none" w:sz="0" w:space="0" w:color="auto"/>
            <w:right w:val="none" w:sz="0" w:space="0" w:color="auto"/>
          </w:divBdr>
        </w:div>
        <w:div w:id="2039433141">
          <w:marLeft w:val="0"/>
          <w:marRight w:val="0"/>
          <w:marTop w:val="150"/>
          <w:marBottom w:val="0"/>
          <w:divBdr>
            <w:top w:val="none" w:sz="0" w:space="0" w:color="auto"/>
            <w:left w:val="none" w:sz="0" w:space="0" w:color="auto"/>
            <w:bottom w:val="none" w:sz="0" w:space="0" w:color="auto"/>
            <w:right w:val="none" w:sz="0" w:space="0" w:color="auto"/>
          </w:divBdr>
        </w:div>
        <w:div w:id="253126912">
          <w:marLeft w:val="0"/>
          <w:marRight w:val="0"/>
          <w:marTop w:val="150"/>
          <w:marBottom w:val="0"/>
          <w:divBdr>
            <w:top w:val="none" w:sz="0" w:space="0" w:color="auto"/>
            <w:left w:val="none" w:sz="0" w:space="0" w:color="auto"/>
            <w:bottom w:val="none" w:sz="0" w:space="0" w:color="auto"/>
            <w:right w:val="none" w:sz="0" w:space="0" w:color="auto"/>
          </w:divBdr>
        </w:div>
        <w:div w:id="1380279712">
          <w:marLeft w:val="0"/>
          <w:marRight w:val="0"/>
          <w:marTop w:val="150"/>
          <w:marBottom w:val="0"/>
          <w:divBdr>
            <w:top w:val="none" w:sz="0" w:space="0" w:color="auto"/>
            <w:left w:val="none" w:sz="0" w:space="0" w:color="auto"/>
            <w:bottom w:val="none" w:sz="0" w:space="0" w:color="auto"/>
            <w:right w:val="none" w:sz="0" w:space="0" w:color="auto"/>
          </w:divBdr>
        </w:div>
        <w:div w:id="1147208733">
          <w:marLeft w:val="0"/>
          <w:marRight w:val="0"/>
          <w:marTop w:val="150"/>
          <w:marBottom w:val="0"/>
          <w:divBdr>
            <w:top w:val="none" w:sz="0" w:space="0" w:color="auto"/>
            <w:left w:val="none" w:sz="0" w:space="0" w:color="auto"/>
            <w:bottom w:val="none" w:sz="0" w:space="0" w:color="auto"/>
            <w:right w:val="none" w:sz="0" w:space="0" w:color="auto"/>
          </w:divBdr>
        </w:div>
        <w:div w:id="1479803868">
          <w:marLeft w:val="0"/>
          <w:marRight w:val="0"/>
          <w:marTop w:val="150"/>
          <w:marBottom w:val="0"/>
          <w:divBdr>
            <w:top w:val="none" w:sz="0" w:space="0" w:color="auto"/>
            <w:left w:val="none" w:sz="0" w:space="0" w:color="auto"/>
            <w:bottom w:val="none" w:sz="0" w:space="0" w:color="auto"/>
            <w:right w:val="none" w:sz="0" w:space="0" w:color="auto"/>
          </w:divBdr>
        </w:div>
      </w:divsChild>
    </w:div>
    <w:div w:id="668795867">
      <w:bodyDiv w:val="1"/>
      <w:marLeft w:val="0"/>
      <w:marRight w:val="0"/>
      <w:marTop w:val="0"/>
      <w:marBottom w:val="0"/>
      <w:divBdr>
        <w:top w:val="none" w:sz="0" w:space="0" w:color="auto"/>
        <w:left w:val="none" w:sz="0" w:space="0" w:color="auto"/>
        <w:bottom w:val="none" w:sz="0" w:space="0" w:color="auto"/>
        <w:right w:val="none" w:sz="0" w:space="0" w:color="auto"/>
      </w:divBdr>
      <w:divsChild>
        <w:div w:id="2071877707">
          <w:marLeft w:val="0"/>
          <w:marRight w:val="0"/>
          <w:marTop w:val="300"/>
          <w:marBottom w:val="0"/>
          <w:divBdr>
            <w:top w:val="none" w:sz="0" w:space="0" w:color="auto"/>
            <w:left w:val="none" w:sz="0" w:space="0" w:color="auto"/>
            <w:bottom w:val="none" w:sz="0" w:space="0" w:color="auto"/>
            <w:right w:val="none" w:sz="0" w:space="0" w:color="auto"/>
          </w:divBdr>
        </w:div>
        <w:div w:id="1210798431">
          <w:marLeft w:val="0"/>
          <w:marRight w:val="0"/>
          <w:marTop w:val="150"/>
          <w:marBottom w:val="0"/>
          <w:divBdr>
            <w:top w:val="none" w:sz="0" w:space="0" w:color="auto"/>
            <w:left w:val="none" w:sz="0" w:space="0" w:color="auto"/>
            <w:bottom w:val="none" w:sz="0" w:space="0" w:color="auto"/>
            <w:right w:val="none" w:sz="0" w:space="0" w:color="auto"/>
          </w:divBdr>
        </w:div>
        <w:div w:id="1226142124">
          <w:marLeft w:val="0"/>
          <w:marRight w:val="0"/>
          <w:marTop w:val="150"/>
          <w:marBottom w:val="0"/>
          <w:divBdr>
            <w:top w:val="none" w:sz="0" w:space="0" w:color="auto"/>
            <w:left w:val="none" w:sz="0" w:space="0" w:color="auto"/>
            <w:bottom w:val="none" w:sz="0" w:space="0" w:color="auto"/>
            <w:right w:val="none" w:sz="0" w:space="0" w:color="auto"/>
          </w:divBdr>
        </w:div>
        <w:div w:id="2116360114">
          <w:marLeft w:val="0"/>
          <w:marRight w:val="0"/>
          <w:marTop w:val="150"/>
          <w:marBottom w:val="0"/>
          <w:divBdr>
            <w:top w:val="none" w:sz="0" w:space="0" w:color="auto"/>
            <w:left w:val="none" w:sz="0" w:space="0" w:color="auto"/>
            <w:bottom w:val="none" w:sz="0" w:space="0" w:color="auto"/>
            <w:right w:val="none" w:sz="0" w:space="0" w:color="auto"/>
          </w:divBdr>
        </w:div>
        <w:div w:id="641695290">
          <w:marLeft w:val="0"/>
          <w:marRight w:val="0"/>
          <w:marTop w:val="150"/>
          <w:marBottom w:val="0"/>
          <w:divBdr>
            <w:top w:val="none" w:sz="0" w:space="0" w:color="auto"/>
            <w:left w:val="none" w:sz="0" w:space="0" w:color="auto"/>
            <w:bottom w:val="none" w:sz="0" w:space="0" w:color="auto"/>
            <w:right w:val="none" w:sz="0" w:space="0" w:color="auto"/>
          </w:divBdr>
        </w:div>
        <w:div w:id="420107100">
          <w:marLeft w:val="0"/>
          <w:marRight w:val="0"/>
          <w:marTop w:val="300"/>
          <w:marBottom w:val="0"/>
          <w:divBdr>
            <w:top w:val="none" w:sz="0" w:space="0" w:color="auto"/>
            <w:left w:val="none" w:sz="0" w:space="0" w:color="auto"/>
            <w:bottom w:val="none" w:sz="0" w:space="0" w:color="auto"/>
            <w:right w:val="none" w:sz="0" w:space="0" w:color="auto"/>
          </w:divBdr>
        </w:div>
        <w:div w:id="527335025">
          <w:marLeft w:val="0"/>
          <w:marRight w:val="0"/>
          <w:marTop w:val="150"/>
          <w:marBottom w:val="0"/>
          <w:divBdr>
            <w:top w:val="none" w:sz="0" w:space="0" w:color="auto"/>
            <w:left w:val="none" w:sz="0" w:space="0" w:color="auto"/>
            <w:bottom w:val="none" w:sz="0" w:space="0" w:color="auto"/>
            <w:right w:val="none" w:sz="0" w:space="0" w:color="auto"/>
          </w:divBdr>
        </w:div>
        <w:div w:id="1497529604">
          <w:marLeft w:val="0"/>
          <w:marRight w:val="0"/>
          <w:marTop w:val="150"/>
          <w:marBottom w:val="0"/>
          <w:divBdr>
            <w:top w:val="none" w:sz="0" w:space="0" w:color="auto"/>
            <w:left w:val="none" w:sz="0" w:space="0" w:color="auto"/>
            <w:bottom w:val="none" w:sz="0" w:space="0" w:color="auto"/>
            <w:right w:val="none" w:sz="0" w:space="0" w:color="auto"/>
          </w:divBdr>
        </w:div>
        <w:div w:id="598829622">
          <w:marLeft w:val="0"/>
          <w:marRight w:val="0"/>
          <w:marTop w:val="150"/>
          <w:marBottom w:val="0"/>
          <w:divBdr>
            <w:top w:val="none" w:sz="0" w:space="0" w:color="auto"/>
            <w:left w:val="none" w:sz="0" w:space="0" w:color="auto"/>
            <w:bottom w:val="none" w:sz="0" w:space="0" w:color="auto"/>
            <w:right w:val="none" w:sz="0" w:space="0" w:color="auto"/>
          </w:divBdr>
        </w:div>
        <w:div w:id="1178542857">
          <w:marLeft w:val="0"/>
          <w:marRight w:val="0"/>
          <w:marTop w:val="150"/>
          <w:marBottom w:val="0"/>
          <w:divBdr>
            <w:top w:val="none" w:sz="0" w:space="0" w:color="auto"/>
            <w:left w:val="none" w:sz="0" w:space="0" w:color="auto"/>
            <w:bottom w:val="none" w:sz="0" w:space="0" w:color="auto"/>
            <w:right w:val="none" w:sz="0" w:space="0" w:color="auto"/>
          </w:divBdr>
        </w:div>
      </w:divsChild>
    </w:div>
    <w:div w:id="897592229">
      <w:bodyDiv w:val="1"/>
      <w:marLeft w:val="0"/>
      <w:marRight w:val="0"/>
      <w:marTop w:val="0"/>
      <w:marBottom w:val="0"/>
      <w:divBdr>
        <w:top w:val="none" w:sz="0" w:space="0" w:color="auto"/>
        <w:left w:val="none" w:sz="0" w:space="0" w:color="auto"/>
        <w:bottom w:val="none" w:sz="0" w:space="0" w:color="auto"/>
        <w:right w:val="none" w:sz="0" w:space="0" w:color="auto"/>
      </w:divBdr>
      <w:divsChild>
        <w:div w:id="1205290742">
          <w:marLeft w:val="0"/>
          <w:marRight w:val="0"/>
          <w:marTop w:val="150"/>
          <w:marBottom w:val="0"/>
          <w:divBdr>
            <w:top w:val="none" w:sz="0" w:space="0" w:color="auto"/>
            <w:left w:val="none" w:sz="0" w:space="0" w:color="auto"/>
            <w:bottom w:val="none" w:sz="0" w:space="0" w:color="auto"/>
            <w:right w:val="none" w:sz="0" w:space="0" w:color="auto"/>
          </w:divBdr>
        </w:div>
        <w:div w:id="1716809552">
          <w:marLeft w:val="0"/>
          <w:marRight w:val="0"/>
          <w:marTop w:val="150"/>
          <w:marBottom w:val="0"/>
          <w:divBdr>
            <w:top w:val="none" w:sz="0" w:space="0" w:color="auto"/>
            <w:left w:val="none" w:sz="0" w:space="0" w:color="auto"/>
            <w:bottom w:val="none" w:sz="0" w:space="0" w:color="auto"/>
            <w:right w:val="none" w:sz="0" w:space="0" w:color="auto"/>
          </w:divBdr>
        </w:div>
        <w:div w:id="75982593">
          <w:marLeft w:val="0"/>
          <w:marRight w:val="0"/>
          <w:marTop w:val="150"/>
          <w:marBottom w:val="0"/>
          <w:divBdr>
            <w:top w:val="none" w:sz="0" w:space="0" w:color="auto"/>
            <w:left w:val="none" w:sz="0" w:space="0" w:color="auto"/>
            <w:bottom w:val="none" w:sz="0" w:space="0" w:color="auto"/>
            <w:right w:val="none" w:sz="0" w:space="0" w:color="auto"/>
          </w:divBdr>
        </w:div>
      </w:divsChild>
    </w:div>
    <w:div w:id="1113868958">
      <w:bodyDiv w:val="1"/>
      <w:marLeft w:val="0"/>
      <w:marRight w:val="0"/>
      <w:marTop w:val="0"/>
      <w:marBottom w:val="0"/>
      <w:divBdr>
        <w:top w:val="none" w:sz="0" w:space="0" w:color="auto"/>
        <w:left w:val="none" w:sz="0" w:space="0" w:color="auto"/>
        <w:bottom w:val="none" w:sz="0" w:space="0" w:color="auto"/>
        <w:right w:val="none" w:sz="0" w:space="0" w:color="auto"/>
      </w:divBdr>
      <w:divsChild>
        <w:div w:id="1116212592">
          <w:marLeft w:val="0"/>
          <w:marRight w:val="0"/>
          <w:marTop w:val="150"/>
          <w:marBottom w:val="0"/>
          <w:divBdr>
            <w:top w:val="none" w:sz="0" w:space="0" w:color="auto"/>
            <w:left w:val="none" w:sz="0" w:space="0" w:color="auto"/>
            <w:bottom w:val="none" w:sz="0" w:space="0" w:color="auto"/>
            <w:right w:val="none" w:sz="0" w:space="0" w:color="auto"/>
          </w:divBdr>
        </w:div>
        <w:div w:id="351535178">
          <w:marLeft w:val="0"/>
          <w:marRight w:val="0"/>
          <w:marTop w:val="150"/>
          <w:marBottom w:val="0"/>
          <w:divBdr>
            <w:top w:val="none" w:sz="0" w:space="0" w:color="auto"/>
            <w:left w:val="none" w:sz="0" w:space="0" w:color="auto"/>
            <w:bottom w:val="none" w:sz="0" w:space="0" w:color="auto"/>
            <w:right w:val="none" w:sz="0" w:space="0" w:color="auto"/>
          </w:divBdr>
        </w:div>
        <w:div w:id="773213750">
          <w:marLeft w:val="0"/>
          <w:marRight w:val="0"/>
          <w:marTop w:val="150"/>
          <w:marBottom w:val="0"/>
          <w:divBdr>
            <w:top w:val="none" w:sz="0" w:space="0" w:color="auto"/>
            <w:left w:val="none" w:sz="0" w:space="0" w:color="auto"/>
            <w:bottom w:val="none" w:sz="0" w:space="0" w:color="auto"/>
            <w:right w:val="none" w:sz="0" w:space="0" w:color="auto"/>
          </w:divBdr>
        </w:div>
        <w:div w:id="390662506">
          <w:marLeft w:val="0"/>
          <w:marRight w:val="0"/>
          <w:marTop w:val="150"/>
          <w:marBottom w:val="0"/>
          <w:divBdr>
            <w:top w:val="none" w:sz="0" w:space="0" w:color="auto"/>
            <w:left w:val="none" w:sz="0" w:space="0" w:color="auto"/>
            <w:bottom w:val="none" w:sz="0" w:space="0" w:color="auto"/>
            <w:right w:val="none" w:sz="0" w:space="0" w:color="auto"/>
          </w:divBdr>
        </w:div>
      </w:divsChild>
    </w:div>
    <w:div w:id="1674449577">
      <w:bodyDiv w:val="1"/>
      <w:marLeft w:val="0"/>
      <w:marRight w:val="0"/>
      <w:marTop w:val="0"/>
      <w:marBottom w:val="0"/>
      <w:divBdr>
        <w:top w:val="none" w:sz="0" w:space="0" w:color="auto"/>
        <w:left w:val="none" w:sz="0" w:space="0" w:color="auto"/>
        <w:bottom w:val="none" w:sz="0" w:space="0" w:color="auto"/>
        <w:right w:val="none" w:sz="0" w:space="0" w:color="auto"/>
      </w:divBdr>
      <w:divsChild>
        <w:div w:id="1946108678">
          <w:marLeft w:val="0"/>
          <w:marRight w:val="0"/>
          <w:marTop w:val="0"/>
          <w:marBottom w:val="0"/>
          <w:divBdr>
            <w:top w:val="none" w:sz="0" w:space="0" w:color="auto"/>
            <w:left w:val="none" w:sz="0" w:space="0" w:color="auto"/>
            <w:bottom w:val="none" w:sz="0" w:space="0" w:color="auto"/>
            <w:right w:val="none" w:sz="0" w:space="0" w:color="auto"/>
          </w:divBdr>
          <w:divsChild>
            <w:div w:id="2066833971">
              <w:marLeft w:val="0"/>
              <w:marRight w:val="0"/>
              <w:marTop w:val="0"/>
              <w:marBottom w:val="0"/>
              <w:divBdr>
                <w:top w:val="none" w:sz="0" w:space="0" w:color="auto"/>
                <w:left w:val="none" w:sz="0" w:space="0" w:color="auto"/>
                <w:bottom w:val="none" w:sz="0" w:space="0" w:color="auto"/>
                <w:right w:val="none" w:sz="0" w:space="0" w:color="auto"/>
              </w:divBdr>
              <w:divsChild>
                <w:div w:id="331756771">
                  <w:marLeft w:val="0"/>
                  <w:marRight w:val="0"/>
                  <w:marTop w:val="450"/>
                  <w:marBottom w:val="0"/>
                  <w:divBdr>
                    <w:top w:val="none" w:sz="0" w:space="0" w:color="auto"/>
                    <w:left w:val="none" w:sz="0" w:space="0" w:color="auto"/>
                    <w:bottom w:val="none" w:sz="0" w:space="0" w:color="auto"/>
                    <w:right w:val="none" w:sz="0" w:space="0" w:color="auto"/>
                  </w:divBdr>
                  <w:divsChild>
                    <w:div w:id="289409038">
                      <w:marLeft w:val="0"/>
                      <w:marRight w:val="0"/>
                      <w:marTop w:val="0"/>
                      <w:marBottom w:val="0"/>
                      <w:divBdr>
                        <w:top w:val="none" w:sz="0" w:space="0" w:color="auto"/>
                        <w:left w:val="none" w:sz="0" w:space="0" w:color="auto"/>
                        <w:bottom w:val="none" w:sz="0" w:space="0" w:color="auto"/>
                        <w:right w:val="none" w:sz="0" w:space="0" w:color="auto"/>
                      </w:divBdr>
                      <w:divsChild>
                        <w:div w:id="412777558">
                          <w:marLeft w:val="0"/>
                          <w:marRight w:val="0"/>
                          <w:marTop w:val="0"/>
                          <w:marBottom w:val="0"/>
                          <w:divBdr>
                            <w:top w:val="none" w:sz="0" w:space="0" w:color="auto"/>
                            <w:left w:val="none" w:sz="0" w:space="0" w:color="auto"/>
                            <w:bottom w:val="none" w:sz="0" w:space="0" w:color="auto"/>
                            <w:right w:val="none" w:sz="0" w:space="0" w:color="auto"/>
                          </w:divBdr>
                          <w:divsChild>
                            <w:div w:id="688261398">
                              <w:marLeft w:val="0"/>
                              <w:marRight w:val="0"/>
                              <w:marTop w:val="0"/>
                              <w:marBottom w:val="0"/>
                              <w:divBdr>
                                <w:top w:val="none" w:sz="0" w:space="0" w:color="auto"/>
                                <w:left w:val="none" w:sz="0" w:space="0" w:color="auto"/>
                                <w:bottom w:val="none" w:sz="0" w:space="0" w:color="auto"/>
                                <w:right w:val="none" w:sz="0" w:space="0" w:color="auto"/>
                              </w:divBdr>
                              <w:divsChild>
                                <w:div w:id="438961684">
                                  <w:marLeft w:val="0"/>
                                  <w:marRight w:val="0"/>
                                  <w:marTop w:val="0"/>
                                  <w:marBottom w:val="0"/>
                                  <w:divBdr>
                                    <w:top w:val="single" w:sz="6" w:space="0" w:color="1B4392"/>
                                    <w:left w:val="single" w:sz="6" w:space="0" w:color="1B4392"/>
                                    <w:bottom w:val="single" w:sz="6" w:space="0" w:color="1B4392"/>
                                    <w:right w:val="single" w:sz="6" w:space="0" w:color="1B4392"/>
                                  </w:divBdr>
                                  <w:divsChild>
                                    <w:div w:id="634336667">
                                      <w:marLeft w:val="0"/>
                                      <w:marRight w:val="0"/>
                                      <w:marTop w:val="0"/>
                                      <w:marBottom w:val="0"/>
                                      <w:divBdr>
                                        <w:top w:val="none" w:sz="0" w:space="0" w:color="auto"/>
                                        <w:left w:val="none" w:sz="0" w:space="0" w:color="auto"/>
                                        <w:bottom w:val="none" w:sz="0" w:space="0" w:color="auto"/>
                                        <w:right w:val="none" w:sz="0" w:space="0" w:color="auto"/>
                                      </w:divBdr>
                                      <w:divsChild>
                                        <w:div w:id="1620836827">
                                          <w:marLeft w:val="0"/>
                                          <w:marRight w:val="0"/>
                                          <w:marTop w:val="0"/>
                                          <w:marBottom w:val="0"/>
                                          <w:divBdr>
                                            <w:top w:val="none" w:sz="0" w:space="0" w:color="auto"/>
                                            <w:left w:val="none" w:sz="0" w:space="0" w:color="auto"/>
                                            <w:bottom w:val="none" w:sz="0" w:space="0" w:color="auto"/>
                                            <w:right w:val="none" w:sz="0" w:space="0" w:color="auto"/>
                                          </w:divBdr>
                                          <w:divsChild>
                                            <w:div w:id="28772448">
                                              <w:marLeft w:val="0"/>
                                              <w:marRight w:val="0"/>
                                              <w:marTop w:val="0"/>
                                              <w:marBottom w:val="0"/>
                                              <w:divBdr>
                                                <w:top w:val="none" w:sz="0" w:space="0" w:color="auto"/>
                                                <w:left w:val="none" w:sz="0" w:space="0" w:color="auto"/>
                                                <w:bottom w:val="none" w:sz="0" w:space="0" w:color="auto"/>
                                                <w:right w:val="none" w:sz="0" w:space="0" w:color="auto"/>
                                              </w:divBdr>
                                              <w:divsChild>
                                                <w:div w:id="2036687225">
                                                  <w:marLeft w:val="0"/>
                                                  <w:marRight w:val="0"/>
                                                  <w:marTop w:val="0"/>
                                                  <w:marBottom w:val="0"/>
                                                  <w:divBdr>
                                                    <w:top w:val="none" w:sz="0" w:space="0" w:color="auto"/>
                                                    <w:left w:val="none" w:sz="0" w:space="0" w:color="auto"/>
                                                    <w:bottom w:val="none" w:sz="0" w:space="0" w:color="auto"/>
                                                    <w:right w:val="none" w:sz="0" w:space="0" w:color="auto"/>
                                                  </w:divBdr>
                                                  <w:divsChild>
                                                    <w:div w:id="867377855">
                                                      <w:marLeft w:val="0"/>
                                                      <w:marRight w:val="0"/>
                                                      <w:marTop w:val="375"/>
                                                      <w:marBottom w:val="0"/>
                                                      <w:divBdr>
                                                        <w:top w:val="none" w:sz="0" w:space="0" w:color="auto"/>
                                                        <w:left w:val="none" w:sz="0" w:space="0" w:color="auto"/>
                                                        <w:bottom w:val="none" w:sz="0" w:space="0" w:color="auto"/>
                                                        <w:right w:val="none" w:sz="0" w:space="0" w:color="auto"/>
                                                      </w:divBdr>
                                                      <w:divsChild>
                                                        <w:div w:id="219290606">
                                                          <w:marLeft w:val="1968"/>
                                                          <w:marRight w:val="0"/>
                                                          <w:marTop w:val="150"/>
                                                          <w:marBottom w:val="150"/>
                                                          <w:divBdr>
                                                            <w:top w:val="none" w:sz="0" w:space="0" w:color="auto"/>
                                                            <w:left w:val="none" w:sz="0" w:space="0" w:color="auto"/>
                                                            <w:bottom w:val="none" w:sz="0" w:space="0" w:color="auto"/>
                                                            <w:right w:val="none" w:sz="0" w:space="0" w:color="auto"/>
                                                          </w:divBdr>
                                                        </w:div>
                                                        <w:div w:id="100884165">
                                                          <w:marLeft w:val="0"/>
                                                          <w:marRight w:val="0"/>
                                                          <w:marTop w:val="300"/>
                                                          <w:marBottom w:val="0"/>
                                                          <w:divBdr>
                                                            <w:top w:val="none" w:sz="0" w:space="0" w:color="auto"/>
                                                            <w:left w:val="none" w:sz="0" w:space="0" w:color="auto"/>
                                                            <w:bottom w:val="none" w:sz="0" w:space="0" w:color="auto"/>
                                                            <w:right w:val="none" w:sz="0" w:space="0" w:color="auto"/>
                                                          </w:divBdr>
                                                        </w:div>
                                                        <w:div w:id="1393508109">
                                                          <w:marLeft w:val="0"/>
                                                          <w:marRight w:val="0"/>
                                                          <w:marTop w:val="150"/>
                                                          <w:marBottom w:val="0"/>
                                                          <w:divBdr>
                                                            <w:top w:val="none" w:sz="0" w:space="0" w:color="auto"/>
                                                            <w:left w:val="none" w:sz="0" w:space="0" w:color="auto"/>
                                                            <w:bottom w:val="none" w:sz="0" w:space="0" w:color="auto"/>
                                                            <w:right w:val="none" w:sz="0" w:space="0" w:color="auto"/>
                                                          </w:divBdr>
                                                        </w:div>
                                                        <w:div w:id="1681926533">
                                                          <w:marLeft w:val="0"/>
                                                          <w:marRight w:val="0"/>
                                                          <w:marTop w:val="150"/>
                                                          <w:marBottom w:val="0"/>
                                                          <w:divBdr>
                                                            <w:top w:val="none" w:sz="0" w:space="0" w:color="auto"/>
                                                            <w:left w:val="none" w:sz="0" w:space="0" w:color="auto"/>
                                                            <w:bottom w:val="none" w:sz="0" w:space="0" w:color="auto"/>
                                                            <w:right w:val="none" w:sz="0" w:space="0" w:color="auto"/>
                                                          </w:divBdr>
                                                        </w:div>
                                                        <w:div w:id="1494026512">
                                                          <w:marLeft w:val="0"/>
                                                          <w:marRight w:val="0"/>
                                                          <w:marTop w:val="150"/>
                                                          <w:marBottom w:val="0"/>
                                                          <w:divBdr>
                                                            <w:top w:val="none" w:sz="0" w:space="0" w:color="auto"/>
                                                            <w:left w:val="none" w:sz="0" w:space="0" w:color="auto"/>
                                                            <w:bottom w:val="none" w:sz="0" w:space="0" w:color="auto"/>
                                                            <w:right w:val="none" w:sz="0" w:space="0" w:color="auto"/>
                                                          </w:divBdr>
                                                        </w:div>
                                                        <w:div w:id="703403013">
                                                          <w:marLeft w:val="0"/>
                                                          <w:marRight w:val="0"/>
                                                          <w:marTop w:val="300"/>
                                                          <w:marBottom w:val="0"/>
                                                          <w:divBdr>
                                                            <w:top w:val="none" w:sz="0" w:space="0" w:color="auto"/>
                                                            <w:left w:val="none" w:sz="0" w:space="0" w:color="auto"/>
                                                            <w:bottom w:val="none" w:sz="0" w:space="0" w:color="auto"/>
                                                            <w:right w:val="none" w:sz="0" w:space="0" w:color="auto"/>
                                                          </w:divBdr>
                                                        </w:div>
                                                        <w:div w:id="255486264">
                                                          <w:marLeft w:val="0"/>
                                                          <w:marRight w:val="0"/>
                                                          <w:marTop w:val="150"/>
                                                          <w:marBottom w:val="0"/>
                                                          <w:divBdr>
                                                            <w:top w:val="none" w:sz="0" w:space="0" w:color="auto"/>
                                                            <w:left w:val="none" w:sz="0" w:space="0" w:color="auto"/>
                                                            <w:bottom w:val="none" w:sz="0" w:space="0" w:color="auto"/>
                                                            <w:right w:val="none" w:sz="0" w:space="0" w:color="auto"/>
                                                          </w:divBdr>
                                                        </w:div>
                                                        <w:div w:id="242379571">
                                                          <w:marLeft w:val="0"/>
                                                          <w:marRight w:val="0"/>
                                                          <w:marTop w:val="150"/>
                                                          <w:marBottom w:val="0"/>
                                                          <w:divBdr>
                                                            <w:top w:val="none" w:sz="0" w:space="0" w:color="auto"/>
                                                            <w:left w:val="none" w:sz="0" w:space="0" w:color="auto"/>
                                                            <w:bottom w:val="none" w:sz="0" w:space="0" w:color="auto"/>
                                                            <w:right w:val="none" w:sz="0" w:space="0" w:color="auto"/>
                                                          </w:divBdr>
                                                        </w:div>
                                                        <w:div w:id="2018539561">
                                                          <w:marLeft w:val="0"/>
                                                          <w:marRight w:val="0"/>
                                                          <w:marTop w:val="0"/>
                                                          <w:marBottom w:val="150"/>
                                                          <w:divBdr>
                                                            <w:top w:val="none" w:sz="0" w:space="0" w:color="auto"/>
                                                            <w:left w:val="none" w:sz="0" w:space="0" w:color="auto"/>
                                                            <w:bottom w:val="none" w:sz="0" w:space="0" w:color="auto"/>
                                                            <w:right w:val="none" w:sz="0" w:space="0" w:color="auto"/>
                                                          </w:divBdr>
                                                        </w:div>
                                                        <w:div w:id="1542664971">
                                                          <w:marLeft w:val="0"/>
                                                          <w:marRight w:val="0"/>
                                                          <w:marTop w:val="0"/>
                                                          <w:marBottom w:val="150"/>
                                                          <w:divBdr>
                                                            <w:top w:val="none" w:sz="0" w:space="0" w:color="auto"/>
                                                            <w:left w:val="none" w:sz="0" w:space="0" w:color="auto"/>
                                                            <w:bottom w:val="none" w:sz="0" w:space="0" w:color="auto"/>
                                                            <w:right w:val="none" w:sz="0" w:space="0" w:color="auto"/>
                                                          </w:divBdr>
                                                        </w:div>
                                                        <w:div w:id="942343260">
                                                          <w:marLeft w:val="0"/>
                                                          <w:marRight w:val="0"/>
                                                          <w:marTop w:val="300"/>
                                                          <w:marBottom w:val="0"/>
                                                          <w:divBdr>
                                                            <w:top w:val="none" w:sz="0" w:space="0" w:color="auto"/>
                                                            <w:left w:val="none" w:sz="0" w:space="0" w:color="auto"/>
                                                            <w:bottom w:val="none" w:sz="0" w:space="0" w:color="auto"/>
                                                            <w:right w:val="none" w:sz="0" w:space="0" w:color="auto"/>
                                                          </w:divBdr>
                                                        </w:div>
                                                        <w:div w:id="1473478550">
                                                          <w:marLeft w:val="0"/>
                                                          <w:marRight w:val="0"/>
                                                          <w:marTop w:val="300"/>
                                                          <w:marBottom w:val="0"/>
                                                          <w:divBdr>
                                                            <w:top w:val="none" w:sz="0" w:space="0" w:color="auto"/>
                                                            <w:left w:val="none" w:sz="0" w:space="0" w:color="auto"/>
                                                            <w:bottom w:val="none" w:sz="0" w:space="0" w:color="auto"/>
                                                            <w:right w:val="none" w:sz="0" w:space="0" w:color="auto"/>
                                                          </w:divBdr>
                                                        </w:div>
                                                        <w:div w:id="1317804002">
                                                          <w:marLeft w:val="0"/>
                                                          <w:marRight w:val="0"/>
                                                          <w:marTop w:val="300"/>
                                                          <w:marBottom w:val="0"/>
                                                          <w:divBdr>
                                                            <w:top w:val="none" w:sz="0" w:space="0" w:color="auto"/>
                                                            <w:left w:val="none" w:sz="0" w:space="0" w:color="auto"/>
                                                            <w:bottom w:val="none" w:sz="0" w:space="0" w:color="auto"/>
                                                            <w:right w:val="none" w:sz="0" w:space="0" w:color="auto"/>
                                                          </w:divBdr>
                                                        </w:div>
                                                        <w:div w:id="915289836">
                                                          <w:marLeft w:val="0"/>
                                                          <w:marRight w:val="0"/>
                                                          <w:marTop w:val="300"/>
                                                          <w:marBottom w:val="0"/>
                                                          <w:divBdr>
                                                            <w:top w:val="none" w:sz="0" w:space="0" w:color="auto"/>
                                                            <w:left w:val="none" w:sz="0" w:space="0" w:color="auto"/>
                                                            <w:bottom w:val="none" w:sz="0" w:space="0" w:color="auto"/>
                                                            <w:right w:val="none" w:sz="0" w:space="0" w:color="auto"/>
                                                          </w:divBdr>
                                                        </w:div>
                                                        <w:div w:id="164787869">
                                                          <w:marLeft w:val="0"/>
                                                          <w:marRight w:val="0"/>
                                                          <w:marTop w:val="0"/>
                                                          <w:marBottom w:val="150"/>
                                                          <w:divBdr>
                                                            <w:top w:val="none" w:sz="0" w:space="0" w:color="auto"/>
                                                            <w:left w:val="none" w:sz="0" w:space="0" w:color="auto"/>
                                                            <w:bottom w:val="none" w:sz="0" w:space="0" w:color="auto"/>
                                                            <w:right w:val="none" w:sz="0" w:space="0" w:color="auto"/>
                                                          </w:divBdr>
                                                        </w:div>
                                                        <w:div w:id="132910890">
                                                          <w:marLeft w:val="0"/>
                                                          <w:marRight w:val="0"/>
                                                          <w:marTop w:val="300"/>
                                                          <w:marBottom w:val="0"/>
                                                          <w:divBdr>
                                                            <w:top w:val="none" w:sz="0" w:space="0" w:color="auto"/>
                                                            <w:left w:val="none" w:sz="0" w:space="0" w:color="auto"/>
                                                            <w:bottom w:val="none" w:sz="0" w:space="0" w:color="auto"/>
                                                            <w:right w:val="none" w:sz="0" w:space="0" w:color="auto"/>
                                                          </w:divBdr>
                                                        </w:div>
                                                        <w:div w:id="1421023304">
                                                          <w:marLeft w:val="0"/>
                                                          <w:marRight w:val="0"/>
                                                          <w:marTop w:val="0"/>
                                                          <w:marBottom w:val="150"/>
                                                          <w:divBdr>
                                                            <w:top w:val="none" w:sz="0" w:space="0" w:color="auto"/>
                                                            <w:left w:val="none" w:sz="0" w:space="0" w:color="auto"/>
                                                            <w:bottom w:val="none" w:sz="0" w:space="0" w:color="auto"/>
                                                            <w:right w:val="none" w:sz="0" w:space="0" w:color="auto"/>
                                                          </w:divBdr>
                                                        </w:div>
                                                        <w:div w:id="2118480497">
                                                          <w:marLeft w:val="0"/>
                                                          <w:marRight w:val="0"/>
                                                          <w:marTop w:val="0"/>
                                                          <w:marBottom w:val="150"/>
                                                          <w:divBdr>
                                                            <w:top w:val="none" w:sz="0" w:space="0" w:color="auto"/>
                                                            <w:left w:val="none" w:sz="0" w:space="0" w:color="auto"/>
                                                            <w:bottom w:val="none" w:sz="0" w:space="0" w:color="auto"/>
                                                            <w:right w:val="none" w:sz="0" w:space="0" w:color="auto"/>
                                                          </w:divBdr>
                                                        </w:div>
                                                        <w:div w:id="2106538246">
                                                          <w:marLeft w:val="0"/>
                                                          <w:marRight w:val="0"/>
                                                          <w:marTop w:val="300"/>
                                                          <w:marBottom w:val="0"/>
                                                          <w:divBdr>
                                                            <w:top w:val="none" w:sz="0" w:space="0" w:color="auto"/>
                                                            <w:left w:val="none" w:sz="0" w:space="0" w:color="auto"/>
                                                            <w:bottom w:val="none" w:sz="0" w:space="0" w:color="auto"/>
                                                            <w:right w:val="none" w:sz="0" w:space="0" w:color="auto"/>
                                                          </w:divBdr>
                                                        </w:div>
                                                        <w:div w:id="770273177">
                                                          <w:marLeft w:val="0"/>
                                                          <w:marRight w:val="0"/>
                                                          <w:marTop w:val="0"/>
                                                          <w:marBottom w:val="150"/>
                                                          <w:divBdr>
                                                            <w:top w:val="none" w:sz="0" w:space="0" w:color="auto"/>
                                                            <w:left w:val="none" w:sz="0" w:space="0" w:color="auto"/>
                                                            <w:bottom w:val="none" w:sz="0" w:space="0" w:color="auto"/>
                                                            <w:right w:val="none" w:sz="0" w:space="0" w:color="auto"/>
                                                          </w:divBdr>
                                                        </w:div>
                                                        <w:div w:id="1680428141">
                                                          <w:marLeft w:val="0"/>
                                                          <w:marRight w:val="0"/>
                                                          <w:marTop w:val="300"/>
                                                          <w:marBottom w:val="0"/>
                                                          <w:divBdr>
                                                            <w:top w:val="none" w:sz="0" w:space="0" w:color="auto"/>
                                                            <w:left w:val="none" w:sz="0" w:space="0" w:color="auto"/>
                                                            <w:bottom w:val="none" w:sz="0" w:space="0" w:color="auto"/>
                                                            <w:right w:val="none" w:sz="0" w:space="0" w:color="auto"/>
                                                          </w:divBdr>
                                                        </w:div>
                                                        <w:div w:id="195627487">
                                                          <w:marLeft w:val="0"/>
                                                          <w:marRight w:val="0"/>
                                                          <w:marTop w:val="0"/>
                                                          <w:marBottom w:val="150"/>
                                                          <w:divBdr>
                                                            <w:top w:val="none" w:sz="0" w:space="0" w:color="auto"/>
                                                            <w:left w:val="none" w:sz="0" w:space="0" w:color="auto"/>
                                                            <w:bottom w:val="none" w:sz="0" w:space="0" w:color="auto"/>
                                                            <w:right w:val="none" w:sz="0" w:space="0" w:color="auto"/>
                                                          </w:divBdr>
                                                        </w:div>
                                                        <w:div w:id="1185822907">
                                                          <w:marLeft w:val="0"/>
                                                          <w:marRight w:val="0"/>
                                                          <w:marTop w:val="300"/>
                                                          <w:marBottom w:val="0"/>
                                                          <w:divBdr>
                                                            <w:top w:val="none" w:sz="0" w:space="0" w:color="auto"/>
                                                            <w:left w:val="none" w:sz="0" w:space="0" w:color="auto"/>
                                                            <w:bottom w:val="none" w:sz="0" w:space="0" w:color="auto"/>
                                                            <w:right w:val="none" w:sz="0" w:space="0" w:color="auto"/>
                                                          </w:divBdr>
                                                        </w:div>
                                                        <w:div w:id="1723285738">
                                                          <w:marLeft w:val="0"/>
                                                          <w:marRight w:val="0"/>
                                                          <w:marTop w:val="0"/>
                                                          <w:marBottom w:val="150"/>
                                                          <w:divBdr>
                                                            <w:top w:val="none" w:sz="0" w:space="0" w:color="auto"/>
                                                            <w:left w:val="none" w:sz="0" w:space="0" w:color="auto"/>
                                                            <w:bottom w:val="none" w:sz="0" w:space="0" w:color="auto"/>
                                                            <w:right w:val="none" w:sz="0" w:space="0" w:color="auto"/>
                                                          </w:divBdr>
                                                        </w:div>
                                                        <w:div w:id="1501503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2242-5104-42C7-83BE-805111C5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Orkhon3070</cp:lastModifiedBy>
  <cp:revision>4</cp:revision>
  <cp:lastPrinted>2023-01-03T06:10:00Z</cp:lastPrinted>
  <dcterms:created xsi:type="dcterms:W3CDTF">2023-01-03T06:27:00Z</dcterms:created>
  <dcterms:modified xsi:type="dcterms:W3CDTF">2023-01-03T06:29:00Z</dcterms:modified>
</cp:coreProperties>
</file>