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1E1C" w14:textId="77777777" w:rsidR="000E1969" w:rsidRPr="00C54D3D" w:rsidRDefault="000E1969" w:rsidP="000E1969">
      <w:pPr>
        <w:spacing w:after="0"/>
        <w:jc w:val="center"/>
        <w:rPr>
          <w:rFonts w:ascii="Arial" w:hAnsi="Arial" w:cs="Arial"/>
          <w:b/>
          <w:sz w:val="24"/>
          <w:szCs w:val="24"/>
          <w:lang w:val="mn-MN"/>
        </w:rPr>
      </w:pPr>
      <w:r w:rsidRPr="00C54D3D">
        <w:rPr>
          <w:rFonts w:ascii="Arial" w:hAnsi="Arial" w:cs="Arial"/>
          <w:b/>
          <w:sz w:val="24"/>
          <w:szCs w:val="24"/>
          <w:lang w:val="mn-MN"/>
        </w:rPr>
        <w:t>“МОНГОЛ УЛСЫН ХӨГЖЛИЙН 2024 ОНЫ ТӨЛӨВЛӨГӨӨ БАТЛАХ ТУХАЙ” УЛСЫН ИХ ХУРЛЫН ТОГТООЛЫН ТӨСЛИЙГ ХЭРЭГЖҮҮЛЭХТЭЙ</w:t>
      </w:r>
    </w:p>
    <w:p w14:paraId="38F5014C" w14:textId="77777777" w:rsidR="000E1969" w:rsidRPr="00C54D3D" w:rsidRDefault="000E1969" w:rsidP="000E1969">
      <w:pPr>
        <w:spacing w:after="0"/>
        <w:jc w:val="center"/>
        <w:rPr>
          <w:rFonts w:ascii="Arial" w:hAnsi="Arial" w:cs="Arial"/>
          <w:b/>
          <w:sz w:val="24"/>
          <w:szCs w:val="24"/>
          <w:lang w:val="mn-MN"/>
        </w:rPr>
      </w:pPr>
      <w:r w:rsidRPr="00C54D3D">
        <w:rPr>
          <w:rFonts w:ascii="Arial" w:hAnsi="Arial" w:cs="Arial"/>
          <w:b/>
          <w:sz w:val="24"/>
          <w:szCs w:val="24"/>
          <w:lang w:val="mn-MN"/>
        </w:rPr>
        <w:t>ХОЛБОГДОН ГАРАХ ЗАРДЛЫН ТООЦООНЫ ТАЙЛАН</w:t>
      </w:r>
    </w:p>
    <w:p w14:paraId="2A3F9475" w14:textId="77777777" w:rsidR="000E1969" w:rsidRPr="00C54D3D" w:rsidRDefault="000E1969" w:rsidP="000E1969">
      <w:pPr>
        <w:spacing w:after="0"/>
        <w:jc w:val="both"/>
        <w:rPr>
          <w:rFonts w:ascii="Arial" w:hAnsi="Arial" w:cs="Arial"/>
          <w:sz w:val="24"/>
          <w:szCs w:val="24"/>
          <w:lang w:val="mn-MN"/>
        </w:rPr>
      </w:pPr>
    </w:p>
    <w:p w14:paraId="642F09CB"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Хууль тогтоомжийн тухай хуулийн 18 дугаар зүйлийг баримтлан мөн хуулийн 12 дугаар зүйлийн 12.1.4-т заасан буюу 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аргачлал”-ын дагуу “Монгол Улсын хөгжлийн 2024 оны төлөвлөгөө батлах тухай” Улсын Их Хурлын тогтоолын төсөл /цаашид “Тогтоолын төсөл” гэх/-ийг хэрэгжүүлэхтэй холбогдон гарах зардлын тооцоог хийж гүйцэтгэлээ. </w:t>
      </w:r>
    </w:p>
    <w:p w14:paraId="7B97A0E9"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“Хууль тогтоомжийг хэрэгжүүлэхтэй холбогдон гарах зардлын тооцоог хийх аргачлал”-д заасны дагуу Тогтоолын төсөл батлагдсанаар түүнийг хэрэгжүүлэхтэй холбогдон гарах зардлын тооцоог хуулийн этгээдийн, иргэний үүсэх, төрийн байгууллагын буюу улсын төсөвт үүсэх ачаалал гэсэн 3 хэсэгт ялгаж үзэхээр байна. </w:t>
      </w:r>
    </w:p>
    <w:p w14:paraId="030507A1"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Тогтоолын төслөөр зохицуулж буй харилцаа шинээр зохицуулагдаж буй харилцаа биш, одоо байгаа бүтэц, тогтолцоо, хүний нөөц, чадавхын хүрээнд төрийн тогтвортой үйл ажиллагааг хангах зорилготой болно.</w:t>
      </w:r>
    </w:p>
    <w:p w14:paraId="73025E10" w14:textId="77777777" w:rsidR="000E1969" w:rsidRPr="00C54D3D" w:rsidRDefault="000E1969" w:rsidP="000E1969">
      <w:pPr>
        <w:spacing w:after="0"/>
        <w:ind w:firstLine="720"/>
        <w:jc w:val="both"/>
        <w:rPr>
          <w:rFonts w:ascii="Arial" w:eastAsia="Arial" w:hAnsi="Arial" w:cs="Arial"/>
          <w:color w:val="000000" w:themeColor="text1"/>
          <w:sz w:val="24"/>
          <w:szCs w:val="24"/>
          <w:lang w:val="mn-MN"/>
        </w:rPr>
      </w:pPr>
      <w:r w:rsidRPr="00C54D3D">
        <w:rPr>
          <w:rFonts w:ascii="Arial" w:hAnsi="Arial" w:cs="Arial"/>
          <w:sz w:val="24"/>
          <w:szCs w:val="24"/>
          <w:lang w:val="mn-MN"/>
        </w:rPr>
        <w:t>Тогтоолын төслийн хавсралтаар “</w:t>
      </w:r>
      <w:r w:rsidRPr="00C54D3D">
        <w:rPr>
          <w:rFonts w:ascii="Arial" w:eastAsia="Arial" w:hAnsi="Arial" w:cs="Arial"/>
          <w:color w:val="000000" w:themeColor="text1"/>
          <w:sz w:val="24"/>
          <w:szCs w:val="24"/>
          <w:lang w:val="mn-MN"/>
        </w:rPr>
        <w:t xml:space="preserve">Монгол Улсын хөгжлийн 2024 онд баримтлах бодлогын тэргүүлэх чиглэл”, “Монгол Улсын хөгжлийн 2024 оны төлөвлөгөө”, “Монгол Улсын хөгжлийн 2024 оны төлөвлөгөөний хяналт-шинжилгээ, үнэлгээний үзүүлэлтүүд”-ийг батлах бөгөөд улсын төсвөөс санхүүжүүлэх шаардлагатай төсөл, арга хэмжээг Монгол Улсын хөгжлийн 2024 оны төсвийн тухай хуульд тусгахыг,  2024 оны 01 дүгээр сарын 01-ний өдрөөс эхлэн төлөвлөгөөг хэрэгжүүлж, биелэлтийг бүтэн жилээр гаргаж Улсын Их Хуралд танилцуулахыг Засгийн газарт даалгасан. </w:t>
      </w:r>
    </w:p>
    <w:p w14:paraId="3CDF7CF5"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хөгжлийн 2024 оны төлөвлөгөөний төсөлд </w:t>
      </w:r>
      <w:bookmarkStart w:id="0" w:name="_GoBack"/>
      <w:r w:rsidRPr="00C54D3D">
        <w:rPr>
          <w:rFonts w:ascii="Arial" w:hAnsi="Arial" w:cs="Arial"/>
          <w:sz w:val="24"/>
          <w:szCs w:val="24"/>
          <w:lang w:val="mn-MN"/>
        </w:rPr>
        <w:t xml:space="preserve">тусгагдсан </w:t>
      </w:r>
      <w:bookmarkEnd w:id="0"/>
      <w:r w:rsidRPr="00C54D3D">
        <w:rPr>
          <w:rFonts w:ascii="Arial" w:hAnsi="Arial" w:cs="Arial"/>
          <w:sz w:val="24"/>
          <w:szCs w:val="24"/>
          <w:lang w:val="mn-MN"/>
        </w:rPr>
        <w:t xml:space="preserve">төсөл, арга хэмжээ тус бүрд үндсэн хариуцагчийг зааж өгсөн бөгөөд тус төлөвлөгөөний хяналт-шинжилгээ, үнэлгээний шалгуур үзүүлэлтүүд бүрд мөн адил хариуцах байгууллагыг тодорхойлж өгсөн. </w:t>
      </w:r>
    </w:p>
    <w:p w14:paraId="64C99832"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Төлөвлөгөөний төсөлд тусгагдсан төсөл, арга хэмжээг хэрэгжүүлэх үүрэг бүхий 25 төрийн байгууллага байгаа бол хяналт-шинжилгээ, үнэлгээний шалгуур үзүүлэлтүүдийг тооцож гаргах үүрэг бүхий 27 төрийн байгууллага байна. </w:t>
      </w:r>
    </w:p>
    <w:p w14:paraId="24E0A429" w14:textId="77777777" w:rsidR="000E1969" w:rsidRPr="00C54D3D" w:rsidRDefault="000E1969" w:rsidP="000E1969">
      <w:pPr>
        <w:spacing w:after="0"/>
        <w:ind w:firstLine="720"/>
        <w:jc w:val="both"/>
        <w:rPr>
          <w:rFonts w:ascii="Arial" w:hAnsi="Arial" w:cs="Arial"/>
          <w:sz w:val="24"/>
          <w:szCs w:val="24"/>
          <w:highlight w:val="cyan"/>
          <w:lang w:val="mn-MN"/>
        </w:rPr>
      </w:pPr>
      <w:r w:rsidRPr="00C54D3D">
        <w:rPr>
          <w:rFonts w:ascii="Arial" w:hAnsi="Arial" w:cs="Arial"/>
          <w:sz w:val="24"/>
          <w:szCs w:val="24"/>
          <w:lang w:val="mn-MN"/>
        </w:rPr>
        <w:t xml:space="preserve">Мөн Монгол Улсын хөгжлийн 2024 оны төлөвлөгөөний төслийг боловсруулахдаа төрийн захиргааны төв, төрийн захиргааны болон нутгийн захиргааны байгууллагаас ирүүлсэн чиг үүргийн хүрээнд хэрэгжүүлэх нийт 1047 төсөл, арга хэмжээний саналд үндэслэн боловсруулсан тул хөгжлийн бодлого, төлөвлөлтөд оролцогч төрийн байгууллагууд тус төлөвлөгөөг хэрэгжүүлэх үүрэгтэй. </w:t>
      </w:r>
    </w:p>
    <w:p w14:paraId="5906853F"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Иймд, тогтоолын төслийг баталснаар хуулийн этгыээд болон иргэнд шууд хүлээлгэх хариуцлага, үүсэх зардал байхгүй гэж үзэн зөвхөн төрийн байгууллагын зардлыг тооцсон болно. </w:t>
      </w:r>
    </w:p>
    <w:p w14:paraId="6A329F3F" w14:textId="77777777" w:rsidR="000E1969" w:rsidRPr="00C54D3D" w:rsidRDefault="000E1969" w:rsidP="000E1969">
      <w:pPr>
        <w:pStyle w:val="Heading1"/>
        <w:rPr>
          <w:rFonts w:cs="Arial"/>
          <w:sz w:val="24"/>
          <w:szCs w:val="24"/>
          <w:lang w:val="mn-MN"/>
        </w:rPr>
      </w:pPr>
      <w:r w:rsidRPr="00C54D3D">
        <w:rPr>
          <w:rFonts w:cs="Arial"/>
          <w:sz w:val="24"/>
          <w:szCs w:val="24"/>
          <w:lang w:val="mn-MN"/>
        </w:rPr>
        <w:lastRenderedPageBreak/>
        <w:t>Төрийн байгууллагын зардал буюу Улсын төсөвт үүсэх ачаалал</w:t>
      </w:r>
    </w:p>
    <w:p w14:paraId="33141A2A" w14:textId="77777777" w:rsidR="000E1969" w:rsidRPr="00C54D3D" w:rsidRDefault="000E1969" w:rsidP="000E1969">
      <w:pPr>
        <w:spacing w:before="240"/>
        <w:ind w:firstLine="720"/>
        <w:jc w:val="both"/>
        <w:rPr>
          <w:rFonts w:ascii="Arial" w:hAnsi="Arial" w:cs="Arial"/>
          <w:sz w:val="24"/>
          <w:szCs w:val="24"/>
          <w:lang w:val="mn-MN"/>
        </w:rPr>
      </w:pPr>
      <w:r w:rsidRPr="00C54D3D">
        <w:rPr>
          <w:rFonts w:ascii="Arial" w:hAnsi="Arial" w:cs="Arial"/>
          <w:sz w:val="24"/>
          <w:szCs w:val="24"/>
          <w:lang w:val="mn-MN"/>
        </w:rPr>
        <w:t xml:space="preserve">Төрийн байгууллагын буюу улсын төсөвт үүсэх ачааллыг Монгол Улсын хөгжлийн 2024 оны төлөвлөгөөний төсөлд улсын төсвийн хөрөнгөөр санхүүжүүлэхээр тусгагдсан төсөл, арга хэмжээг авч үзэх шаардлагатай. </w:t>
      </w:r>
    </w:p>
    <w:p w14:paraId="253C94C7" w14:textId="77777777" w:rsidR="000E1969" w:rsidRPr="00C54D3D" w:rsidRDefault="000E1969" w:rsidP="000E1969">
      <w:pPr>
        <w:spacing w:before="240" w:after="0"/>
        <w:ind w:firstLine="720"/>
        <w:jc w:val="both"/>
        <w:rPr>
          <w:rFonts w:ascii="Arial" w:hAnsi="Arial" w:cs="Arial"/>
          <w:sz w:val="24"/>
          <w:szCs w:val="24"/>
          <w:lang w:val="mn-MN"/>
        </w:rPr>
      </w:pPr>
      <w:r w:rsidRPr="00C54D3D">
        <w:rPr>
          <w:rFonts w:ascii="Arial" w:hAnsi="Arial" w:cs="Arial"/>
          <w:sz w:val="24"/>
          <w:szCs w:val="24"/>
          <w:lang w:val="mn-MN"/>
        </w:rPr>
        <w:t>Тогтоолын төслийн 2-т заасны дагуу Засгийн газар Монгол Улсын хөгжлийн 2024 оны төлөвлөгөөнд туссан улсын төсвөөс санхүүжүүлэх шаардлагатай төсөл, арга хэмжээг Монгол Улсын 2024 оны төсвийн тухай хуульд бүрэн тусгаж, хэрэгжүүлэх үүрэгтэй.</w:t>
      </w:r>
    </w:p>
    <w:p w14:paraId="20244FC4" w14:textId="77777777" w:rsidR="000E1969" w:rsidRPr="00C54D3D" w:rsidRDefault="000E1969" w:rsidP="000E1969">
      <w:pPr>
        <w:pStyle w:val="paragraph"/>
        <w:spacing w:before="0" w:beforeAutospacing="0" w:after="240" w:afterAutospacing="0" w:line="276" w:lineRule="auto"/>
        <w:ind w:firstLine="720"/>
        <w:jc w:val="both"/>
        <w:textAlignment w:val="baseline"/>
        <w:rPr>
          <w:rStyle w:val="normaltextrun"/>
          <w:rFonts w:ascii="Arial" w:hAnsi="Arial" w:cs="Arial"/>
          <w:lang w:val="mn-MN"/>
        </w:rPr>
      </w:pPr>
      <w:r w:rsidRPr="00C54D3D">
        <w:rPr>
          <w:rStyle w:val="normaltextrun"/>
          <w:rFonts w:ascii="Arial" w:hAnsi="Arial" w:cs="Arial"/>
          <w:lang w:val="mn-MN"/>
        </w:rPr>
        <w:t xml:space="preserve">Санхүү төсвийн асуудал эрхэлсэн төрийн захиргааны төв байгууллага нь 2024 онд баримтлах бодлогын тэргүүлэх чиглэлд тусаагүй төсвийн ерөнхийлөн захирагч болон хөтөлбөрийн үр дүнг сайжруулах үндсэн үйл ажиллагаа болон үргэлжилж буй төсөл, арга хэмжээг төсвийн алдагдлын хязгаарт багтаан төлөвлөж, хэрэгжүүлнэ. </w:t>
      </w:r>
    </w:p>
    <w:p w14:paraId="2C14D1E5" w14:textId="77777777" w:rsidR="000E1969" w:rsidRPr="00C54D3D" w:rsidRDefault="000E1969" w:rsidP="000E1969">
      <w:pPr>
        <w:ind w:firstLine="720"/>
        <w:jc w:val="both"/>
        <w:rPr>
          <w:rFonts w:ascii="Arial" w:hAnsi="Arial" w:cs="Arial"/>
          <w:b/>
          <w:bCs/>
          <w:i/>
          <w:iCs/>
          <w:sz w:val="24"/>
          <w:szCs w:val="24"/>
          <w:lang w:val="mn-MN"/>
        </w:rPr>
      </w:pPr>
      <w:r w:rsidRPr="00C54D3D">
        <w:rPr>
          <w:rFonts w:ascii="Arial" w:hAnsi="Arial" w:cs="Arial"/>
          <w:b/>
          <w:bCs/>
          <w:i/>
          <w:iCs/>
          <w:sz w:val="24"/>
          <w:szCs w:val="24"/>
          <w:lang w:val="mn-MN"/>
        </w:rPr>
        <w:t>Байгууллагын гүйцэтгэх үүрэг буюу ажил, үйлчилгээ, хүний нөөцийг тодорхойлох</w:t>
      </w:r>
    </w:p>
    <w:p w14:paraId="35C500CE" w14:textId="77777777" w:rsidR="000E1969" w:rsidRPr="00C54D3D" w:rsidRDefault="000E1969" w:rsidP="000E1969">
      <w:pPr>
        <w:spacing w:after="0"/>
        <w:ind w:firstLine="720"/>
        <w:jc w:val="both"/>
        <w:rPr>
          <w:rFonts w:ascii="Arial" w:hAnsi="Arial" w:cs="Arial"/>
          <w:sz w:val="24"/>
          <w:szCs w:val="24"/>
          <w:lang w:val="mn-MN"/>
        </w:rPr>
      </w:pPr>
      <w:r w:rsidRPr="00C54D3D">
        <w:rPr>
          <w:rFonts w:ascii="Arial" w:hAnsi="Arial" w:cs="Arial"/>
          <w:sz w:val="24"/>
          <w:szCs w:val="24"/>
          <w:lang w:val="mn-MN"/>
        </w:rPr>
        <w:t xml:space="preserve">Хөгжлийн бодлого, төлөвлөлт, түүний удирдлагын тухай хуулийн 9 дүгээр зүйлийн 9.6.3-т “төрийн захиргааны төв байгууллага өөрийн эрхлэх асуудлын хүрээнд үйл ажиллагаа явуулдаг холбогдох төрийн болон төрийн бус байгууллагын санал, тооцооллыг нэгтгэн боловсруулж, үндэсний хөгжлийн бодлого, төлөвлөлтийн асуудал эрхэлсэн төрийн захиргааны төв байгууллагад хүргүүлж, хөгжлийн бодлого, төлөвлөлтийн баримт бичиг батлагдсаны дараа хэрэгжилтийг өөрийн салбарын хэмжээнд зохион байгуулах” гэж заасны дагуу төрийн захиргааны байгууллагууд төлөвлөгөөний төсөлд тусгагдсан төсөл, арга хэмжээг хэрэгжүүлэх үүрэгтэй. </w:t>
      </w:r>
    </w:p>
    <w:p w14:paraId="61BCA4AB" w14:textId="77777777" w:rsidR="000E1969" w:rsidRPr="00C54D3D" w:rsidRDefault="000E1969" w:rsidP="000E1969">
      <w:pPr>
        <w:ind w:firstLine="720"/>
        <w:jc w:val="both"/>
        <w:rPr>
          <w:rFonts w:ascii="Arial" w:hAnsi="Arial" w:cs="Arial"/>
          <w:sz w:val="24"/>
          <w:szCs w:val="24"/>
          <w:lang w:val="mn-MN"/>
        </w:rPr>
      </w:pPr>
      <w:r w:rsidRPr="00C54D3D">
        <w:rPr>
          <w:rFonts w:ascii="Arial" w:hAnsi="Arial" w:cs="Arial"/>
          <w:sz w:val="24"/>
          <w:szCs w:val="24"/>
          <w:lang w:val="mn-MN"/>
        </w:rPr>
        <w:t>Мөн Улсын хөгжлийн жилийн төлөвлөгөө нь “Алсын хараа-2050” урт хугацааны хөгжлийн бодлого, “Монгол Улсыг 2021-2025 онд хөгжүүлэх таван жилийн үндсэн чиглэл”, “Монгол Улсын Засгийн газрын 2020-2024 оны үйл ажиллагааны хөтөлбөр”-ийг хэрэгжүүлэхэд чиглэсэн богино хугацааны төлөвлөлтийн баримт бичиг тул төрийн байгууллагуудад шинэ үүрэг бий болгохгүй.</w:t>
      </w:r>
    </w:p>
    <w:p w14:paraId="1D06190D" w14:textId="77777777" w:rsidR="000E1969" w:rsidRPr="00C54D3D" w:rsidRDefault="000E1969" w:rsidP="000E1969">
      <w:pPr>
        <w:spacing w:before="240"/>
        <w:ind w:firstLine="720"/>
        <w:jc w:val="both"/>
        <w:rPr>
          <w:rFonts w:ascii="Arial" w:hAnsi="Arial" w:cs="Arial"/>
          <w:sz w:val="24"/>
          <w:szCs w:val="24"/>
          <w:lang w:val="mn-MN"/>
        </w:rPr>
      </w:pPr>
      <w:r w:rsidRPr="00C54D3D">
        <w:rPr>
          <w:rFonts w:ascii="Arial" w:hAnsi="Arial" w:cs="Arial"/>
          <w:b/>
          <w:bCs/>
          <w:i/>
          <w:iCs/>
          <w:sz w:val="24"/>
          <w:szCs w:val="24"/>
          <w:lang w:val="mn-MN"/>
        </w:rPr>
        <w:t>Шаардагдах зардлыг тодорхойлох</w:t>
      </w:r>
    </w:p>
    <w:p w14:paraId="0DFBD4E7" w14:textId="77777777" w:rsidR="000E1969" w:rsidRPr="00C54D3D" w:rsidRDefault="000E1969" w:rsidP="000E1969">
      <w:pPr>
        <w:spacing w:before="240"/>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хөгжлийн 2024 оны төлөвлөгөөний төсөлд тусгагдсан төсөл, арга хэмжээ тус бүрийг үндсэн хариуцагч буюу төлөвлөгөөний төсөлд тусгуулахаар санал ирүүлсэн байгууллагаас шаардагдах хөрөнгө оруулалтын зардлыг урьдчилан тооцож ирүүлсэн тул тус саналд үндэслэн нийт санхүүжилтийн шаардлагыг тодорхойлсон болно. </w:t>
      </w:r>
    </w:p>
    <w:p w14:paraId="112358D8" w14:textId="77777777" w:rsidR="000E1969" w:rsidRPr="00C54D3D" w:rsidRDefault="000E1969" w:rsidP="000E1969">
      <w:pPr>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хөгжлийн 2024 оны төлөвлөгөөнд 8 тэргүүлэх чиглэлийн хүрээнд 184 төсөл, арга хэмжээг нийт 13.4 их наяд төгрөгөөр санхүүжүүлэхээс, улсын төсвийн хөрөнгөөр 2.3 их наяд төгрөг, орон нутгийн төсвийн хөрөнгөөр 0.2 их наяд төгрөг, гадаадын зээлээр 1.3 их наяд төгрөг, гадаадын тусламжаар 0.5 их наяд төгрөг, төр, хувийн хэвшлийн түншлэлээр 4.5 их наяд төгрөг, хувийн хөрөнгө оруулалтаар 3.1 их наяд төгрөг, бусад эх үүсвэрээс 1.6 их наяд төгрөгийг тус тус санхүүжүүлнэ. Үүнээс улсын төсвөөр санхүүжүүлэх нийт зардлыг байгууллагаар задлан харвал дараах байдалтай байна. Үүнд: </w:t>
      </w:r>
    </w:p>
    <w:tbl>
      <w:tblPr>
        <w:tblW w:w="5000" w:type="pct"/>
        <w:tblLook w:val="04A0" w:firstRow="1" w:lastRow="0" w:firstColumn="1" w:lastColumn="0" w:noHBand="0" w:noVBand="1"/>
      </w:tblPr>
      <w:tblGrid>
        <w:gridCol w:w="606"/>
        <w:gridCol w:w="4482"/>
        <w:gridCol w:w="1896"/>
        <w:gridCol w:w="2026"/>
      </w:tblGrid>
      <w:tr w:rsidR="000E1969" w:rsidRPr="00C54D3D" w14:paraId="5FCE3547" w14:textId="77777777" w:rsidTr="00E15DE1">
        <w:trPr>
          <w:trHeight w:val="600"/>
        </w:trPr>
        <w:tc>
          <w:tcPr>
            <w:tcW w:w="307" w:type="pct"/>
            <w:tcBorders>
              <w:top w:val="single" w:sz="4" w:space="0" w:color="auto"/>
              <w:left w:val="single" w:sz="4" w:space="0" w:color="auto"/>
              <w:bottom w:val="single" w:sz="4" w:space="0" w:color="auto"/>
              <w:right w:val="single" w:sz="4" w:space="0" w:color="auto"/>
            </w:tcBorders>
            <w:vAlign w:val="center"/>
          </w:tcPr>
          <w:p w14:paraId="14140F6B"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Д/д</w:t>
            </w:r>
          </w:p>
        </w:tc>
        <w:tc>
          <w:tcPr>
            <w:tcW w:w="2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03125"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Үндсэн хариуцагч байгууллага</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7C8A37E6"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Төсөл, арга хэмжээний тоо</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5D8F5C21"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Улсын төсвийн дүн, сая төгрөг</w:t>
            </w:r>
          </w:p>
        </w:tc>
      </w:tr>
      <w:tr w:rsidR="000E1969" w:rsidRPr="00C54D3D" w14:paraId="28CE3132"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04DED617"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73C7D60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Байгаль орчин, аялал жуулчлалын яам</w:t>
            </w:r>
          </w:p>
        </w:tc>
        <w:tc>
          <w:tcPr>
            <w:tcW w:w="1062" w:type="pct"/>
            <w:tcBorders>
              <w:top w:val="nil"/>
              <w:left w:val="nil"/>
              <w:bottom w:val="single" w:sz="4" w:space="0" w:color="auto"/>
              <w:right w:val="single" w:sz="4" w:space="0" w:color="auto"/>
            </w:tcBorders>
            <w:shd w:val="clear" w:color="auto" w:fill="auto"/>
            <w:vAlign w:val="center"/>
            <w:hideMark/>
          </w:tcPr>
          <w:p w14:paraId="546B4BD9"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6</w:t>
            </w:r>
          </w:p>
        </w:tc>
        <w:tc>
          <w:tcPr>
            <w:tcW w:w="1134" w:type="pct"/>
            <w:tcBorders>
              <w:top w:val="nil"/>
              <w:left w:val="nil"/>
              <w:bottom w:val="single" w:sz="4" w:space="0" w:color="auto"/>
              <w:right w:val="single" w:sz="4" w:space="0" w:color="auto"/>
            </w:tcBorders>
            <w:shd w:val="clear" w:color="auto" w:fill="auto"/>
            <w:vAlign w:val="center"/>
            <w:hideMark/>
          </w:tcPr>
          <w:p w14:paraId="33499462"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3,260.0 </w:t>
            </w:r>
          </w:p>
        </w:tc>
      </w:tr>
      <w:tr w:rsidR="000E1969" w:rsidRPr="00C54D3D" w14:paraId="5A6E1AE3"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09420A7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2</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4598D6D1"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Барилга, хот байгуулалтын яам</w:t>
            </w:r>
          </w:p>
        </w:tc>
        <w:tc>
          <w:tcPr>
            <w:tcW w:w="1062" w:type="pct"/>
            <w:tcBorders>
              <w:top w:val="nil"/>
              <w:left w:val="nil"/>
              <w:bottom w:val="single" w:sz="4" w:space="0" w:color="auto"/>
              <w:right w:val="single" w:sz="4" w:space="0" w:color="auto"/>
            </w:tcBorders>
            <w:shd w:val="clear" w:color="auto" w:fill="auto"/>
            <w:vAlign w:val="center"/>
            <w:hideMark/>
          </w:tcPr>
          <w:p w14:paraId="1375EA5E"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9</w:t>
            </w:r>
          </w:p>
        </w:tc>
        <w:tc>
          <w:tcPr>
            <w:tcW w:w="1134" w:type="pct"/>
            <w:tcBorders>
              <w:top w:val="nil"/>
              <w:left w:val="nil"/>
              <w:bottom w:val="single" w:sz="4" w:space="0" w:color="auto"/>
              <w:right w:val="single" w:sz="4" w:space="0" w:color="auto"/>
            </w:tcBorders>
            <w:shd w:val="clear" w:color="auto" w:fill="auto"/>
            <w:vAlign w:val="center"/>
            <w:hideMark/>
          </w:tcPr>
          <w:p w14:paraId="2DACD4D8"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114,072.8 </w:t>
            </w:r>
          </w:p>
        </w:tc>
      </w:tr>
      <w:tr w:rsidR="000E1969" w:rsidRPr="00C54D3D" w14:paraId="743D3DDE"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4D0A6E0D"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3</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242CBEA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Батлан хамгаалах яам</w:t>
            </w:r>
          </w:p>
        </w:tc>
        <w:tc>
          <w:tcPr>
            <w:tcW w:w="1062" w:type="pct"/>
            <w:tcBorders>
              <w:top w:val="nil"/>
              <w:left w:val="nil"/>
              <w:bottom w:val="single" w:sz="4" w:space="0" w:color="auto"/>
              <w:right w:val="single" w:sz="4" w:space="0" w:color="auto"/>
            </w:tcBorders>
            <w:shd w:val="clear" w:color="auto" w:fill="auto"/>
            <w:vAlign w:val="center"/>
            <w:hideMark/>
          </w:tcPr>
          <w:p w14:paraId="639B66B5"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2</w:t>
            </w:r>
          </w:p>
        </w:tc>
        <w:tc>
          <w:tcPr>
            <w:tcW w:w="1134" w:type="pct"/>
            <w:tcBorders>
              <w:top w:val="nil"/>
              <w:left w:val="nil"/>
              <w:bottom w:val="single" w:sz="4" w:space="0" w:color="auto"/>
              <w:right w:val="single" w:sz="4" w:space="0" w:color="auto"/>
            </w:tcBorders>
            <w:shd w:val="clear" w:color="auto" w:fill="auto"/>
            <w:vAlign w:val="center"/>
            <w:hideMark/>
          </w:tcPr>
          <w:p w14:paraId="5BC01D9F"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1,170.0 </w:t>
            </w:r>
          </w:p>
        </w:tc>
      </w:tr>
      <w:tr w:rsidR="000E1969" w:rsidRPr="00C54D3D" w14:paraId="051EAD99"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6C7B5712"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4</w:t>
            </w:r>
          </w:p>
        </w:tc>
        <w:tc>
          <w:tcPr>
            <w:tcW w:w="2497" w:type="pct"/>
            <w:tcBorders>
              <w:top w:val="nil"/>
              <w:left w:val="single" w:sz="4" w:space="0" w:color="auto"/>
              <w:bottom w:val="single" w:sz="4" w:space="0" w:color="auto"/>
              <w:right w:val="single" w:sz="4" w:space="0" w:color="auto"/>
            </w:tcBorders>
            <w:shd w:val="clear" w:color="auto" w:fill="auto"/>
            <w:vAlign w:val="center"/>
          </w:tcPr>
          <w:p w14:paraId="52C83D42"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Биеийн тамир, спортын улсын хороо</w:t>
            </w:r>
          </w:p>
        </w:tc>
        <w:tc>
          <w:tcPr>
            <w:tcW w:w="1062" w:type="pct"/>
            <w:tcBorders>
              <w:top w:val="nil"/>
              <w:left w:val="nil"/>
              <w:bottom w:val="single" w:sz="4" w:space="0" w:color="auto"/>
              <w:right w:val="single" w:sz="4" w:space="0" w:color="auto"/>
            </w:tcBorders>
            <w:shd w:val="clear" w:color="auto" w:fill="auto"/>
            <w:vAlign w:val="center"/>
          </w:tcPr>
          <w:p w14:paraId="66E2E038"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3</w:t>
            </w:r>
          </w:p>
        </w:tc>
        <w:tc>
          <w:tcPr>
            <w:tcW w:w="1134" w:type="pct"/>
            <w:tcBorders>
              <w:top w:val="nil"/>
              <w:left w:val="nil"/>
              <w:bottom w:val="single" w:sz="4" w:space="0" w:color="auto"/>
              <w:right w:val="single" w:sz="4" w:space="0" w:color="auto"/>
            </w:tcBorders>
            <w:shd w:val="clear" w:color="auto" w:fill="auto"/>
            <w:vAlign w:val="center"/>
          </w:tcPr>
          <w:p w14:paraId="28C0BCF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 21,963.5 </w:t>
            </w:r>
          </w:p>
        </w:tc>
      </w:tr>
      <w:tr w:rsidR="000E1969" w:rsidRPr="00C54D3D" w14:paraId="63E9EA0F"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04F673D8"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5</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7DC6CDDA"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Боловсрол, шинжлэх ухааны яам</w:t>
            </w:r>
          </w:p>
        </w:tc>
        <w:tc>
          <w:tcPr>
            <w:tcW w:w="1062" w:type="pct"/>
            <w:tcBorders>
              <w:top w:val="nil"/>
              <w:left w:val="nil"/>
              <w:bottom w:val="single" w:sz="4" w:space="0" w:color="auto"/>
              <w:right w:val="single" w:sz="4" w:space="0" w:color="auto"/>
            </w:tcBorders>
            <w:shd w:val="clear" w:color="auto" w:fill="auto"/>
            <w:vAlign w:val="center"/>
            <w:hideMark/>
          </w:tcPr>
          <w:p w14:paraId="4ED420BA"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11</w:t>
            </w:r>
          </w:p>
        </w:tc>
        <w:tc>
          <w:tcPr>
            <w:tcW w:w="1134" w:type="pct"/>
            <w:tcBorders>
              <w:top w:val="nil"/>
              <w:left w:val="nil"/>
              <w:bottom w:val="single" w:sz="4" w:space="0" w:color="auto"/>
              <w:right w:val="single" w:sz="4" w:space="0" w:color="auto"/>
            </w:tcBorders>
            <w:shd w:val="clear" w:color="auto" w:fill="auto"/>
            <w:vAlign w:val="center"/>
            <w:hideMark/>
          </w:tcPr>
          <w:p w14:paraId="3AF85537"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297,063.5 </w:t>
            </w:r>
          </w:p>
        </w:tc>
      </w:tr>
      <w:tr w:rsidR="000E1969" w:rsidRPr="00C54D3D" w14:paraId="69BC0AFF"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1FC51B71"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6</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67BA774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Гадаад харилцааны яам</w:t>
            </w:r>
          </w:p>
        </w:tc>
        <w:tc>
          <w:tcPr>
            <w:tcW w:w="1062" w:type="pct"/>
            <w:tcBorders>
              <w:top w:val="nil"/>
              <w:left w:val="nil"/>
              <w:bottom w:val="single" w:sz="4" w:space="0" w:color="auto"/>
              <w:right w:val="single" w:sz="4" w:space="0" w:color="auto"/>
            </w:tcBorders>
            <w:shd w:val="clear" w:color="auto" w:fill="auto"/>
            <w:vAlign w:val="center"/>
            <w:hideMark/>
          </w:tcPr>
          <w:p w14:paraId="777F6FC1"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3</w:t>
            </w:r>
          </w:p>
        </w:tc>
        <w:tc>
          <w:tcPr>
            <w:tcW w:w="1134" w:type="pct"/>
            <w:tcBorders>
              <w:top w:val="nil"/>
              <w:left w:val="nil"/>
              <w:bottom w:val="single" w:sz="4" w:space="0" w:color="auto"/>
              <w:right w:val="single" w:sz="4" w:space="0" w:color="auto"/>
            </w:tcBorders>
            <w:shd w:val="clear" w:color="auto" w:fill="auto"/>
            <w:vAlign w:val="center"/>
            <w:hideMark/>
          </w:tcPr>
          <w:p w14:paraId="6EEF3473"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1,372.0 </w:t>
            </w:r>
          </w:p>
        </w:tc>
      </w:tr>
      <w:tr w:rsidR="000E1969" w:rsidRPr="00C54D3D" w14:paraId="12F061BA"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6DFED624"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7</w:t>
            </w:r>
          </w:p>
        </w:tc>
        <w:tc>
          <w:tcPr>
            <w:tcW w:w="2497" w:type="pct"/>
            <w:tcBorders>
              <w:top w:val="nil"/>
              <w:left w:val="single" w:sz="4" w:space="0" w:color="auto"/>
              <w:bottom w:val="single" w:sz="4" w:space="0" w:color="auto"/>
              <w:right w:val="single" w:sz="4" w:space="0" w:color="auto"/>
            </w:tcBorders>
            <w:shd w:val="clear" w:color="auto" w:fill="auto"/>
            <w:vAlign w:val="center"/>
          </w:tcPr>
          <w:p w14:paraId="646A066E"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Зам, тээврийн хөгжлийн яам</w:t>
            </w:r>
          </w:p>
        </w:tc>
        <w:tc>
          <w:tcPr>
            <w:tcW w:w="1062" w:type="pct"/>
            <w:tcBorders>
              <w:top w:val="nil"/>
              <w:left w:val="nil"/>
              <w:bottom w:val="single" w:sz="4" w:space="0" w:color="auto"/>
              <w:right w:val="single" w:sz="4" w:space="0" w:color="auto"/>
            </w:tcBorders>
            <w:shd w:val="clear" w:color="auto" w:fill="auto"/>
            <w:vAlign w:val="center"/>
          </w:tcPr>
          <w:p w14:paraId="5285A4C5"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40</w:t>
            </w:r>
          </w:p>
        </w:tc>
        <w:tc>
          <w:tcPr>
            <w:tcW w:w="1134" w:type="pct"/>
            <w:tcBorders>
              <w:top w:val="nil"/>
              <w:left w:val="nil"/>
              <w:bottom w:val="single" w:sz="4" w:space="0" w:color="auto"/>
              <w:right w:val="single" w:sz="4" w:space="0" w:color="auto"/>
            </w:tcBorders>
            <w:shd w:val="clear" w:color="auto" w:fill="auto"/>
            <w:vAlign w:val="center"/>
          </w:tcPr>
          <w:p w14:paraId="6C0EE83D"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580,905.8 </w:t>
            </w:r>
          </w:p>
        </w:tc>
      </w:tr>
      <w:tr w:rsidR="000E1969" w:rsidRPr="00C54D3D" w14:paraId="17A24DC2"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2AE1CFE6"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8</w:t>
            </w:r>
          </w:p>
        </w:tc>
        <w:tc>
          <w:tcPr>
            <w:tcW w:w="2497" w:type="pct"/>
            <w:tcBorders>
              <w:top w:val="nil"/>
              <w:left w:val="single" w:sz="4" w:space="0" w:color="auto"/>
              <w:bottom w:val="single" w:sz="4" w:space="0" w:color="auto"/>
              <w:right w:val="single" w:sz="4" w:space="0" w:color="auto"/>
            </w:tcBorders>
            <w:shd w:val="clear" w:color="auto" w:fill="auto"/>
            <w:vAlign w:val="center"/>
          </w:tcPr>
          <w:p w14:paraId="33F16E4A"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Засгийн газрын Хэрэг эрхлэх газар</w:t>
            </w:r>
          </w:p>
        </w:tc>
        <w:tc>
          <w:tcPr>
            <w:tcW w:w="1062" w:type="pct"/>
            <w:tcBorders>
              <w:top w:val="nil"/>
              <w:left w:val="nil"/>
              <w:bottom w:val="single" w:sz="4" w:space="0" w:color="auto"/>
              <w:right w:val="single" w:sz="4" w:space="0" w:color="auto"/>
            </w:tcBorders>
            <w:shd w:val="clear" w:color="auto" w:fill="auto"/>
            <w:vAlign w:val="center"/>
          </w:tcPr>
          <w:p w14:paraId="5020EE84"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3</w:t>
            </w:r>
          </w:p>
        </w:tc>
        <w:tc>
          <w:tcPr>
            <w:tcW w:w="1134" w:type="pct"/>
            <w:tcBorders>
              <w:top w:val="nil"/>
              <w:left w:val="nil"/>
              <w:bottom w:val="single" w:sz="4" w:space="0" w:color="auto"/>
              <w:right w:val="single" w:sz="4" w:space="0" w:color="auto"/>
            </w:tcBorders>
            <w:shd w:val="clear" w:color="auto" w:fill="auto"/>
            <w:vAlign w:val="center"/>
          </w:tcPr>
          <w:p w14:paraId="1A6B0B6E"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40.0</w:t>
            </w:r>
          </w:p>
        </w:tc>
      </w:tr>
      <w:tr w:rsidR="000E1969" w:rsidRPr="00C54D3D" w14:paraId="0FB47196"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488DDA4D"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9</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4FC991D"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Нийслэлийн Засаг даргын Тамгын газар</w:t>
            </w:r>
          </w:p>
        </w:tc>
        <w:tc>
          <w:tcPr>
            <w:tcW w:w="1062" w:type="pct"/>
            <w:tcBorders>
              <w:top w:val="nil"/>
              <w:left w:val="nil"/>
              <w:bottom w:val="single" w:sz="4" w:space="0" w:color="auto"/>
              <w:right w:val="single" w:sz="4" w:space="0" w:color="auto"/>
            </w:tcBorders>
            <w:shd w:val="clear" w:color="auto" w:fill="auto"/>
            <w:vAlign w:val="center"/>
            <w:hideMark/>
          </w:tcPr>
          <w:p w14:paraId="698A988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17</w:t>
            </w:r>
          </w:p>
        </w:tc>
        <w:tc>
          <w:tcPr>
            <w:tcW w:w="1134" w:type="pct"/>
            <w:tcBorders>
              <w:top w:val="nil"/>
              <w:left w:val="nil"/>
              <w:bottom w:val="single" w:sz="4" w:space="0" w:color="auto"/>
              <w:right w:val="single" w:sz="4" w:space="0" w:color="auto"/>
            </w:tcBorders>
            <w:shd w:val="clear" w:color="auto" w:fill="auto"/>
            <w:vAlign w:val="center"/>
            <w:hideMark/>
          </w:tcPr>
          <w:p w14:paraId="050AF061"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548,379.9 </w:t>
            </w:r>
          </w:p>
        </w:tc>
      </w:tr>
      <w:tr w:rsidR="000E1969" w:rsidRPr="00C54D3D" w14:paraId="2493FB58"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187651C0"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10</w:t>
            </w:r>
          </w:p>
        </w:tc>
        <w:tc>
          <w:tcPr>
            <w:tcW w:w="2497" w:type="pct"/>
            <w:tcBorders>
              <w:top w:val="nil"/>
              <w:left w:val="single" w:sz="4" w:space="0" w:color="auto"/>
              <w:bottom w:val="single" w:sz="4" w:space="0" w:color="auto"/>
              <w:right w:val="single" w:sz="4" w:space="0" w:color="auto"/>
            </w:tcBorders>
            <w:shd w:val="clear" w:color="auto" w:fill="auto"/>
            <w:vAlign w:val="center"/>
          </w:tcPr>
          <w:p w14:paraId="0E2AE674"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Санхүүгийн зохицуулах хороо</w:t>
            </w:r>
          </w:p>
        </w:tc>
        <w:tc>
          <w:tcPr>
            <w:tcW w:w="1062" w:type="pct"/>
            <w:tcBorders>
              <w:top w:val="nil"/>
              <w:left w:val="nil"/>
              <w:bottom w:val="single" w:sz="4" w:space="0" w:color="auto"/>
              <w:right w:val="single" w:sz="4" w:space="0" w:color="auto"/>
            </w:tcBorders>
            <w:shd w:val="clear" w:color="auto" w:fill="auto"/>
            <w:vAlign w:val="center"/>
          </w:tcPr>
          <w:p w14:paraId="1ED7B05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2</w:t>
            </w:r>
          </w:p>
        </w:tc>
        <w:tc>
          <w:tcPr>
            <w:tcW w:w="1134" w:type="pct"/>
            <w:tcBorders>
              <w:top w:val="nil"/>
              <w:left w:val="nil"/>
              <w:bottom w:val="single" w:sz="4" w:space="0" w:color="auto"/>
              <w:right w:val="single" w:sz="4" w:space="0" w:color="auto"/>
            </w:tcBorders>
            <w:shd w:val="clear" w:color="auto" w:fill="auto"/>
            <w:vAlign w:val="center"/>
          </w:tcPr>
          <w:p w14:paraId="53956016"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40.0 </w:t>
            </w:r>
          </w:p>
        </w:tc>
      </w:tr>
      <w:tr w:rsidR="000E1969" w:rsidRPr="00C54D3D" w14:paraId="6287304B"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5C1E2028"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11</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AC4796C"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Соёлын яам</w:t>
            </w:r>
          </w:p>
        </w:tc>
        <w:tc>
          <w:tcPr>
            <w:tcW w:w="1062" w:type="pct"/>
            <w:tcBorders>
              <w:top w:val="nil"/>
              <w:left w:val="nil"/>
              <w:bottom w:val="single" w:sz="4" w:space="0" w:color="auto"/>
              <w:right w:val="single" w:sz="4" w:space="0" w:color="auto"/>
            </w:tcBorders>
            <w:shd w:val="clear" w:color="auto" w:fill="auto"/>
            <w:vAlign w:val="center"/>
            <w:hideMark/>
          </w:tcPr>
          <w:p w14:paraId="2E72E460"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8</w:t>
            </w:r>
          </w:p>
        </w:tc>
        <w:tc>
          <w:tcPr>
            <w:tcW w:w="1134" w:type="pct"/>
            <w:tcBorders>
              <w:top w:val="nil"/>
              <w:left w:val="nil"/>
              <w:bottom w:val="single" w:sz="4" w:space="0" w:color="auto"/>
              <w:right w:val="single" w:sz="4" w:space="0" w:color="auto"/>
            </w:tcBorders>
            <w:shd w:val="clear" w:color="auto" w:fill="auto"/>
            <w:vAlign w:val="center"/>
            <w:hideMark/>
          </w:tcPr>
          <w:p w14:paraId="08AFFCF0"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43,247.0 </w:t>
            </w:r>
          </w:p>
        </w:tc>
      </w:tr>
      <w:tr w:rsidR="000E1969" w:rsidRPr="00C54D3D" w14:paraId="28464858"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7754946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12</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2CED1A6"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Уул уурхай, хүнд үйлдвэрийн яам</w:t>
            </w:r>
          </w:p>
        </w:tc>
        <w:tc>
          <w:tcPr>
            <w:tcW w:w="1062" w:type="pct"/>
            <w:tcBorders>
              <w:top w:val="nil"/>
              <w:left w:val="nil"/>
              <w:bottom w:val="single" w:sz="4" w:space="0" w:color="auto"/>
              <w:right w:val="single" w:sz="4" w:space="0" w:color="auto"/>
            </w:tcBorders>
            <w:shd w:val="clear" w:color="auto" w:fill="auto"/>
            <w:vAlign w:val="center"/>
            <w:hideMark/>
          </w:tcPr>
          <w:p w14:paraId="534D7BAF"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13</w:t>
            </w:r>
          </w:p>
        </w:tc>
        <w:tc>
          <w:tcPr>
            <w:tcW w:w="1134" w:type="pct"/>
            <w:tcBorders>
              <w:top w:val="nil"/>
              <w:left w:val="nil"/>
              <w:bottom w:val="single" w:sz="4" w:space="0" w:color="auto"/>
              <w:right w:val="single" w:sz="4" w:space="0" w:color="auto"/>
            </w:tcBorders>
            <w:shd w:val="clear" w:color="auto" w:fill="auto"/>
            <w:vAlign w:val="center"/>
            <w:hideMark/>
          </w:tcPr>
          <w:p w14:paraId="5E8ED320"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49,794.5 </w:t>
            </w:r>
          </w:p>
        </w:tc>
      </w:tr>
      <w:tr w:rsidR="000E1969" w:rsidRPr="00C54D3D" w14:paraId="6881C351"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2B522A04"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13</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A22B153"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Хууль зүй, дотоод хэргийн яам</w:t>
            </w:r>
          </w:p>
        </w:tc>
        <w:tc>
          <w:tcPr>
            <w:tcW w:w="1062" w:type="pct"/>
            <w:tcBorders>
              <w:top w:val="nil"/>
              <w:left w:val="nil"/>
              <w:bottom w:val="single" w:sz="4" w:space="0" w:color="auto"/>
              <w:right w:val="single" w:sz="4" w:space="0" w:color="auto"/>
            </w:tcBorders>
            <w:shd w:val="clear" w:color="auto" w:fill="auto"/>
            <w:vAlign w:val="center"/>
            <w:hideMark/>
          </w:tcPr>
          <w:p w14:paraId="6FF976C5"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10</w:t>
            </w:r>
          </w:p>
        </w:tc>
        <w:tc>
          <w:tcPr>
            <w:tcW w:w="1134" w:type="pct"/>
            <w:tcBorders>
              <w:top w:val="nil"/>
              <w:left w:val="nil"/>
              <w:bottom w:val="single" w:sz="4" w:space="0" w:color="auto"/>
              <w:right w:val="single" w:sz="4" w:space="0" w:color="auto"/>
            </w:tcBorders>
            <w:shd w:val="clear" w:color="auto" w:fill="auto"/>
            <w:vAlign w:val="center"/>
            <w:hideMark/>
          </w:tcPr>
          <w:p w14:paraId="504E578E"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64,735.7 </w:t>
            </w:r>
          </w:p>
        </w:tc>
      </w:tr>
      <w:tr w:rsidR="000E1969" w:rsidRPr="00C54D3D" w14:paraId="27AD7D4F"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552EE75F"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14</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36F0567"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Хүнс, хөдөө аж ахуй, хөнгөн үйлдвэрийн яам</w:t>
            </w:r>
          </w:p>
        </w:tc>
        <w:tc>
          <w:tcPr>
            <w:tcW w:w="1062" w:type="pct"/>
            <w:tcBorders>
              <w:top w:val="nil"/>
              <w:left w:val="nil"/>
              <w:bottom w:val="single" w:sz="4" w:space="0" w:color="auto"/>
              <w:right w:val="single" w:sz="4" w:space="0" w:color="auto"/>
            </w:tcBorders>
            <w:shd w:val="clear" w:color="auto" w:fill="auto"/>
            <w:vAlign w:val="center"/>
            <w:hideMark/>
          </w:tcPr>
          <w:p w14:paraId="552EE462"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8</w:t>
            </w:r>
          </w:p>
        </w:tc>
        <w:tc>
          <w:tcPr>
            <w:tcW w:w="1134" w:type="pct"/>
            <w:tcBorders>
              <w:top w:val="nil"/>
              <w:left w:val="nil"/>
              <w:bottom w:val="single" w:sz="4" w:space="0" w:color="auto"/>
              <w:right w:val="single" w:sz="4" w:space="0" w:color="auto"/>
            </w:tcBorders>
            <w:shd w:val="clear" w:color="auto" w:fill="auto"/>
            <w:vAlign w:val="center"/>
            <w:hideMark/>
          </w:tcPr>
          <w:p w14:paraId="02FC64A3"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 187,932.0 </w:t>
            </w:r>
          </w:p>
        </w:tc>
      </w:tr>
      <w:tr w:rsidR="000E1969" w:rsidRPr="00C54D3D" w14:paraId="3665355C"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45AD0D1A"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15</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1ADC8147"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Цахим хөгжил, харилцаа холбооны яам</w:t>
            </w:r>
          </w:p>
        </w:tc>
        <w:tc>
          <w:tcPr>
            <w:tcW w:w="1062" w:type="pct"/>
            <w:tcBorders>
              <w:top w:val="nil"/>
              <w:left w:val="nil"/>
              <w:bottom w:val="single" w:sz="4" w:space="0" w:color="auto"/>
              <w:right w:val="single" w:sz="4" w:space="0" w:color="auto"/>
            </w:tcBorders>
            <w:shd w:val="clear" w:color="auto" w:fill="auto"/>
            <w:vAlign w:val="center"/>
            <w:hideMark/>
          </w:tcPr>
          <w:p w14:paraId="18584AAD"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3</w:t>
            </w:r>
          </w:p>
        </w:tc>
        <w:tc>
          <w:tcPr>
            <w:tcW w:w="1134" w:type="pct"/>
            <w:tcBorders>
              <w:top w:val="nil"/>
              <w:left w:val="nil"/>
              <w:bottom w:val="single" w:sz="4" w:space="0" w:color="auto"/>
              <w:right w:val="single" w:sz="4" w:space="0" w:color="auto"/>
            </w:tcBorders>
            <w:shd w:val="clear" w:color="auto" w:fill="auto"/>
            <w:vAlign w:val="center"/>
            <w:hideMark/>
          </w:tcPr>
          <w:p w14:paraId="0E358613"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 12,700.0 </w:t>
            </w:r>
          </w:p>
        </w:tc>
      </w:tr>
      <w:tr w:rsidR="000E1969" w:rsidRPr="00C54D3D" w14:paraId="6C1CBA12"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63BCD593"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16</w:t>
            </w:r>
          </w:p>
        </w:tc>
        <w:tc>
          <w:tcPr>
            <w:tcW w:w="2497" w:type="pct"/>
            <w:tcBorders>
              <w:top w:val="nil"/>
              <w:left w:val="single" w:sz="4" w:space="0" w:color="auto"/>
              <w:bottom w:val="single" w:sz="4" w:space="0" w:color="auto"/>
              <w:right w:val="single" w:sz="4" w:space="0" w:color="auto"/>
            </w:tcBorders>
            <w:shd w:val="clear" w:color="auto" w:fill="auto"/>
            <w:vAlign w:val="center"/>
          </w:tcPr>
          <w:p w14:paraId="5E5A495C"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Шадар сайдын Ажлын алба</w:t>
            </w:r>
          </w:p>
        </w:tc>
        <w:tc>
          <w:tcPr>
            <w:tcW w:w="1062" w:type="pct"/>
            <w:tcBorders>
              <w:top w:val="nil"/>
              <w:left w:val="nil"/>
              <w:bottom w:val="single" w:sz="4" w:space="0" w:color="auto"/>
              <w:right w:val="single" w:sz="4" w:space="0" w:color="auto"/>
            </w:tcBorders>
            <w:shd w:val="clear" w:color="auto" w:fill="auto"/>
            <w:vAlign w:val="center"/>
          </w:tcPr>
          <w:p w14:paraId="48BD29E9"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w:t>
            </w:r>
          </w:p>
        </w:tc>
        <w:tc>
          <w:tcPr>
            <w:tcW w:w="1134" w:type="pct"/>
            <w:tcBorders>
              <w:top w:val="nil"/>
              <w:left w:val="nil"/>
              <w:bottom w:val="single" w:sz="4" w:space="0" w:color="auto"/>
              <w:right w:val="single" w:sz="4" w:space="0" w:color="auto"/>
            </w:tcBorders>
            <w:shd w:val="clear" w:color="auto" w:fill="auto"/>
            <w:vAlign w:val="center"/>
          </w:tcPr>
          <w:p w14:paraId="1BFDA12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20.0 </w:t>
            </w:r>
          </w:p>
        </w:tc>
      </w:tr>
      <w:tr w:rsidR="000E1969" w:rsidRPr="00C54D3D" w14:paraId="0752A49F"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251B415F"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17</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21A7A4A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Эрүүл мэндийн яам</w:t>
            </w:r>
          </w:p>
        </w:tc>
        <w:tc>
          <w:tcPr>
            <w:tcW w:w="1062" w:type="pct"/>
            <w:tcBorders>
              <w:top w:val="nil"/>
              <w:left w:val="nil"/>
              <w:bottom w:val="single" w:sz="4" w:space="0" w:color="auto"/>
              <w:right w:val="single" w:sz="4" w:space="0" w:color="auto"/>
            </w:tcBorders>
            <w:shd w:val="clear" w:color="auto" w:fill="auto"/>
            <w:vAlign w:val="center"/>
            <w:hideMark/>
          </w:tcPr>
          <w:p w14:paraId="3764EEB7"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8</w:t>
            </w:r>
          </w:p>
        </w:tc>
        <w:tc>
          <w:tcPr>
            <w:tcW w:w="1134" w:type="pct"/>
            <w:tcBorders>
              <w:top w:val="nil"/>
              <w:left w:val="nil"/>
              <w:bottom w:val="single" w:sz="4" w:space="0" w:color="auto"/>
              <w:right w:val="single" w:sz="4" w:space="0" w:color="auto"/>
            </w:tcBorders>
            <w:shd w:val="clear" w:color="auto" w:fill="auto"/>
            <w:vAlign w:val="center"/>
            <w:hideMark/>
          </w:tcPr>
          <w:p w14:paraId="3626BDF8"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 102,600.0 </w:t>
            </w:r>
          </w:p>
        </w:tc>
      </w:tr>
      <w:tr w:rsidR="000E1969" w:rsidRPr="00C54D3D" w14:paraId="31009E0A" w14:textId="77777777" w:rsidTr="00E15DE1">
        <w:trPr>
          <w:trHeight w:val="285"/>
        </w:trPr>
        <w:tc>
          <w:tcPr>
            <w:tcW w:w="307" w:type="pct"/>
            <w:tcBorders>
              <w:top w:val="nil"/>
              <w:left w:val="single" w:sz="4" w:space="0" w:color="auto"/>
              <w:bottom w:val="single" w:sz="4" w:space="0" w:color="auto"/>
              <w:right w:val="single" w:sz="4" w:space="0" w:color="auto"/>
            </w:tcBorders>
            <w:vAlign w:val="center"/>
          </w:tcPr>
          <w:p w14:paraId="08820CD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18</w:t>
            </w:r>
          </w:p>
        </w:tc>
        <w:tc>
          <w:tcPr>
            <w:tcW w:w="2497" w:type="pct"/>
            <w:tcBorders>
              <w:top w:val="nil"/>
              <w:left w:val="single" w:sz="4" w:space="0" w:color="auto"/>
              <w:bottom w:val="single" w:sz="4" w:space="0" w:color="auto"/>
              <w:right w:val="single" w:sz="4" w:space="0" w:color="auto"/>
            </w:tcBorders>
            <w:shd w:val="clear" w:color="auto" w:fill="auto"/>
            <w:vAlign w:val="center"/>
            <w:hideMark/>
          </w:tcPr>
          <w:p w14:paraId="0033DDAB"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Эрчим хүчний яам</w:t>
            </w:r>
          </w:p>
        </w:tc>
        <w:tc>
          <w:tcPr>
            <w:tcW w:w="1062" w:type="pct"/>
            <w:tcBorders>
              <w:top w:val="nil"/>
              <w:left w:val="nil"/>
              <w:bottom w:val="single" w:sz="4" w:space="0" w:color="auto"/>
              <w:right w:val="single" w:sz="4" w:space="0" w:color="auto"/>
            </w:tcBorders>
            <w:shd w:val="clear" w:color="auto" w:fill="auto"/>
            <w:vAlign w:val="center"/>
            <w:hideMark/>
          </w:tcPr>
          <w:p w14:paraId="60CB8DC2"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17</w:t>
            </w:r>
          </w:p>
        </w:tc>
        <w:tc>
          <w:tcPr>
            <w:tcW w:w="1134" w:type="pct"/>
            <w:tcBorders>
              <w:top w:val="nil"/>
              <w:left w:val="nil"/>
              <w:bottom w:val="single" w:sz="4" w:space="0" w:color="auto"/>
              <w:right w:val="single" w:sz="4" w:space="0" w:color="auto"/>
            </w:tcBorders>
            <w:shd w:val="clear" w:color="auto" w:fill="auto"/>
            <w:vAlign w:val="center"/>
            <w:hideMark/>
          </w:tcPr>
          <w:p w14:paraId="7C0A44DC" w14:textId="77777777" w:rsidR="000E1969" w:rsidRPr="00C54D3D" w:rsidRDefault="000E1969" w:rsidP="00E15DE1">
            <w:pPr>
              <w:spacing w:after="0" w:line="240" w:lineRule="auto"/>
              <w:jc w:val="both"/>
              <w:rPr>
                <w:rFonts w:ascii="Arial" w:eastAsia="Times New Roman" w:hAnsi="Arial" w:cs="Arial"/>
                <w:color w:val="000000"/>
                <w:sz w:val="24"/>
                <w:szCs w:val="24"/>
                <w:lang w:val="mn-MN"/>
              </w:rPr>
            </w:pPr>
            <w:r w:rsidRPr="00C54D3D">
              <w:rPr>
                <w:rFonts w:ascii="Arial" w:eastAsia="Times New Roman" w:hAnsi="Arial" w:cs="Arial"/>
                <w:color w:val="000000"/>
                <w:sz w:val="24"/>
                <w:szCs w:val="24"/>
                <w:lang w:val="mn-MN"/>
              </w:rPr>
              <w:t xml:space="preserve"> 299,444.2 </w:t>
            </w:r>
          </w:p>
        </w:tc>
      </w:tr>
      <w:tr w:rsidR="000E1969" w:rsidRPr="00C54D3D" w14:paraId="20559B66" w14:textId="77777777" w:rsidTr="00E15DE1">
        <w:trPr>
          <w:trHeight w:val="300"/>
        </w:trPr>
        <w:tc>
          <w:tcPr>
            <w:tcW w:w="2804" w:type="pct"/>
            <w:gridSpan w:val="2"/>
            <w:tcBorders>
              <w:top w:val="nil"/>
              <w:left w:val="single" w:sz="4" w:space="0" w:color="auto"/>
              <w:bottom w:val="single" w:sz="4" w:space="0" w:color="auto"/>
              <w:right w:val="single" w:sz="4" w:space="0" w:color="auto"/>
            </w:tcBorders>
            <w:vAlign w:val="center"/>
          </w:tcPr>
          <w:p w14:paraId="7FBBB1AE"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Нийт</w:t>
            </w:r>
          </w:p>
        </w:tc>
        <w:tc>
          <w:tcPr>
            <w:tcW w:w="1062" w:type="pct"/>
            <w:tcBorders>
              <w:top w:val="nil"/>
              <w:left w:val="nil"/>
              <w:bottom w:val="single" w:sz="4" w:space="0" w:color="auto"/>
              <w:right w:val="single" w:sz="4" w:space="0" w:color="auto"/>
            </w:tcBorders>
            <w:shd w:val="clear" w:color="auto" w:fill="auto"/>
            <w:vAlign w:val="center"/>
            <w:hideMark/>
          </w:tcPr>
          <w:p w14:paraId="5E9C6E6C" w14:textId="77777777" w:rsidR="000E1969" w:rsidRPr="00C54D3D" w:rsidRDefault="000E1969" w:rsidP="00E15DE1">
            <w:pPr>
              <w:spacing w:after="0" w:line="240" w:lineRule="auto"/>
              <w:jc w:val="both"/>
              <w:rPr>
                <w:rFonts w:ascii="Arial" w:eastAsia="Times New Roman" w:hAnsi="Arial" w:cs="Arial"/>
                <w:b/>
                <w:color w:val="000000"/>
                <w:sz w:val="24"/>
                <w:szCs w:val="24"/>
                <w:lang w:val="mn-MN"/>
              </w:rPr>
            </w:pPr>
            <w:r w:rsidRPr="00C54D3D">
              <w:rPr>
                <w:rFonts w:ascii="Arial" w:eastAsia="Times New Roman" w:hAnsi="Arial" w:cs="Arial"/>
                <w:b/>
                <w:bCs/>
                <w:color w:val="000000"/>
                <w:sz w:val="24"/>
                <w:szCs w:val="24"/>
                <w:lang w:val="mn-MN"/>
              </w:rPr>
              <w:t>164</w:t>
            </w:r>
          </w:p>
        </w:tc>
        <w:tc>
          <w:tcPr>
            <w:tcW w:w="1134" w:type="pct"/>
            <w:tcBorders>
              <w:top w:val="nil"/>
              <w:left w:val="nil"/>
              <w:bottom w:val="single" w:sz="4" w:space="0" w:color="auto"/>
              <w:right w:val="single" w:sz="4" w:space="0" w:color="auto"/>
            </w:tcBorders>
            <w:shd w:val="clear" w:color="auto" w:fill="auto"/>
            <w:vAlign w:val="center"/>
            <w:hideMark/>
          </w:tcPr>
          <w:p w14:paraId="32451C26" w14:textId="77777777" w:rsidR="000E1969" w:rsidRPr="00C54D3D" w:rsidRDefault="000E1969" w:rsidP="00E15DE1">
            <w:pPr>
              <w:spacing w:after="0" w:line="240" w:lineRule="auto"/>
              <w:jc w:val="both"/>
              <w:rPr>
                <w:rFonts w:ascii="Arial" w:eastAsia="Times New Roman" w:hAnsi="Arial" w:cs="Arial"/>
                <w:b/>
                <w:bCs/>
                <w:color w:val="000000"/>
                <w:sz w:val="24"/>
                <w:szCs w:val="24"/>
                <w:lang w:val="mn-MN"/>
              </w:rPr>
            </w:pPr>
            <w:r w:rsidRPr="00C54D3D">
              <w:rPr>
                <w:rFonts w:ascii="Arial" w:eastAsia="Times New Roman" w:hAnsi="Arial" w:cs="Arial"/>
                <w:b/>
                <w:bCs/>
                <w:color w:val="000000"/>
                <w:sz w:val="24"/>
                <w:szCs w:val="24"/>
                <w:lang w:val="mn-MN"/>
              </w:rPr>
              <w:t>2,328,740.9</w:t>
            </w:r>
          </w:p>
        </w:tc>
      </w:tr>
    </w:tbl>
    <w:p w14:paraId="0F37575F" w14:textId="77777777" w:rsidR="000E1969" w:rsidRPr="00C54D3D" w:rsidRDefault="000E1969" w:rsidP="000E1969">
      <w:pPr>
        <w:pStyle w:val="ListParagraph"/>
        <w:jc w:val="both"/>
        <w:rPr>
          <w:rFonts w:ascii="Arial" w:hAnsi="Arial" w:cs="Arial"/>
          <w:sz w:val="24"/>
          <w:szCs w:val="24"/>
          <w:lang w:val="mn-MN"/>
        </w:rPr>
      </w:pPr>
    </w:p>
    <w:p w14:paraId="591F9DA5" w14:textId="77777777" w:rsidR="000E1969" w:rsidRPr="00C54D3D" w:rsidRDefault="000E1969" w:rsidP="000E1969">
      <w:pPr>
        <w:pStyle w:val="ListParagraph"/>
        <w:jc w:val="both"/>
        <w:rPr>
          <w:rFonts w:ascii="Arial" w:hAnsi="Arial" w:cs="Arial"/>
          <w:sz w:val="24"/>
          <w:szCs w:val="24"/>
          <w:lang w:val="mn-MN"/>
        </w:rPr>
      </w:pPr>
    </w:p>
    <w:p w14:paraId="2CEF9D62" w14:textId="77777777" w:rsidR="000E1969" w:rsidRPr="00C54D3D" w:rsidRDefault="000E1969" w:rsidP="000E1969">
      <w:pPr>
        <w:pStyle w:val="ListParagraph"/>
        <w:jc w:val="both"/>
        <w:rPr>
          <w:rFonts w:ascii="Arial" w:hAnsi="Arial" w:cs="Arial"/>
          <w:sz w:val="24"/>
          <w:szCs w:val="24"/>
          <w:lang w:val="mn-MN"/>
        </w:rPr>
      </w:pPr>
    </w:p>
    <w:p w14:paraId="7F75754A" w14:textId="77777777" w:rsidR="000E1969" w:rsidRPr="00C54D3D" w:rsidRDefault="000E1969" w:rsidP="000E1969">
      <w:pPr>
        <w:jc w:val="center"/>
        <w:rPr>
          <w:rFonts w:ascii="Arial" w:hAnsi="Arial" w:cs="Arial"/>
          <w:sz w:val="24"/>
          <w:szCs w:val="24"/>
          <w:lang w:val="mn-MN"/>
        </w:rPr>
      </w:pPr>
      <w:r w:rsidRPr="00C54D3D">
        <w:rPr>
          <w:rFonts w:ascii="Arial" w:hAnsi="Arial" w:cs="Arial"/>
          <w:bCs/>
          <w:sz w:val="24"/>
          <w:szCs w:val="24"/>
          <w:lang w:val="mn-MN"/>
        </w:rPr>
        <w:t>---o0o---</w:t>
      </w:r>
    </w:p>
    <w:p w14:paraId="58219D07" w14:textId="77777777" w:rsidR="000E1969" w:rsidRPr="00C54D3D" w:rsidRDefault="000E1969" w:rsidP="000E1969">
      <w:pPr>
        <w:pStyle w:val="ListParagraph"/>
        <w:jc w:val="both"/>
        <w:rPr>
          <w:rFonts w:ascii="Arial" w:hAnsi="Arial" w:cs="Arial"/>
          <w:sz w:val="24"/>
          <w:szCs w:val="24"/>
          <w:lang w:val="mn-MN"/>
        </w:rPr>
      </w:pPr>
    </w:p>
    <w:p w14:paraId="1C920D35" w14:textId="77777777" w:rsidR="000E1969" w:rsidRPr="00C54D3D" w:rsidRDefault="000E1969" w:rsidP="000E1969">
      <w:pPr>
        <w:ind w:firstLine="720"/>
        <w:jc w:val="both"/>
        <w:rPr>
          <w:rFonts w:ascii="Arial" w:hAnsi="Arial" w:cs="Arial"/>
          <w:sz w:val="24"/>
          <w:szCs w:val="24"/>
          <w:lang w:val="mn-MN"/>
        </w:rPr>
      </w:pPr>
    </w:p>
    <w:p w14:paraId="2A1160CE" w14:textId="77777777" w:rsidR="000E1969" w:rsidRPr="00C54D3D" w:rsidRDefault="000E1969" w:rsidP="000E1969">
      <w:pPr>
        <w:jc w:val="both"/>
        <w:rPr>
          <w:rFonts w:ascii="Arial" w:hAnsi="Arial" w:cs="Arial"/>
          <w:sz w:val="24"/>
          <w:szCs w:val="24"/>
          <w:lang w:val="mn-MN"/>
        </w:rPr>
      </w:pPr>
    </w:p>
    <w:p w14:paraId="77BB7B4D" w14:textId="77777777" w:rsidR="000E1969" w:rsidRDefault="000E1969" w:rsidP="000E1969">
      <w:pPr>
        <w:spacing w:after="0"/>
        <w:jc w:val="center"/>
        <w:rPr>
          <w:rFonts w:ascii="Arial" w:eastAsia="Arial" w:hAnsi="Arial" w:cs="Arial"/>
          <w:b/>
          <w:bCs/>
          <w:sz w:val="24"/>
          <w:szCs w:val="24"/>
          <w:lang w:val="mn-MN"/>
        </w:rPr>
      </w:pPr>
    </w:p>
    <w:p w14:paraId="6E762936" w14:textId="77777777" w:rsidR="0034671D" w:rsidRDefault="00872714"/>
    <w:sectPr w:rsidR="0034671D" w:rsidSect="00414E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69"/>
    <w:rsid w:val="000E1969"/>
    <w:rsid w:val="00414ED6"/>
    <w:rsid w:val="0087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E6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969"/>
    <w:pPr>
      <w:spacing w:after="160" w:line="259" w:lineRule="auto"/>
    </w:pPr>
    <w:rPr>
      <w:sz w:val="22"/>
      <w:szCs w:val="22"/>
      <w14:ligatures w14:val="standardContextual"/>
    </w:rPr>
  </w:style>
  <w:style w:type="paragraph" w:styleId="Heading1">
    <w:name w:val="heading 1"/>
    <w:basedOn w:val="Normal"/>
    <w:next w:val="Normal"/>
    <w:link w:val="Heading1Char"/>
    <w:uiPriority w:val="9"/>
    <w:qFormat/>
    <w:rsid w:val="000E1969"/>
    <w:pPr>
      <w:keepNext/>
      <w:keepLines/>
      <w:spacing w:before="240" w:after="0" w:line="240" w:lineRule="auto"/>
      <w:jc w:val="both"/>
      <w:outlineLvl w:val="0"/>
    </w:pPr>
    <w:rPr>
      <w:rFonts w:ascii="Arial" w:eastAsiaTheme="majorEastAsia" w:hAnsi="Arial" w:cstheme="majorBidi"/>
      <w:b/>
      <w:color w:val="002060"/>
      <w:sz w:val="26"/>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969"/>
    <w:rPr>
      <w:rFonts w:ascii="Arial" w:eastAsiaTheme="majorEastAsia" w:hAnsi="Arial" w:cstheme="majorBidi"/>
      <w:b/>
      <w:color w:val="002060"/>
      <w:sz w:val="26"/>
      <w:szCs w:val="32"/>
    </w:rPr>
  </w:style>
  <w:style w:type="paragraph" w:customStyle="1" w:styleId="paragraph">
    <w:name w:val="paragraph"/>
    <w:basedOn w:val="Normal"/>
    <w:rsid w:val="000E1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1969"/>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0E1969"/>
    <w:pPr>
      <w:ind w:left="720"/>
      <w:contextualSpacing/>
    </w:pPr>
    <w:rPr>
      <w:kern w:val="2"/>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0E1969"/>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Macintosh Word</Application>
  <DocSecurity>0</DocSecurity>
  <Lines>44</Lines>
  <Paragraphs>12</Paragraphs>
  <ScaleCrop>false</ScaleCrop>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2023-04-28T10:05:00Z</dcterms:created>
  <dcterms:modified xsi:type="dcterms:W3CDTF">2023-04-28T10:05:00Z</dcterms:modified>
</cp:coreProperties>
</file>