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6303" w:rsidRPr="00845BD6" w:rsidRDefault="00506303" w:rsidP="00506303">
      <w:pPr>
        <w:spacing w:line="276" w:lineRule="atLeast"/>
        <w:ind w:firstLine="567"/>
        <w:jc w:val="center"/>
        <w:rPr>
          <w:rFonts w:ascii="Arial" w:hAnsi="Arial" w:cs="Arial"/>
        </w:rPr>
      </w:pPr>
      <w:r w:rsidRPr="00845BD6">
        <w:rPr>
          <w:rFonts w:ascii="Arial" w:hAnsi="Arial" w:cs="Arial"/>
          <w:b/>
          <w:bCs/>
        </w:rPr>
        <w:t>АШИГТ МАЛТМАЛЫН </w:t>
      </w:r>
      <w:r w:rsidRPr="00845BD6">
        <w:rPr>
          <w:rFonts w:ascii="Arial" w:hAnsi="Arial" w:cs="Arial"/>
          <w:b/>
          <w:bCs/>
          <w:lang w:val="mn-MN"/>
        </w:rPr>
        <w:t>ТУХАЙ ХУУЛЬД ӨӨРЧЛӨЛТ ОРУУЛАХ ТУХАЙ</w:t>
      </w:r>
    </w:p>
    <w:p w:rsidR="00506303" w:rsidRPr="00845BD6" w:rsidRDefault="00506303" w:rsidP="00506303">
      <w:pPr>
        <w:spacing w:line="276" w:lineRule="atLeast"/>
        <w:ind w:firstLine="567"/>
        <w:jc w:val="center"/>
        <w:rPr>
          <w:rFonts w:ascii="Arial" w:hAnsi="Arial" w:cs="Arial"/>
          <w:b/>
          <w:bCs/>
          <w:lang w:val="mn-MN"/>
        </w:rPr>
      </w:pPr>
      <w:r w:rsidRPr="00845BD6">
        <w:rPr>
          <w:rFonts w:ascii="Arial" w:hAnsi="Arial" w:cs="Arial"/>
          <w:b/>
          <w:bCs/>
          <w:lang w:val="mn-MN"/>
        </w:rPr>
        <w:t> ХУУЛИЙН ТӨСЛИЙН ҮР НӨЛӨӨНИЙ ҮНЭЛГЭЭ, ЗАРДЛЫН ТООЦОО</w:t>
      </w:r>
    </w:p>
    <w:p w:rsidR="00506303" w:rsidRPr="00845BD6" w:rsidRDefault="00506303" w:rsidP="00506303">
      <w:pPr>
        <w:spacing w:line="276" w:lineRule="atLeast"/>
        <w:rPr>
          <w:rFonts w:ascii="Arial" w:hAnsi="Arial" w:cs="Arial"/>
          <w:b/>
          <w:bCs/>
          <w:lang w:val="mn-MN"/>
        </w:rPr>
      </w:pPr>
    </w:p>
    <w:p w:rsidR="00506303" w:rsidRPr="00845BD6" w:rsidRDefault="00506303" w:rsidP="00506303">
      <w:pPr>
        <w:shd w:val="clear" w:color="auto" w:fill="FFFFFF"/>
        <w:jc w:val="both"/>
        <w:rPr>
          <w:rFonts w:ascii="Arial" w:hAnsi="Arial" w:cs="Arial"/>
          <w:lang w:val="mn-MN"/>
        </w:rPr>
      </w:pPr>
      <w:r w:rsidRPr="00845BD6">
        <w:rPr>
          <w:rFonts w:ascii="Arial" w:hAnsi="Arial" w:cs="Arial"/>
          <w:b/>
          <w:bCs/>
          <w:lang w:val="mn-MN"/>
        </w:rPr>
        <w:tab/>
      </w:r>
      <w:r w:rsidRPr="00845BD6">
        <w:rPr>
          <w:rFonts w:ascii="Arial" w:hAnsi="Arial" w:cs="Arial"/>
          <w:lang w:val="mn-MN"/>
        </w:rPr>
        <w:t>Ашигт малтмалын тухай хуулийн 47 дугаар зүйлд нэмэлт, өөрчлөлт орсноор дараахь хүндрэлтэй асуудлууд бий болсон:</w:t>
      </w:r>
    </w:p>
    <w:p w:rsidR="00506303" w:rsidRPr="00845BD6" w:rsidRDefault="00506303" w:rsidP="00506303">
      <w:pPr>
        <w:pStyle w:val="ListParagraph"/>
        <w:numPr>
          <w:ilvl w:val="0"/>
          <w:numId w:val="2"/>
        </w:numPr>
        <w:shd w:val="clear" w:color="auto" w:fill="FFFFFF"/>
        <w:jc w:val="both"/>
        <w:rPr>
          <w:rFonts w:ascii="Arial" w:hAnsi="Arial" w:cs="Arial"/>
          <w:lang w:val="mn-MN"/>
        </w:rPr>
      </w:pPr>
      <w:r w:rsidRPr="00845BD6">
        <w:rPr>
          <w:rFonts w:ascii="Arial" w:hAnsi="Arial" w:cs="Arial"/>
          <w:lang w:val="mn-MN"/>
        </w:rPr>
        <w:t xml:space="preserve">Баяжуулах үйлдвэрүүдийн экспортод гаргасан бүтээгдэхүүнийг олон улсын зах зээлийн үнээр АМНАТ ногдуулдаг болсон. Гэрээний үнээс нь 1-2 дахин өндөр үнээр тооцож төлөхийг шаарддаг. Тухайлбал, АМГТГ-ын зарласан </w:t>
      </w:r>
      <w:r w:rsidRPr="00845BD6">
        <w:rPr>
          <w:rFonts w:ascii="Arial" w:hAnsi="Arial" w:cs="Arial"/>
          <w:bCs/>
          <w:lang w:val="mn-MN"/>
        </w:rPr>
        <w:t xml:space="preserve">11 сарын </w:t>
      </w:r>
      <w:r w:rsidRPr="00845BD6">
        <w:rPr>
          <w:rFonts w:ascii="Arial" w:hAnsi="Arial" w:cs="Arial"/>
          <w:lang w:val="mn-MN"/>
        </w:rPr>
        <w:t>үнэ:</w:t>
      </w:r>
    </w:p>
    <w:p w:rsidR="00506303" w:rsidRPr="00845BD6" w:rsidRDefault="00506303" w:rsidP="00506303">
      <w:pPr>
        <w:pStyle w:val="ListParagraph"/>
        <w:shd w:val="clear" w:color="auto" w:fill="FFFFFF"/>
        <w:ind w:left="0" w:firstLine="720"/>
        <w:jc w:val="both"/>
        <w:rPr>
          <w:rFonts w:ascii="Arial" w:eastAsia="Times New Roman" w:hAnsi="Arial" w:cs="Arial"/>
          <w:sz w:val="24"/>
          <w:szCs w:val="24"/>
        </w:rPr>
      </w:pPr>
      <w:r w:rsidRPr="00845BD6">
        <w:rPr>
          <w:rFonts w:ascii="Arial" w:eastAsia="Times New Roman" w:hAnsi="Arial" w:cs="Arial"/>
          <w:sz w:val="24"/>
          <w:szCs w:val="24"/>
          <w:lang w:val="mn-MN"/>
        </w:rPr>
        <w:t xml:space="preserve">Төмрийн баяжмалыг 1 тн </w:t>
      </w:r>
      <w:r w:rsidRPr="00845BD6">
        <w:rPr>
          <w:rFonts w:ascii="Arial" w:eastAsia="Times New Roman" w:hAnsi="Arial" w:cs="Arial"/>
          <w:bCs/>
          <w:sz w:val="24"/>
          <w:szCs w:val="24"/>
        </w:rPr>
        <w:t>70</w:t>
      </w:r>
      <w:r w:rsidRPr="00845BD6">
        <w:rPr>
          <w:rFonts w:ascii="Arial" w:eastAsia="Times New Roman" w:hAnsi="Arial" w:cs="Arial"/>
          <w:sz w:val="24"/>
          <w:szCs w:val="24"/>
          <w:lang w:val="mn-MN"/>
        </w:rPr>
        <w:t xml:space="preserve">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гэрээ хийсэн байхад </w:t>
      </w:r>
      <w:r w:rsidRPr="00845BD6">
        <w:rPr>
          <w:rFonts w:ascii="Arial" w:eastAsia="Times New Roman" w:hAnsi="Arial" w:cs="Arial"/>
          <w:bCs/>
          <w:sz w:val="24"/>
          <w:szCs w:val="24"/>
        </w:rPr>
        <w:t>101</w:t>
      </w:r>
      <w:r w:rsidRPr="00845BD6">
        <w:rPr>
          <w:rFonts w:ascii="Arial" w:eastAsia="Times New Roman" w:hAnsi="Arial" w:cs="Arial"/>
          <w:bCs/>
          <w:sz w:val="24"/>
          <w:szCs w:val="24"/>
          <w:lang w:val="mn-MN"/>
        </w:rPr>
        <w:t>,78</w:t>
      </w:r>
      <w:r w:rsidRPr="00845BD6">
        <w:rPr>
          <w:rFonts w:ascii="Arial" w:eastAsia="Times New Roman" w:hAnsi="Arial" w:cs="Arial"/>
          <w:bCs/>
          <w:sz w:val="24"/>
          <w:szCs w:val="24"/>
        </w:rPr>
        <w:t>$</w:t>
      </w:r>
      <w:r w:rsidRPr="00845BD6">
        <w:rPr>
          <w:rFonts w:ascii="Arial" w:eastAsia="Times New Roman" w:hAnsi="Arial" w:cs="Arial"/>
          <w:sz w:val="24"/>
          <w:szCs w:val="24"/>
          <w:lang w:val="mn-MN"/>
        </w:rPr>
        <w:t xml:space="preserve">,          </w:t>
      </w:r>
    </w:p>
    <w:p w:rsidR="00506303" w:rsidRPr="00845BD6" w:rsidRDefault="00506303" w:rsidP="00506303">
      <w:pPr>
        <w:pStyle w:val="ListParagraph"/>
        <w:shd w:val="clear" w:color="auto" w:fill="FFFFFF"/>
        <w:ind w:left="0"/>
        <w:jc w:val="both"/>
        <w:rPr>
          <w:rFonts w:ascii="Arial" w:eastAsia="Times New Roman" w:hAnsi="Arial" w:cs="Arial"/>
          <w:sz w:val="24"/>
          <w:szCs w:val="24"/>
        </w:rPr>
      </w:pPr>
      <w:r w:rsidRPr="00845BD6">
        <w:rPr>
          <w:rFonts w:ascii="Arial" w:eastAsia="Times New Roman" w:hAnsi="Arial" w:cs="Arial"/>
          <w:sz w:val="24"/>
          <w:szCs w:val="24"/>
          <w:lang w:val="mn-MN"/>
        </w:rPr>
        <w:t xml:space="preserve"> </w:t>
      </w:r>
      <w:r w:rsidRPr="00845BD6">
        <w:rPr>
          <w:rFonts w:ascii="Arial" w:eastAsia="Times New Roman" w:hAnsi="Arial" w:cs="Arial"/>
          <w:sz w:val="24"/>
          <w:szCs w:val="24"/>
          <w:lang w:val="mn-MN"/>
        </w:rPr>
        <w:tab/>
        <w:t xml:space="preserve">Жоншны баяжмалыг 1 тн </w:t>
      </w:r>
      <w:r w:rsidRPr="00845BD6">
        <w:rPr>
          <w:rFonts w:ascii="Arial" w:eastAsia="Times New Roman" w:hAnsi="Arial" w:cs="Arial"/>
          <w:bCs/>
          <w:sz w:val="24"/>
          <w:szCs w:val="24"/>
          <w:lang w:val="mn-MN"/>
        </w:rPr>
        <w:t>2</w:t>
      </w:r>
      <w:r w:rsidRPr="00845BD6">
        <w:rPr>
          <w:rFonts w:ascii="Arial" w:eastAsia="Times New Roman" w:hAnsi="Arial" w:cs="Arial"/>
          <w:bCs/>
          <w:sz w:val="24"/>
          <w:szCs w:val="24"/>
        </w:rPr>
        <w:t>2</w:t>
      </w:r>
      <w:r w:rsidRPr="00845BD6">
        <w:rPr>
          <w:rFonts w:ascii="Arial" w:eastAsia="Times New Roman" w:hAnsi="Arial" w:cs="Arial"/>
          <w:bCs/>
          <w:sz w:val="24"/>
          <w:szCs w:val="24"/>
          <w:lang w:val="mn-MN"/>
        </w:rPr>
        <w:t>0</w:t>
      </w:r>
      <w:r w:rsidRPr="00845BD6">
        <w:rPr>
          <w:rFonts w:ascii="Arial" w:eastAsia="Times New Roman" w:hAnsi="Arial" w:cs="Arial"/>
          <w:sz w:val="24"/>
          <w:szCs w:val="24"/>
          <w:lang w:val="mn-MN"/>
        </w:rPr>
        <w:t xml:space="preserve">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гэрээ хийсэн байхад </w:t>
      </w:r>
      <w:r w:rsidRPr="00845BD6">
        <w:rPr>
          <w:rFonts w:ascii="Arial" w:eastAsia="Times New Roman" w:hAnsi="Arial" w:cs="Arial"/>
          <w:bCs/>
          <w:sz w:val="24"/>
          <w:szCs w:val="24"/>
          <w:lang w:val="mn-MN"/>
        </w:rPr>
        <w:t>3</w:t>
      </w:r>
      <w:r w:rsidRPr="00845BD6">
        <w:rPr>
          <w:rFonts w:ascii="Arial" w:eastAsia="Times New Roman" w:hAnsi="Arial" w:cs="Arial"/>
          <w:bCs/>
          <w:sz w:val="24"/>
          <w:szCs w:val="24"/>
        </w:rPr>
        <w:t>20$</w:t>
      </w:r>
      <w:r w:rsidRPr="00845BD6">
        <w:rPr>
          <w:rFonts w:ascii="Arial" w:eastAsia="Times New Roman" w:hAnsi="Arial" w:cs="Arial"/>
          <w:bCs/>
          <w:sz w:val="24"/>
          <w:szCs w:val="24"/>
          <w:lang w:val="mn-MN"/>
        </w:rPr>
        <w:t xml:space="preserve">, </w:t>
      </w:r>
    </w:p>
    <w:p w:rsidR="00506303" w:rsidRPr="00845BD6" w:rsidRDefault="00506303" w:rsidP="00506303">
      <w:pPr>
        <w:pStyle w:val="ListParagraph"/>
        <w:shd w:val="clear" w:color="auto" w:fill="FFFFFF"/>
        <w:spacing w:after="0" w:line="240" w:lineRule="auto"/>
        <w:ind w:left="0"/>
        <w:jc w:val="both"/>
        <w:rPr>
          <w:rFonts w:ascii="Arial" w:eastAsia="Times New Roman" w:hAnsi="Arial" w:cs="Arial"/>
          <w:bCs/>
          <w:sz w:val="24"/>
          <w:szCs w:val="24"/>
          <w:lang w:val="mn-MN"/>
        </w:rPr>
      </w:pPr>
      <w:r w:rsidRPr="00845BD6">
        <w:rPr>
          <w:rFonts w:ascii="Arial" w:eastAsia="Times New Roman" w:hAnsi="Arial" w:cs="Arial"/>
          <w:sz w:val="24"/>
          <w:szCs w:val="24"/>
          <w:lang w:val="mn-MN"/>
        </w:rPr>
        <w:t xml:space="preserve">  </w:t>
      </w:r>
      <w:r w:rsidRPr="00845BD6">
        <w:rPr>
          <w:rFonts w:ascii="Arial" w:eastAsia="Times New Roman" w:hAnsi="Arial" w:cs="Arial"/>
          <w:sz w:val="24"/>
          <w:szCs w:val="24"/>
          <w:lang w:val="mn-MN"/>
        </w:rPr>
        <w:tab/>
        <w:t xml:space="preserve">Угаасан нүүрс 1 тн </w:t>
      </w:r>
      <w:r w:rsidRPr="00845BD6">
        <w:rPr>
          <w:rFonts w:ascii="Arial" w:eastAsia="Times New Roman" w:hAnsi="Arial" w:cs="Arial"/>
          <w:bCs/>
          <w:sz w:val="24"/>
          <w:szCs w:val="24"/>
          <w:lang w:val="mn-MN"/>
        </w:rPr>
        <w:t>158</w:t>
      </w:r>
      <w:r w:rsidRPr="00845BD6">
        <w:rPr>
          <w:rFonts w:ascii="Arial" w:eastAsia="Times New Roman" w:hAnsi="Arial" w:cs="Arial"/>
          <w:bCs/>
          <w:sz w:val="24"/>
          <w:szCs w:val="24"/>
        </w:rPr>
        <w:t xml:space="preserve">$ </w:t>
      </w:r>
      <w:r w:rsidRPr="00845BD6">
        <w:rPr>
          <w:rFonts w:ascii="Arial" w:eastAsia="Times New Roman" w:hAnsi="Arial" w:cs="Arial"/>
          <w:sz w:val="24"/>
          <w:szCs w:val="24"/>
          <w:lang w:val="mn-MN"/>
        </w:rPr>
        <w:t xml:space="preserve">гэрээ хийсэн байхад </w:t>
      </w:r>
      <w:r w:rsidRPr="00845BD6">
        <w:rPr>
          <w:rFonts w:ascii="Arial" w:eastAsia="Times New Roman" w:hAnsi="Arial" w:cs="Arial"/>
          <w:bCs/>
          <w:sz w:val="24"/>
          <w:szCs w:val="24"/>
          <w:lang w:val="mn-MN"/>
        </w:rPr>
        <w:t>4</w:t>
      </w:r>
      <w:r w:rsidRPr="00845BD6">
        <w:rPr>
          <w:rFonts w:ascii="Arial" w:eastAsia="Times New Roman" w:hAnsi="Arial" w:cs="Arial"/>
          <w:bCs/>
          <w:sz w:val="24"/>
          <w:szCs w:val="24"/>
        </w:rPr>
        <w:t>74$</w:t>
      </w:r>
      <w:r w:rsidRPr="00845BD6">
        <w:rPr>
          <w:rFonts w:ascii="Arial" w:eastAsia="Times New Roman" w:hAnsi="Arial" w:cs="Arial"/>
          <w:bCs/>
          <w:sz w:val="24"/>
          <w:szCs w:val="24"/>
          <w:lang w:val="mn-MN"/>
        </w:rPr>
        <w:t xml:space="preserve">.                                  </w:t>
      </w:r>
    </w:p>
    <w:p w:rsidR="00506303" w:rsidRPr="00845BD6" w:rsidRDefault="00506303" w:rsidP="00506303">
      <w:pPr>
        <w:pStyle w:val="ListParagraph"/>
        <w:numPr>
          <w:ilvl w:val="0"/>
          <w:numId w:val="2"/>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Төмрийн хүдэрт дагалдах металлын үнийг тооцож АМНАТ төлөхийг шаарддаг. Дагалдах металл нь ихэвчлэн хорт хольц хүхэр их, баяжуулах зардал өндөр тул импортлогч орон ялгаж салгах боломжгүй гэдэг.</w:t>
      </w:r>
    </w:p>
    <w:p w:rsidR="00506303" w:rsidRPr="00845BD6" w:rsidRDefault="00506303" w:rsidP="00506303">
      <w:pPr>
        <w:pStyle w:val="ListParagraph"/>
        <w:numPr>
          <w:ilvl w:val="0"/>
          <w:numId w:val="2"/>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АМНАТ-ийн тайлангаа гэрээний үнээр тайлагнахаар Татварын алба олон улсын зах зээлийн үнээр тайлагнахыг шаардаж тайланг хүлээж авдаггүй. Үүнээс шалтгаалж Татвар төлөгч, татварын албаны хооронд маргаан үүсч, өрийн хэмжээ асар их нэмэгдэхээр болсон.</w:t>
      </w:r>
    </w:p>
    <w:p w:rsidR="00506303" w:rsidRPr="00845BD6" w:rsidRDefault="00506303" w:rsidP="00506303">
      <w:pPr>
        <w:pStyle w:val="ListParagraph"/>
        <w:numPr>
          <w:ilvl w:val="0"/>
          <w:numId w:val="2"/>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АМНАТ-өөс шалтгаалан үйл ажиллагаагаа зогсоосноос шалтгаалан улсын болон орон нутгийн төсөвт төлөгддөг 10 орчим төрлийн татвар, төлбөр, хураамж төлөгдөхгүй болж байгаа.</w:t>
      </w:r>
    </w:p>
    <w:p w:rsidR="00506303" w:rsidRPr="00845BD6" w:rsidRDefault="00506303" w:rsidP="00506303">
      <w:pPr>
        <w:pStyle w:val="ListParagraph"/>
        <w:numPr>
          <w:ilvl w:val="0"/>
          <w:numId w:val="2"/>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Гишүүн байгууллагуудын 1500 орчим хүн ажилгүй болсон. Туслан гүйцэтгэгч олон жижиг компаниуд ажил, орлогогүй болсон</w:t>
      </w:r>
    </w:p>
    <w:p w:rsidR="00506303" w:rsidRPr="00845BD6" w:rsidRDefault="00506303" w:rsidP="00506303">
      <w:pPr>
        <w:pStyle w:val="ListParagraph"/>
        <w:numPr>
          <w:ilvl w:val="0"/>
          <w:numId w:val="2"/>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Валютын урсгал багассан</w:t>
      </w:r>
      <w:r w:rsidRPr="00845BD6">
        <w:rPr>
          <w:rFonts w:ascii="Arial" w:eastAsia="Times New Roman" w:hAnsi="Arial" w:cs="Arial"/>
          <w:sz w:val="24"/>
          <w:szCs w:val="24"/>
        </w:rPr>
        <w:t>.</w:t>
      </w:r>
      <w:r w:rsidRPr="00845BD6">
        <w:rPr>
          <w:rFonts w:ascii="Arial" w:hAnsi="Arial" w:cs="Arial"/>
          <w:sz w:val="24"/>
          <w:szCs w:val="24"/>
          <w:lang w:val="mn-MN"/>
        </w:rPr>
        <w:t xml:space="preserve">            </w:t>
      </w:r>
    </w:p>
    <w:p w:rsidR="00506303" w:rsidRPr="00845BD6" w:rsidRDefault="00506303" w:rsidP="00506303">
      <w:pPr>
        <w:pStyle w:val="ListParagraph"/>
        <w:numPr>
          <w:ilvl w:val="0"/>
          <w:numId w:val="2"/>
        </w:numPr>
        <w:shd w:val="clear" w:color="auto" w:fill="FFFFFF"/>
        <w:jc w:val="both"/>
        <w:rPr>
          <w:rFonts w:ascii="Arial" w:hAnsi="Arial" w:cs="Arial"/>
          <w:sz w:val="24"/>
          <w:szCs w:val="24"/>
          <w:lang w:val="mn-MN"/>
        </w:rPr>
      </w:pPr>
      <w:r w:rsidRPr="00845BD6">
        <w:rPr>
          <w:rFonts w:ascii="Arial" w:hAnsi="Arial" w:cs="Arial"/>
          <w:sz w:val="24"/>
          <w:szCs w:val="24"/>
          <w:lang w:val="mn-MN"/>
        </w:rPr>
        <w:t>Баяжуулахын ач холбогдол:</w:t>
      </w:r>
    </w:p>
    <w:p w:rsidR="00506303" w:rsidRPr="00845BD6" w:rsidRDefault="00506303" w:rsidP="00506303">
      <w:pPr>
        <w:pStyle w:val="ListParagraph"/>
        <w:shd w:val="clear" w:color="auto" w:fill="FFFFFF"/>
        <w:ind w:left="0" w:firstLine="360"/>
        <w:jc w:val="both"/>
        <w:rPr>
          <w:rFonts w:ascii="Arial" w:eastAsia="Times New Roman" w:hAnsi="Arial" w:cs="Arial"/>
          <w:sz w:val="24"/>
          <w:szCs w:val="24"/>
        </w:rPr>
      </w:pPr>
      <w:r w:rsidRPr="00845BD6">
        <w:rPr>
          <w:rFonts w:ascii="Arial" w:eastAsia="Times New Roman" w:hAnsi="Arial" w:cs="Arial"/>
          <w:sz w:val="24"/>
          <w:szCs w:val="24"/>
          <w:lang w:val="mn-MN"/>
        </w:rPr>
        <w:t xml:space="preserve">Жонш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4-5 вагон хүдэр    </w:t>
      </w:r>
      <w:r w:rsidRPr="00845BD6">
        <w:rPr>
          <w:rFonts w:ascii="Arial" w:eastAsia="Times New Roman" w:hAnsi="Arial" w:cs="Arial"/>
          <w:sz w:val="24"/>
          <w:szCs w:val="24"/>
        </w:rPr>
        <w:t xml:space="preserve">= 1 </w:t>
      </w:r>
      <w:r w:rsidRPr="00845BD6">
        <w:rPr>
          <w:rFonts w:ascii="Arial" w:eastAsia="Times New Roman" w:hAnsi="Arial" w:cs="Arial"/>
          <w:sz w:val="24"/>
          <w:szCs w:val="24"/>
          <w:lang w:val="mn-MN"/>
        </w:rPr>
        <w:t>вагон баяжмал</w:t>
      </w:r>
      <w:r w:rsidRPr="00845BD6">
        <w:rPr>
          <w:rFonts w:ascii="Arial" w:eastAsia="Times New Roman" w:hAnsi="Arial" w:cs="Arial"/>
          <w:sz w:val="24"/>
          <w:szCs w:val="24"/>
        </w:rPr>
        <w:t xml:space="preserve"> </w:t>
      </w:r>
    </w:p>
    <w:p w:rsidR="00506303" w:rsidRPr="00845BD6" w:rsidRDefault="00506303" w:rsidP="00506303">
      <w:pPr>
        <w:pStyle w:val="ListParagraph"/>
        <w:shd w:val="clear" w:color="auto" w:fill="FFFFFF"/>
        <w:spacing w:after="0"/>
        <w:ind w:left="0" w:firstLine="360"/>
        <w:jc w:val="both"/>
        <w:rPr>
          <w:rFonts w:ascii="Arial" w:eastAsia="Times New Roman" w:hAnsi="Arial" w:cs="Arial"/>
          <w:sz w:val="24"/>
          <w:szCs w:val="24"/>
        </w:rPr>
      </w:pPr>
      <w:r w:rsidRPr="00845BD6">
        <w:rPr>
          <w:rFonts w:ascii="Arial" w:eastAsia="Times New Roman" w:hAnsi="Arial" w:cs="Arial"/>
          <w:sz w:val="24"/>
          <w:szCs w:val="24"/>
          <w:lang w:val="mn-MN"/>
        </w:rPr>
        <w:t xml:space="preserve">Төмөр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3 вагон хүдэр</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2</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вагон баяжмал </w:t>
      </w:r>
    </w:p>
    <w:p w:rsidR="00506303" w:rsidRPr="00845BD6" w:rsidRDefault="00506303" w:rsidP="00506303">
      <w:pPr>
        <w:spacing w:line="276" w:lineRule="atLeast"/>
        <w:rPr>
          <w:rFonts w:ascii="Arial" w:hAnsi="Arial" w:cs="Arial"/>
          <w:b/>
          <w:bCs/>
          <w:lang w:val="mn-MN"/>
        </w:rPr>
      </w:pPr>
      <w:r w:rsidRPr="00845BD6">
        <w:rPr>
          <w:rFonts w:ascii="Arial" w:hAnsi="Arial" w:cs="Arial"/>
          <w:lang w:val="mn-MN"/>
        </w:rPr>
        <w:t xml:space="preserve">      Нүүрс           </w:t>
      </w:r>
      <w:r w:rsidRPr="00845BD6">
        <w:rPr>
          <w:rFonts w:ascii="Arial" w:hAnsi="Arial" w:cs="Arial"/>
        </w:rPr>
        <w:t xml:space="preserve"> 4</w:t>
      </w:r>
      <w:r w:rsidRPr="00845BD6">
        <w:rPr>
          <w:rFonts w:ascii="Arial" w:hAnsi="Arial" w:cs="Arial"/>
          <w:lang w:val="mn-MN"/>
        </w:rPr>
        <w:t xml:space="preserve"> машин нүүрс</w:t>
      </w:r>
      <w:r w:rsidRPr="00845BD6">
        <w:rPr>
          <w:rFonts w:ascii="Arial" w:hAnsi="Arial" w:cs="Arial"/>
        </w:rPr>
        <w:t xml:space="preserve"> </w:t>
      </w:r>
      <w:r w:rsidRPr="00845BD6">
        <w:rPr>
          <w:rFonts w:ascii="Arial" w:hAnsi="Arial" w:cs="Arial"/>
          <w:lang w:val="mn-MN"/>
        </w:rPr>
        <w:t xml:space="preserve"> </w:t>
      </w:r>
      <w:r w:rsidRPr="00845BD6">
        <w:rPr>
          <w:rFonts w:ascii="Arial" w:hAnsi="Arial" w:cs="Arial"/>
        </w:rPr>
        <w:t xml:space="preserve">= 3 </w:t>
      </w:r>
      <w:r w:rsidRPr="00845BD6">
        <w:rPr>
          <w:rFonts w:ascii="Arial" w:hAnsi="Arial" w:cs="Arial"/>
          <w:lang w:val="mn-MN"/>
        </w:rPr>
        <w:t>машин угаасан нүүрс төмөр замын вагоны эргэлт сайжирч, автомашины олон зардлууд хэмнэгдэх тооцоо гарч байна.</w:t>
      </w:r>
    </w:p>
    <w:p w:rsidR="00506303" w:rsidRPr="00845BD6" w:rsidRDefault="00506303" w:rsidP="00506303">
      <w:pPr>
        <w:jc w:val="both"/>
        <w:rPr>
          <w:rFonts w:ascii="Arial" w:hAnsi="Arial" w:cs="Arial"/>
          <w:lang w:val="mn-MN"/>
        </w:rPr>
      </w:pPr>
      <w:r w:rsidRPr="00845BD6">
        <w:rPr>
          <w:rFonts w:ascii="Arial" w:hAnsi="Arial" w:cs="Arial"/>
          <w:lang w:val="mn-MN"/>
        </w:rPr>
        <w:t xml:space="preserve">Сангийн яамны АМНАТ-ийн хувь хэмжээг оновчгүй өндөр болгосноос шалтгаалан нийт өр 800 орчим /нүүрс/ тэрбум төгрөг, өөрийн ордгүй баяжуулах үйлдвэрүүдийн өр 50 гаруй тэрбум төгрөг болж нэмэгдсэн дүн гарч байна. Дээрх хуулийн өөрчлөлтөөр төсвийн алдагдлыг яаралтай нөхөх арга хэрэгсэл болсон байж болох ч үйлдвэрлэл хөгжүүлэх алсын зорилгод нэн хортойгоор туссан. </w:t>
      </w:r>
    </w:p>
    <w:p w:rsidR="00506303" w:rsidRPr="00845BD6" w:rsidRDefault="00506303" w:rsidP="00506303">
      <w:pPr>
        <w:ind w:firstLine="720"/>
        <w:jc w:val="both"/>
        <w:rPr>
          <w:rFonts w:ascii="Arial" w:hAnsi="Arial" w:cs="Arial"/>
          <w:lang w:val="mn-MN"/>
        </w:rPr>
      </w:pPr>
      <w:r w:rsidRPr="00845BD6">
        <w:rPr>
          <w:rFonts w:ascii="Arial" w:hAnsi="Arial" w:cs="Arial"/>
          <w:lang w:val="mn-MN"/>
        </w:rPr>
        <w:t>Иймд тус хуульд санал болгож буй нэмэлт, өөрчлөлт оруулснаар,</w:t>
      </w:r>
    </w:p>
    <w:p w:rsidR="00506303" w:rsidRPr="00845BD6" w:rsidRDefault="00506303" w:rsidP="00506303">
      <w:pPr>
        <w:pStyle w:val="ListParagraph"/>
        <w:numPr>
          <w:ilvl w:val="0"/>
          <w:numId w:val="1"/>
        </w:numPr>
        <w:ind w:left="0" w:firstLine="0"/>
        <w:jc w:val="both"/>
        <w:rPr>
          <w:rFonts w:ascii="Arial" w:hAnsi="Arial" w:cs="Arial"/>
          <w:sz w:val="24"/>
          <w:szCs w:val="24"/>
          <w:lang w:val="mn-MN"/>
        </w:rPr>
      </w:pPr>
      <w:r w:rsidRPr="00845BD6">
        <w:rPr>
          <w:rFonts w:ascii="Arial" w:hAnsi="Arial" w:cs="Arial"/>
          <w:sz w:val="24"/>
          <w:szCs w:val="24"/>
          <w:lang w:val="mn-MN"/>
        </w:rPr>
        <w:t>Хөдөө орон нутагт ажлын байр 5000 гаруйгаар нэмэгдэнэ</w:t>
      </w:r>
    </w:p>
    <w:p w:rsidR="00506303" w:rsidRPr="00845BD6" w:rsidRDefault="00506303" w:rsidP="00506303">
      <w:pPr>
        <w:pStyle w:val="ListParagraph"/>
        <w:numPr>
          <w:ilvl w:val="0"/>
          <w:numId w:val="1"/>
        </w:numPr>
        <w:ind w:left="0" w:firstLine="0"/>
        <w:jc w:val="both"/>
        <w:rPr>
          <w:rFonts w:ascii="Arial" w:hAnsi="Arial" w:cs="Arial"/>
          <w:sz w:val="24"/>
          <w:szCs w:val="24"/>
          <w:lang w:val="mn-MN"/>
        </w:rPr>
      </w:pPr>
      <w:r w:rsidRPr="00845BD6">
        <w:rPr>
          <w:rFonts w:ascii="Arial" w:hAnsi="Arial" w:cs="Arial"/>
          <w:sz w:val="24"/>
          <w:szCs w:val="24"/>
          <w:lang w:val="mn-MN"/>
        </w:rPr>
        <w:t>Жилд 200-300 орчим сая ам.долларын баяжмал, бүтээгдэхүүн экспортлогдоно.</w:t>
      </w:r>
    </w:p>
    <w:p w:rsidR="00506303" w:rsidRPr="00845BD6" w:rsidRDefault="00506303" w:rsidP="00506303">
      <w:pPr>
        <w:pStyle w:val="ListParagraph"/>
        <w:numPr>
          <w:ilvl w:val="0"/>
          <w:numId w:val="1"/>
        </w:numPr>
        <w:ind w:left="0" w:firstLine="0"/>
        <w:jc w:val="both"/>
        <w:rPr>
          <w:rFonts w:ascii="Arial" w:hAnsi="Arial" w:cs="Arial"/>
          <w:sz w:val="24"/>
          <w:szCs w:val="24"/>
          <w:lang w:val="mn-MN"/>
        </w:rPr>
      </w:pPr>
      <w:r w:rsidRPr="00845BD6">
        <w:rPr>
          <w:rFonts w:ascii="Arial" w:hAnsi="Arial" w:cs="Arial"/>
          <w:sz w:val="24"/>
          <w:szCs w:val="24"/>
          <w:lang w:val="mn-MN"/>
        </w:rPr>
        <w:t>Улсын болон орон нутгийн төсвийн орлого нэмэгдэнэ.</w:t>
      </w:r>
    </w:p>
    <w:p w:rsidR="00506303" w:rsidRPr="00845BD6" w:rsidRDefault="00506303" w:rsidP="00506303">
      <w:pPr>
        <w:pStyle w:val="ListParagraph"/>
        <w:numPr>
          <w:ilvl w:val="0"/>
          <w:numId w:val="1"/>
        </w:numPr>
        <w:ind w:left="0" w:firstLine="0"/>
        <w:jc w:val="both"/>
        <w:rPr>
          <w:rFonts w:ascii="Arial" w:hAnsi="Arial" w:cs="Arial"/>
          <w:sz w:val="24"/>
          <w:szCs w:val="24"/>
          <w:lang w:val="mn-MN"/>
        </w:rPr>
      </w:pPr>
      <w:r w:rsidRPr="00845BD6">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rsidR="00506303" w:rsidRPr="00845BD6" w:rsidRDefault="00506303" w:rsidP="00506303">
      <w:pPr>
        <w:pStyle w:val="ListParagraph"/>
        <w:numPr>
          <w:ilvl w:val="0"/>
          <w:numId w:val="1"/>
        </w:numPr>
        <w:ind w:left="0" w:firstLine="0"/>
        <w:jc w:val="both"/>
        <w:rPr>
          <w:rFonts w:ascii="Arial" w:hAnsi="Arial" w:cs="Arial"/>
          <w:sz w:val="24"/>
          <w:szCs w:val="24"/>
          <w:lang w:val="mn-MN"/>
        </w:rPr>
      </w:pPr>
      <w:r w:rsidRPr="00845BD6">
        <w:rPr>
          <w:rFonts w:ascii="Arial" w:hAnsi="Arial" w:cs="Arial"/>
          <w:sz w:val="24"/>
          <w:szCs w:val="24"/>
          <w:lang w:val="mn-MN"/>
        </w:rPr>
        <w:t>Гадаадын хөрөнгө оруулалт нэмэгдэж, валютын урсгал эрс сайжирна.</w:t>
      </w:r>
    </w:p>
    <w:p w:rsidR="00506303" w:rsidRPr="00845BD6" w:rsidRDefault="00506303" w:rsidP="00506303">
      <w:pPr>
        <w:pStyle w:val="ListParagraph"/>
        <w:numPr>
          <w:ilvl w:val="0"/>
          <w:numId w:val="1"/>
        </w:numPr>
        <w:ind w:left="0" w:firstLine="0"/>
        <w:jc w:val="both"/>
        <w:rPr>
          <w:rFonts w:ascii="Arial" w:hAnsi="Arial" w:cs="Arial"/>
          <w:sz w:val="24"/>
          <w:szCs w:val="24"/>
          <w:lang w:val="mn-MN"/>
        </w:rPr>
      </w:pPr>
      <w:r w:rsidRPr="00845BD6">
        <w:rPr>
          <w:rFonts w:ascii="Arial" w:hAnsi="Arial" w:cs="Arial"/>
          <w:sz w:val="24"/>
          <w:szCs w:val="24"/>
          <w:lang w:val="mn-MN"/>
        </w:rPr>
        <w:t xml:space="preserve">Мөрийн хөтөлбөр, уриалгууд хэрэгжиж эхэлнэ. </w:t>
      </w:r>
    </w:p>
    <w:p w:rsidR="00506303" w:rsidRPr="00845BD6" w:rsidRDefault="00506303" w:rsidP="00506303">
      <w:pPr>
        <w:pStyle w:val="ListParagraph"/>
        <w:numPr>
          <w:ilvl w:val="0"/>
          <w:numId w:val="1"/>
        </w:numPr>
        <w:ind w:left="0" w:firstLine="0"/>
        <w:jc w:val="both"/>
        <w:rPr>
          <w:rFonts w:ascii="Arial" w:hAnsi="Arial" w:cs="Arial"/>
          <w:sz w:val="24"/>
          <w:szCs w:val="24"/>
          <w:lang w:val="mn-MN"/>
        </w:rPr>
      </w:pPr>
      <w:r w:rsidRPr="00845BD6">
        <w:rPr>
          <w:rFonts w:ascii="Arial" w:hAnsi="Arial" w:cs="Arial"/>
          <w:sz w:val="24"/>
          <w:szCs w:val="24"/>
          <w:lang w:val="mn-MN"/>
        </w:rPr>
        <w:lastRenderedPageBreak/>
        <w:t xml:space="preserve">Түүхий эдийн </w:t>
      </w:r>
      <w:r w:rsidRPr="00845BD6">
        <w:rPr>
          <w:rFonts w:ascii="Arial" w:hAnsi="Arial" w:cs="Arial"/>
          <w:sz w:val="24"/>
          <w:szCs w:val="24"/>
        </w:rPr>
        <w:t>“</w:t>
      </w:r>
      <w:r w:rsidRPr="00845BD6">
        <w:rPr>
          <w:rFonts w:ascii="Arial" w:hAnsi="Arial" w:cs="Arial"/>
          <w:sz w:val="24"/>
          <w:szCs w:val="24"/>
          <w:lang w:val="mn-MN"/>
        </w:rPr>
        <w:t>супер цикл</w:t>
      </w:r>
      <w:r w:rsidRPr="00845BD6">
        <w:rPr>
          <w:rFonts w:ascii="Arial" w:hAnsi="Arial" w:cs="Arial"/>
          <w:sz w:val="24"/>
          <w:szCs w:val="24"/>
        </w:rPr>
        <w:t>”</w:t>
      </w:r>
      <w:r w:rsidRPr="00845BD6">
        <w:rPr>
          <w:rFonts w:ascii="Arial" w:hAnsi="Arial" w:cs="Arial"/>
          <w:sz w:val="24"/>
          <w:szCs w:val="24"/>
          <w:lang w:val="mn-MN"/>
        </w:rPr>
        <w:t>-ийг ашиглах боломж бүрдэх тооцоо гарч байна.</w:t>
      </w:r>
    </w:p>
    <w:p w:rsidR="00506303" w:rsidRPr="00845BD6" w:rsidRDefault="00506303" w:rsidP="00506303">
      <w:pPr>
        <w:ind w:firstLine="567"/>
        <w:jc w:val="center"/>
        <w:rPr>
          <w:rFonts w:ascii="Arial"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DengXian" w:hAnsi="Arial" w:cs="Arial"/>
          <w:lang w:val="mn-MN"/>
        </w:rPr>
      </w:pPr>
    </w:p>
    <w:p w:rsidR="00506303" w:rsidRPr="00845BD6" w:rsidRDefault="00506303" w:rsidP="00506303">
      <w:pPr>
        <w:ind w:firstLine="567"/>
        <w:jc w:val="center"/>
        <w:rPr>
          <w:rFonts w:ascii="Arial" w:eastAsia="Calibri" w:hAnsi="Arial" w:cs="Arial"/>
          <w:lang w:val="mn-MN"/>
        </w:rPr>
      </w:pPr>
      <w:r w:rsidRPr="00845BD6">
        <w:rPr>
          <w:rFonts w:ascii="Arial" w:eastAsia="DengXian" w:hAnsi="Arial" w:cs="Arial"/>
          <w:lang w:val="mn-MN"/>
        </w:rPr>
        <w:t xml:space="preserve">                                              </w:t>
      </w:r>
    </w:p>
    <w:p w:rsidR="00506303" w:rsidRPr="00845BD6" w:rsidRDefault="00506303" w:rsidP="00506303">
      <w:pPr>
        <w:ind w:firstLine="567"/>
        <w:jc w:val="center"/>
        <w:rPr>
          <w:rFonts w:ascii="Arial" w:eastAsia="Calibri" w:hAnsi="Arial" w:cs="Arial"/>
          <w:lang w:val="mn-MN"/>
        </w:rPr>
      </w:pPr>
      <w:r w:rsidRPr="00845BD6">
        <w:rPr>
          <w:rFonts w:ascii="Arial" w:eastAsia="Calibri" w:hAnsi="Arial" w:cs="Arial"/>
          <w:lang w:val="mn-MN"/>
        </w:rPr>
        <w:t>ХУУЛЬ САНААЧЛАГЧ</w:t>
      </w:r>
    </w:p>
    <w:p w:rsidR="00506303" w:rsidRPr="00845BD6" w:rsidRDefault="00506303" w:rsidP="00506303">
      <w:pPr>
        <w:ind w:firstLine="567"/>
        <w:rPr>
          <w:rFonts w:ascii="Arial" w:eastAsia="Arial" w:hAnsi="Arial" w:cs="Arial"/>
          <w:lang w:val="mn-MN" w:eastAsia="mn-MN" w:bidi="mn-MN"/>
        </w:rPr>
      </w:pPr>
      <w:r w:rsidRPr="00845BD6">
        <w:rPr>
          <w:rFonts w:ascii="Arial" w:eastAsia="DengXian" w:hAnsi="Arial" w:cs="Arial"/>
          <w:lang w:val="mn-MN"/>
        </w:rPr>
        <w:t xml:space="preserve">                  </w:t>
      </w:r>
    </w:p>
    <w:p w:rsidR="00506303" w:rsidRPr="00845BD6" w:rsidRDefault="00506303" w:rsidP="00506303">
      <w:pPr>
        <w:widowControl w:val="0"/>
        <w:spacing w:line="276" w:lineRule="auto"/>
        <w:ind w:firstLine="567"/>
        <w:jc w:val="both"/>
        <w:rPr>
          <w:rFonts w:ascii="Arial" w:eastAsia="Arial" w:hAnsi="Arial" w:cs="Arial"/>
          <w:lang w:val="mn-MN" w:eastAsia="mn-MN" w:bidi="mn-MN"/>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rPr>
      </w:pPr>
    </w:p>
    <w:p w:rsidR="00506303" w:rsidRPr="00845BD6" w:rsidRDefault="00506303" w:rsidP="00506303">
      <w:pPr>
        <w:ind w:firstLine="567"/>
        <w:jc w:val="center"/>
        <w:rPr>
          <w:rFonts w:ascii="Arial" w:eastAsia="Calibri" w:hAnsi="Arial" w:cs="Arial"/>
          <w:lang w:val="mn-MN"/>
        </w:rPr>
      </w:pPr>
    </w:p>
    <w:p w:rsidR="00506303" w:rsidRPr="00845BD6" w:rsidRDefault="00506303" w:rsidP="00506303">
      <w:pPr>
        <w:ind w:firstLine="567"/>
        <w:jc w:val="center"/>
        <w:rPr>
          <w:rFonts w:ascii="Arial" w:eastAsia="Calibri" w:hAnsi="Arial" w:cs="Arial"/>
          <w:lang w:val="mn-MN"/>
        </w:rPr>
      </w:pPr>
    </w:p>
    <w:p w:rsidR="00506303" w:rsidRPr="00845BD6" w:rsidRDefault="00506303" w:rsidP="00506303">
      <w:pPr>
        <w:ind w:firstLine="567"/>
        <w:jc w:val="center"/>
        <w:rPr>
          <w:rFonts w:ascii="Arial" w:eastAsia="Calibri" w:hAnsi="Arial" w:cs="Arial"/>
          <w:b/>
          <w:bCs/>
          <w:lang w:val="mn-MN"/>
        </w:rPr>
      </w:pPr>
    </w:p>
    <w:p w:rsidR="00506303" w:rsidRDefault="00506303"/>
    <w:sectPr w:rsidR="00506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975996">
    <w:abstractNumId w:val="1"/>
  </w:num>
  <w:num w:numId="2" w16cid:durableId="3624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03"/>
    <w:rsid w:val="0050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BC8199F-099A-8A42-952E-21285E73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30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30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2023-06-02T02:54:00Z</dcterms:created>
  <dcterms:modified xsi:type="dcterms:W3CDTF">2023-06-02T02:55:00Z</dcterms:modified>
</cp:coreProperties>
</file>