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BBB74" w14:textId="77777777" w:rsidR="00B47EC0" w:rsidRPr="002664C8" w:rsidRDefault="00B47EC0" w:rsidP="00B47EC0">
      <w:pPr>
        <w:ind w:right="-336"/>
        <w:jc w:val="center"/>
        <w:rPr>
          <w:rFonts w:ascii="Arial" w:hAnsi="Arial" w:cs="Arial"/>
          <w:b/>
          <w:bCs/>
          <w:color w:val="000000" w:themeColor="text1"/>
        </w:rPr>
      </w:pPr>
      <w:r w:rsidRPr="002664C8">
        <w:rPr>
          <w:rFonts w:ascii="Arial" w:hAnsi="Arial" w:cs="Arial"/>
          <w:b/>
          <w:bCs/>
          <w:color w:val="000000" w:themeColor="text1"/>
        </w:rPr>
        <w:t>ТАНИЛЦУУЛГА</w:t>
      </w:r>
      <w:r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>(</w:t>
      </w:r>
      <w:r>
        <w:rPr>
          <w:rFonts w:ascii="Arial" w:hAnsi="Arial" w:cs="Arial"/>
          <w:b/>
          <w:bCs/>
          <w:color w:val="000000" w:themeColor="text1"/>
          <w:lang w:val="mn-MN"/>
        </w:rPr>
        <w:t>Дэлгэрэнгүй</w:t>
      </w:r>
      <w:r>
        <w:rPr>
          <w:rFonts w:ascii="Arial" w:hAnsi="Arial" w:cs="Arial"/>
          <w:b/>
          <w:bCs/>
          <w:color w:val="000000" w:themeColor="text1"/>
        </w:rPr>
        <w:t>)</w:t>
      </w:r>
    </w:p>
    <w:p w14:paraId="6B4328F4" w14:textId="77777777" w:rsidR="00B47EC0" w:rsidRPr="002664C8" w:rsidRDefault="00B47EC0" w:rsidP="00B47EC0">
      <w:pPr>
        <w:ind w:right="-336"/>
        <w:jc w:val="center"/>
        <w:rPr>
          <w:rFonts w:ascii="Arial" w:hAnsi="Arial" w:cs="Arial"/>
          <w:color w:val="000000" w:themeColor="text1"/>
        </w:rPr>
      </w:pPr>
    </w:p>
    <w:p w14:paraId="1DC0077F" w14:textId="77777777" w:rsidR="00B47EC0" w:rsidRDefault="00B47EC0" w:rsidP="00B47EC0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  <w:lang w:val="mn-MN"/>
        </w:rPr>
      </w:pPr>
      <w:r w:rsidRPr="00FA5331">
        <w:rPr>
          <w:rFonts w:ascii="Arial" w:hAnsi="Arial" w:cs="Arial"/>
          <w:bCs/>
          <w:sz w:val="24"/>
          <w:szCs w:val="24"/>
          <w:lang w:val="mn-MN"/>
        </w:rPr>
        <w:t xml:space="preserve">Аж ахуйн нэгжийн орлогын албан татварын тухай хуульд </w:t>
      </w:r>
    </w:p>
    <w:p w14:paraId="3FE894E6" w14:textId="6AEC675B" w:rsidR="00B47EC0" w:rsidRDefault="00B47EC0" w:rsidP="00B47EC0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  <w:lang w:val="mn-MN"/>
        </w:rPr>
      </w:pPr>
      <w:r w:rsidRPr="00FA5331">
        <w:rPr>
          <w:rFonts w:ascii="Arial" w:hAnsi="Arial" w:cs="Arial"/>
          <w:bCs/>
          <w:sz w:val="24"/>
          <w:szCs w:val="24"/>
          <w:lang w:val="mn-MN"/>
        </w:rPr>
        <w:t xml:space="preserve">нэмэлт оруулах тухай хуулийн төсөл  </w:t>
      </w:r>
    </w:p>
    <w:p w14:paraId="2CB2A17E" w14:textId="77777777" w:rsidR="00B47EC0" w:rsidRPr="004B3976" w:rsidRDefault="00B47EC0" w:rsidP="00B47EC0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58A515B1" w14:textId="1332818D" w:rsidR="00B47EC0" w:rsidRPr="004B3976" w:rsidRDefault="00B47EC0" w:rsidP="00B47EC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4B3976">
        <w:rPr>
          <w:rFonts w:ascii="Arial" w:hAnsi="Arial" w:cs="Arial"/>
          <w:sz w:val="24"/>
          <w:szCs w:val="24"/>
          <w:lang w:val="mn-MN"/>
        </w:rPr>
        <w:t xml:space="preserve">Монгол Улсын Их Хурлын 2021 оны “Шинэ сэргэлтийн бодлого батлах тухай” 106 дугаар тогтоолын 2 дугаар хавсралтаар батлагдсан “Шинэ сэргэлтийн бодлогыг  хэрэгжүүлэх эхний үе шатны үйл ажиллагааны хөтөлбөр”-ийн 2.1-д Эрчим хүчний эх үүсвэр, дамжуулах, түгээх шугам сүлжээг шинээр барьж байгуулан хүчин чадлыг өргөтгөн нэмэгдүүлж, эрчим хүчний үйлдвэрлэл, хангамжийн найдвартай байдлыг дээшлүүлнэ.” </w:t>
      </w:r>
      <w:r w:rsidR="00B068D3">
        <w:rPr>
          <w:rFonts w:ascii="Arial" w:hAnsi="Arial" w:cs="Arial"/>
          <w:sz w:val="24"/>
          <w:szCs w:val="24"/>
          <w:lang w:val="mn-MN"/>
        </w:rPr>
        <w:t>г</w:t>
      </w:r>
      <w:r w:rsidRPr="004B3976">
        <w:rPr>
          <w:rFonts w:ascii="Arial" w:hAnsi="Arial" w:cs="Arial"/>
          <w:sz w:val="24"/>
          <w:szCs w:val="24"/>
          <w:lang w:val="mn-MN"/>
        </w:rPr>
        <w:t>эж</w:t>
      </w:r>
      <w:r w:rsidR="00B068D3">
        <w:rPr>
          <w:rFonts w:ascii="Arial" w:hAnsi="Arial" w:cs="Arial"/>
          <w:sz w:val="24"/>
          <w:szCs w:val="24"/>
          <w:lang w:val="mn-MN"/>
        </w:rPr>
        <w:t xml:space="preserve"> </w:t>
      </w:r>
      <w:r w:rsidRPr="004B3976">
        <w:rPr>
          <w:rFonts w:ascii="Arial" w:hAnsi="Arial" w:cs="Arial"/>
          <w:sz w:val="24"/>
          <w:szCs w:val="24"/>
          <w:lang w:val="mn-MN"/>
        </w:rPr>
        <w:t>заасан.</w:t>
      </w:r>
    </w:p>
    <w:p w14:paraId="503E14D8" w14:textId="77777777" w:rsidR="00B47EC0" w:rsidRPr="004B3976" w:rsidRDefault="00B47EC0" w:rsidP="00B47EC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5C59C6A1" w14:textId="0345FB24" w:rsidR="00B47EC0" w:rsidRDefault="00B47EC0" w:rsidP="00B47EC0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4B3976">
        <w:rPr>
          <w:rFonts w:ascii="Arial" w:hAnsi="Arial" w:cs="Arial"/>
          <w:bCs/>
          <w:sz w:val="24"/>
          <w:szCs w:val="24"/>
          <w:lang w:val="mn-MN"/>
        </w:rPr>
        <w:t xml:space="preserve">Эрчим хүчний салбарт нүүрсний эх үүсвэрийн төсөл шинээр хэрэгжүүлэхэд Уур амьсгалын өөрчлөлтийн тухай 2015 оны Парисын </w:t>
      </w:r>
      <w:r w:rsidRPr="004B3976">
        <w:rPr>
          <w:rFonts w:ascii="Arial" w:hAnsi="Arial" w:cs="Arial"/>
          <w:sz w:val="24"/>
          <w:szCs w:val="24"/>
          <w:lang w:val="mn-MN"/>
        </w:rPr>
        <w:t xml:space="preserve">хэлэлцээрээс хойш Олон улсын банк, санхүүгийн байгууллагуудын нүүрсний эрчим хүчний эх үүсвэрт зориулсан санхүүжилт хумигдаж </w:t>
      </w:r>
      <w:r w:rsidR="00B068D3">
        <w:rPr>
          <w:rFonts w:ascii="Arial" w:hAnsi="Arial" w:cs="Arial"/>
          <w:sz w:val="24"/>
          <w:szCs w:val="24"/>
          <w:lang w:val="mn-MN"/>
        </w:rPr>
        <w:t xml:space="preserve">төлөвлөсөн төслүүдийг хэрэгжүүлэхэд </w:t>
      </w:r>
      <w:r w:rsidRPr="004B3976">
        <w:rPr>
          <w:rFonts w:ascii="Arial" w:hAnsi="Arial" w:cs="Arial"/>
          <w:bCs/>
          <w:sz w:val="24"/>
          <w:szCs w:val="24"/>
          <w:lang w:val="mn-MN"/>
        </w:rPr>
        <w:t>сөргөөр нөлөөлж байна.</w:t>
      </w:r>
    </w:p>
    <w:p w14:paraId="37CFA970" w14:textId="77777777" w:rsidR="00B47EC0" w:rsidRPr="004B3976" w:rsidRDefault="00B47EC0" w:rsidP="00B47EC0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14:paraId="1D176457" w14:textId="1CF193FC" w:rsidR="005521A7" w:rsidRPr="00FA5331" w:rsidRDefault="005521A7" w:rsidP="005D2AFF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lang w:val="mn-MN"/>
        </w:rPr>
      </w:pPr>
      <w:r w:rsidRPr="00FA5331">
        <w:rPr>
          <w:rFonts w:ascii="Arial" w:hAnsi="Arial" w:cs="Arial"/>
          <w:lang w:val="mn-MN"/>
        </w:rPr>
        <w:t>Эрчим хүчний эх үүсвэр, дамжуулах, түгээх шугам сүлжээг шинээр барьж байгуулан хүчин</w:t>
      </w:r>
      <w:r w:rsidR="00F5110A" w:rsidRPr="00FA5331">
        <w:rPr>
          <w:rFonts w:ascii="Arial" w:hAnsi="Arial" w:cs="Arial"/>
          <w:lang w:val="mn-MN"/>
        </w:rPr>
        <w:t xml:space="preserve"> </w:t>
      </w:r>
      <w:r w:rsidRPr="00FA5331">
        <w:rPr>
          <w:rFonts w:ascii="Arial" w:hAnsi="Arial" w:cs="Arial"/>
          <w:lang w:val="mn-MN"/>
        </w:rPr>
        <w:t xml:space="preserve">чадлыг өргөтгөн нэмэгдүүлж, эрчим хүчний үйлдвэрлэл, хангамжийн найдвартай байдлыг дээшлүүлнэ гэж заасан зорилтыг хангахад дотоодын эрчим хүчний үндсэн болон туслах тоноглол үйлдвэрлэгч </w:t>
      </w:r>
      <w:r w:rsidR="00AC588C" w:rsidRPr="00FA5331">
        <w:rPr>
          <w:rFonts w:ascii="Arial" w:hAnsi="Arial" w:cs="Arial"/>
          <w:lang w:val="mn-MN"/>
        </w:rPr>
        <w:t>компаниудын үүрэг оролцоо их байдаг.</w:t>
      </w:r>
    </w:p>
    <w:p w14:paraId="1730A1F6" w14:textId="77777777" w:rsidR="00AC588C" w:rsidRPr="00FA5331" w:rsidRDefault="00AC588C" w:rsidP="005D2AFF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lang w:val="mn-MN"/>
        </w:rPr>
      </w:pPr>
    </w:p>
    <w:p w14:paraId="13380208" w14:textId="167B7F4D" w:rsidR="00AC588C" w:rsidRPr="00FA5331" w:rsidRDefault="00AC588C" w:rsidP="005D2AFF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lang w:val="mn-MN"/>
        </w:rPr>
      </w:pPr>
      <w:r w:rsidRPr="00FA5331">
        <w:rPr>
          <w:rFonts w:ascii="Arial" w:hAnsi="Arial" w:cs="Arial"/>
          <w:lang w:val="mn-MN"/>
        </w:rPr>
        <w:t xml:space="preserve">Гэвч сүүлийн жилүүдэд томоохон төсөл хөтөлбөрүүдийн хэрэгжилт удааширсан, </w:t>
      </w:r>
      <w:r w:rsidR="00CE4827" w:rsidRPr="00FA5331">
        <w:rPr>
          <w:rFonts w:ascii="Arial" w:hAnsi="Arial" w:cs="Arial"/>
          <w:lang w:val="mn-MN"/>
        </w:rPr>
        <w:t xml:space="preserve">Төрийн </w:t>
      </w:r>
      <w:r w:rsidR="00731D5B" w:rsidRPr="00FA5331">
        <w:rPr>
          <w:rFonts w:ascii="Arial" w:hAnsi="Arial" w:cs="Arial"/>
          <w:lang w:val="mn-MN"/>
        </w:rPr>
        <w:t>өмч</w:t>
      </w:r>
      <w:r w:rsidR="00CE4827" w:rsidRPr="00FA5331">
        <w:rPr>
          <w:rFonts w:ascii="Arial" w:hAnsi="Arial" w:cs="Arial"/>
          <w:lang w:val="mn-MN"/>
        </w:rPr>
        <w:t>ит</w:t>
      </w:r>
      <w:r w:rsidR="00731D5B" w:rsidRPr="00FA5331">
        <w:rPr>
          <w:rFonts w:ascii="Arial" w:hAnsi="Arial" w:cs="Arial"/>
          <w:lang w:val="mn-MN"/>
        </w:rPr>
        <w:t xml:space="preserve"> компаниудын их урсгал засварын ажлын тоо, хэмжээ хөрөнгийн дутагдлаас шалтгаалан </w:t>
      </w:r>
      <w:r w:rsidRPr="00FA5331">
        <w:rPr>
          <w:rFonts w:ascii="Arial" w:hAnsi="Arial" w:cs="Arial"/>
          <w:lang w:val="mn-MN"/>
        </w:rPr>
        <w:t xml:space="preserve">цөөрсөн нь энэ чиглэлээр үйл ажиллагаа явуулдаг дотоодын </w:t>
      </w:r>
      <w:r w:rsidR="0065051D" w:rsidRPr="00FA5331">
        <w:rPr>
          <w:rFonts w:ascii="Arial" w:hAnsi="Arial" w:cs="Arial"/>
          <w:lang w:val="mn-MN"/>
        </w:rPr>
        <w:t xml:space="preserve">үйлдвэрлэгч, </w:t>
      </w:r>
      <w:r w:rsidR="00731D5B" w:rsidRPr="00FA5331">
        <w:rPr>
          <w:rFonts w:ascii="Arial" w:hAnsi="Arial" w:cs="Arial"/>
          <w:lang w:val="mn-MN"/>
        </w:rPr>
        <w:t xml:space="preserve">засвар үйлчилгээний </w:t>
      </w:r>
      <w:r w:rsidRPr="00FA5331">
        <w:rPr>
          <w:rFonts w:ascii="Arial" w:hAnsi="Arial" w:cs="Arial"/>
          <w:lang w:val="mn-MN"/>
        </w:rPr>
        <w:t>компаниудын үйл ажиллагаа доголдож байна.</w:t>
      </w:r>
      <w:r w:rsidR="00722144" w:rsidRPr="00FA5331">
        <w:rPr>
          <w:rFonts w:ascii="Arial" w:hAnsi="Arial" w:cs="Arial"/>
          <w:lang w:val="mn-MN"/>
        </w:rPr>
        <w:t xml:space="preserve"> Энэ </w:t>
      </w:r>
      <w:r w:rsidR="003D440A" w:rsidRPr="00FA5331">
        <w:rPr>
          <w:rFonts w:ascii="Arial" w:hAnsi="Arial" w:cs="Arial"/>
          <w:lang w:val="mn-MN"/>
        </w:rPr>
        <w:t xml:space="preserve">нь эрчим хүчний оргил ачааллын үед </w:t>
      </w:r>
      <w:r w:rsidR="007C0D19" w:rsidRPr="00FA5331">
        <w:rPr>
          <w:rFonts w:ascii="Arial" w:hAnsi="Arial" w:cs="Arial"/>
          <w:lang w:val="mn-MN"/>
        </w:rPr>
        <w:t xml:space="preserve">бэлтгэл тоноглолгүй </w:t>
      </w:r>
      <w:r w:rsidR="003D440A" w:rsidRPr="00FA5331">
        <w:rPr>
          <w:rFonts w:ascii="Arial" w:hAnsi="Arial" w:cs="Arial"/>
          <w:lang w:val="mn-MN"/>
        </w:rPr>
        <w:t>аваарын байдалд ажиллах</w:t>
      </w:r>
      <w:r w:rsidR="007C0D19" w:rsidRPr="00FA5331">
        <w:rPr>
          <w:rFonts w:ascii="Arial" w:hAnsi="Arial" w:cs="Arial"/>
          <w:lang w:val="mn-MN"/>
        </w:rPr>
        <w:t xml:space="preserve"> үндсэн нөхцөл болж байна. </w:t>
      </w:r>
      <w:r w:rsidR="003D440A" w:rsidRPr="00FA5331">
        <w:rPr>
          <w:rFonts w:ascii="Arial" w:hAnsi="Arial" w:cs="Arial"/>
          <w:lang w:val="mn-MN"/>
        </w:rPr>
        <w:t xml:space="preserve"> </w:t>
      </w:r>
      <w:r w:rsidR="00722144" w:rsidRPr="00FA5331">
        <w:rPr>
          <w:rFonts w:ascii="Arial" w:hAnsi="Arial" w:cs="Arial"/>
          <w:lang w:val="mn-MN"/>
        </w:rPr>
        <w:t xml:space="preserve"> </w:t>
      </w:r>
    </w:p>
    <w:p w14:paraId="7EA8F8CA" w14:textId="77777777" w:rsidR="005521A7" w:rsidRPr="00FA5331" w:rsidRDefault="005521A7" w:rsidP="005D2AFF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lang w:val="mn-MN"/>
        </w:rPr>
      </w:pPr>
    </w:p>
    <w:p w14:paraId="6F43D0FE" w14:textId="5305D833" w:rsidR="00630531" w:rsidRPr="00FA5331" w:rsidRDefault="00AC588C" w:rsidP="00AC588C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bCs/>
          <w:lang w:val="mn-MN"/>
        </w:rPr>
      </w:pPr>
      <w:r w:rsidRPr="00FA5331">
        <w:rPr>
          <w:rFonts w:ascii="Arial" w:hAnsi="Arial" w:cs="Arial"/>
          <w:lang w:val="mn-MN"/>
        </w:rPr>
        <w:t xml:space="preserve">Иймд </w:t>
      </w:r>
      <w:r w:rsidR="0036253C" w:rsidRPr="00FA5331">
        <w:rPr>
          <w:rFonts w:ascii="Arial" w:hAnsi="Arial" w:cs="Arial"/>
          <w:lang w:val="mn-MN"/>
        </w:rPr>
        <w:t>импорт</w:t>
      </w:r>
      <w:r w:rsidRPr="00FA5331">
        <w:rPr>
          <w:rFonts w:ascii="Arial" w:hAnsi="Arial" w:cs="Arial"/>
          <w:lang w:val="mn-MN"/>
        </w:rPr>
        <w:t xml:space="preserve">ын </w:t>
      </w:r>
      <w:r w:rsidR="0036253C" w:rsidRPr="00FA5331">
        <w:rPr>
          <w:rFonts w:ascii="Arial" w:hAnsi="Arial" w:cs="Arial"/>
          <w:lang w:val="mn-MN"/>
        </w:rPr>
        <w:t>тоног төхөөрөмжийг</w:t>
      </w:r>
      <w:r w:rsidR="005D2AFF" w:rsidRPr="00FA5331">
        <w:rPr>
          <w:rFonts w:ascii="Arial" w:hAnsi="Arial" w:cs="Arial"/>
          <w:lang w:val="mn-MN"/>
        </w:rPr>
        <w:t xml:space="preserve"> гаалийн албан татвараас чөлөөл</w:t>
      </w:r>
      <w:r w:rsidR="006F0938" w:rsidRPr="00FA5331">
        <w:rPr>
          <w:rFonts w:ascii="Arial" w:hAnsi="Arial" w:cs="Arial"/>
          <w:lang w:val="mn-MN"/>
        </w:rPr>
        <w:t>өх</w:t>
      </w:r>
      <w:r w:rsidR="004D022E" w:rsidRPr="00FA5331">
        <w:rPr>
          <w:rFonts w:ascii="Arial" w:hAnsi="Arial" w:cs="Arial"/>
          <w:lang w:val="mn-MN"/>
        </w:rPr>
        <w:t>ийн</w:t>
      </w:r>
      <w:r w:rsidR="005D2AFF" w:rsidRPr="00FA5331">
        <w:rPr>
          <w:rFonts w:ascii="Arial" w:hAnsi="Arial" w:cs="Arial"/>
          <w:lang w:val="mn-MN"/>
        </w:rPr>
        <w:t xml:space="preserve"> зэрэгц</w:t>
      </w:r>
      <w:r w:rsidR="004D022E" w:rsidRPr="00FA5331">
        <w:rPr>
          <w:rFonts w:ascii="Arial" w:hAnsi="Arial" w:cs="Arial"/>
          <w:lang w:val="mn-MN"/>
        </w:rPr>
        <w:t>ээ</w:t>
      </w:r>
      <w:r w:rsidR="005D2AFF" w:rsidRPr="00FA5331">
        <w:rPr>
          <w:rFonts w:ascii="Arial" w:hAnsi="Arial" w:cs="Arial"/>
          <w:lang w:val="mn-MN"/>
        </w:rPr>
        <w:t xml:space="preserve"> </w:t>
      </w:r>
      <w:r w:rsidR="004D022E" w:rsidRPr="00FA5331">
        <w:rPr>
          <w:rFonts w:ascii="Arial" w:hAnsi="Arial" w:cs="Arial"/>
          <w:bCs/>
          <w:lang w:val="mn-MN"/>
        </w:rPr>
        <w:t xml:space="preserve">эрчим хүчний тоног төхөөрөмж үйлдвэрлэгч </w:t>
      </w:r>
      <w:r w:rsidR="00564837" w:rsidRPr="00FA5331">
        <w:rPr>
          <w:rFonts w:ascii="Arial" w:hAnsi="Arial" w:cs="Arial"/>
          <w:bCs/>
          <w:lang w:val="mn-MN"/>
        </w:rPr>
        <w:t xml:space="preserve">дотоодын </w:t>
      </w:r>
      <w:r w:rsidR="004D022E" w:rsidRPr="00FA5331">
        <w:rPr>
          <w:rFonts w:ascii="Arial" w:hAnsi="Arial" w:cs="Arial"/>
          <w:bCs/>
          <w:lang w:val="mn-MN"/>
        </w:rPr>
        <w:t>компаниуды</w:t>
      </w:r>
      <w:r w:rsidR="005D2AFF" w:rsidRPr="00FA5331">
        <w:rPr>
          <w:rFonts w:ascii="Arial" w:hAnsi="Arial" w:cs="Arial"/>
          <w:bCs/>
          <w:lang w:val="mn-MN"/>
        </w:rPr>
        <w:t xml:space="preserve">г </w:t>
      </w:r>
      <w:r w:rsidR="004D022E" w:rsidRPr="00FA5331">
        <w:rPr>
          <w:rFonts w:ascii="Arial" w:hAnsi="Arial" w:cs="Arial"/>
          <w:bCs/>
          <w:lang w:val="mn-MN"/>
        </w:rPr>
        <w:t>дэмжих</w:t>
      </w:r>
      <w:r w:rsidR="005521A7" w:rsidRPr="00FA5331">
        <w:rPr>
          <w:rFonts w:ascii="Arial" w:hAnsi="Arial" w:cs="Arial"/>
          <w:bCs/>
          <w:lang w:val="mn-MN"/>
        </w:rPr>
        <w:t xml:space="preserve">, </w:t>
      </w:r>
      <w:r w:rsidR="005D2AFF" w:rsidRPr="00FA5331">
        <w:rPr>
          <w:rFonts w:ascii="Arial" w:hAnsi="Arial" w:cs="Arial"/>
          <w:bCs/>
          <w:lang w:val="mn-MN"/>
        </w:rPr>
        <w:t>импортыг орлох эрчим хүчний үндсэн болон туслах тоног төхөөрөмжийг дотооддоо үйлдвэрлэх боломжийг бүрдүүлэх</w:t>
      </w:r>
      <w:r w:rsidR="00564837" w:rsidRPr="00FA5331">
        <w:rPr>
          <w:rFonts w:ascii="Arial" w:hAnsi="Arial" w:cs="Arial"/>
          <w:bCs/>
          <w:lang w:val="mn-MN"/>
        </w:rPr>
        <w:t xml:space="preserve"> эрх зүйн орчныг шинээр бий болгох зайлшгүй шаардлагатай байна.</w:t>
      </w:r>
    </w:p>
    <w:p w14:paraId="5DC37488" w14:textId="77777777" w:rsidR="00AC588C" w:rsidRPr="00FA5331" w:rsidRDefault="00AC588C" w:rsidP="00AC588C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bCs/>
          <w:lang w:val="mn-MN"/>
        </w:rPr>
      </w:pPr>
    </w:p>
    <w:p w14:paraId="757DC544" w14:textId="684931F2" w:rsidR="00B47EC0" w:rsidRDefault="00630531" w:rsidP="00B47EC0">
      <w:pPr>
        <w:shd w:val="clear" w:color="auto" w:fill="FFFFFF"/>
        <w:tabs>
          <w:tab w:val="left" w:pos="1843"/>
        </w:tabs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FA5331">
        <w:rPr>
          <w:rFonts w:ascii="Arial" w:hAnsi="Arial" w:cs="Arial"/>
          <w:bCs/>
          <w:sz w:val="24"/>
          <w:szCs w:val="24"/>
          <w:lang w:val="mn-MN"/>
        </w:rPr>
        <w:t>Дээрх хууль, эрх зүйн болон практик хэрэгцээ, шаардлагын үүднээс</w:t>
      </w:r>
      <w:r w:rsidR="00AD1152" w:rsidRPr="00FA5331">
        <w:rPr>
          <w:rFonts w:ascii="Arial" w:hAnsi="Arial" w:cs="Arial"/>
          <w:bCs/>
          <w:sz w:val="24"/>
          <w:szCs w:val="24"/>
          <w:lang w:val="mn-MN"/>
        </w:rPr>
        <w:t xml:space="preserve"> </w:t>
      </w:r>
      <w:r w:rsidRPr="00FA5331">
        <w:rPr>
          <w:rFonts w:ascii="Arial" w:hAnsi="Arial" w:cs="Arial"/>
          <w:noProof/>
          <w:sz w:val="24"/>
          <w:szCs w:val="24"/>
          <w:lang w:val="mn-MN"/>
        </w:rPr>
        <w:t xml:space="preserve"> </w:t>
      </w:r>
      <w:r w:rsidR="00B47EC0" w:rsidRPr="00D42375">
        <w:rPr>
          <w:rFonts w:ascii="Arial" w:eastAsia="Calibri" w:hAnsi="Arial" w:cs="Arial"/>
          <w:bCs/>
          <w:sz w:val="24"/>
          <w:szCs w:val="24"/>
          <w:lang w:val="mn-MN"/>
        </w:rPr>
        <w:t>Аж ахуйн нэгжийн орлогын албан татварын тухай</w:t>
      </w:r>
      <w:r w:rsidR="00B47EC0" w:rsidRPr="00D42375">
        <w:rPr>
          <w:rFonts w:ascii="Arial" w:eastAsia="Calibri" w:hAnsi="Arial" w:cs="Arial"/>
          <w:sz w:val="24"/>
          <w:szCs w:val="24"/>
          <w:lang w:val="mn-MN"/>
        </w:rPr>
        <w:t xml:space="preserve"> хуулийн 22 дугаар зүйлд </w:t>
      </w:r>
      <w:r w:rsidR="00B47EC0" w:rsidRPr="00D42375">
        <w:rPr>
          <w:rFonts w:ascii="Arial" w:hAnsi="Arial" w:cs="Arial"/>
          <w:sz w:val="24"/>
          <w:szCs w:val="24"/>
          <w:lang w:val="mn-MN"/>
        </w:rPr>
        <w:t>Цахилгаан эрчим хүчний 5 мегаваттаас дээш хүчин чадалтай, эсхүл дулааны эрчим хүчний 1.5 мегаваттаас дээш хүчин чадалтай</w:t>
      </w:r>
      <w:r w:rsidR="00B47EC0" w:rsidRPr="00D42375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эх үүсвэрийн үндсэн болон туслах тоног төхөөрөмж үйлдвэрлэх үйл ажиллагааны орлогод ногдох албан татварыг 90 хувь хөнгөл</w:t>
      </w:r>
      <w:r w:rsidR="00B47EC0">
        <w:rPr>
          <w:rFonts w:ascii="Arial" w:hAnsi="Arial" w:cs="Arial"/>
          <w:color w:val="000000" w:themeColor="text1"/>
          <w:sz w:val="24"/>
          <w:szCs w:val="24"/>
          <w:lang w:val="mn-MN"/>
        </w:rPr>
        <w:t>өх тухай заалт нэмэхээр тусгав.</w:t>
      </w:r>
    </w:p>
    <w:p w14:paraId="5DA4BB7E" w14:textId="77777777" w:rsidR="00B47EC0" w:rsidRDefault="00B47EC0" w:rsidP="00B47EC0">
      <w:pPr>
        <w:shd w:val="clear" w:color="auto" w:fill="FFFFFF"/>
        <w:tabs>
          <w:tab w:val="left" w:pos="1843"/>
        </w:tabs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09F804FC" w14:textId="0C496E9B" w:rsidR="00630531" w:rsidRPr="00FA5331" w:rsidRDefault="00B47EC0" w:rsidP="00630531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color w:val="000000" w:themeColor="text1"/>
          <w:sz w:val="24"/>
          <w:szCs w:val="24"/>
          <w:lang w:val="mn-MN"/>
        </w:rPr>
        <w:t>Х</w:t>
      </w:r>
      <w:r w:rsidR="00630531" w:rsidRPr="00FA5331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уулийн төсөл нь 2 зүйлтэй байхаар, хуулийн </w:t>
      </w:r>
      <w:r w:rsidR="00630531" w:rsidRPr="00FA5331">
        <w:rPr>
          <w:rFonts w:ascii="Arial" w:hAnsi="Arial" w:cs="Arial"/>
          <w:sz w:val="24"/>
          <w:szCs w:val="24"/>
          <w:lang w:val="mn-MN"/>
        </w:rPr>
        <w:t>дагаж мөрдөх үйлчлэх хугацааг 2029 оны 12 дугаар сарын 31-ний өдөр хүртэл байхаар тусгав.</w:t>
      </w:r>
    </w:p>
    <w:p w14:paraId="0F233722" w14:textId="3A3DA7F3" w:rsidR="00630531" w:rsidRPr="00FA5331" w:rsidRDefault="00630531" w:rsidP="0063053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0FB3830F" w14:textId="0DD8E09A" w:rsidR="007C0D19" w:rsidRPr="00FA5331" w:rsidRDefault="00630531" w:rsidP="0065051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FA5331">
        <w:rPr>
          <w:rFonts w:ascii="Arial" w:hAnsi="Arial" w:cs="Arial"/>
          <w:bCs/>
          <w:sz w:val="24"/>
          <w:szCs w:val="24"/>
          <w:lang w:val="mn-MN"/>
        </w:rPr>
        <w:t xml:space="preserve">Аж ахуйн нэгжийн орлогын албан татварын тухай хуульд нэмэлт оруулах тухай хуулийн төсөл  батлагдсанаар </w:t>
      </w:r>
      <w:r w:rsidR="00722144" w:rsidRPr="00FA5331">
        <w:rPr>
          <w:rFonts w:ascii="Arial" w:hAnsi="Arial" w:cs="Arial"/>
          <w:bCs/>
          <w:sz w:val="24"/>
          <w:szCs w:val="24"/>
          <w:lang w:val="mn-MN"/>
        </w:rPr>
        <w:t xml:space="preserve">шинээр баригдах </w:t>
      </w:r>
      <w:r w:rsidR="004E6900" w:rsidRPr="00FA5331">
        <w:rPr>
          <w:rFonts w:ascii="Arial" w:hAnsi="Arial" w:cs="Arial"/>
          <w:sz w:val="24"/>
          <w:szCs w:val="24"/>
          <w:lang w:val="mn-MN"/>
        </w:rPr>
        <w:t xml:space="preserve">дулааны цахилгаан станц, </w:t>
      </w:r>
      <w:r w:rsidR="00722144" w:rsidRPr="00FA5331">
        <w:rPr>
          <w:rFonts w:ascii="Arial" w:hAnsi="Arial" w:cs="Arial"/>
          <w:sz w:val="24"/>
          <w:szCs w:val="24"/>
          <w:lang w:val="mn-MN"/>
        </w:rPr>
        <w:t>дулааны станцууд мөн өргөтгөлийн төслүүдэд дотоодын</w:t>
      </w:r>
      <w:r w:rsidR="007C0D19" w:rsidRPr="00FA5331">
        <w:rPr>
          <w:rFonts w:ascii="Arial" w:hAnsi="Arial" w:cs="Arial"/>
          <w:sz w:val="24"/>
          <w:szCs w:val="24"/>
          <w:lang w:val="mn-MN"/>
        </w:rPr>
        <w:t xml:space="preserve"> эрчим хүчний тоноглол үйлдвэрлэгч компаниудын оролцоо нэмэгдэж,</w:t>
      </w:r>
      <w:r w:rsidR="00B068D3">
        <w:rPr>
          <w:rFonts w:ascii="Arial" w:hAnsi="Arial" w:cs="Arial"/>
          <w:sz w:val="24"/>
          <w:szCs w:val="24"/>
          <w:lang w:val="mn-MN"/>
        </w:rPr>
        <w:t xml:space="preserve"> </w:t>
      </w:r>
      <w:r w:rsidR="007C0D19" w:rsidRPr="00FA5331">
        <w:rPr>
          <w:rFonts w:ascii="Arial" w:hAnsi="Arial" w:cs="Arial"/>
          <w:sz w:val="24"/>
          <w:szCs w:val="24"/>
          <w:lang w:val="mn-MN"/>
        </w:rPr>
        <w:t>салбарын хэмжээнд өвлийн бэлтгэл</w:t>
      </w:r>
      <w:r w:rsidR="00B068D3">
        <w:rPr>
          <w:rFonts w:ascii="Arial" w:hAnsi="Arial" w:cs="Arial"/>
          <w:sz w:val="24"/>
          <w:szCs w:val="24"/>
          <w:lang w:val="mn-MN"/>
        </w:rPr>
        <w:t xml:space="preserve"> хангах</w:t>
      </w:r>
      <w:r w:rsidR="007C0D19" w:rsidRPr="00FA5331">
        <w:rPr>
          <w:rFonts w:ascii="Arial" w:hAnsi="Arial" w:cs="Arial"/>
          <w:sz w:val="24"/>
          <w:szCs w:val="24"/>
          <w:lang w:val="mn-MN"/>
        </w:rPr>
        <w:t>,  х</w:t>
      </w:r>
      <w:r w:rsidR="004E6900" w:rsidRPr="00FA5331">
        <w:rPr>
          <w:rFonts w:ascii="Arial" w:hAnsi="Arial" w:cs="Arial"/>
          <w:sz w:val="24"/>
          <w:szCs w:val="24"/>
          <w:lang w:val="mn-MN"/>
        </w:rPr>
        <w:t>эрэглэгчдийг эрчим хүч</w:t>
      </w:r>
      <w:r w:rsidR="00B068D3">
        <w:rPr>
          <w:rFonts w:ascii="Arial" w:hAnsi="Arial" w:cs="Arial"/>
          <w:sz w:val="24"/>
          <w:szCs w:val="24"/>
          <w:lang w:val="mn-MN"/>
        </w:rPr>
        <w:t xml:space="preserve">ний хангамжийг </w:t>
      </w:r>
      <w:r w:rsidR="004E6900" w:rsidRPr="00FA5331">
        <w:rPr>
          <w:rFonts w:ascii="Arial" w:hAnsi="Arial" w:cs="Arial"/>
          <w:sz w:val="24"/>
          <w:szCs w:val="24"/>
          <w:lang w:val="mn-MN"/>
        </w:rPr>
        <w:t>найдв</w:t>
      </w:r>
      <w:r w:rsidR="00B068D3">
        <w:rPr>
          <w:rFonts w:ascii="Arial" w:hAnsi="Arial" w:cs="Arial"/>
          <w:sz w:val="24"/>
          <w:szCs w:val="24"/>
          <w:lang w:val="mn-MN"/>
        </w:rPr>
        <w:t>аржуулахад дэмжлэг болох юм.</w:t>
      </w:r>
    </w:p>
    <w:p w14:paraId="431E7925" w14:textId="77777777" w:rsidR="007C0D19" w:rsidRPr="00FA5331" w:rsidRDefault="007C0D19" w:rsidP="0065051D">
      <w:pPr>
        <w:spacing w:after="0" w:line="240" w:lineRule="auto"/>
        <w:ind w:firstLine="567"/>
        <w:jc w:val="both"/>
        <w:rPr>
          <w:rFonts w:ascii="Arial" w:hAnsi="Arial" w:cs="Arial"/>
          <w:color w:val="FF0000"/>
          <w:sz w:val="24"/>
          <w:szCs w:val="24"/>
          <w:lang w:val="mn-MN"/>
        </w:rPr>
      </w:pPr>
    </w:p>
    <w:p w14:paraId="191DFCE9" w14:textId="265361CE" w:rsidR="007C0D19" w:rsidRDefault="00B47EC0" w:rsidP="00B47EC0">
      <w:pPr>
        <w:spacing w:after="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B47EC0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Хуулийн төсөл нь</w:t>
      </w:r>
      <w:r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</w:t>
      </w:r>
      <w:r w:rsidR="00630531" w:rsidRPr="00FA5331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Монгол Улсын Үндсэн хууль, Монгол Улсын олон улсын гэрээнд</w:t>
      </w:r>
      <w:r w:rsidR="00630531" w:rsidRPr="00FA5331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</w:t>
      </w:r>
      <w:r w:rsidR="00630531" w:rsidRPr="00FA5331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нийцсэн,  Хууль тогтоомжийн тухай хууль болон бусад хууль тогтоомжтой уялдсан болно.</w:t>
      </w:r>
    </w:p>
    <w:p w14:paraId="67DBE1E4" w14:textId="7975E1A9" w:rsidR="00B47EC0" w:rsidRDefault="00B47EC0" w:rsidP="00B47EC0">
      <w:pPr>
        <w:spacing w:after="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3A5EF792" w14:textId="684C7A86" w:rsidR="00B47EC0" w:rsidRDefault="00B47EC0" w:rsidP="00B47EC0">
      <w:pPr>
        <w:spacing w:after="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59054264" w14:textId="743E23A1" w:rsidR="00B47EC0" w:rsidRPr="00B47EC0" w:rsidRDefault="00B47EC0" w:rsidP="00B47EC0">
      <w:pPr>
        <w:spacing w:after="0" w:line="240" w:lineRule="auto"/>
        <w:ind w:firstLine="720"/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ХУУЛЬ САНААЧЛАГЧ</w:t>
      </w:r>
    </w:p>
    <w:p w14:paraId="6ECFDD41" w14:textId="77777777" w:rsidR="007C0D19" w:rsidRPr="00FA5331" w:rsidRDefault="007C0D19" w:rsidP="00B47EC0">
      <w:pPr>
        <w:spacing w:after="0" w:line="240" w:lineRule="auto"/>
        <w:ind w:firstLine="720"/>
        <w:jc w:val="center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07AEDBD2" w14:textId="77777777" w:rsidR="00630531" w:rsidRPr="00FA5331" w:rsidRDefault="00630531" w:rsidP="005F11E7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</w:p>
    <w:sectPr w:rsidR="00630531" w:rsidRPr="00FA5331" w:rsidSect="007C1410">
      <w:footerReference w:type="default" r:id="rId10"/>
      <w:pgSz w:w="11907" w:h="16840" w:code="9"/>
      <w:pgMar w:top="1134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BAED55" w14:textId="77777777" w:rsidR="00B63EB0" w:rsidRDefault="00B63EB0" w:rsidP="00156FBB">
      <w:pPr>
        <w:spacing w:after="0" w:line="240" w:lineRule="auto"/>
      </w:pPr>
      <w:r>
        <w:separator/>
      </w:r>
    </w:p>
  </w:endnote>
  <w:endnote w:type="continuationSeparator" w:id="0">
    <w:p w14:paraId="4F4C0B5C" w14:textId="77777777" w:rsidR="00B63EB0" w:rsidRDefault="00B63EB0" w:rsidP="00156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66E5F" w14:textId="0755F01D" w:rsidR="00156FBB" w:rsidRDefault="00156FBB">
    <w:pPr>
      <w:pStyle w:val="Footer"/>
      <w:jc w:val="center"/>
    </w:pPr>
  </w:p>
  <w:p w14:paraId="686D60C9" w14:textId="77777777" w:rsidR="00156FBB" w:rsidRDefault="00156F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68914" w14:textId="77777777" w:rsidR="00B63EB0" w:rsidRDefault="00B63EB0" w:rsidP="00156FBB">
      <w:pPr>
        <w:spacing w:after="0" w:line="240" w:lineRule="auto"/>
      </w:pPr>
      <w:r>
        <w:separator/>
      </w:r>
    </w:p>
  </w:footnote>
  <w:footnote w:type="continuationSeparator" w:id="0">
    <w:p w14:paraId="54F715D8" w14:textId="77777777" w:rsidR="00B63EB0" w:rsidRDefault="00B63EB0" w:rsidP="00156F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BA4"/>
    <w:rsid w:val="0000004A"/>
    <w:rsid w:val="00002458"/>
    <w:rsid w:val="0001585D"/>
    <w:rsid w:val="0001732B"/>
    <w:rsid w:val="00020E2B"/>
    <w:rsid w:val="00023EED"/>
    <w:rsid w:val="00032166"/>
    <w:rsid w:val="00032D47"/>
    <w:rsid w:val="000362EC"/>
    <w:rsid w:val="00062104"/>
    <w:rsid w:val="00067CE8"/>
    <w:rsid w:val="000724CE"/>
    <w:rsid w:val="000737F7"/>
    <w:rsid w:val="000739D4"/>
    <w:rsid w:val="00082043"/>
    <w:rsid w:val="000A4EFB"/>
    <w:rsid w:val="000B5F5A"/>
    <w:rsid w:val="000C66AF"/>
    <w:rsid w:val="000D0C90"/>
    <w:rsid w:val="000D394E"/>
    <w:rsid w:val="000D65B9"/>
    <w:rsid w:val="000D6D2E"/>
    <w:rsid w:val="000E0260"/>
    <w:rsid w:val="000E168E"/>
    <w:rsid w:val="000E2D6D"/>
    <w:rsid w:val="000E3CDB"/>
    <w:rsid w:val="000E459F"/>
    <w:rsid w:val="0010556B"/>
    <w:rsid w:val="00110B0F"/>
    <w:rsid w:val="001113C7"/>
    <w:rsid w:val="00114F8B"/>
    <w:rsid w:val="0011689C"/>
    <w:rsid w:val="00116A4B"/>
    <w:rsid w:val="00121653"/>
    <w:rsid w:val="001239F3"/>
    <w:rsid w:val="001253F1"/>
    <w:rsid w:val="00132A07"/>
    <w:rsid w:val="00135FFC"/>
    <w:rsid w:val="00137BA4"/>
    <w:rsid w:val="00151B46"/>
    <w:rsid w:val="001550EA"/>
    <w:rsid w:val="00155EC7"/>
    <w:rsid w:val="00156FBB"/>
    <w:rsid w:val="00157366"/>
    <w:rsid w:val="0016379E"/>
    <w:rsid w:val="00171D39"/>
    <w:rsid w:val="00177904"/>
    <w:rsid w:val="00181FE2"/>
    <w:rsid w:val="00187C81"/>
    <w:rsid w:val="00192216"/>
    <w:rsid w:val="00193AB2"/>
    <w:rsid w:val="00195B21"/>
    <w:rsid w:val="00196D97"/>
    <w:rsid w:val="001C719E"/>
    <w:rsid w:val="001D28DE"/>
    <w:rsid w:val="001F0998"/>
    <w:rsid w:val="001F4B0F"/>
    <w:rsid w:val="002000FA"/>
    <w:rsid w:val="00203091"/>
    <w:rsid w:val="002053C5"/>
    <w:rsid w:val="00216084"/>
    <w:rsid w:val="00226710"/>
    <w:rsid w:val="00232266"/>
    <w:rsid w:val="0024554D"/>
    <w:rsid w:val="00257D56"/>
    <w:rsid w:val="00275D80"/>
    <w:rsid w:val="00276D81"/>
    <w:rsid w:val="0028410D"/>
    <w:rsid w:val="00284BE5"/>
    <w:rsid w:val="002860A3"/>
    <w:rsid w:val="00292EB8"/>
    <w:rsid w:val="002B18E0"/>
    <w:rsid w:val="002B787D"/>
    <w:rsid w:val="002D1422"/>
    <w:rsid w:val="002D5800"/>
    <w:rsid w:val="002F2C6F"/>
    <w:rsid w:val="003026B2"/>
    <w:rsid w:val="0030591A"/>
    <w:rsid w:val="003261C9"/>
    <w:rsid w:val="00326A1C"/>
    <w:rsid w:val="00331700"/>
    <w:rsid w:val="00345AB5"/>
    <w:rsid w:val="00347834"/>
    <w:rsid w:val="0036061B"/>
    <w:rsid w:val="00360E7D"/>
    <w:rsid w:val="0036253C"/>
    <w:rsid w:val="00373242"/>
    <w:rsid w:val="00386BC5"/>
    <w:rsid w:val="00387887"/>
    <w:rsid w:val="00390AE3"/>
    <w:rsid w:val="003A38B0"/>
    <w:rsid w:val="003D1065"/>
    <w:rsid w:val="003D135A"/>
    <w:rsid w:val="003D440A"/>
    <w:rsid w:val="003E179F"/>
    <w:rsid w:val="003E3C35"/>
    <w:rsid w:val="003E5B15"/>
    <w:rsid w:val="003E7807"/>
    <w:rsid w:val="003F0AC3"/>
    <w:rsid w:val="003F4F50"/>
    <w:rsid w:val="0040558A"/>
    <w:rsid w:val="00407A9A"/>
    <w:rsid w:val="00422D32"/>
    <w:rsid w:val="004248AE"/>
    <w:rsid w:val="004268CE"/>
    <w:rsid w:val="00435456"/>
    <w:rsid w:val="004379BF"/>
    <w:rsid w:val="00471073"/>
    <w:rsid w:val="00471A21"/>
    <w:rsid w:val="004760B7"/>
    <w:rsid w:val="00476A19"/>
    <w:rsid w:val="00481AC9"/>
    <w:rsid w:val="00484D30"/>
    <w:rsid w:val="004868EB"/>
    <w:rsid w:val="00487401"/>
    <w:rsid w:val="004948A5"/>
    <w:rsid w:val="004A28DA"/>
    <w:rsid w:val="004B2A54"/>
    <w:rsid w:val="004B6C54"/>
    <w:rsid w:val="004B6ED2"/>
    <w:rsid w:val="004C53BE"/>
    <w:rsid w:val="004D022E"/>
    <w:rsid w:val="004D697C"/>
    <w:rsid w:val="004E6900"/>
    <w:rsid w:val="00501452"/>
    <w:rsid w:val="00501C66"/>
    <w:rsid w:val="00501FB0"/>
    <w:rsid w:val="0051626A"/>
    <w:rsid w:val="00520426"/>
    <w:rsid w:val="00521EF9"/>
    <w:rsid w:val="00530B8E"/>
    <w:rsid w:val="00536143"/>
    <w:rsid w:val="0054592A"/>
    <w:rsid w:val="00551161"/>
    <w:rsid w:val="005521A7"/>
    <w:rsid w:val="00552DA6"/>
    <w:rsid w:val="00554791"/>
    <w:rsid w:val="00560101"/>
    <w:rsid w:val="00563E5A"/>
    <w:rsid w:val="00564837"/>
    <w:rsid w:val="0056484A"/>
    <w:rsid w:val="005731A6"/>
    <w:rsid w:val="00583568"/>
    <w:rsid w:val="00584CFB"/>
    <w:rsid w:val="00597423"/>
    <w:rsid w:val="005A1AD2"/>
    <w:rsid w:val="005A27F9"/>
    <w:rsid w:val="005A2C7B"/>
    <w:rsid w:val="005A3D82"/>
    <w:rsid w:val="005D2AFF"/>
    <w:rsid w:val="005F11E7"/>
    <w:rsid w:val="005F25FE"/>
    <w:rsid w:val="005F77C8"/>
    <w:rsid w:val="00605240"/>
    <w:rsid w:val="006167BE"/>
    <w:rsid w:val="00630531"/>
    <w:rsid w:val="00630590"/>
    <w:rsid w:val="00630917"/>
    <w:rsid w:val="00644A18"/>
    <w:rsid w:val="0065051D"/>
    <w:rsid w:val="00661D92"/>
    <w:rsid w:val="006A283C"/>
    <w:rsid w:val="006A7ABC"/>
    <w:rsid w:val="006B487E"/>
    <w:rsid w:val="006B70CF"/>
    <w:rsid w:val="006D1047"/>
    <w:rsid w:val="006E62A9"/>
    <w:rsid w:val="006E7BF2"/>
    <w:rsid w:val="006F0680"/>
    <w:rsid w:val="006F0938"/>
    <w:rsid w:val="006F7C23"/>
    <w:rsid w:val="007019C6"/>
    <w:rsid w:val="007033C8"/>
    <w:rsid w:val="0070400C"/>
    <w:rsid w:val="00705D4E"/>
    <w:rsid w:val="00711F6B"/>
    <w:rsid w:val="007150A3"/>
    <w:rsid w:val="00722144"/>
    <w:rsid w:val="00725AB3"/>
    <w:rsid w:val="007263ED"/>
    <w:rsid w:val="00731D5B"/>
    <w:rsid w:val="00734CD6"/>
    <w:rsid w:val="00746AAB"/>
    <w:rsid w:val="00753F92"/>
    <w:rsid w:val="00754285"/>
    <w:rsid w:val="00756602"/>
    <w:rsid w:val="00756FFB"/>
    <w:rsid w:val="0077324D"/>
    <w:rsid w:val="00775308"/>
    <w:rsid w:val="0078596F"/>
    <w:rsid w:val="007A1A2A"/>
    <w:rsid w:val="007B673B"/>
    <w:rsid w:val="007B760B"/>
    <w:rsid w:val="007C0D19"/>
    <w:rsid w:val="007C1410"/>
    <w:rsid w:val="007D24F0"/>
    <w:rsid w:val="007D55BF"/>
    <w:rsid w:val="007D7F0D"/>
    <w:rsid w:val="007E62C4"/>
    <w:rsid w:val="0080226D"/>
    <w:rsid w:val="00804F76"/>
    <w:rsid w:val="00825171"/>
    <w:rsid w:val="00825B0C"/>
    <w:rsid w:val="00835C6F"/>
    <w:rsid w:val="00836766"/>
    <w:rsid w:val="00843078"/>
    <w:rsid w:val="008507F7"/>
    <w:rsid w:val="0085298F"/>
    <w:rsid w:val="00862E37"/>
    <w:rsid w:val="00873532"/>
    <w:rsid w:val="00885680"/>
    <w:rsid w:val="008970B7"/>
    <w:rsid w:val="008B22F2"/>
    <w:rsid w:val="008C1558"/>
    <w:rsid w:val="008C452D"/>
    <w:rsid w:val="008D1073"/>
    <w:rsid w:val="008D261C"/>
    <w:rsid w:val="008E2C63"/>
    <w:rsid w:val="008E2E05"/>
    <w:rsid w:val="008E6C94"/>
    <w:rsid w:val="008F5999"/>
    <w:rsid w:val="008F6BE8"/>
    <w:rsid w:val="00906E01"/>
    <w:rsid w:val="00910785"/>
    <w:rsid w:val="00913ABE"/>
    <w:rsid w:val="00920924"/>
    <w:rsid w:val="00925FF9"/>
    <w:rsid w:val="009362E9"/>
    <w:rsid w:val="00936F22"/>
    <w:rsid w:val="0094345D"/>
    <w:rsid w:val="0095409E"/>
    <w:rsid w:val="009712AE"/>
    <w:rsid w:val="009733DC"/>
    <w:rsid w:val="009852DE"/>
    <w:rsid w:val="009966A4"/>
    <w:rsid w:val="009A1469"/>
    <w:rsid w:val="009A43E9"/>
    <w:rsid w:val="009A49DF"/>
    <w:rsid w:val="009A4B38"/>
    <w:rsid w:val="009B2123"/>
    <w:rsid w:val="009B74CF"/>
    <w:rsid w:val="009C42C2"/>
    <w:rsid w:val="009C4FE1"/>
    <w:rsid w:val="009C77C9"/>
    <w:rsid w:val="009D15F6"/>
    <w:rsid w:val="009D4576"/>
    <w:rsid w:val="009D4EFF"/>
    <w:rsid w:val="009E701A"/>
    <w:rsid w:val="00A074F2"/>
    <w:rsid w:val="00A11706"/>
    <w:rsid w:val="00A12F33"/>
    <w:rsid w:val="00A231A4"/>
    <w:rsid w:val="00A26196"/>
    <w:rsid w:val="00A26ECD"/>
    <w:rsid w:val="00A30BA4"/>
    <w:rsid w:val="00A43681"/>
    <w:rsid w:val="00A46618"/>
    <w:rsid w:val="00A54155"/>
    <w:rsid w:val="00A5573C"/>
    <w:rsid w:val="00A6098A"/>
    <w:rsid w:val="00A645E2"/>
    <w:rsid w:val="00A65319"/>
    <w:rsid w:val="00A8019F"/>
    <w:rsid w:val="00A81A9C"/>
    <w:rsid w:val="00A86C0A"/>
    <w:rsid w:val="00A903A0"/>
    <w:rsid w:val="00A96151"/>
    <w:rsid w:val="00AB1359"/>
    <w:rsid w:val="00AC588C"/>
    <w:rsid w:val="00AD10A5"/>
    <w:rsid w:val="00AD1152"/>
    <w:rsid w:val="00AE5E81"/>
    <w:rsid w:val="00AF0A75"/>
    <w:rsid w:val="00B047A1"/>
    <w:rsid w:val="00B068D3"/>
    <w:rsid w:val="00B07B57"/>
    <w:rsid w:val="00B20E90"/>
    <w:rsid w:val="00B37FF6"/>
    <w:rsid w:val="00B47EC0"/>
    <w:rsid w:val="00B51A75"/>
    <w:rsid w:val="00B52633"/>
    <w:rsid w:val="00B55A54"/>
    <w:rsid w:val="00B5794A"/>
    <w:rsid w:val="00B57E3D"/>
    <w:rsid w:val="00B63EB0"/>
    <w:rsid w:val="00B65215"/>
    <w:rsid w:val="00B6525A"/>
    <w:rsid w:val="00B65EB5"/>
    <w:rsid w:val="00B77C77"/>
    <w:rsid w:val="00B80C5F"/>
    <w:rsid w:val="00B81E9F"/>
    <w:rsid w:val="00B93BFC"/>
    <w:rsid w:val="00B970A1"/>
    <w:rsid w:val="00BB3AFC"/>
    <w:rsid w:val="00BC1F47"/>
    <w:rsid w:val="00BC2F8B"/>
    <w:rsid w:val="00BC3B01"/>
    <w:rsid w:val="00BC5D0A"/>
    <w:rsid w:val="00BD7550"/>
    <w:rsid w:val="00BD7F3C"/>
    <w:rsid w:val="00BE7049"/>
    <w:rsid w:val="00BF0653"/>
    <w:rsid w:val="00C01ABF"/>
    <w:rsid w:val="00C05FA1"/>
    <w:rsid w:val="00C16D40"/>
    <w:rsid w:val="00C23E9B"/>
    <w:rsid w:val="00C36F9A"/>
    <w:rsid w:val="00C430BF"/>
    <w:rsid w:val="00C47012"/>
    <w:rsid w:val="00C470E6"/>
    <w:rsid w:val="00C515F2"/>
    <w:rsid w:val="00C62D1D"/>
    <w:rsid w:val="00C753C8"/>
    <w:rsid w:val="00C82D49"/>
    <w:rsid w:val="00C850DE"/>
    <w:rsid w:val="00C97887"/>
    <w:rsid w:val="00CC39C1"/>
    <w:rsid w:val="00CE06D6"/>
    <w:rsid w:val="00CE4827"/>
    <w:rsid w:val="00CF084C"/>
    <w:rsid w:val="00CF4795"/>
    <w:rsid w:val="00D032D8"/>
    <w:rsid w:val="00D139F7"/>
    <w:rsid w:val="00D22A4D"/>
    <w:rsid w:val="00D243B4"/>
    <w:rsid w:val="00D33DC8"/>
    <w:rsid w:val="00D352D6"/>
    <w:rsid w:val="00D4667F"/>
    <w:rsid w:val="00D63953"/>
    <w:rsid w:val="00D64EB4"/>
    <w:rsid w:val="00D704DD"/>
    <w:rsid w:val="00D7574C"/>
    <w:rsid w:val="00D87119"/>
    <w:rsid w:val="00D91315"/>
    <w:rsid w:val="00D9183D"/>
    <w:rsid w:val="00D93E6F"/>
    <w:rsid w:val="00D967F6"/>
    <w:rsid w:val="00D979E2"/>
    <w:rsid w:val="00DA49B7"/>
    <w:rsid w:val="00DA5D63"/>
    <w:rsid w:val="00DB5B05"/>
    <w:rsid w:val="00DC3A88"/>
    <w:rsid w:val="00DD06C7"/>
    <w:rsid w:val="00DD0FC6"/>
    <w:rsid w:val="00DE1654"/>
    <w:rsid w:val="00DE79F2"/>
    <w:rsid w:val="00DF0777"/>
    <w:rsid w:val="00E011C2"/>
    <w:rsid w:val="00E07A83"/>
    <w:rsid w:val="00E2180E"/>
    <w:rsid w:val="00E273F0"/>
    <w:rsid w:val="00E31B7B"/>
    <w:rsid w:val="00E33CEF"/>
    <w:rsid w:val="00E33E6B"/>
    <w:rsid w:val="00E40033"/>
    <w:rsid w:val="00E43D54"/>
    <w:rsid w:val="00E43DCE"/>
    <w:rsid w:val="00E52C4D"/>
    <w:rsid w:val="00E53B18"/>
    <w:rsid w:val="00E55271"/>
    <w:rsid w:val="00E55716"/>
    <w:rsid w:val="00E57FAD"/>
    <w:rsid w:val="00E708DC"/>
    <w:rsid w:val="00E73154"/>
    <w:rsid w:val="00E80299"/>
    <w:rsid w:val="00E8192E"/>
    <w:rsid w:val="00E91B96"/>
    <w:rsid w:val="00E94E86"/>
    <w:rsid w:val="00EB1BC6"/>
    <w:rsid w:val="00EB58EA"/>
    <w:rsid w:val="00EC0CA6"/>
    <w:rsid w:val="00EC2F37"/>
    <w:rsid w:val="00EC3323"/>
    <w:rsid w:val="00EC475A"/>
    <w:rsid w:val="00ED2EAD"/>
    <w:rsid w:val="00EE030C"/>
    <w:rsid w:val="00EE13A8"/>
    <w:rsid w:val="00EE681F"/>
    <w:rsid w:val="00EF615A"/>
    <w:rsid w:val="00F12E73"/>
    <w:rsid w:val="00F14C4E"/>
    <w:rsid w:val="00F21ABC"/>
    <w:rsid w:val="00F40721"/>
    <w:rsid w:val="00F5110A"/>
    <w:rsid w:val="00F60F5D"/>
    <w:rsid w:val="00F6260E"/>
    <w:rsid w:val="00F6483C"/>
    <w:rsid w:val="00F65E38"/>
    <w:rsid w:val="00F83849"/>
    <w:rsid w:val="00F83FDB"/>
    <w:rsid w:val="00F91AC1"/>
    <w:rsid w:val="00F961E1"/>
    <w:rsid w:val="00FA5331"/>
    <w:rsid w:val="00FA7E86"/>
    <w:rsid w:val="00FB31C5"/>
    <w:rsid w:val="00FB4616"/>
    <w:rsid w:val="00FB6CFD"/>
    <w:rsid w:val="00FC155E"/>
    <w:rsid w:val="00FC29BC"/>
    <w:rsid w:val="00FD4213"/>
    <w:rsid w:val="00FE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CB33F"/>
  <w15:chartTrackingRefBased/>
  <w15:docId w15:val="{5C6A5C0A-8DF0-4910-A727-D873BE5B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BA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7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ghead">
    <w:name w:val="msg_head"/>
    <w:basedOn w:val="Normal"/>
    <w:rsid w:val="00137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37B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B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BA4"/>
    <w:rPr>
      <w:rFonts w:asciiTheme="minorHAnsi" w:hAnsi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BA4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Heading Number,ADOTS,IBL List Paragraph,List Paragraph1,Numbered Paragraph,Main numbered paragraph,Bullets,Colorful List - Accent 11,List Paragraph (numbered (a)),References,List_Paragraph,Multilevel para_II,AusAID List Paragraph,Ha,lp1"/>
    <w:basedOn w:val="Normal"/>
    <w:link w:val="ListParagraphChar"/>
    <w:uiPriority w:val="34"/>
    <w:qFormat/>
    <w:rsid w:val="00B52633"/>
    <w:pPr>
      <w:ind w:left="720"/>
      <w:contextualSpacing/>
    </w:pPr>
  </w:style>
  <w:style w:type="character" w:customStyle="1" w:styleId="highlight2">
    <w:name w:val="highlight2"/>
    <w:basedOn w:val="DefaultParagraphFont"/>
    <w:rsid w:val="00171D39"/>
  </w:style>
  <w:style w:type="paragraph" w:styleId="Header">
    <w:name w:val="header"/>
    <w:basedOn w:val="Normal"/>
    <w:link w:val="HeaderChar"/>
    <w:uiPriority w:val="99"/>
    <w:unhideWhenUsed/>
    <w:rsid w:val="00156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FBB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156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FBB"/>
    <w:rPr>
      <w:rFonts w:asciiTheme="minorHAnsi" w:hAnsiTheme="minorHAnsi"/>
      <w:sz w:val="22"/>
    </w:rPr>
  </w:style>
  <w:style w:type="character" w:styleId="Strong">
    <w:name w:val="Strong"/>
    <w:basedOn w:val="DefaultParagraphFont"/>
    <w:uiPriority w:val="22"/>
    <w:qFormat/>
    <w:rsid w:val="006A7ABC"/>
    <w:rPr>
      <w:b/>
      <w:bCs/>
    </w:rPr>
  </w:style>
  <w:style w:type="character" w:customStyle="1" w:styleId="ListParagraphChar">
    <w:name w:val="List Paragraph Char"/>
    <w:aliases w:val="Heading Number Char,ADOTS Char,IBL List Paragraph Char,List Paragraph1 Char,Numbered Paragraph Char,Main numbered paragraph Char,Bullets Char,Colorful List - Accent 11 Char,List Paragraph (numbered (a)) Char,References Char,Ha Char"/>
    <w:basedOn w:val="DefaultParagraphFont"/>
    <w:link w:val="ListParagraph"/>
    <w:uiPriority w:val="34"/>
    <w:qFormat/>
    <w:locked/>
    <w:rsid w:val="00B81E9F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4463b2-e8b1-4da3-a06c-0ee4fb348e4b" xsi:nil="true"/>
    <lcf76f155ced4ddcb4097134ff3c332f xmlns="9a94900b-eed3-4fb5-9887-0403a5d7b76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91F51A633A741815F9A814B430572" ma:contentTypeVersion="16" ma:contentTypeDescription="Create a new document." ma:contentTypeScope="" ma:versionID="91925411b3b83318b4420f8065ef01a4">
  <xsd:schema xmlns:xsd="http://www.w3.org/2001/XMLSchema" xmlns:xs="http://www.w3.org/2001/XMLSchema" xmlns:p="http://schemas.microsoft.com/office/2006/metadata/properties" xmlns:ns2="9a94900b-eed3-4fb5-9887-0403a5d7b76c" xmlns:ns3="ae4463b2-e8b1-4da3-a06c-0ee4fb348e4b" targetNamespace="http://schemas.microsoft.com/office/2006/metadata/properties" ma:root="true" ma:fieldsID="b9f4dd793d762d3d398148e622889833" ns2:_="" ns3:_="">
    <xsd:import namespace="9a94900b-eed3-4fb5-9887-0403a5d7b76c"/>
    <xsd:import namespace="ae4463b2-e8b1-4da3-a06c-0ee4fb348e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4900b-eed3-4fb5-9887-0403a5d7b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2e2e3d-913c-45cc-8a86-8c027bc44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463b2-e8b1-4da3-a06c-0ee4fb348e4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2c546e9-6895-47fa-b927-e899cdd963c8}" ma:internalName="TaxCatchAll" ma:showField="CatchAllData" ma:web="ae4463b2-e8b1-4da3-a06c-0ee4fb348e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6A748-E99D-4CFE-A1F1-FAA713F996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766196-8B17-4714-953D-BFC2721E32CF}">
  <ds:schemaRefs>
    <ds:schemaRef ds:uri="http://schemas.microsoft.com/office/2006/metadata/properties"/>
    <ds:schemaRef ds:uri="http://schemas.microsoft.com/office/infopath/2007/PartnerControls"/>
    <ds:schemaRef ds:uri="ae4463b2-e8b1-4da3-a06c-0ee4fb348e4b"/>
    <ds:schemaRef ds:uri="9a94900b-eed3-4fb5-9887-0403a5d7b76c"/>
  </ds:schemaRefs>
</ds:datastoreItem>
</file>

<file path=customXml/itemProps3.xml><?xml version="1.0" encoding="utf-8"?>
<ds:datastoreItem xmlns:ds="http://schemas.openxmlformats.org/officeDocument/2006/customXml" ds:itemID="{EEDCCD20-0A8B-4CA2-9A19-CB288E774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4900b-eed3-4fb5-9887-0403a5d7b76c"/>
    <ds:schemaRef ds:uri="ae4463b2-e8b1-4da3-a06c-0ee4fb348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B3F86F-963E-434C-AAC7-041D451683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energy user</cp:lastModifiedBy>
  <cp:revision>3</cp:revision>
  <cp:lastPrinted>2023-05-30T17:28:00Z</cp:lastPrinted>
  <dcterms:created xsi:type="dcterms:W3CDTF">2023-06-02T10:44:00Z</dcterms:created>
  <dcterms:modified xsi:type="dcterms:W3CDTF">2023-06-02T10:50:00Z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0x010100D0E91F51A633A741815F9A814B430572</vt:lpwstr>
  </property>
  <property fmtid="{D5CDD505-2E9C-101B-9397-08002B2CF9AE}" pid="3" name="MediaServiceImageTags">
    <vt:lpwstr/>
  </property>
</Properties>
</file>