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0F83"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80FF83D"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7B2F6AE"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7AE45BA"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3B5EC94"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541B4D9"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4C39C76"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F56141D"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44E6DAF"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FD2A18D"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E8C62EE"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ABC33F5"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121FC45"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FD7BABB"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22385B5"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7CD2833"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48C1641"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D3E7A68"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527ADAC" w14:textId="2B8FE5B8" w:rsidR="00ED455F" w:rsidRPr="00A4763E" w:rsidRDefault="00C33328">
      <w:pPr>
        <w:pBdr>
          <w:top w:val="nil"/>
          <w:left w:val="nil"/>
          <w:bottom w:val="nil"/>
          <w:right w:val="nil"/>
          <w:between w:val="nil"/>
        </w:pBdr>
        <w:spacing w:after="0" w:line="276" w:lineRule="auto"/>
        <w:jc w:val="center"/>
        <w:rPr>
          <w:rFonts w:ascii="Arial" w:eastAsia="Arial" w:hAnsi="Arial" w:cs="Arial"/>
          <w:b/>
          <w:color w:val="000000"/>
          <w:sz w:val="24"/>
          <w:szCs w:val="24"/>
        </w:rPr>
      </w:pPr>
      <w:r w:rsidRPr="00A4763E">
        <w:rPr>
          <w:rFonts w:ascii="Arial" w:eastAsia="Arial" w:hAnsi="Arial" w:cs="Arial"/>
          <w:b/>
          <w:color w:val="000000"/>
          <w:sz w:val="24"/>
          <w:szCs w:val="24"/>
        </w:rPr>
        <w:t xml:space="preserve">АЖ АХУЙН </w:t>
      </w:r>
      <w:r w:rsidR="002C4121" w:rsidRPr="00A4763E">
        <w:rPr>
          <w:rFonts w:ascii="Arial" w:eastAsia="Arial" w:hAnsi="Arial" w:cs="Arial"/>
          <w:b/>
          <w:color w:val="000000"/>
          <w:sz w:val="24"/>
          <w:szCs w:val="24"/>
        </w:rPr>
        <w:t>НЭГЖИЙН ОРЛОГЫН АЛБАН ТАТВАРЫН ТУХАЙ ХУУЛЬД НЭМЭЛТ ОРУУЛАХ</w:t>
      </w:r>
      <w:r w:rsidRPr="00A4763E">
        <w:rPr>
          <w:rFonts w:ascii="Arial" w:eastAsia="Arial" w:hAnsi="Arial" w:cs="Arial"/>
          <w:b/>
          <w:color w:val="000000"/>
          <w:sz w:val="24"/>
          <w:szCs w:val="24"/>
        </w:rPr>
        <w:t xml:space="preserve"> ТУХАЙ </w:t>
      </w:r>
      <w:r w:rsidR="00B17188" w:rsidRPr="00A4763E">
        <w:rPr>
          <w:rFonts w:ascii="Arial" w:eastAsia="Arial" w:hAnsi="Arial" w:cs="Arial"/>
          <w:b/>
          <w:color w:val="000000"/>
          <w:sz w:val="24"/>
          <w:szCs w:val="24"/>
        </w:rPr>
        <w:t xml:space="preserve">ХУУЛИЙГ ХЭРЭГЖҮҮЛЭХТЭЙ ХОЛБОГДОН ГАРАХ </w:t>
      </w:r>
    </w:p>
    <w:p w14:paraId="2E3E4A32" w14:textId="77777777" w:rsidR="00ED455F" w:rsidRPr="00A4763E" w:rsidRDefault="00B17188">
      <w:pPr>
        <w:pBdr>
          <w:top w:val="nil"/>
          <w:left w:val="nil"/>
          <w:bottom w:val="nil"/>
          <w:right w:val="nil"/>
          <w:between w:val="nil"/>
        </w:pBdr>
        <w:spacing w:after="0" w:line="276" w:lineRule="auto"/>
        <w:jc w:val="center"/>
        <w:rPr>
          <w:rFonts w:ascii="Arial" w:eastAsia="Arial" w:hAnsi="Arial" w:cs="Arial"/>
          <w:b/>
          <w:color w:val="000000"/>
          <w:sz w:val="24"/>
          <w:szCs w:val="24"/>
        </w:rPr>
      </w:pPr>
      <w:r w:rsidRPr="00A4763E">
        <w:rPr>
          <w:rFonts w:ascii="Arial" w:eastAsia="Arial" w:hAnsi="Arial" w:cs="Arial"/>
          <w:b/>
          <w:color w:val="000000"/>
          <w:sz w:val="24"/>
          <w:szCs w:val="24"/>
        </w:rPr>
        <w:t xml:space="preserve">ЗАРДЛЫН ТООЦООНЫ ТАЙЛАН </w:t>
      </w:r>
    </w:p>
    <w:p w14:paraId="26B1282C"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55EE8D0" w14:textId="77777777" w:rsidR="00ED455F" w:rsidRPr="00A4763E" w:rsidRDefault="00ED455F">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51662AE" w14:textId="77777777" w:rsidR="00ED455F" w:rsidRPr="00A4763E" w:rsidRDefault="00ED455F">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6D4956F"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475B691"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2E99A17"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6C92DC8"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EEE5229"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7D2B627"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9A2C60B"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4945F99"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B2454FD"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BDD30AC"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5FA10A41"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0133C4D"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CFD23E6"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565704CC"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35FE292"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083DA6C"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0D5F43D8"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ABA6A72" w14:textId="77777777" w:rsidR="00ED455F" w:rsidRPr="00A4763E"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C925AFF" w14:textId="77777777" w:rsidR="00ED455F" w:rsidRPr="00A4763E" w:rsidRDefault="00ED455F">
      <w:pPr>
        <w:pBdr>
          <w:top w:val="nil"/>
          <w:left w:val="nil"/>
          <w:bottom w:val="nil"/>
          <w:right w:val="nil"/>
          <w:between w:val="nil"/>
        </w:pBdr>
        <w:spacing w:after="0" w:line="276" w:lineRule="auto"/>
        <w:rPr>
          <w:rFonts w:ascii="Arial" w:eastAsia="Arial" w:hAnsi="Arial" w:cs="Arial"/>
          <w:b/>
          <w:color w:val="000000"/>
          <w:sz w:val="24"/>
          <w:szCs w:val="24"/>
        </w:rPr>
      </w:pPr>
    </w:p>
    <w:p w14:paraId="15B9E2B3" w14:textId="52D0BAF7" w:rsidR="00ED455F" w:rsidRPr="00A4763E" w:rsidRDefault="00B17188">
      <w:pPr>
        <w:pBdr>
          <w:top w:val="nil"/>
          <w:left w:val="nil"/>
          <w:bottom w:val="nil"/>
          <w:right w:val="nil"/>
          <w:between w:val="nil"/>
        </w:pBdr>
        <w:spacing w:after="0" w:line="276" w:lineRule="auto"/>
        <w:jc w:val="center"/>
        <w:rPr>
          <w:rFonts w:ascii="Arial" w:eastAsia="Arial" w:hAnsi="Arial" w:cs="Arial"/>
          <w:b/>
          <w:color w:val="000000"/>
          <w:sz w:val="24"/>
          <w:szCs w:val="24"/>
        </w:rPr>
      </w:pPr>
      <w:r w:rsidRPr="00A4763E">
        <w:rPr>
          <w:rFonts w:ascii="Arial" w:eastAsia="Arial" w:hAnsi="Arial" w:cs="Arial"/>
          <w:b/>
          <w:color w:val="000000"/>
          <w:sz w:val="24"/>
          <w:szCs w:val="24"/>
        </w:rPr>
        <w:t>Улаанбаатар хот 20</w:t>
      </w:r>
      <w:r w:rsidRPr="00A4763E">
        <w:rPr>
          <w:rFonts w:ascii="Arial" w:eastAsia="Arial" w:hAnsi="Arial" w:cs="Arial"/>
          <w:b/>
          <w:sz w:val="24"/>
          <w:szCs w:val="24"/>
        </w:rPr>
        <w:t>2</w:t>
      </w:r>
      <w:r w:rsidR="00F0580F" w:rsidRPr="00A4763E">
        <w:rPr>
          <w:rFonts w:ascii="Arial" w:eastAsia="Arial" w:hAnsi="Arial" w:cs="Arial"/>
          <w:b/>
          <w:sz w:val="24"/>
          <w:szCs w:val="24"/>
        </w:rPr>
        <w:t>3</w:t>
      </w:r>
      <w:r w:rsidRPr="00A4763E">
        <w:rPr>
          <w:rFonts w:ascii="Arial" w:eastAsia="Arial" w:hAnsi="Arial" w:cs="Arial"/>
          <w:b/>
          <w:color w:val="000000"/>
          <w:sz w:val="24"/>
          <w:szCs w:val="24"/>
        </w:rPr>
        <w:t xml:space="preserve"> он </w:t>
      </w:r>
    </w:p>
    <w:p w14:paraId="7BEC006B" w14:textId="77777777" w:rsidR="002C4121" w:rsidRPr="00A4763E" w:rsidRDefault="002C4121" w:rsidP="002C4121">
      <w:pPr>
        <w:pBdr>
          <w:top w:val="nil"/>
          <w:left w:val="nil"/>
          <w:bottom w:val="nil"/>
          <w:right w:val="nil"/>
          <w:between w:val="nil"/>
        </w:pBdr>
        <w:spacing w:after="0" w:line="276" w:lineRule="auto"/>
        <w:jc w:val="center"/>
        <w:rPr>
          <w:rFonts w:ascii="Arial" w:eastAsia="Arial" w:hAnsi="Arial" w:cs="Arial"/>
          <w:b/>
          <w:color w:val="000000"/>
          <w:sz w:val="24"/>
          <w:szCs w:val="24"/>
        </w:rPr>
      </w:pPr>
      <w:bookmarkStart w:id="0" w:name="_heading=h.7rc65x7ulyqb" w:colFirst="0" w:colLast="0"/>
      <w:bookmarkEnd w:id="0"/>
      <w:r w:rsidRPr="00A4763E">
        <w:rPr>
          <w:rFonts w:ascii="Arial" w:eastAsia="Arial" w:hAnsi="Arial" w:cs="Arial"/>
          <w:b/>
          <w:color w:val="000000"/>
          <w:sz w:val="24"/>
          <w:szCs w:val="24"/>
        </w:rPr>
        <w:lastRenderedPageBreak/>
        <w:t xml:space="preserve">АЖ АХУЙН НЭГЖИЙН ОРЛОГЫН АЛБАН ТАТВАРЫН ТУХАЙ ХУУЛЬД НЭМЭЛТ ОРУУЛАХ ТУХАЙ ХУУЛИЙГ ХЭРЭГЖҮҮЛЭХТЭЙ ХОЛБОГДОН ГАРАХ </w:t>
      </w:r>
    </w:p>
    <w:p w14:paraId="27D8FAC4" w14:textId="77777777" w:rsidR="002C4121" w:rsidRPr="00A4763E" w:rsidRDefault="002C4121" w:rsidP="002C4121">
      <w:pPr>
        <w:pBdr>
          <w:top w:val="nil"/>
          <w:left w:val="nil"/>
          <w:bottom w:val="nil"/>
          <w:right w:val="nil"/>
          <w:between w:val="nil"/>
        </w:pBdr>
        <w:spacing w:after="0" w:line="276" w:lineRule="auto"/>
        <w:jc w:val="center"/>
        <w:rPr>
          <w:rFonts w:ascii="Arial" w:eastAsia="Arial" w:hAnsi="Arial" w:cs="Arial"/>
          <w:b/>
          <w:color w:val="000000"/>
          <w:sz w:val="24"/>
          <w:szCs w:val="24"/>
        </w:rPr>
      </w:pPr>
      <w:r w:rsidRPr="00A4763E">
        <w:rPr>
          <w:rFonts w:ascii="Arial" w:eastAsia="Arial" w:hAnsi="Arial" w:cs="Arial"/>
          <w:b/>
          <w:color w:val="000000"/>
          <w:sz w:val="24"/>
          <w:szCs w:val="24"/>
        </w:rPr>
        <w:t xml:space="preserve">ЗАРДЛЫН ТООЦООНЫ ТАЙЛАН </w:t>
      </w:r>
    </w:p>
    <w:p w14:paraId="3E910D85" w14:textId="77777777" w:rsidR="00ED455F" w:rsidRPr="00A4763E" w:rsidRDefault="00ED455F">
      <w:pPr>
        <w:pStyle w:val="Heading1"/>
        <w:spacing w:after="120" w:line="276" w:lineRule="auto"/>
        <w:rPr>
          <w:rFonts w:ascii="Arial" w:eastAsia="Arial" w:hAnsi="Arial" w:cs="Arial"/>
          <w:sz w:val="24"/>
          <w:szCs w:val="24"/>
        </w:rPr>
      </w:pPr>
    </w:p>
    <w:p w14:paraId="240B151D" w14:textId="671593E1" w:rsidR="00B5271F" w:rsidRPr="00A4763E" w:rsidRDefault="00B5271F" w:rsidP="0028593D">
      <w:pPr>
        <w:spacing w:line="276" w:lineRule="auto"/>
        <w:ind w:firstLine="567"/>
        <w:jc w:val="both"/>
        <w:rPr>
          <w:rFonts w:ascii="Arial" w:hAnsi="Arial" w:cs="Arial"/>
          <w:b/>
          <w:bCs/>
          <w:sz w:val="24"/>
          <w:szCs w:val="24"/>
        </w:rPr>
      </w:pPr>
      <w:bookmarkStart w:id="1" w:name="_heading=h.6tgh3hz3pihq" w:colFirst="0" w:colLast="0"/>
      <w:bookmarkEnd w:id="1"/>
      <w:r w:rsidRPr="00A4763E">
        <w:rPr>
          <w:rFonts w:ascii="Arial" w:hAnsi="Arial" w:cs="Arial"/>
          <w:b/>
          <w:bCs/>
          <w:sz w:val="24"/>
          <w:szCs w:val="24"/>
        </w:rPr>
        <w:t>НЭГ.ЕРӨНХИЙ ЗҮЙЛ</w:t>
      </w:r>
    </w:p>
    <w:p w14:paraId="552B533F" w14:textId="03E284BE" w:rsidR="0028593D" w:rsidRPr="00A4763E" w:rsidRDefault="0028593D" w:rsidP="0028593D">
      <w:pPr>
        <w:spacing w:line="276" w:lineRule="auto"/>
        <w:ind w:firstLine="567"/>
        <w:jc w:val="both"/>
        <w:rPr>
          <w:rFonts w:ascii="Arial" w:hAnsi="Arial" w:cs="Arial"/>
          <w:sz w:val="24"/>
          <w:szCs w:val="24"/>
        </w:rPr>
      </w:pPr>
      <w:r w:rsidRPr="00A4763E">
        <w:rPr>
          <w:rFonts w:ascii="Arial" w:hAnsi="Arial" w:cs="Arial"/>
          <w:sz w:val="24"/>
          <w:szCs w:val="24"/>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Pr="00A4763E">
        <w:rPr>
          <w:rFonts w:ascii="Arial" w:eastAsia="Arial" w:hAnsi="Arial" w:cs="Arial"/>
          <w:sz w:val="24"/>
          <w:szCs w:val="24"/>
        </w:rPr>
        <w:t xml:space="preserve">Аж ахуйн </w:t>
      </w:r>
      <w:r w:rsidRPr="00A4763E">
        <w:rPr>
          <w:rFonts w:ascii="Arial" w:eastAsia="Arial" w:hAnsi="Arial" w:cs="Arial"/>
          <w:bCs/>
          <w:sz w:val="24"/>
          <w:szCs w:val="24"/>
        </w:rPr>
        <w:t>нэгжийн орлогын албан татварын тухай хуульд нэмэлт оруулах</w:t>
      </w:r>
      <w:r w:rsidRPr="00A4763E">
        <w:rPr>
          <w:rFonts w:ascii="Arial" w:eastAsia="Arial" w:hAnsi="Arial" w:cs="Arial"/>
          <w:sz w:val="24"/>
          <w:szCs w:val="24"/>
        </w:rPr>
        <w:t xml:space="preserve"> тухай хуулийн</w:t>
      </w:r>
      <w:r w:rsidRPr="00A4763E">
        <w:rPr>
          <w:rFonts w:ascii="Arial" w:eastAsia="Arial" w:hAnsi="Arial" w:cs="Arial"/>
          <w:b/>
          <w:sz w:val="24"/>
          <w:szCs w:val="24"/>
        </w:rPr>
        <w:t xml:space="preserve"> </w:t>
      </w:r>
      <w:r w:rsidRPr="00A4763E">
        <w:rPr>
          <w:rFonts w:ascii="Arial" w:eastAsia="Arial" w:hAnsi="Arial" w:cs="Arial"/>
          <w:sz w:val="24"/>
          <w:szCs w:val="24"/>
        </w:rPr>
        <w:t>төсөл</w:t>
      </w:r>
      <w:r w:rsidRPr="00A4763E">
        <w:rPr>
          <w:rFonts w:ascii="Arial" w:hAnsi="Arial" w:cs="Arial"/>
          <w:sz w:val="24"/>
          <w:szCs w:val="24"/>
        </w:rPr>
        <w:t xml:space="preserve"> батлагдсанаар уг </w:t>
      </w:r>
      <w:r w:rsidR="00F1179B" w:rsidRPr="00A4763E">
        <w:rPr>
          <w:rFonts w:ascii="Arial" w:hAnsi="Arial" w:cs="Arial"/>
          <w:sz w:val="24"/>
          <w:szCs w:val="24"/>
        </w:rPr>
        <w:t>хуулийн</w:t>
      </w:r>
      <w:r w:rsidRPr="00A4763E">
        <w:rPr>
          <w:rFonts w:ascii="Arial" w:hAnsi="Arial" w:cs="Arial"/>
          <w:sz w:val="24"/>
          <w:szCs w:val="24"/>
        </w:rPr>
        <w:t xml:space="preserve">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 </w:t>
      </w:r>
    </w:p>
    <w:p w14:paraId="04324EEF" w14:textId="7C62A973" w:rsidR="0028593D" w:rsidRPr="00A4763E" w:rsidRDefault="0028593D" w:rsidP="0028593D">
      <w:pPr>
        <w:pStyle w:val="Heading1"/>
        <w:spacing w:after="120" w:line="276" w:lineRule="auto"/>
        <w:ind w:firstLine="567"/>
        <w:jc w:val="both"/>
        <w:rPr>
          <w:rFonts w:ascii="Arial" w:eastAsia="Arial" w:hAnsi="Arial" w:cs="Arial"/>
          <w:b w:val="0"/>
          <w:sz w:val="24"/>
          <w:szCs w:val="24"/>
        </w:rPr>
      </w:pPr>
      <w:r w:rsidRPr="00A4763E">
        <w:rPr>
          <w:rFonts w:ascii="Arial" w:eastAsia="Arial" w:hAnsi="Arial" w:cs="Arial"/>
          <w:b w:val="0"/>
          <w:sz w:val="24"/>
          <w:szCs w:val="24"/>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500F5186" w14:textId="77777777" w:rsidR="0028593D" w:rsidRPr="00A4763E" w:rsidRDefault="0028593D" w:rsidP="002F313D">
      <w:pPr>
        <w:pStyle w:val="Heading1"/>
        <w:spacing w:after="120" w:line="276" w:lineRule="auto"/>
        <w:ind w:firstLine="567"/>
        <w:jc w:val="both"/>
        <w:rPr>
          <w:rFonts w:ascii="Arial" w:eastAsia="Arial" w:hAnsi="Arial" w:cs="Arial"/>
          <w:b w:val="0"/>
          <w:sz w:val="24"/>
          <w:szCs w:val="24"/>
        </w:rPr>
      </w:pPr>
    </w:p>
    <w:p w14:paraId="40C4EE04" w14:textId="2A4A00A2" w:rsidR="0028593D" w:rsidRPr="00A4763E" w:rsidRDefault="0028593D" w:rsidP="0028593D">
      <w:pPr>
        <w:spacing w:line="276" w:lineRule="auto"/>
        <w:jc w:val="center"/>
        <w:rPr>
          <w:rFonts w:ascii="Arial" w:hAnsi="Arial" w:cs="Arial"/>
          <w:b/>
          <w:sz w:val="24"/>
          <w:szCs w:val="24"/>
        </w:rPr>
      </w:pPr>
      <w:r w:rsidRPr="00A4763E">
        <w:rPr>
          <w:rFonts w:ascii="Arial" w:hAnsi="Arial" w:cs="Arial"/>
          <w:b/>
          <w:sz w:val="24"/>
          <w:szCs w:val="24"/>
        </w:rPr>
        <w:t>ХОЁР.</w:t>
      </w:r>
      <w:r w:rsidRPr="00A4763E">
        <w:rPr>
          <w:rFonts w:ascii="Arial" w:hAnsi="Arial" w:cs="Arial"/>
          <w:sz w:val="24"/>
          <w:szCs w:val="24"/>
        </w:rPr>
        <w:t xml:space="preserve"> </w:t>
      </w:r>
      <w:r w:rsidR="006B472F" w:rsidRPr="00A4763E">
        <w:rPr>
          <w:rFonts w:ascii="Arial" w:eastAsia="Arial" w:hAnsi="Arial" w:cs="Arial"/>
          <w:b/>
          <w:color w:val="000000"/>
          <w:sz w:val="24"/>
          <w:szCs w:val="24"/>
        </w:rPr>
        <w:t xml:space="preserve">АЖ АХУЙН НЭГЖИЙН ОРЛОГЫН АЛБАН ТАТВАРЫН ТУХАЙ ХУУЛЬД НЭМЭЛТ ОРУУЛАХ ТУХАЙ ХУУЛЬ </w:t>
      </w:r>
      <w:r w:rsidRPr="00A4763E">
        <w:rPr>
          <w:rFonts w:ascii="Arial" w:hAnsi="Arial" w:cs="Arial"/>
          <w:b/>
          <w:sz w:val="24"/>
          <w:szCs w:val="24"/>
        </w:rPr>
        <w:t>БАТЛАГДСАНААР ИРГЭНД ҮҮСЭХ ЗАРДЛЫН ТАЛААР</w:t>
      </w:r>
    </w:p>
    <w:p w14:paraId="10078F67" w14:textId="6F8392C1" w:rsidR="0028593D" w:rsidRPr="00A4763E" w:rsidRDefault="00506588" w:rsidP="0028593D">
      <w:pPr>
        <w:spacing w:line="276" w:lineRule="auto"/>
        <w:ind w:firstLine="567"/>
        <w:jc w:val="both"/>
        <w:rPr>
          <w:rFonts w:ascii="Arial" w:hAnsi="Arial" w:cs="Arial"/>
          <w:sz w:val="24"/>
          <w:szCs w:val="24"/>
        </w:rPr>
      </w:pPr>
      <w:r w:rsidRPr="00A4763E">
        <w:rPr>
          <w:rFonts w:ascii="Arial" w:hAnsi="Arial" w:cs="Arial"/>
          <w:sz w:val="24"/>
          <w:szCs w:val="24"/>
        </w:rPr>
        <w:t xml:space="preserve">Хуулийн </w:t>
      </w:r>
      <w:r w:rsidR="0028593D" w:rsidRPr="00A4763E">
        <w:rPr>
          <w:rFonts w:ascii="Arial" w:hAnsi="Arial" w:cs="Arial"/>
          <w:sz w:val="24"/>
          <w:szCs w:val="24"/>
        </w:rPr>
        <w:t xml:space="preserve">төслөөр иргэдэд шинээр үүрэг гүйцэтгэхийг даалгаагүй байх тул зардал үүсгэх зохицуулалт байхгүй байна. </w:t>
      </w:r>
    </w:p>
    <w:p w14:paraId="0D15105A" w14:textId="4C65F505" w:rsidR="0028593D" w:rsidRPr="00A4763E" w:rsidRDefault="0028593D" w:rsidP="0028593D">
      <w:pPr>
        <w:spacing w:line="276" w:lineRule="auto"/>
        <w:ind w:firstLine="567"/>
        <w:jc w:val="both"/>
        <w:rPr>
          <w:rFonts w:ascii="Arial" w:hAnsi="Arial" w:cs="Arial"/>
          <w:sz w:val="24"/>
          <w:szCs w:val="24"/>
        </w:rPr>
      </w:pPr>
      <w:r w:rsidRPr="00A4763E">
        <w:rPr>
          <w:rFonts w:ascii="Arial" w:hAnsi="Arial" w:cs="Arial"/>
          <w:sz w:val="24"/>
          <w:szCs w:val="24"/>
        </w:rPr>
        <w:t xml:space="preserve">Иймд аргачлалд заасны дагуу цаашид зардал үүсгэх эсэхийг тооцоолох шаардлагагүй бөгөөд </w:t>
      </w:r>
      <w:r w:rsidR="002073BA" w:rsidRPr="00A4763E">
        <w:rPr>
          <w:rFonts w:ascii="Arial" w:hAnsi="Arial" w:cs="Arial"/>
          <w:sz w:val="24"/>
          <w:szCs w:val="24"/>
        </w:rPr>
        <w:t xml:space="preserve">эрчим хүчний салбарт хэрэгжүүлэх төсөл хөтөлбөрүүд нь </w:t>
      </w:r>
      <w:r w:rsidRPr="00A4763E">
        <w:rPr>
          <w:rFonts w:ascii="Arial" w:hAnsi="Arial" w:cs="Arial"/>
          <w:sz w:val="24"/>
          <w:szCs w:val="24"/>
        </w:rPr>
        <w:t xml:space="preserve">иргэнд зардал үүсгэхгүй гэж үзлээ. </w:t>
      </w:r>
    </w:p>
    <w:p w14:paraId="7C210D6E" w14:textId="78658E5A" w:rsidR="0028593D" w:rsidRPr="00A4763E" w:rsidRDefault="0028593D" w:rsidP="0028593D">
      <w:pPr>
        <w:spacing w:line="276" w:lineRule="auto"/>
        <w:ind w:firstLine="567"/>
        <w:jc w:val="center"/>
        <w:rPr>
          <w:rFonts w:ascii="Arial" w:hAnsi="Arial" w:cs="Arial"/>
          <w:b/>
          <w:sz w:val="24"/>
          <w:szCs w:val="24"/>
        </w:rPr>
      </w:pPr>
      <w:r w:rsidRPr="00A4763E">
        <w:rPr>
          <w:rFonts w:ascii="Arial" w:hAnsi="Arial" w:cs="Arial"/>
          <w:b/>
          <w:sz w:val="24"/>
          <w:szCs w:val="24"/>
        </w:rPr>
        <w:t>ГУРАВ.</w:t>
      </w:r>
      <w:r w:rsidRPr="00A4763E">
        <w:rPr>
          <w:rFonts w:ascii="Arial" w:hAnsi="Arial" w:cs="Arial"/>
          <w:sz w:val="24"/>
          <w:szCs w:val="24"/>
        </w:rPr>
        <w:t xml:space="preserve"> </w:t>
      </w:r>
      <w:r w:rsidR="007344D8" w:rsidRPr="00A4763E">
        <w:rPr>
          <w:rFonts w:ascii="Arial" w:eastAsia="Arial" w:hAnsi="Arial" w:cs="Arial"/>
          <w:b/>
          <w:color w:val="000000"/>
          <w:sz w:val="24"/>
          <w:szCs w:val="24"/>
        </w:rPr>
        <w:t xml:space="preserve">АЖ АХУЙН НЭГЖИЙН ОРЛОГЫН АЛБАН ТАТВАРЫН ТУХАЙ ХУУЛЬД НЭМЭЛТ ОРУУЛАХ ТУХАЙ ХУУЛЬ </w:t>
      </w:r>
      <w:r w:rsidR="007344D8" w:rsidRPr="00A4763E">
        <w:rPr>
          <w:rFonts w:ascii="Arial" w:hAnsi="Arial" w:cs="Arial"/>
          <w:b/>
          <w:sz w:val="24"/>
          <w:szCs w:val="24"/>
        </w:rPr>
        <w:t xml:space="preserve">БАТЛАГДСАНААР </w:t>
      </w:r>
      <w:r w:rsidRPr="00A4763E">
        <w:rPr>
          <w:rFonts w:ascii="Arial" w:hAnsi="Arial" w:cs="Arial"/>
          <w:b/>
          <w:sz w:val="24"/>
          <w:szCs w:val="24"/>
        </w:rPr>
        <w:t>ХУУЛИЙН ЭТГЭЭДЭД ҮҮСЭХ ЗАРДЛЫН ТАЛААР</w:t>
      </w:r>
    </w:p>
    <w:p w14:paraId="1F183C94" w14:textId="77777777" w:rsidR="00083B33" w:rsidRPr="00A4763E" w:rsidRDefault="00814910" w:rsidP="0028593D">
      <w:pPr>
        <w:spacing w:line="276" w:lineRule="auto"/>
        <w:ind w:firstLine="567"/>
        <w:jc w:val="both"/>
        <w:rPr>
          <w:rFonts w:ascii="Arial" w:hAnsi="Arial" w:cs="Arial"/>
          <w:sz w:val="24"/>
          <w:szCs w:val="24"/>
        </w:rPr>
      </w:pPr>
      <w:r w:rsidRPr="00A4763E">
        <w:rPr>
          <w:rFonts w:ascii="Arial" w:hAnsi="Arial" w:cs="Arial"/>
          <w:sz w:val="24"/>
          <w:szCs w:val="24"/>
        </w:rPr>
        <w:t>Үндэсний статистикийн хорооны тархаасан мэдээ</w:t>
      </w:r>
      <w:r w:rsidR="000A43F9" w:rsidRPr="00A4763E">
        <w:rPr>
          <w:rFonts w:ascii="Arial" w:hAnsi="Arial" w:cs="Arial"/>
          <w:sz w:val="24"/>
          <w:szCs w:val="24"/>
        </w:rPr>
        <w:t>гээр 2021 онд үйл ажиллагаа явуулж байгаа аж ахуйн нэгжийн тоо 81</w:t>
      </w:r>
      <w:r w:rsidR="00124D52" w:rsidRPr="00A4763E">
        <w:rPr>
          <w:rFonts w:ascii="Arial" w:hAnsi="Arial" w:cs="Arial"/>
          <w:sz w:val="24"/>
          <w:szCs w:val="24"/>
        </w:rPr>
        <w:t>,</w:t>
      </w:r>
      <w:r w:rsidR="000A43F9" w:rsidRPr="00A4763E">
        <w:rPr>
          <w:rFonts w:ascii="Arial" w:hAnsi="Arial" w:cs="Arial"/>
          <w:sz w:val="24"/>
          <w:szCs w:val="24"/>
        </w:rPr>
        <w:t xml:space="preserve">533 байгаа тухай дурджээ. </w:t>
      </w:r>
      <w:r w:rsidR="00124D52" w:rsidRPr="00A4763E">
        <w:rPr>
          <w:rFonts w:ascii="Arial" w:hAnsi="Arial" w:cs="Arial"/>
          <w:sz w:val="24"/>
          <w:szCs w:val="24"/>
        </w:rPr>
        <w:t xml:space="preserve">Энэ нь ковидын өмнө 96,336 аж ахуйн нэгж байснаас 15.4%-иар буурсан байна. </w:t>
      </w:r>
    </w:p>
    <w:p w14:paraId="5496FC67" w14:textId="3E7FBF8E" w:rsidR="002D3EF4" w:rsidRPr="00A4763E" w:rsidRDefault="00124D52" w:rsidP="0028593D">
      <w:pPr>
        <w:spacing w:line="276" w:lineRule="auto"/>
        <w:ind w:firstLine="567"/>
        <w:jc w:val="both"/>
        <w:rPr>
          <w:rFonts w:ascii="Arial" w:hAnsi="Arial" w:cs="Arial"/>
          <w:sz w:val="24"/>
          <w:szCs w:val="24"/>
        </w:rPr>
      </w:pPr>
      <w:r w:rsidRPr="00A4763E">
        <w:rPr>
          <w:rFonts w:ascii="Arial" w:hAnsi="Arial" w:cs="Arial"/>
          <w:sz w:val="24"/>
          <w:szCs w:val="24"/>
        </w:rPr>
        <w:t xml:space="preserve">Эрчим хүчний салбарын </w:t>
      </w:r>
      <w:r w:rsidR="004B11B2" w:rsidRPr="00A4763E">
        <w:rPr>
          <w:rFonts w:ascii="Arial" w:hAnsi="Arial" w:cs="Arial"/>
          <w:sz w:val="24"/>
          <w:szCs w:val="24"/>
        </w:rPr>
        <w:t>чиглэлээр 5МВт-аас дээш хүчин чадалтай эрчим хүчний барилга байгууламж барих тусгай зөвшөөрөлтэй аж ахуйн нэгжийн тоо 51, эрчим хүч үйлдвэрлэх, дамжуулах, түгээх, хангах үйл ажиллагаа явуулж байгаа Төрийн болон хувийн хэвшлийн 47 компани байна.</w:t>
      </w:r>
      <w:r w:rsidR="00083B33" w:rsidRPr="00A4763E">
        <w:rPr>
          <w:rFonts w:ascii="Arial" w:hAnsi="Arial" w:cs="Arial"/>
          <w:sz w:val="24"/>
          <w:szCs w:val="24"/>
        </w:rPr>
        <w:t xml:space="preserve"> Үйл ажиллагаа явуулж буй нийт компаниудаас 3 систем компани, цахилгаан дулаан хослон үйлдвэрлэх үйлдвэрлэх </w:t>
      </w:r>
      <w:r w:rsidR="00083B33" w:rsidRPr="00A4763E">
        <w:rPr>
          <w:rFonts w:ascii="Arial" w:hAnsi="Arial" w:cs="Arial"/>
          <w:sz w:val="24"/>
          <w:szCs w:val="24"/>
        </w:rPr>
        <w:lastRenderedPageBreak/>
        <w:t>9 компани, дулааны эрчим хүч үйлдвэрлэх 7 компани, орон нутгийн дулааны 10 компани, дамжуулах түгээх 14 компани тус тус үйл ажиллагаа явуулж байна.</w:t>
      </w:r>
    </w:p>
    <w:p w14:paraId="6C9925AB" w14:textId="0BE78EB4" w:rsidR="00083B33" w:rsidRPr="00A4763E" w:rsidRDefault="001604B4" w:rsidP="0028593D">
      <w:pPr>
        <w:spacing w:line="276" w:lineRule="auto"/>
        <w:ind w:firstLine="567"/>
        <w:jc w:val="both"/>
        <w:rPr>
          <w:rFonts w:ascii="Arial" w:hAnsi="Arial" w:cs="Arial"/>
          <w:sz w:val="24"/>
          <w:szCs w:val="24"/>
        </w:rPr>
      </w:pPr>
      <w:r w:rsidRPr="00A4763E">
        <w:rPr>
          <w:rFonts w:ascii="Arial" w:hAnsi="Arial" w:cs="Arial"/>
          <w:sz w:val="24"/>
          <w:szCs w:val="24"/>
        </w:rPr>
        <w:t>Эрчим хүчний салбарт 2022 оны байдлаар 12809 хүн ажиллаж</w:t>
      </w:r>
      <w:r w:rsidR="00F1351A" w:rsidRPr="00A4763E">
        <w:rPr>
          <w:rFonts w:ascii="Arial" w:hAnsi="Arial" w:cs="Arial"/>
          <w:sz w:val="24"/>
          <w:szCs w:val="24"/>
        </w:rPr>
        <w:t xml:space="preserve">, цалингийн зардал 388.4 тэрбум төгрөгт хүрсэн боловч зардалд эзлэх хувь 28.1%-аас 12.6% хүртэл буурсан байна. Энэ нь цалингаас бусад зардлууд тухайлбал түлш, сэлбэг материал, тээврийн зардлууд ихээхэн нэмэгдсэн нь шууд нөлөөлсөн байна.  </w:t>
      </w:r>
    </w:p>
    <w:p w14:paraId="3965BBEA" w14:textId="5A8049B7" w:rsidR="00AD5563" w:rsidRPr="00A4763E" w:rsidRDefault="00F1351A" w:rsidP="00F1351A">
      <w:pPr>
        <w:spacing w:line="276" w:lineRule="auto"/>
        <w:jc w:val="both"/>
        <w:rPr>
          <w:rFonts w:ascii="Arial" w:hAnsi="Arial" w:cs="Arial"/>
          <w:sz w:val="24"/>
          <w:szCs w:val="24"/>
        </w:rPr>
      </w:pPr>
      <w:r w:rsidRPr="00A4763E">
        <w:rPr>
          <w:noProof/>
        </w:rPr>
        <w:drawing>
          <wp:inline distT="0" distB="0" distL="0" distR="0" wp14:anchorId="0698E686" wp14:editId="32D04B84">
            <wp:extent cx="5829300" cy="4438650"/>
            <wp:effectExtent l="19050" t="1905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D5563" w:rsidRPr="00A4763E">
        <w:rPr>
          <w:rFonts w:ascii="Arial" w:hAnsi="Arial" w:cs="Arial"/>
          <w:sz w:val="24"/>
          <w:szCs w:val="24"/>
        </w:rPr>
        <w:t xml:space="preserve">Өөрчлөлтийн хүрээнд үүсэх </w:t>
      </w:r>
      <w:r w:rsidR="00DF4E4D" w:rsidRPr="00A4763E">
        <w:rPr>
          <w:rFonts w:ascii="Arial" w:hAnsi="Arial" w:cs="Arial"/>
          <w:sz w:val="24"/>
          <w:szCs w:val="24"/>
        </w:rPr>
        <w:t xml:space="preserve">энэхүү ажилбарын хүрээнд хуулийн этгээдэд үүсэх зардлын тооцооллыг хийж үзье. </w:t>
      </w:r>
    </w:p>
    <w:p w14:paraId="72941CBC" w14:textId="6E580CD0" w:rsidR="00DF588E" w:rsidRPr="00A4763E" w:rsidRDefault="00F1351A" w:rsidP="0028593D">
      <w:pPr>
        <w:spacing w:line="276" w:lineRule="auto"/>
        <w:ind w:firstLine="567"/>
        <w:jc w:val="both"/>
        <w:rPr>
          <w:rFonts w:ascii="Arial" w:hAnsi="Arial" w:cs="Arial"/>
          <w:sz w:val="24"/>
          <w:szCs w:val="24"/>
        </w:rPr>
      </w:pPr>
      <w:r w:rsidRPr="00A4763E">
        <w:rPr>
          <w:rFonts w:ascii="Arial" w:eastAsia="Arial" w:hAnsi="Arial" w:cs="Arial"/>
          <w:sz w:val="24"/>
          <w:szCs w:val="24"/>
        </w:rPr>
        <w:t xml:space="preserve">Аж ахуйн </w:t>
      </w:r>
      <w:r w:rsidRPr="00A4763E">
        <w:rPr>
          <w:rFonts w:ascii="Arial" w:eastAsia="Arial" w:hAnsi="Arial" w:cs="Arial"/>
          <w:bCs/>
          <w:sz w:val="24"/>
          <w:szCs w:val="24"/>
        </w:rPr>
        <w:t>нэгжийн орлогын албан татварын тухай хуульд нэмэлт оруулах</w:t>
      </w:r>
      <w:r w:rsidRPr="00A4763E">
        <w:rPr>
          <w:rFonts w:ascii="Arial" w:eastAsia="Arial" w:hAnsi="Arial" w:cs="Arial"/>
          <w:sz w:val="24"/>
          <w:szCs w:val="24"/>
        </w:rPr>
        <w:t xml:space="preserve"> тухай хуулийн</w:t>
      </w:r>
      <w:r w:rsidRPr="00A4763E">
        <w:rPr>
          <w:rFonts w:ascii="Arial" w:eastAsia="Arial" w:hAnsi="Arial" w:cs="Arial"/>
          <w:b/>
          <w:sz w:val="24"/>
          <w:szCs w:val="24"/>
        </w:rPr>
        <w:t xml:space="preserve"> </w:t>
      </w:r>
      <w:r w:rsidRPr="00A4763E">
        <w:rPr>
          <w:rFonts w:ascii="Arial" w:eastAsia="Arial" w:hAnsi="Arial" w:cs="Arial"/>
          <w:sz w:val="24"/>
          <w:szCs w:val="24"/>
        </w:rPr>
        <w:t>төсөл</w:t>
      </w:r>
      <w:r w:rsidRPr="00A4763E">
        <w:rPr>
          <w:rFonts w:ascii="Arial" w:hAnsi="Arial" w:cs="Arial"/>
          <w:sz w:val="24"/>
          <w:szCs w:val="24"/>
        </w:rPr>
        <w:t xml:space="preserve"> батлагдсанаар дотоодын 5МВт-аас дээш хүчин чадалтай эрчим хүчний барилга байгууламж барих тусгай зөвшөөрөлтэй 51 аж ахуйн нэгж, эрчим хүч үйлдвэрлэх, дамжуулах, түгээх, хангах үйл ажиллагаа явуулж байгаа Төрийн болон хувийн хэвшлийн 47 компаниуд </w:t>
      </w:r>
      <w:r w:rsidR="001D2BD0" w:rsidRPr="00A4763E">
        <w:rPr>
          <w:rFonts w:ascii="Arial" w:hAnsi="Arial" w:cs="Arial"/>
          <w:sz w:val="24"/>
          <w:szCs w:val="24"/>
        </w:rPr>
        <w:t xml:space="preserve">хуулийн өөрчлөлтийн үр өгөөжийг </w:t>
      </w:r>
      <w:r w:rsidR="00DE5109" w:rsidRPr="00A4763E">
        <w:rPr>
          <w:rFonts w:ascii="Arial" w:hAnsi="Arial" w:cs="Arial"/>
          <w:sz w:val="24"/>
          <w:szCs w:val="24"/>
        </w:rPr>
        <w:t xml:space="preserve">хүртэнэ гэсэн үг юм. </w:t>
      </w:r>
    </w:p>
    <w:p w14:paraId="4E2C9E50" w14:textId="2CBF93F5" w:rsidR="002A3215" w:rsidRPr="00A4763E" w:rsidRDefault="002A3215" w:rsidP="002A3215">
      <w:pPr>
        <w:spacing w:line="276" w:lineRule="auto"/>
        <w:ind w:firstLine="567"/>
        <w:jc w:val="both"/>
        <w:rPr>
          <w:rFonts w:ascii="Arial" w:hAnsi="Arial" w:cs="Arial"/>
          <w:sz w:val="24"/>
          <w:szCs w:val="24"/>
        </w:rPr>
      </w:pPr>
      <w:r w:rsidRPr="00A4763E">
        <w:rPr>
          <w:rFonts w:ascii="Arial" w:hAnsi="Arial" w:cs="Arial"/>
          <w:sz w:val="24"/>
          <w:szCs w:val="24"/>
        </w:rPr>
        <w:t>Иймд д</w:t>
      </w:r>
      <w:r w:rsidR="00A72EBB" w:rsidRPr="00A4763E">
        <w:rPr>
          <w:rFonts w:ascii="Arial" w:hAnsi="Arial" w:cs="Arial"/>
          <w:sz w:val="24"/>
          <w:szCs w:val="24"/>
        </w:rPr>
        <w:t>ээрх</w:t>
      </w:r>
      <w:r w:rsidRPr="00A4763E">
        <w:rPr>
          <w:rFonts w:ascii="Arial" w:hAnsi="Arial" w:cs="Arial"/>
          <w:sz w:val="24"/>
          <w:szCs w:val="24"/>
        </w:rPr>
        <w:t xml:space="preserve"> дотоодын аж ахуйн нэгжүүдийн үйл ажиллагаанд нэмэлт зардал үүсэхгүй харин үндсэн үйл ажиллагаанд ноогдох албан татварын 90% хөнгөлөлт эдлэх тул энэ аргачлалд заасны дагуу цаашид зардал үүсгэх эсэхийг тооцоолох шаардлагагүй бөгөөд эрчим хүчний салбарт хэрэгжүүлэх төсөл хөтөлбөрүүд нь аж ахуйн нэгжүүдэд зардал үүсгэхгүй гэж үзлээ. </w:t>
      </w:r>
    </w:p>
    <w:p w14:paraId="54C8AFDB" w14:textId="67F61585" w:rsidR="00660F8C" w:rsidRPr="00A4763E" w:rsidRDefault="0028593D" w:rsidP="00660F8C">
      <w:pPr>
        <w:spacing w:line="276" w:lineRule="auto"/>
        <w:jc w:val="center"/>
        <w:rPr>
          <w:rFonts w:ascii="Arial" w:hAnsi="Arial" w:cs="Arial"/>
          <w:b/>
          <w:sz w:val="24"/>
          <w:szCs w:val="24"/>
        </w:rPr>
      </w:pPr>
      <w:r w:rsidRPr="00A4763E">
        <w:rPr>
          <w:rFonts w:ascii="Arial" w:hAnsi="Arial" w:cs="Arial"/>
          <w:b/>
          <w:sz w:val="24"/>
          <w:szCs w:val="24"/>
        </w:rPr>
        <w:lastRenderedPageBreak/>
        <w:t>ДӨРӨВ.</w:t>
      </w:r>
      <w:r w:rsidRPr="00A4763E">
        <w:rPr>
          <w:rFonts w:ascii="Arial" w:hAnsi="Arial" w:cs="Arial"/>
          <w:sz w:val="24"/>
          <w:szCs w:val="24"/>
        </w:rPr>
        <w:t xml:space="preserve"> </w:t>
      </w:r>
      <w:r w:rsidR="00660F8C" w:rsidRPr="00A4763E">
        <w:rPr>
          <w:rFonts w:ascii="Arial" w:eastAsia="Arial" w:hAnsi="Arial" w:cs="Arial"/>
          <w:b/>
          <w:color w:val="000000"/>
          <w:sz w:val="24"/>
          <w:szCs w:val="24"/>
        </w:rPr>
        <w:t xml:space="preserve">АЖ АХУЙН НЭГЖИЙН ОРЛОГЫН АЛБАН ТАТВАРЫН ТУХАЙ ХУУЛЬД НЭМЭЛТ ОРУУЛАХ ТУХАЙ ХУУЛЬ </w:t>
      </w:r>
      <w:r w:rsidR="00660F8C" w:rsidRPr="00A4763E">
        <w:rPr>
          <w:rFonts w:ascii="Arial" w:hAnsi="Arial" w:cs="Arial"/>
          <w:b/>
          <w:sz w:val="24"/>
          <w:szCs w:val="24"/>
        </w:rPr>
        <w:t>БАТЛАГДСАНААР</w:t>
      </w:r>
      <w:r w:rsidR="00F65244" w:rsidRPr="00A4763E">
        <w:rPr>
          <w:rFonts w:ascii="Arial" w:hAnsi="Arial" w:cs="Arial"/>
          <w:b/>
          <w:sz w:val="24"/>
          <w:szCs w:val="24"/>
        </w:rPr>
        <w:t xml:space="preserve"> ТӨРД ҮҮСЭХ ЗАРДЛЫН ТАЛААР</w:t>
      </w:r>
    </w:p>
    <w:p w14:paraId="2F0FC831" w14:textId="1B2D0621" w:rsidR="0028593D" w:rsidRPr="00A4763E" w:rsidRDefault="00660F8C" w:rsidP="00FA3EE3">
      <w:pPr>
        <w:spacing w:line="276" w:lineRule="auto"/>
        <w:ind w:firstLine="720"/>
        <w:jc w:val="both"/>
        <w:rPr>
          <w:rFonts w:ascii="Arial" w:hAnsi="Arial" w:cs="Arial"/>
          <w:sz w:val="24"/>
          <w:szCs w:val="24"/>
        </w:rPr>
      </w:pPr>
      <w:r w:rsidRPr="00A4763E">
        <w:rPr>
          <w:rFonts w:ascii="Arial" w:eastAsia="Arial" w:hAnsi="Arial" w:cs="Arial"/>
          <w:sz w:val="24"/>
          <w:szCs w:val="24"/>
        </w:rPr>
        <w:t xml:space="preserve">Аж ахуйн </w:t>
      </w:r>
      <w:r w:rsidRPr="00A4763E">
        <w:rPr>
          <w:rFonts w:ascii="Arial" w:eastAsia="Arial" w:hAnsi="Arial" w:cs="Arial"/>
          <w:bCs/>
          <w:sz w:val="24"/>
          <w:szCs w:val="24"/>
        </w:rPr>
        <w:t>нэгжийн орлогын албан татварын тухай хуульд нэмэлт оруулах</w:t>
      </w:r>
      <w:r w:rsidRPr="00A4763E">
        <w:rPr>
          <w:rFonts w:ascii="Arial" w:eastAsia="Arial" w:hAnsi="Arial" w:cs="Arial"/>
          <w:sz w:val="24"/>
          <w:szCs w:val="24"/>
        </w:rPr>
        <w:t xml:space="preserve"> тухай хуулийн</w:t>
      </w:r>
      <w:r w:rsidRPr="00A4763E">
        <w:rPr>
          <w:rFonts w:ascii="Arial" w:eastAsia="Arial" w:hAnsi="Arial" w:cs="Arial"/>
          <w:b/>
          <w:sz w:val="24"/>
          <w:szCs w:val="24"/>
        </w:rPr>
        <w:t xml:space="preserve"> </w:t>
      </w:r>
      <w:r w:rsidRPr="00A4763E">
        <w:rPr>
          <w:rFonts w:ascii="Arial" w:eastAsia="Arial" w:hAnsi="Arial" w:cs="Arial"/>
          <w:sz w:val="24"/>
          <w:szCs w:val="24"/>
        </w:rPr>
        <w:t xml:space="preserve">төслийн </w:t>
      </w:r>
      <w:r w:rsidR="0028593D" w:rsidRPr="00A4763E">
        <w:rPr>
          <w:rFonts w:ascii="Arial" w:hAnsi="Arial" w:cs="Arial"/>
          <w:sz w:val="24"/>
          <w:szCs w:val="24"/>
        </w:rPr>
        <w:t>дагуу төрийн байгууллага буюу улсын төсөвт үүсэх зардлыг тооцоол</w:t>
      </w:r>
      <w:r w:rsidR="00FA3EE3" w:rsidRPr="00A4763E">
        <w:rPr>
          <w:rFonts w:ascii="Arial" w:hAnsi="Arial" w:cs="Arial"/>
          <w:sz w:val="24"/>
          <w:szCs w:val="24"/>
        </w:rPr>
        <w:t xml:space="preserve">лоо. </w:t>
      </w:r>
    </w:p>
    <w:p w14:paraId="088CAB2F" w14:textId="71CD0C99" w:rsidR="001947F1" w:rsidRPr="00A4763E" w:rsidRDefault="001947F1" w:rsidP="001947F1">
      <w:pPr>
        <w:spacing w:line="276" w:lineRule="auto"/>
        <w:ind w:firstLine="567"/>
        <w:jc w:val="both"/>
        <w:rPr>
          <w:rFonts w:ascii="Arial" w:hAnsi="Arial" w:cs="Arial"/>
          <w:sz w:val="24"/>
          <w:szCs w:val="24"/>
        </w:rPr>
      </w:pPr>
      <w:r w:rsidRPr="00A4763E">
        <w:rPr>
          <w:rFonts w:ascii="Arial" w:hAnsi="Arial" w:cs="Arial"/>
          <w:sz w:val="24"/>
          <w:szCs w:val="24"/>
        </w:rPr>
        <w:t xml:space="preserve">Мөрдөгдөж буй аж ахуй нэгжийн орлогын албан татварын тухай хуулиар тухайн хуулийн этгээдийг татвар ногдуулах орлого болон борлуулалтын орлогын хэмжээгээр нь хэд хэдэн бүлгүүдэд хуваасан бөгөөд жилийн 300 сая хүртэлх орлоготой аж ахуй нэгжүүд нь 1 хувийн татвартай, 300 саяас 1,5 тэрбум хүртэлх орлоготой аж ахуйн нэгжүүд нь 10 хувийн </w:t>
      </w:r>
      <w:r w:rsidR="00BC5443" w:rsidRPr="00A4763E">
        <w:rPr>
          <w:rFonts w:ascii="Arial" w:hAnsi="Arial" w:cs="Arial"/>
          <w:sz w:val="24"/>
          <w:szCs w:val="24"/>
        </w:rPr>
        <w:t>татварынхаа</w:t>
      </w:r>
      <w:r w:rsidRPr="00A4763E">
        <w:rPr>
          <w:rFonts w:ascii="Arial" w:hAnsi="Arial" w:cs="Arial"/>
          <w:sz w:val="24"/>
          <w:szCs w:val="24"/>
        </w:rPr>
        <w:t xml:space="preserve"> 90 хувийг нь буцаан авах боломжтой, 6 тэрбум хүртэл татвар ногдох орлоготой бол 10 хувийн татвартай, түүнээс дээш татвар ногдох орлоготой бол 6 тэрбумаас </w:t>
      </w:r>
      <w:r w:rsidR="00BC5443" w:rsidRPr="00A4763E">
        <w:rPr>
          <w:rFonts w:ascii="Arial" w:hAnsi="Arial" w:cs="Arial"/>
          <w:sz w:val="24"/>
          <w:szCs w:val="24"/>
        </w:rPr>
        <w:t>дээших</w:t>
      </w:r>
      <w:r w:rsidRPr="00A4763E">
        <w:rPr>
          <w:rFonts w:ascii="Arial" w:hAnsi="Arial" w:cs="Arial"/>
          <w:sz w:val="24"/>
          <w:szCs w:val="24"/>
        </w:rPr>
        <w:t xml:space="preserve"> дүнгийн 25 хувийн татвартай байхаар хуульчилсан. Нийт татварын орлогын дийлэнх хэс</w:t>
      </w:r>
      <w:r w:rsidR="00BC5443" w:rsidRPr="00A4763E">
        <w:rPr>
          <w:rFonts w:ascii="Arial" w:hAnsi="Arial" w:cs="Arial"/>
          <w:sz w:val="24"/>
          <w:szCs w:val="24"/>
        </w:rPr>
        <w:t>г</w:t>
      </w:r>
      <w:r w:rsidRPr="00A4763E">
        <w:rPr>
          <w:rFonts w:ascii="Arial" w:hAnsi="Arial" w:cs="Arial"/>
          <w:sz w:val="24"/>
          <w:szCs w:val="24"/>
        </w:rPr>
        <w:t xml:space="preserve">ийг татвар ногдох 10 ба 25 хувийн татвартай компани, аж ахуйн нэгжүүд бүрдүүлдэг судалгаа бий. </w:t>
      </w:r>
    </w:p>
    <w:p w14:paraId="7B4E1A72" w14:textId="3D565066" w:rsidR="001C7AAC" w:rsidRPr="00A4763E" w:rsidRDefault="00902CC5" w:rsidP="0028593D">
      <w:pPr>
        <w:spacing w:line="276" w:lineRule="auto"/>
        <w:ind w:firstLine="567"/>
        <w:jc w:val="both"/>
        <w:rPr>
          <w:rFonts w:ascii="Arial" w:hAnsi="Arial" w:cs="Arial"/>
          <w:sz w:val="24"/>
          <w:szCs w:val="24"/>
        </w:rPr>
      </w:pPr>
      <w:r w:rsidRPr="00A4763E">
        <w:rPr>
          <w:rFonts w:ascii="Arial" w:hAnsi="Arial" w:cs="Arial"/>
          <w:sz w:val="24"/>
          <w:szCs w:val="24"/>
        </w:rPr>
        <w:t xml:space="preserve">Дээр дурдсан 5МВт-аас дээш хүчин чадалтай эрчим хүчний барилга байгууламж барих тусгай зөвшөөрөлтэй 51 аж ахуйн нэгжийн 19 нь уламжлалт буюу нүүрсээр ажиллах дулаан, цахилгааны эх үүсвэр барих, түүний үндсэн болон туслах тоноглол үйлдвэрлэх, угсрах зөвшөөрөлтэй байна. </w:t>
      </w:r>
      <w:r w:rsidR="001C7AAC" w:rsidRPr="00A4763E">
        <w:rPr>
          <w:rFonts w:ascii="Arial" w:hAnsi="Arial" w:cs="Arial"/>
          <w:sz w:val="24"/>
          <w:szCs w:val="24"/>
        </w:rPr>
        <w:t>Мөн дулаан цахилгаан хослон үйлдвэрлэх 9 станц, дулааны эрчим хүч үйлдвэрлэх 17 компани хуулийн үйлчлэлд хамаарагдана.</w:t>
      </w:r>
    </w:p>
    <w:p w14:paraId="0AD79531" w14:textId="1A9511AD" w:rsidR="0087007F" w:rsidRPr="00A4763E" w:rsidRDefault="001C7AAC" w:rsidP="0028593D">
      <w:pPr>
        <w:spacing w:line="276" w:lineRule="auto"/>
        <w:ind w:firstLine="567"/>
        <w:jc w:val="both"/>
        <w:rPr>
          <w:rFonts w:ascii="Arial" w:hAnsi="Arial" w:cs="Arial"/>
          <w:sz w:val="24"/>
          <w:szCs w:val="24"/>
        </w:rPr>
      </w:pPr>
      <w:r w:rsidRPr="00A4763E">
        <w:rPr>
          <w:rFonts w:ascii="Arial" w:hAnsi="Arial" w:cs="Arial"/>
          <w:sz w:val="24"/>
          <w:szCs w:val="24"/>
        </w:rPr>
        <w:t xml:space="preserve">Харин </w:t>
      </w:r>
      <w:r w:rsidR="00902CC5" w:rsidRPr="00A4763E">
        <w:rPr>
          <w:rFonts w:ascii="Arial" w:hAnsi="Arial" w:cs="Arial"/>
          <w:sz w:val="24"/>
          <w:szCs w:val="24"/>
        </w:rPr>
        <w:t>Сэргээгдэх эрчим хүчний эх үүсвэр барих тусгай зөвшөөрөлтэй 25 компани</w:t>
      </w:r>
      <w:r w:rsidRPr="00A4763E">
        <w:rPr>
          <w:rFonts w:ascii="Arial" w:hAnsi="Arial" w:cs="Arial"/>
          <w:sz w:val="24"/>
          <w:szCs w:val="24"/>
        </w:rPr>
        <w:t xml:space="preserve">, одоо үйл ажиллагаа явуулж байгаа 9 компани </w:t>
      </w:r>
      <w:r w:rsidR="00902CC5" w:rsidRPr="00A4763E">
        <w:rPr>
          <w:rFonts w:ascii="Arial" w:hAnsi="Arial" w:cs="Arial"/>
          <w:sz w:val="24"/>
          <w:szCs w:val="24"/>
        </w:rPr>
        <w:t>тусдаа сэргээгдэх эрчим хүчний тухай хууль, мөн бусад татварын чөлөөлөлт, хөнгөлөлт үзүүлэх зохицуулалтууд бий тул энэ хуулийн үйлчлэлд хамаарагдахгүй гэж үзлээ.</w:t>
      </w:r>
    </w:p>
    <w:p w14:paraId="28144DD5" w14:textId="288CEB62" w:rsidR="001C7AAC" w:rsidRPr="00A4763E" w:rsidRDefault="006353C3" w:rsidP="001C7AAC">
      <w:pPr>
        <w:spacing w:line="276" w:lineRule="auto"/>
        <w:ind w:firstLine="567"/>
        <w:jc w:val="both"/>
        <w:rPr>
          <w:rFonts w:ascii="Arial" w:hAnsi="Arial" w:cs="Arial"/>
          <w:sz w:val="24"/>
          <w:szCs w:val="24"/>
        </w:rPr>
      </w:pPr>
      <w:r w:rsidRPr="00A4763E">
        <w:rPr>
          <w:rFonts w:ascii="Arial" w:hAnsi="Arial" w:cs="Arial"/>
          <w:sz w:val="24"/>
          <w:szCs w:val="24"/>
        </w:rPr>
        <w:t>Хууль батлагдсан</w:t>
      </w:r>
      <w:r w:rsidR="001947F1" w:rsidRPr="00A4763E">
        <w:rPr>
          <w:rFonts w:ascii="Arial" w:hAnsi="Arial" w:cs="Arial"/>
          <w:sz w:val="24"/>
          <w:szCs w:val="24"/>
        </w:rPr>
        <w:t xml:space="preserve">аар </w:t>
      </w:r>
      <w:r w:rsidR="001C7AAC" w:rsidRPr="00A4763E">
        <w:rPr>
          <w:rFonts w:ascii="Arial" w:hAnsi="Arial" w:cs="Arial"/>
          <w:sz w:val="24"/>
          <w:szCs w:val="24"/>
        </w:rPr>
        <w:t xml:space="preserve">45 компани хуулийн өөрчлөлтийн үр өгөөжийг хүртэх бөгөөд цаашид эрчим хүчний чиглэлээр үйл ажиллагаа явуулах компани ихсэх хандлагатай байгаа нь тусгай зөвшөөрөл хүссэн аж ахуйн нэгжийн тооноос харагдаж байна.  </w:t>
      </w:r>
    </w:p>
    <w:p w14:paraId="398E28E2" w14:textId="237FBA40" w:rsidR="002F3409" w:rsidRPr="00A4763E" w:rsidRDefault="002F3409" w:rsidP="001C7AAC">
      <w:pPr>
        <w:spacing w:line="276" w:lineRule="auto"/>
        <w:ind w:firstLine="567"/>
        <w:jc w:val="both"/>
        <w:rPr>
          <w:rFonts w:ascii="Arial" w:hAnsi="Arial" w:cs="Arial"/>
          <w:sz w:val="24"/>
          <w:szCs w:val="24"/>
        </w:rPr>
      </w:pPr>
      <w:r w:rsidRPr="00A4763E">
        <w:rPr>
          <w:rFonts w:ascii="Arial" w:hAnsi="Arial" w:cs="Arial"/>
          <w:sz w:val="24"/>
          <w:szCs w:val="24"/>
        </w:rPr>
        <w:t>Аж ахуйн нэгжийн орлогын албан татвараас улсын төсөвт 2021 онд 2.2 их наяд төгрөгийн орлого бүрдүүлсэн байна. Хүснэгт №1.</w:t>
      </w:r>
    </w:p>
    <w:p w14:paraId="2E6CDC42" w14:textId="78ECFA55" w:rsidR="002F3409" w:rsidRPr="00A4763E" w:rsidRDefault="002F3409" w:rsidP="001C7AAC">
      <w:pPr>
        <w:spacing w:line="276" w:lineRule="auto"/>
        <w:ind w:firstLine="567"/>
        <w:jc w:val="both"/>
        <w:rPr>
          <w:rFonts w:ascii="Arial" w:hAnsi="Arial" w:cs="Arial"/>
          <w:sz w:val="24"/>
          <w:szCs w:val="24"/>
        </w:rPr>
      </w:pPr>
      <w:r w:rsidRPr="00A4763E">
        <w:rPr>
          <w:rFonts w:ascii="Arial" w:hAnsi="Arial" w:cs="Arial"/>
          <w:sz w:val="24"/>
          <w:szCs w:val="24"/>
        </w:rPr>
        <w:t>Хүснэгт №1. Аж ахуйн нэгжийн орлогын албан татвар 2019-2021.</w:t>
      </w:r>
    </w:p>
    <w:tbl>
      <w:tblPr>
        <w:tblW w:w="9350" w:type="dxa"/>
        <w:tblLook w:val="04A0" w:firstRow="1" w:lastRow="0" w:firstColumn="1" w:lastColumn="0" w:noHBand="0" w:noVBand="1"/>
      </w:tblPr>
      <w:tblGrid>
        <w:gridCol w:w="1850"/>
        <w:gridCol w:w="1496"/>
        <w:gridCol w:w="1501"/>
        <w:gridCol w:w="1501"/>
        <w:gridCol w:w="1501"/>
        <w:gridCol w:w="1501"/>
      </w:tblGrid>
      <w:tr w:rsidR="002F3409" w:rsidRPr="00A4763E" w14:paraId="3251E0B5" w14:textId="77777777" w:rsidTr="002F3409">
        <w:trPr>
          <w:trHeight w:val="325"/>
        </w:trPr>
        <w:tc>
          <w:tcPr>
            <w:tcW w:w="185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E990F42"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 </w:t>
            </w:r>
          </w:p>
        </w:tc>
        <w:tc>
          <w:tcPr>
            <w:tcW w:w="1496" w:type="dxa"/>
            <w:tcBorders>
              <w:top w:val="single" w:sz="4" w:space="0" w:color="auto"/>
              <w:left w:val="nil"/>
              <w:bottom w:val="single" w:sz="4" w:space="0" w:color="auto"/>
              <w:right w:val="single" w:sz="4" w:space="0" w:color="auto"/>
            </w:tcBorders>
            <w:shd w:val="clear" w:color="000000" w:fill="002060"/>
            <w:noWrap/>
            <w:vAlign w:val="bottom"/>
            <w:hideMark/>
          </w:tcPr>
          <w:p w14:paraId="50EB584D"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2017</w:t>
            </w:r>
          </w:p>
        </w:tc>
        <w:tc>
          <w:tcPr>
            <w:tcW w:w="1501" w:type="dxa"/>
            <w:tcBorders>
              <w:top w:val="single" w:sz="4" w:space="0" w:color="auto"/>
              <w:left w:val="nil"/>
              <w:bottom w:val="single" w:sz="4" w:space="0" w:color="auto"/>
              <w:right w:val="single" w:sz="4" w:space="0" w:color="auto"/>
            </w:tcBorders>
            <w:shd w:val="clear" w:color="000000" w:fill="002060"/>
            <w:noWrap/>
            <w:vAlign w:val="bottom"/>
            <w:hideMark/>
          </w:tcPr>
          <w:p w14:paraId="6FA76F97"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2018</w:t>
            </w:r>
          </w:p>
        </w:tc>
        <w:tc>
          <w:tcPr>
            <w:tcW w:w="1501" w:type="dxa"/>
            <w:tcBorders>
              <w:top w:val="single" w:sz="4" w:space="0" w:color="auto"/>
              <w:left w:val="nil"/>
              <w:bottom w:val="single" w:sz="4" w:space="0" w:color="auto"/>
              <w:right w:val="single" w:sz="4" w:space="0" w:color="auto"/>
            </w:tcBorders>
            <w:shd w:val="clear" w:color="000000" w:fill="002060"/>
            <w:noWrap/>
            <w:vAlign w:val="bottom"/>
            <w:hideMark/>
          </w:tcPr>
          <w:p w14:paraId="0570EA19"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2019</w:t>
            </w:r>
          </w:p>
        </w:tc>
        <w:tc>
          <w:tcPr>
            <w:tcW w:w="1501" w:type="dxa"/>
            <w:tcBorders>
              <w:top w:val="single" w:sz="4" w:space="0" w:color="auto"/>
              <w:left w:val="nil"/>
              <w:bottom w:val="single" w:sz="4" w:space="0" w:color="auto"/>
              <w:right w:val="single" w:sz="4" w:space="0" w:color="auto"/>
            </w:tcBorders>
            <w:shd w:val="clear" w:color="000000" w:fill="002060"/>
            <w:noWrap/>
            <w:vAlign w:val="bottom"/>
            <w:hideMark/>
          </w:tcPr>
          <w:p w14:paraId="57D16678"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2020</w:t>
            </w:r>
          </w:p>
        </w:tc>
        <w:tc>
          <w:tcPr>
            <w:tcW w:w="1501" w:type="dxa"/>
            <w:tcBorders>
              <w:top w:val="single" w:sz="4" w:space="0" w:color="auto"/>
              <w:left w:val="nil"/>
              <w:bottom w:val="single" w:sz="4" w:space="0" w:color="auto"/>
              <w:right w:val="single" w:sz="4" w:space="0" w:color="auto"/>
            </w:tcBorders>
            <w:shd w:val="clear" w:color="000000" w:fill="002060"/>
            <w:noWrap/>
            <w:vAlign w:val="bottom"/>
            <w:hideMark/>
          </w:tcPr>
          <w:p w14:paraId="1754FBF0" w14:textId="77777777" w:rsidR="002F3409" w:rsidRPr="00A4763E" w:rsidRDefault="002F3409" w:rsidP="002F3409">
            <w:pPr>
              <w:spacing w:after="0" w:line="240" w:lineRule="auto"/>
              <w:jc w:val="center"/>
              <w:rPr>
                <w:rFonts w:eastAsia="Times New Roman"/>
                <w:b/>
                <w:bCs/>
                <w:color w:val="FFFFFF"/>
                <w:sz w:val="24"/>
                <w:szCs w:val="24"/>
                <w:lang w:eastAsia="zh-TW"/>
              </w:rPr>
            </w:pPr>
            <w:r w:rsidRPr="00A4763E">
              <w:rPr>
                <w:rFonts w:eastAsia="Times New Roman"/>
                <w:b/>
                <w:bCs/>
                <w:color w:val="FFFFFF"/>
                <w:sz w:val="24"/>
                <w:szCs w:val="24"/>
                <w:lang w:eastAsia="zh-TW"/>
              </w:rPr>
              <w:t>2021</w:t>
            </w:r>
          </w:p>
        </w:tc>
      </w:tr>
      <w:tr w:rsidR="002F3409" w:rsidRPr="00A4763E" w14:paraId="622C9D87" w14:textId="77777777" w:rsidTr="002F3409">
        <w:trPr>
          <w:trHeight w:val="310"/>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0A265447" w14:textId="77777777"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ААНОАТ, сая төгрөг</w:t>
            </w:r>
          </w:p>
        </w:tc>
        <w:tc>
          <w:tcPr>
            <w:tcW w:w="1496" w:type="dxa"/>
            <w:tcBorders>
              <w:top w:val="nil"/>
              <w:left w:val="nil"/>
              <w:bottom w:val="single" w:sz="4" w:space="0" w:color="auto"/>
              <w:right w:val="single" w:sz="4" w:space="0" w:color="auto"/>
            </w:tcBorders>
            <w:shd w:val="clear" w:color="auto" w:fill="auto"/>
            <w:noWrap/>
            <w:vAlign w:val="center"/>
            <w:hideMark/>
          </w:tcPr>
          <w:p w14:paraId="7B7BD712" w14:textId="31A12FCF"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962.00</w:t>
            </w:r>
          </w:p>
        </w:tc>
        <w:tc>
          <w:tcPr>
            <w:tcW w:w="1501" w:type="dxa"/>
            <w:tcBorders>
              <w:top w:val="nil"/>
              <w:left w:val="nil"/>
              <w:bottom w:val="single" w:sz="4" w:space="0" w:color="auto"/>
              <w:right w:val="single" w:sz="4" w:space="0" w:color="auto"/>
            </w:tcBorders>
            <w:shd w:val="clear" w:color="auto" w:fill="auto"/>
            <w:noWrap/>
            <w:vAlign w:val="center"/>
            <w:hideMark/>
          </w:tcPr>
          <w:p w14:paraId="58F6BEFB" w14:textId="0384B064"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1,276.00</w:t>
            </w:r>
          </w:p>
        </w:tc>
        <w:tc>
          <w:tcPr>
            <w:tcW w:w="1501" w:type="dxa"/>
            <w:tcBorders>
              <w:top w:val="nil"/>
              <w:left w:val="nil"/>
              <w:bottom w:val="single" w:sz="4" w:space="0" w:color="auto"/>
              <w:right w:val="single" w:sz="4" w:space="0" w:color="auto"/>
            </w:tcBorders>
            <w:shd w:val="clear" w:color="auto" w:fill="auto"/>
            <w:noWrap/>
            <w:vAlign w:val="center"/>
            <w:hideMark/>
          </w:tcPr>
          <w:p w14:paraId="0D097D53" w14:textId="166FB4BF"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1,660.00</w:t>
            </w:r>
          </w:p>
        </w:tc>
        <w:tc>
          <w:tcPr>
            <w:tcW w:w="1501" w:type="dxa"/>
            <w:tcBorders>
              <w:top w:val="nil"/>
              <w:left w:val="nil"/>
              <w:bottom w:val="single" w:sz="4" w:space="0" w:color="auto"/>
              <w:right w:val="single" w:sz="4" w:space="0" w:color="auto"/>
            </w:tcBorders>
            <w:shd w:val="clear" w:color="auto" w:fill="auto"/>
            <w:noWrap/>
            <w:vAlign w:val="center"/>
            <w:hideMark/>
          </w:tcPr>
          <w:p w14:paraId="4019A056" w14:textId="0061C684"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1,398.00</w:t>
            </w:r>
          </w:p>
        </w:tc>
        <w:tc>
          <w:tcPr>
            <w:tcW w:w="1501" w:type="dxa"/>
            <w:tcBorders>
              <w:top w:val="nil"/>
              <w:left w:val="nil"/>
              <w:bottom w:val="single" w:sz="4" w:space="0" w:color="auto"/>
              <w:right w:val="single" w:sz="4" w:space="0" w:color="auto"/>
            </w:tcBorders>
            <w:shd w:val="clear" w:color="auto" w:fill="auto"/>
            <w:noWrap/>
            <w:vAlign w:val="center"/>
            <w:hideMark/>
          </w:tcPr>
          <w:p w14:paraId="3228CC26" w14:textId="7F6903C2" w:rsidR="002F3409" w:rsidRPr="00A4763E" w:rsidRDefault="002F3409" w:rsidP="002F3409">
            <w:pPr>
              <w:spacing w:after="0" w:line="240" w:lineRule="auto"/>
              <w:jc w:val="center"/>
              <w:rPr>
                <w:rFonts w:eastAsia="Times New Roman"/>
                <w:color w:val="000000"/>
                <w:lang w:eastAsia="zh-TW"/>
              </w:rPr>
            </w:pPr>
            <w:r w:rsidRPr="00A4763E">
              <w:rPr>
                <w:rFonts w:eastAsia="Times New Roman"/>
                <w:color w:val="000000"/>
                <w:lang w:eastAsia="zh-TW"/>
              </w:rPr>
              <w:t>2,211.00</w:t>
            </w:r>
          </w:p>
        </w:tc>
      </w:tr>
    </w:tbl>
    <w:p w14:paraId="7EC19CFC" w14:textId="77777777" w:rsidR="002F6B7C" w:rsidRPr="00A4763E" w:rsidRDefault="002F6B7C" w:rsidP="001C7AAC">
      <w:pPr>
        <w:spacing w:line="276" w:lineRule="auto"/>
        <w:ind w:firstLine="567"/>
        <w:jc w:val="both"/>
        <w:rPr>
          <w:rFonts w:ascii="Arial" w:hAnsi="Arial" w:cs="Arial"/>
          <w:sz w:val="24"/>
          <w:szCs w:val="24"/>
        </w:rPr>
      </w:pPr>
    </w:p>
    <w:p w14:paraId="793AA59A" w14:textId="3092B3E4" w:rsidR="002F3409" w:rsidRPr="00A4763E" w:rsidRDefault="001C7AAC" w:rsidP="001C7AAC">
      <w:pPr>
        <w:spacing w:line="276" w:lineRule="auto"/>
        <w:ind w:firstLine="567"/>
        <w:jc w:val="both"/>
        <w:rPr>
          <w:rFonts w:ascii="Arial" w:hAnsi="Arial" w:cs="Arial"/>
          <w:sz w:val="24"/>
          <w:szCs w:val="24"/>
        </w:rPr>
      </w:pPr>
      <w:r w:rsidRPr="00A4763E">
        <w:rPr>
          <w:rFonts w:ascii="Arial" w:hAnsi="Arial" w:cs="Arial"/>
          <w:sz w:val="24"/>
          <w:szCs w:val="24"/>
        </w:rPr>
        <w:t>Статистикийн албан мэдээллээс тооцоход өмчийн бүхий л хэлбэрийн аж ахуйн нэгж байгууллагуудын</w:t>
      </w:r>
      <w:r w:rsidR="002F3409" w:rsidRPr="00A4763E">
        <w:rPr>
          <w:rFonts w:ascii="Arial" w:hAnsi="Arial" w:cs="Arial"/>
          <w:sz w:val="24"/>
          <w:szCs w:val="24"/>
        </w:rPr>
        <w:t xml:space="preserve"> 2.2 их наяд төгрөг орчим байгаа бөгөөд </w:t>
      </w:r>
      <w:r w:rsidR="005604F5" w:rsidRPr="00A4763E">
        <w:rPr>
          <w:rFonts w:ascii="Arial" w:hAnsi="Arial" w:cs="Arial"/>
          <w:sz w:val="24"/>
          <w:szCs w:val="24"/>
        </w:rPr>
        <w:t>эрчим хүчний томоохон компаниудын аж ахуйн нэгжийн орлогын албан татварын хэмжээ 2022 онд 16.0 тэрбум төгрөгийг төлсөн байна. Хүснэгт №2</w:t>
      </w:r>
    </w:p>
    <w:p w14:paraId="05173942" w14:textId="4C71E10D" w:rsidR="005604F5" w:rsidRPr="00A4763E" w:rsidRDefault="005604F5" w:rsidP="001C7AAC">
      <w:pPr>
        <w:spacing w:line="276" w:lineRule="auto"/>
        <w:ind w:firstLine="567"/>
        <w:jc w:val="both"/>
        <w:rPr>
          <w:rFonts w:ascii="Arial" w:hAnsi="Arial" w:cs="Arial"/>
          <w:sz w:val="24"/>
          <w:szCs w:val="24"/>
        </w:rPr>
      </w:pPr>
      <w:r w:rsidRPr="00A4763E">
        <w:rPr>
          <w:rFonts w:ascii="Arial" w:hAnsi="Arial" w:cs="Arial"/>
          <w:sz w:val="24"/>
          <w:szCs w:val="24"/>
        </w:rPr>
        <w:lastRenderedPageBreak/>
        <w:t>Хүснэгт №2. Эрчим хүчний салбарын ААНОАТ төлсөн байдал.</w:t>
      </w:r>
    </w:p>
    <w:p w14:paraId="5580E3D6" w14:textId="47F26939" w:rsidR="005604F5" w:rsidRPr="00A4763E" w:rsidRDefault="005604F5" w:rsidP="005604F5">
      <w:pPr>
        <w:spacing w:line="276" w:lineRule="auto"/>
        <w:jc w:val="both"/>
        <w:rPr>
          <w:rFonts w:ascii="Arial" w:hAnsi="Arial" w:cs="Arial"/>
          <w:sz w:val="24"/>
          <w:szCs w:val="24"/>
        </w:rPr>
      </w:pPr>
      <w:r w:rsidRPr="00A4763E">
        <w:rPr>
          <w:rFonts w:ascii="Arial" w:hAnsi="Arial" w:cs="Arial"/>
          <w:noProof/>
          <w:sz w:val="24"/>
          <w:szCs w:val="24"/>
        </w:rPr>
        <w:drawing>
          <wp:inline distT="0" distB="0" distL="0" distR="0" wp14:anchorId="39BB87E6" wp14:editId="1C2FBB4E">
            <wp:extent cx="5940425" cy="3027045"/>
            <wp:effectExtent l="0" t="0" r="3175" b="1905"/>
            <wp:docPr id="1250653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53980" name="Picture 1250653980"/>
                    <pic:cNvPicPr/>
                  </pic:nvPicPr>
                  <pic:blipFill>
                    <a:blip r:embed="rId12">
                      <a:extLst>
                        <a:ext uri="{28A0092B-C50C-407E-A947-70E740481C1C}">
                          <a14:useLocalDpi xmlns:a14="http://schemas.microsoft.com/office/drawing/2010/main" val="0"/>
                        </a:ext>
                      </a:extLst>
                    </a:blip>
                    <a:stretch>
                      <a:fillRect/>
                    </a:stretch>
                  </pic:blipFill>
                  <pic:spPr>
                    <a:xfrm>
                      <a:off x="0" y="0"/>
                      <a:ext cx="5940425" cy="3027045"/>
                    </a:xfrm>
                    <a:prstGeom prst="rect">
                      <a:avLst/>
                    </a:prstGeom>
                  </pic:spPr>
                </pic:pic>
              </a:graphicData>
            </a:graphic>
          </wp:inline>
        </w:drawing>
      </w:r>
    </w:p>
    <w:p w14:paraId="7137564B" w14:textId="4DE9DF85" w:rsidR="007901EE" w:rsidRPr="00A4763E" w:rsidRDefault="00C63715" w:rsidP="007901EE">
      <w:pPr>
        <w:spacing w:line="276" w:lineRule="auto"/>
        <w:ind w:firstLine="567"/>
        <w:jc w:val="both"/>
        <w:rPr>
          <w:rFonts w:ascii="Arial" w:hAnsi="Arial" w:cs="Arial"/>
          <w:sz w:val="24"/>
          <w:szCs w:val="24"/>
        </w:rPr>
      </w:pPr>
      <w:r w:rsidRPr="00A4763E">
        <w:rPr>
          <w:rFonts w:ascii="Arial" w:hAnsi="Arial" w:cs="Arial"/>
          <w:sz w:val="24"/>
          <w:szCs w:val="24"/>
        </w:rPr>
        <w:t xml:space="preserve">Эрчим хүчний салбарын аж ахуйн нэгжүүдийн </w:t>
      </w:r>
      <w:r w:rsidR="00D74AC5" w:rsidRPr="00A4763E">
        <w:rPr>
          <w:rFonts w:ascii="Arial" w:hAnsi="Arial" w:cs="Arial"/>
          <w:sz w:val="24"/>
          <w:szCs w:val="24"/>
        </w:rPr>
        <w:t xml:space="preserve">Улсын төсөвт </w:t>
      </w:r>
      <w:r w:rsidRPr="00A4763E">
        <w:rPr>
          <w:rFonts w:ascii="Arial" w:hAnsi="Arial" w:cs="Arial"/>
          <w:sz w:val="24"/>
          <w:szCs w:val="24"/>
        </w:rPr>
        <w:t xml:space="preserve">төвлөрүүлсэн орлого </w:t>
      </w:r>
      <w:r w:rsidR="00D74AC5" w:rsidRPr="00A4763E">
        <w:rPr>
          <w:rFonts w:ascii="Arial" w:hAnsi="Arial" w:cs="Arial"/>
          <w:sz w:val="24"/>
          <w:szCs w:val="24"/>
        </w:rPr>
        <w:t>16 тэрбум төгрөгийн 70% нь</w:t>
      </w:r>
      <w:r w:rsidRPr="00A4763E">
        <w:rPr>
          <w:rFonts w:ascii="Arial" w:hAnsi="Arial" w:cs="Arial"/>
          <w:sz w:val="24"/>
          <w:szCs w:val="24"/>
        </w:rPr>
        <w:t xml:space="preserve"> хуулийн үйлчлэлд хамаарагдахгүй аж ахуйн нэгжүүдэд, үлдсэн </w:t>
      </w:r>
      <w:r w:rsidR="00D74AC5" w:rsidRPr="00A4763E">
        <w:rPr>
          <w:rFonts w:ascii="Arial" w:hAnsi="Arial" w:cs="Arial"/>
          <w:sz w:val="24"/>
          <w:szCs w:val="24"/>
        </w:rPr>
        <w:t xml:space="preserve"> </w:t>
      </w:r>
      <w:r w:rsidR="001C7AAC" w:rsidRPr="00A4763E">
        <w:rPr>
          <w:rFonts w:ascii="Arial" w:hAnsi="Arial" w:cs="Arial"/>
          <w:sz w:val="24"/>
          <w:szCs w:val="24"/>
        </w:rPr>
        <w:t>30 хувь нь</w:t>
      </w:r>
      <w:r w:rsidRPr="00A4763E">
        <w:rPr>
          <w:rFonts w:ascii="Arial" w:hAnsi="Arial" w:cs="Arial"/>
          <w:sz w:val="24"/>
          <w:szCs w:val="24"/>
        </w:rPr>
        <w:t xml:space="preserve"> хуулийн үйлчлэлд </w:t>
      </w:r>
      <w:r w:rsidR="001C7AAC" w:rsidRPr="00A4763E">
        <w:rPr>
          <w:rFonts w:ascii="Arial" w:hAnsi="Arial" w:cs="Arial"/>
          <w:sz w:val="24"/>
          <w:szCs w:val="24"/>
        </w:rPr>
        <w:t xml:space="preserve">хамрагдана гэсэн </w:t>
      </w:r>
      <w:r w:rsidR="00BC5443" w:rsidRPr="00A4763E">
        <w:rPr>
          <w:rFonts w:ascii="Arial" w:hAnsi="Arial" w:cs="Arial"/>
          <w:sz w:val="24"/>
          <w:szCs w:val="24"/>
        </w:rPr>
        <w:t>нөхцөлөөр</w:t>
      </w:r>
      <w:r w:rsidR="001C7AAC" w:rsidRPr="00A4763E">
        <w:rPr>
          <w:rFonts w:ascii="Arial" w:hAnsi="Arial" w:cs="Arial"/>
          <w:sz w:val="24"/>
          <w:szCs w:val="24"/>
        </w:rPr>
        <w:t xml:space="preserve"> тооцооллыг хийлээ</w:t>
      </w:r>
      <w:r w:rsidR="00D74AC5" w:rsidRPr="00A4763E">
        <w:rPr>
          <w:rFonts w:ascii="Arial" w:hAnsi="Arial" w:cs="Arial"/>
          <w:sz w:val="24"/>
          <w:szCs w:val="24"/>
        </w:rPr>
        <w:t xml:space="preserve">. Ингэснээр 4.8 тэрбум төгрөгийн аж ахуйн нэгжийн орлогын албан татварын 90% буюу </w:t>
      </w:r>
      <w:r w:rsidR="008D0F20" w:rsidRPr="00A4763E">
        <w:rPr>
          <w:rFonts w:ascii="Arial" w:hAnsi="Arial" w:cs="Arial"/>
          <w:sz w:val="24"/>
          <w:szCs w:val="24"/>
        </w:rPr>
        <w:t xml:space="preserve">жилд </w:t>
      </w:r>
      <w:r w:rsidR="00D74AC5" w:rsidRPr="00A4763E">
        <w:rPr>
          <w:rFonts w:ascii="Arial" w:hAnsi="Arial" w:cs="Arial"/>
          <w:sz w:val="24"/>
          <w:szCs w:val="24"/>
        </w:rPr>
        <w:t>4.3 тэрбум төгрөгийн хөнгөлөлт үзүүлэхээр байна. Хуулийн үйлчлэх хугацаанд</w:t>
      </w:r>
      <w:r w:rsidR="00F33102" w:rsidRPr="00A4763E">
        <w:rPr>
          <w:rFonts w:ascii="Arial" w:hAnsi="Arial" w:cs="Arial"/>
          <w:sz w:val="24"/>
          <w:szCs w:val="24"/>
        </w:rPr>
        <w:t xml:space="preserve"> буюу 2029 оны 12 дугаар сарын 29-ны өдрийг хүртэл</w:t>
      </w:r>
      <w:r w:rsidR="007901EE" w:rsidRPr="00A4763E">
        <w:rPr>
          <w:rFonts w:ascii="Arial" w:hAnsi="Arial" w:cs="Arial"/>
          <w:sz w:val="24"/>
          <w:szCs w:val="24"/>
        </w:rPr>
        <w:t xml:space="preserve"> нийт 42.7 тэрбум төгрөгийн хөнгөлөлт эдлэх боломжтой байна. </w:t>
      </w:r>
    </w:p>
    <w:p w14:paraId="5772CA71" w14:textId="77777777" w:rsidR="008611FE" w:rsidRPr="00A4763E" w:rsidRDefault="008611FE" w:rsidP="007901EE">
      <w:pPr>
        <w:spacing w:line="276" w:lineRule="auto"/>
        <w:ind w:firstLine="567"/>
        <w:jc w:val="both"/>
        <w:rPr>
          <w:rFonts w:ascii="Arial" w:hAnsi="Arial" w:cs="Arial"/>
          <w:sz w:val="24"/>
          <w:szCs w:val="24"/>
        </w:rPr>
      </w:pPr>
    </w:p>
    <w:p w14:paraId="63FAE5C2" w14:textId="77777777" w:rsidR="005604F5" w:rsidRPr="004054AF" w:rsidRDefault="005604F5" w:rsidP="0028593D">
      <w:pPr>
        <w:spacing w:line="276" w:lineRule="auto"/>
        <w:ind w:firstLine="567"/>
        <w:jc w:val="both"/>
        <w:rPr>
          <w:rFonts w:ascii="Arial" w:hAnsi="Arial" w:cs="Arial"/>
          <w:sz w:val="24"/>
          <w:szCs w:val="24"/>
          <w:lang w:val="en-US"/>
        </w:rPr>
      </w:pPr>
    </w:p>
    <w:p w14:paraId="4AC622F0" w14:textId="77777777" w:rsidR="005604F5" w:rsidRPr="00A4763E" w:rsidRDefault="005604F5" w:rsidP="0028593D">
      <w:pPr>
        <w:spacing w:line="276" w:lineRule="auto"/>
        <w:ind w:firstLine="567"/>
        <w:jc w:val="both"/>
        <w:rPr>
          <w:rFonts w:ascii="Arial" w:hAnsi="Arial" w:cs="Arial"/>
          <w:sz w:val="24"/>
          <w:szCs w:val="24"/>
        </w:rPr>
      </w:pPr>
    </w:p>
    <w:p w14:paraId="17F2E0C4" w14:textId="62DCB401" w:rsidR="005604F5" w:rsidRPr="00A4763E" w:rsidRDefault="005604F5" w:rsidP="005604F5">
      <w:pPr>
        <w:spacing w:line="276" w:lineRule="auto"/>
        <w:jc w:val="both"/>
        <w:rPr>
          <w:rFonts w:ascii="Arial" w:hAnsi="Arial" w:cs="Arial"/>
          <w:sz w:val="24"/>
          <w:szCs w:val="24"/>
        </w:rPr>
      </w:pPr>
    </w:p>
    <w:sectPr w:rsidR="005604F5" w:rsidRPr="00A4763E">
      <w:footerReference w:type="default" r:id="rId13"/>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4923" w14:textId="77777777" w:rsidR="00465E04" w:rsidRDefault="00465E04">
      <w:pPr>
        <w:spacing w:after="0" w:line="240" w:lineRule="auto"/>
      </w:pPr>
      <w:r>
        <w:separator/>
      </w:r>
    </w:p>
  </w:endnote>
  <w:endnote w:type="continuationSeparator" w:id="0">
    <w:p w14:paraId="41F6F5A8" w14:textId="77777777" w:rsidR="00465E04" w:rsidRDefault="004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1AE1" w14:textId="142BFEF9" w:rsidR="00ED455F" w:rsidRDefault="00B1718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86F6A">
      <w:rPr>
        <w:rFonts w:ascii="Arial" w:eastAsia="Arial" w:hAnsi="Arial" w:cs="Arial"/>
        <w:noProof/>
        <w:color w:val="000000"/>
      </w:rPr>
      <w:t>1</w:t>
    </w:r>
    <w:r>
      <w:rPr>
        <w:rFonts w:ascii="Arial" w:eastAsia="Arial" w:hAnsi="Arial" w:cs="Arial"/>
        <w:color w:val="000000"/>
      </w:rPr>
      <w:fldChar w:fldCharType="end"/>
    </w:r>
  </w:p>
  <w:p w14:paraId="71B00393" w14:textId="77777777" w:rsidR="00ED455F" w:rsidRDefault="00ED455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97D5" w14:textId="77777777" w:rsidR="00465E04" w:rsidRDefault="00465E04">
      <w:pPr>
        <w:spacing w:after="0" w:line="240" w:lineRule="auto"/>
      </w:pPr>
      <w:r>
        <w:separator/>
      </w:r>
    </w:p>
  </w:footnote>
  <w:footnote w:type="continuationSeparator" w:id="0">
    <w:p w14:paraId="2B68F584" w14:textId="77777777" w:rsidR="00465E04" w:rsidRDefault="004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42D"/>
    <w:multiLevelType w:val="multilevel"/>
    <w:tmpl w:val="8BD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E439B"/>
    <w:multiLevelType w:val="hybridMultilevel"/>
    <w:tmpl w:val="8D4E5C7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0DFE0DB3"/>
    <w:multiLevelType w:val="hybridMultilevel"/>
    <w:tmpl w:val="7748AA2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1ECD60BB"/>
    <w:multiLevelType w:val="hybridMultilevel"/>
    <w:tmpl w:val="3FFE3EA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2666450C"/>
    <w:multiLevelType w:val="hybridMultilevel"/>
    <w:tmpl w:val="1AD8452E"/>
    <w:lvl w:ilvl="0" w:tplc="87EA8516">
      <w:start w:val="1"/>
      <w:numFmt w:val="decimal"/>
      <w:lvlText w:val="%1."/>
      <w:lvlJc w:val="left"/>
      <w:pPr>
        <w:ind w:left="1031" w:hanging="203"/>
      </w:pPr>
      <w:rPr>
        <w:rFonts w:ascii="Arial" w:eastAsia="Arial" w:hAnsi="Arial" w:cs="Arial" w:hint="default"/>
        <w:w w:val="100"/>
        <w:sz w:val="22"/>
        <w:szCs w:val="22"/>
        <w:lang w:val="kk-KZ" w:eastAsia="en-US" w:bidi="ar-SA"/>
      </w:rPr>
    </w:lvl>
    <w:lvl w:ilvl="1" w:tplc="FFC25DC6">
      <w:numFmt w:val="bullet"/>
      <w:lvlText w:val="•"/>
      <w:lvlJc w:val="left"/>
      <w:pPr>
        <w:ind w:left="1894" w:hanging="203"/>
      </w:pPr>
      <w:rPr>
        <w:lang w:val="kk-KZ" w:eastAsia="en-US" w:bidi="ar-SA"/>
      </w:rPr>
    </w:lvl>
    <w:lvl w:ilvl="2" w:tplc="038A217C">
      <w:numFmt w:val="bullet"/>
      <w:lvlText w:val="•"/>
      <w:lvlJc w:val="left"/>
      <w:pPr>
        <w:ind w:left="2749" w:hanging="203"/>
      </w:pPr>
      <w:rPr>
        <w:lang w:val="kk-KZ" w:eastAsia="en-US" w:bidi="ar-SA"/>
      </w:rPr>
    </w:lvl>
    <w:lvl w:ilvl="3" w:tplc="D7989838">
      <w:numFmt w:val="bullet"/>
      <w:lvlText w:val="•"/>
      <w:lvlJc w:val="left"/>
      <w:pPr>
        <w:ind w:left="3603" w:hanging="203"/>
      </w:pPr>
      <w:rPr>
        <w:lang w:val="kk-KZ" w:eastAsia="en-US" w:bidi="ar-SA"/>
      </w:rPr>
    </w:lvl>
    <w:lvl w:ilvl="4" w:tplc="4808D9C6">
      <w:numFmt w:val="bullet"/>
      <w:lvlText w:val="•"/>
      <w:lvlJc w:val="left"/>
      <w:pPr>
        <w:ind w:left="4458" w:hanging="203"/>
      </w:pPr>
      <w:rPr>
        <w:lang w:val="kk-KZ" w:eastAsia="en-US" w:bidi="ar-SA"/>
      </w:rPr>
    </w:lvl>
    <w:lvl w:ilvl="5" w:tplc="3ED8683A">
      <w:numFmt w:val="bullet"/>
      <w:lvlText w:val="•"/>
      <w:lvlJc w:val="left"/>
      <w:pPr>
        <w:ind w:left="5312" w:hanging="203"/>
      </w:pPr>
      <w:rPr>
        <w:lang w:val="kk-KZ" w:eastAsia="en-US" w:bidi="ar-SA"/>
      </w:rPr>
    </w:lvl>
    <w:lvl w:ilvl="6" w:tplc="E214A1C6">
      <w:numFmt w:val="bullet"/>
      <w:lvlText w:val="•"/>
      <w:lvlJc w:val="left"/>
      <w:pPr>
        <w:ind w:left="6167" w:hanging="203"/>
      </w:pPr>
      <w:rPr>
        <w:lang w:val="kk-KZ" w:eastAsia="en-US" w:bidi="ar-SA"/>
      </w:rPr>
    </w:lvl>
    <w:lvl w:ilvl="7" w:tplc="9C4A5400">
      <w:numFmt w:val="bullet"/>
      <w:lvlText w:val="•"/>
      <w:lvlJc w:val="left"/>
      <w:pPr>
        <w:ind w:left="7021" w:hanging="203"/>
      </w:pPr>
      <w:rPr>
        <w:lang w:val="kk-KZ" w:eastAsia="en-US" w:bidi="ar-SA"/>
      </w:rPr>
    </w:lvl>
    <w:lvl w:ilvl="8" w:tplc="1CC4E1BE">
      <w:numFmt w:val="bullet"/>
      <w:lvlText w:val="•"/>
      <w:lvlJc w:val="left"/>
      <w:pPr>
        <w:ind w:left="7876" w:hanging="203"/>
      </w:pPr>
      <w:rPr>
        <w:lang w:val="kk-KZ" w:eastAsia="en-US" w:bidi="ar-SA"/>
      </w:rPr>
    </w:lvl>
  </w:abstractNum>
  <w:abstractNum w:abstractNumId="5" w15:restartNumberingAfterBreak="0">
    <w:nsid w:val="2BE23771"/>
    <w:multiLevelType w:val="hybridMultilevel"/>
    <w:tmpl w:val="61A44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545D89"/>
    <w:multiLevelType w:val="hybridMultilevel"/>
    <w:tmpl w:val="48380DD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796888"/>
    <w:multiLevelType w:val="hybridMultilevel"/>
    <w:tmpl w:val="F01E5BF4"/>
    <w:lvl w:ilvl="0" w:tplc="F57A10C2">
      <w:start w:val="3"/>
      <w:numFmt w:val="decimal"/>
      <w:lvlText w:val="%1."/>
      <w:lvlJc w:val="left"/>
      <w:pPr>
        <w:ind w:left="1031" w:hanging="203"/>
      </w:pPr>
      <w:rPr>
        <w:rFonts w:ascii="Arial" w:eastAsia="Arial" w:hAnsi="Arial" w:cs="Arial" w:hint="default"/>
        <w:w w:val="100"/>
        <w:sz w:val="22"/>
        <w:szCs w:val="22"/>
        <w:lang w:val="kk-KZ" w:eastAsia="en-US" w:bidi="ar-SA"/>
      </w:rPr>
    </w:lvl>
    <w:lvl w:ilvl="1" w:tplc="59D22FE0">
      <w:numFmt w:val="bullet"/>
      <w:lvlText w:val="•"/>
      <w:lvlJc w:val="left"/>
      <w:pPr>
        <w:ind w:left="1894" w:hanging="203"/>
      </w:pPr>
      <w:rPr>
        <w:lang w:val="kk-KZ" w:eastAsia="en-US" w:bidi="ar-SA"/>
      </w:rPr>
    </w:lvl>
    <w:lvl w:ilvl="2" w:tplc="19C89032">
      <w:numFmt w:val="bullet"/>
      <w:lvlText w:val="•"/>
      <w:lvlJc w:val="left"/>
      <w:pPr>
        <w:ind w:left="2749" w:hanging="203"/>
      </w:pPr>
      <w:rPr>
        <w:lang w:val="kk-KZ" w:eastAsia="en-US" w:bidi="ar-SA"/>
      </w:rPr>
    </w:lvl>
    <w:lvl w:ilvl="3" w:tplc="499065B8">
      <w:numFmt w:val="bullet"/>
      <w:lvlText w:val="•"/>
      <w:lvlJc w:val="left"/>
      <w:pPr>
        <w:ind w:left="3603" w:hanging="203"/>
      </w:pPr>
      <w:rPr>
        <w:lang w:val="kk-KZ" w:eastAsia="en-US" w:bidi="ar-SA"/>
      </w:rPr>
    </w:lvl>
    <w:lvl w:ilvl="4" w:tplc="C92898B4">
      <w:numFmt w:val="bullet"/>
      <w:lvlText w:val="•"/>
      <w:lvlJc w:val="left"/>
      <w:pPr>
        <w:ind w:left="4458" w:hanging="203"/>
      </w:pPr>
      <w:rPr>
        <w:lang w:val="kk-KZ" w:eastAsia="en-US" w:bidi="ar-SA"/>
      </w:rPr>
    </w:lvl>
    <w:lvl w:ilvl="5" w:tplc="A948CE6A">
      <w:numFmt w:val="bullet"/>
      <w:lvlText w:val="•"/>
      <w:lvlJc w:val="left"/>
      <w:pPr>
        <w:ind w:left="5312" w:hanging="203"/>
      </w:pPr>
      <w:rPr>
        <w:lang w:val="kk-KZ" w:eastAsia="en-US" w:bidi="ar-SA"/>
      </w:rPr>
    </w:lvl>
    <w:lvl w:ilvl="6" w:tplc="6C7AE180">
      <w:numFmt w:val="bullet"/>
      <w:lvlText w:val="•"/>
      <w:lvlJc w:val="left"/>
      <w:pPr>
        <w:ind w:left="6167" w:hanging="203"/>
      </w:pPr>
      <w:rPr>
        <w:lang w:val="kk-KZ" w:eastAsia="en-US" w:bidi="ar-SA"/>
      </w:rPr>
    </w:lvl>
    <w:lvl w:ilvl="7" w:tplc="6C429992">
      <w:numFmt w:val="bullet"/>
      <w:lvlText w:val="•"/>
      <w:lvlJc w:val="left"/>
      <w:pPr>
        <w:ind w:left="7021" w:hanging="203"/>
      </w:pPr>
      <w:rPr>
        <w:lang w:val="kk-KZ" w:eastAsia="en-US" w:bidi="ar-SA"/>
      </w:rPr>
    </w:lvl>
    <w:lvl w:ilvl="8" w:tplc="F7980840">
      <w:numFmt w:val="bullet"/>
      <w:lvlText w:val="•"/>
      <w:lvlJc w:val="left"/>
      <w:pPr>
        <w:ind w:left="7876" w:hanging="203"/>
      </w:pPr>
      <w:rPr>
        <w:lang w:val="kk-KZ" w:eastAsia="en-US" w:bidi="ar-SA"/>
      </w:rPr>
    </w:lvl>
  </w:abstractNum>
  <w:abstractNum w:abstractNumId="10" w15:restartNumberingAfterBreak="0">
    <w:nsid w:val="787A2FB3"/>
    <w:multiLevelType w:val="hybridMultilevel"/>
    <w:tmpl w:val="46742DFE"/>
    <w:lvl w:ilvl="0" w:tplc="F144694A">
      <w:start w:val="1"/>
      <w:numFmt w:val="decimal"/>
      <w:lvlText w:val="%1."/>
      <w:lvlJc w:val="left"/>
      <w:pPr>
        <w:ind w:left="1189" w:hanging="360"/>
      </w:pPr>
      <w:rPr>
        <w:rFonts w:ascii="Arial" w:eastAsia="Arial" w:hAnsi="Arial" w:cs="Arial" w:hint="default"/>
        <w:spacing w:val="-5"/>
        <w:w w:val="100"/>
        <w:sz w:val="24"/>
        <w:szCs w:val="24"/>
        <w:lang w:val="kk-KZ" w:eastAsia="en-US" w:bidi="ar-SA"/>
      </w:rPr>
    </w:lvl>
    <w:lvl w:ilvl="1" w:tplc="B232ACF4">
      <w:numFmt w:val="bullet"/>
      <w:lvlText w:val="•"/>
      <w:lvlJc w:val="left"/>
      <w:pPr>
        <w:ind w:left="2020" w:hanging="360"/>
      </w:pPr>
      <w:rPr>
        <w:lang w:val="kk-KZ" w:eastAsia="en-US" w:bidi="ar-SA"/>
      </w:rPr>
    </w:lvl>
    <w:lvl w:ilvl="2" w:tplc="AD28637C">
      <w:numFmt w:val="bullet"/>
      <w:lvlText w:val="•"/>
      <w:lvlJc w:val="left"/>
      <w:pPr>
        <w:ind w:left="2861" w:hanging="360"/>
      </w:pPr>
      <w:rPr>
        <w:lang w:val="kk-KZ" w:eastAsia="en-US" w:bidi="ar-SA"/>
      </w:rPr>
    </w:lvl>
    <w:lvl w:ilvl="3" w:tplc="1A521B74">
      <w:numFmt w:val="bullet"/>
      <w:lvlText w:val="•"/>
      <w:lvlJc w:val="left"/>
      <w:pPr>
        <w:ind w:left="3701" w:hanging="360"/>
      </w:pPr>
      <w:rPr>
        <w:lang w:val="kk-KZ" w:eastAsia="en-US" w:bidi="ar-SA"/>
      </w:rPr>
    </w:lvl>
    <w:lvl w:ilvl="4" w:tplc="BB38DA44">
      <w:numFmt w:val="bullet"/>
      <w:lvlText w:val="•"/>
      <w:lvlJc w:val="left"/>
      <w:pPr>
        <w:ind w:left="4542" w:hanging="360"/>
      </w:pPr>
      <w:rPr>
        <w:lang w:val="kk-KZ" w:eastAsia="en-US" w:bidi="ar-SA"/>
      </w:rPr>
    </w:lvl>
    <w:lvl w:ilvl="5" w:tplc="2482E5D2">
      <w:numFmt w:val="bullet"/>
      <w:lvlText w:val="•"/>
      <w:lvlJc w:val="left"/>
      <w:pPr>
        <w:ind w:left="5382" w:hanging="360"/>
      </w:pPr>
      <w:rPr>
        <w:lang w:val="kk-KZ" w:eastAsia="en-US" w:bidi="ar-SA"/>
      </w:rPr>
    </w:lvl>
    <w:lvl w:ilvl="6" w:tplc="36629638">
      <w:numFmt w:val="bullet"/>
      <w:lvlText w:val="•"/>
      <w:lvlJc w:val="left"/>
      <w:pPr>
        <w:ind w:left="6223" w:hanging="360"/>
      </w:pPr>
      <w:rPr>
        <w:lang w:val="kk-KZ" w:eastAsia="en-US" w:bidi="ar-SA"/>
      </w:rPr>
    </w:lvl>
    <w:lvl w:ilvl="7" w:tplc="5ABA1560">
      <w:numFmt w:val="bullet"/>
      <w:lvlText w:val="•"/>
      <w:lvlJc w:val="left"/>
      <w:pPr>
        <w:ind w:left="7063" w:hanging="360"/>
      </w:pPr>
      <w:rPr>
        <w:lang w:val="kk-KZ" w:eastAsia="en-US" w:bidi="ar-SA"/>
      </w:rPr>
    </w:lvl>
    <w:lvl w:ilvl="8" w:tplc="6B809044">
      <w:numFmt w:val="bullet"/>
      <w:lvlText w:val="•"/>
      <w:lvlJc w:val="left"/>
      <w:pPr>
        <w:ind w:left="7904" w:hanging="360"/>
      </w:pPr>
      <w:rPr>
        <w:lang w:val="kk-KZ" w:eastAsia="en-US" w:bidi="ar-SA"/>
      </w:rPr>
    </w:lvl>
  </w:abstractNum>
  <w:num w:numId="1">
    <w:abstractNumId w:val="0"/>
  </w:num>
  <w:num w:numId="2">
    <w:abstractNumId w:val="7"/>
  </w:num>
  <w:num w:numId="3">
    <w:abstractNumId w:val="8"/>
  </w:num>
  <w:num w:numId="4">
    <w:abstractNumId w:val="9"/>
    <w:lvlOverride w:ilvl="0">
      <w:startOverride w:val="3"/>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5F"/>
    <w:rsid w:val="00005F52"/>
    <w:rsid w:val="00083B33"/>
    <w:rsid w:val="000976F6"/>
    <w:rsid w:val="000A1B2F"/>
    <w:rsid w:val="000A43F9"/>
    <w:rsid w:val="000C138C"/>
    <w:rsid w:val="00117D14"/>
    <w:rsid w:val="00124D52"/>
    <w:rsid w:val="00125873"/>
    <w:rsid w:val="001570A3"/>
    <w:rsid w:val="001604B4"/>
    <w:rsid w:val="00176931"/>
    <w:rsid w:val="00192126"/>
    <w:rsid w:val="001947F1"/>
    <w:rsid w:val="001A7E4B"/>
    <w:rsid w:val="001C4A06"/>
    <w:rsid w:val="001C7AAC"/>
    <w:rsid w:val="001D2BD0"/>
    <w:rsid w:val="001D73DA"/>
    <w:rsid w:val="002073BA"/>
    <w:rsid w:val="00232F1E"/>
    <w:rsid w:val="0027232B"/>
    <w:rsid w:val="00275B0E"/>
    <w:rsid w:val="0028593D"/>
    <w:rsid w:val="002A3215"/>
    <w:rsid w:val="002C4121"/>
    <w:rsid w:val="002C537B"/>
    <w:rsid w:val="002D2427"/>
    <w:rsid w:val="002D3EF4"/>
    <w:rsid w:val="002E4DC5"/>
    <w:rsid w:val="002F313D"/>
    <w:rsid w:val="002F3409"/>
    <w:rsid w:val="002F6B7C"/>
    <w:rsid w:val="0033128E"/>
    <w:rsid w:val="003448DA"/>
    <w:rsid w:val="003601A8"/>
    <w:rsid w:val="0036029D"/>
    <w:rsid w:val="003742F6"/>
    <w:rsid w:val="003A5AE3"/>
    <w:rsid w:val="003F401D"/>
    <w:rsid w:val="00401F18"/>
    <w:rsid w:val="004054AF"/>
    <w:rsid w:val="00465E04"/>
    <w:rsid w:val="00477575"/>
    <w:rsid w:val="004A14F9"/>
    <w:rsid w:val="004A4A88"/>
    <w:rsid w:val="004B11B2"/>
    <w:rsid w:val="004D7D8F"/>
    <w:rsid w:val="004E4474"/>
    <w:rsid w:val="00506588"/>
    <w:rsid w:val="005200C3"/>
    <w:rsid w:val="0053204B"/>
    <w:rsid w:val="0056023F"/>
    <w:rsid w:val="005604F5"/>
    <w:rsid w:val="0056512E"/>
    <w:rsid w:val="005A6979"/>
    <w:rsid w:val="005E3AFF"/>
    <w:rsid w:val="006353C3"/>
    <w:rsid w:val="006549AA"/>
    <w:rsid w:val="00660F8C"/>
    <w:rsid w:val="006B4631"/>
    <w:rsid w:val="006B472F"/>
    <w:rsid w:val="006E215B"/>
    <w:rsid w:val="006F45C3"/>
    <w:rsid w:val="007177D2"/>
    <w:rsid w:val="00722CFE"/>
    <w:rsid w:val="00723F6A"/>
    <w:rsid w:val="007344D8"/>
    <w:rsid w:val="007901EE"/>
    <w:rsid w:val="007F41FD"/>
    <w:rsid w:val="00814910"/>
    <w:rsid w:val="008611FE"/>
    <w:rsid w:val="0086177C"/>
    <w:rsid w:val="00862893"/>
    <w:rsid w:val="0087007F"/>
    <w:rsid w:val="00886649"/>
    <w:rsid w:val="00886F6A"/>
    <w:rsid w:val="0089350B"/>
    <w:rsid w:val="008D0F20"/>
    <w:rsid w:val="008D2272"/>
    <w:rsid w:val="008D5005"/>
    <w:rsid w:val="00902CC5"/>
    <w:rsid w:val="00986C9A"/>
    <w:rsid w:val="00995020"/>
    <w:rsid w:val="00A15EAD"/>
    <w:rsid w:val="00A4763E"/>
    <w:rsid w:val="00A50111"/>
    <w:rsid w:val="00A72EBB"/>
    <w:rsid w:val="00A77E21"/>
    <w:rsid w:val="00AC4E61"/>
    <w:rsid w:val="00AD5563"/>
    <w:rsid w:val="00AF1C55"/>
    <w:rsid w:val="00AF78C2"/>
    <w:rsid w:val="00B044DE"/>
    <w:rsid w:val="00B10CC9"/>
    <w:rsid w:val="00B17188"/>
    <w:rsid w:val="00B5271F"/>
    <w:rsid w:val="00B65066"/>
    <w:rsid w:val="00BA0256"/>
    <w:rsid w:val="00BA3C87"/>
    <w:rsid w:val="00BA6A5A"/>
    <w:rsid w:val="00BB77EA"/>
    <w:rsid w:val="00BC5443"/>
    <w:rsid w:val="00BD4FEF"/>
    <w:rsid w:val="00BF78E4"/>
    <w:rsid w:val="00C33328"/>
    <w:rsid w:val="00C63715"/>
    <w:rsid w:val="00C756AF"/>
    <w:rsid w:val="00C85647"/>
    <w:rsid w:val="00CB4885"/>
    <w:rsid w:val="00CF1F65"/>
    <w:rsid w:val="00D036D5"/>
    <w:rsid w:val="00D33ECA"/>
    <w:rsid w:val="00D435ED"/>
    <w:rsid w:val="00D74AC5"/>
    <w:rsid w:val="00D77680"/>
    <w:rsid w:val="00D832CC"/>
    <w:rsid w:val="00D86ACC"/>
    <w:rsid w:val="00DA6618"/>
    <w:rsid w:val="00DB14E0"/>
    <w:rsid w:val="00DE5109"/>
    <w:rsid w:val="00DF4E4D"/>
    <w:rsid w:val="00DF588E"/>
    <w:rsid w:val="00E20864"/>
    <w:rsid w:val="00E71B80"/>
    <w:rsid w:val="00E907C5"/>
    <w:rsid w:val="00EA0CAF"/>
    <w:rsid w:val="00EA33A3"/>
    <w:rsid w:val="00EB78C9"/>
    <w:rsid w:val="00ED455F"/>
    <w:rsid w:val="00EF3F5A"/>
    <w:rsid w:val="00F0580F"/>
    <w:rsid w:val="00F1179B"/>
    <w:rsid w:val="00F1351A"/>
    <w:rsid w:val="00F14819"/>
    <w:rsid w:val="00F2398C"/>
    <w:rsid w:val="00F30C8A"/>
    <w:rsid w:val="00F33102"/>
    <w:rsid w:val="00F640E7"/>
    <w:rsid w:val="00F65244"/>
    <w:rsid w:val="00FA3EE3"/>
    <w:rsid w:val="00FB2B68"/>
    <w:rsid w:val="00FF3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A4F"/>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9B"/>
  </w:style>
  <w:style w:type="paragraph" w:styleId="Heading1">
    <w:name w:val="heading 1"/>
    <w:basedOn w:val="Normal"/>
    <w:next w:val="Normal"/>
    <w:link w:val="Heading1Char"/>
    <w:uiPriority w:val="9"/>
    <w:qFormat/>
    <w:rsid w:val="00E16FE3"/>
    <w:pPr>
      <w:keepNext/>
      <w:outlineLvl w:val="0"/>
    </w:pPr>
    <w:rPr>
      <w:rFonts w:ascii="Times New Roman" w:hAnsi="Times New Roman" w:cs="Times New Roman"/>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unhideWhenUsed/>
    <w:rsid w:val="00E16FE3"/>
    <w:pPr>
      <w:jc w:val="center"/>
    </w:pPr>
    <w:rPr>
      <w:rFonts w:ascii="Times New Roman" w:hAnsi="Times New Roman" w:cs="Times New Roman"/>
      <w:b/>
      <w:bCs/>
    </w:rPr>
  </w:style>
  <w:style w:type="character" w:customStyle="1" w:styleId="BodyTextChar">
    <w:name w:val="Body Text Char"/>
    <w:basedOn w:val="DefaultParagraphFont"/>
    <w:link w:val="BodyText"/>
    <w:uiPriority w:val="99"/>
    <w:rsid w:val="00E16FE3"/>
    <w:rPr>
      <w:rFonts w:ascii="Times New Roman" w:hAnsi="Times New Roman" w:cs="Times New Roman"/>
      <w:b/>
      <w:bCs/>
      <w:lang w:val="mn-MN"/>
    </w:rPr>
  </w:style>
  <w:style w:type="character" w:customStyle="1" w:styleId="Heading1Char">
    <w:name w:val="Heading 1 Char"/>
    <w:basedOn w:val="DefaultParagraphFont"/>
    <w:link w:val="Heading1"/>
    <w:uiPriority w:val="9"/>
    <w:rsid w:val="00E16FE3"/>
    <w:rPr>
      <w:rFonts w:ascii="Times New Roman" w:hAnsi="Times New Roman" w:cs="Times New Roman"/>
      <w:b/>
      <w:bCs/>
      <w:lang w:val="mn-MN"/>
    </w:rPr>
  </w:style>
  <w:style w:type="paragraph" w:styleId="ListParagraph">
    <w:name w:val="List Paragraph"/>
    <w:basedOn w:val="Normal"/>
    <w:uiPriority w:val="34"/>
    <w:qFormat/>
    <w:rsid w:val="000914ED"/>
    <w:pPr>
      <w:ind w:left="720"/>
      <w:contextualSpacing/>
    </w:pPr>
  </w:style>
  <w:style w:type="paragraph" w:styleId="Header">
    <w:name w:val="header"/>
    <w:basedOn w:val="Normal"/>
    <w:link w:val="HeaderChar"/>
    <w:uiPriority w:val="99"/>
    <w:unhideWhenUsed/>
    <w:rsid w:val="0043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7A"/>
  </w:style>
  <w:style w:type="paragraph" w:styleId="Footer">
    <w:name w:val="footer"/>
    <w:basedOn w:val="Normal"/>
    <w:link w:val="FooterChar"/>
    <w:uiPriority w:val="99"/>
    <w:unhideWhenUsed/>
    <w:rsid w:val="0043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7A"/>
  </w:style>
  <w:style w:type="paragraph" w:styleId="BalloonText">
    <w:name w:val="Balloon Text"/>
    <w:basedOn w:val="Normal"/>
    <w:link w:val="BalloonTextChar"/>
    <w:uiPriority w:val="99"/>
    <w:semiHidden/>
    <w:unhideWhenUsed/>
    <w:rsid w:val="00522C6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22C6B"/>
    <w:rPr>
      <w:rFonts w:ascii="Segoe UI" w:hAnsi="Segoe UI" w:cs="Segoe UI"/>
      <w:sz w:val="18"/>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78228">
      <w:bodyDiv w:val="1"/>
      <w:marLeft w:val="0"/>
      <w:marRight w:val="0"/>
      <w:marTop w:val="0"/>
      <w:marBottom w:val="0"/>
      <w:divBdr>
        <w:top w:val="none" w:sz="0" w:space="0" w:color="auto"/>
        <w:left w:val="none" w:sz="0" w:space="0" w:color="auto"/>
        <w:bottom w:val="none" w:sz="0" w:space="0" w:color="auto"/>
        <w:right w:val="none" w:sz="0" w:space="0" w:color="auto"/>
      </w:divBdr>
    </w:div>
    <w:div w:id="909313158">
      <w:bodyDiv w:val="1"/>
      <w:marLeft w:val="0"/>
      <w:marRight w:val="0"/>
      <w:marTop w:val="0"/>
      <w:marBottom w:val="0"/>
      <w:divBdr>
        <w:top w:val="none" w:sz="0" w:space="0" w:color="auto"/>
        <w:left w:val="none" w:sz="0" w:space="0" w:color="auto"/>
        <w:bottom w:val="none" w:sz="0" w:space="0" w:color="auto"/>
        <w:right w:val="none" w:sz="0" w:space="0" w:color="auto"/>
      </w:divBdr>
    </w:div>
    <w:div w:id="1072118181">
      <w:bodyDiv w:val="1"/>
      <w:marLeft w:val="0"/>
      <w:marRight w:val="0"/>
      <w:marTop w:val="0"/>
      <w:marBottom w:val="0"/>
      <w:divBdr>
        <w:top w:val="none" w:sz="0" w:space="0" w:color="auto"/>
        <w:left w:val="none" w:sz="0" w:space="0" w:color="auto"/>
        <w:bottom w:val="none" w:sz="0" w:space="0" w:color="auto"/>
        <w:right w:val="none" w:sz="0" w:space="0" w:color="auto"/>
      </w:divBdr>
    </w:div>
    <w:div w:id="1742168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ULZIIBADRAKH-MEEI\&#1043;&#1101;&#1088;&#1101;&#1083;%20&#1101;&#1075;&#1095;%20&#1088;&#1199;&#1199;%20&#1103;&#1074;&#1091;&#1091;&#1083;&#1072;&#109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b="1">
                <a:solidFill>
                  <a:schemeClr val="accent5">
                    <a:lumMod val="75000"/>
                  </a:schemeClr>
                </a:solidFill>
              </a:rPr>
              <a:t>Цалингийн</a:t>
            </a:r>
            <a:r>
              <a:rPr lang="mn-MN" b="1" baseline="0">
                <a:solidFill>
                  <a:schemeClr val="accent5">
                    <a:lumMod val="75000"/>
                  </a:schemeClr>
                </a:solidFill>
              </a:rPr>
              <a:t> зардал </a:t>
            </a:r>
            <a:r>
              <a:rPr lang="en-US" b="1" baseline="0">
                <a:solidFill>
                  <a:schemeClr val="accent5">
                    <a:lumMod val="75000"/>
                  </a:schemeClr>
                </a:solidFill>
              </a:rPr>
              <a:t>(</a:t>
            </a:r>
            <a:r>
              <a:rPr lang="mn-MN" b="1" baseline="0">
                <a:solidFill>
                  <a:schemeClr val="accent5">
                    <a:lumMod val="75000"/>
                  </a:schemeClr>
                </a:solidFill>
              </a:rPr>
              <a:t>тэрбум төг</a:t>
            </a:r>
            <a:r>
              <a:rPr lang="en-US" b="1" baseline="0">
                <a:solidFill>
                  <a:schemeClr val="accent5">
                    <a:lumMod val="75000"/>
                  </a:schemeClr>
                </a:solidFill>
              </a:rPr>
              <a:t>)</a:t>
            </a:r>
            <a:r>
              <a:rPr lang="mn-MN" b="1" baseline="0">
                <a:solidFill>
                  <a:schemeClr val="accent5">
                    <a:lumMod val="75000"/>
                  </a:schemeClr>
                </a:solidFill>
              </a:rPr>
              <a:t> ба эзлэх хувь</a:t>
            </a:r>
            <a:endParaRPr lang="en-US" b="1">
              <a:solidFill>
                <a:schemeClr val="accent5">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tx>
            <c:strRef>
              <c:f>Sheet1!$B$3</c:f>
              <c:strCache>
                <c:ptCount val="1"/>
                <c:pt idx="0">
                  <c:v>Цалингийн зардал</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Sheet1!$C$2:$N$2</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2022</c:v>
                </c:pt>
              </c:numCache>
            </c:numRef>
          </c:cat>
          <c:val>
            <c:numRef>
              <c:f>Sheet1!$C$3:$N$3</c:f>
              <c:numCache>
                <c:formatCode>General</c:formatCode>
                <c:ptCount val="12"/>
                <c:pt idx="0">
                  <c:v>33.5</c:v>
                </c:pt>
                <c:pt idx="1">
                  <c:v>42.9</c:v>
                </c:pt>
                <c:pt idx="2">
                  <c:v>52.5</c:v>
                </c:pt>
                <c:pt idx="3">
                  <c:v>69.900000000000006</c:v>
                </c:pt>
                <c:pt idx="4">
                  <c:v>94.9</c:v>
                </c:pt>
                <c:pt idx="5">
                  <c:v>115.6</c:v>
                </c:pt>
                <c:pt idx="6">
                  <c:v>134.80000000000001</c:v>
                </c:pt>
                <c:pt idx="7">
                  <c:v>152</c:v>
                </c:pt>
                <c:pt idx="8">
                  <c:v>173.6</c:v>
                </c:pt>
                <c:pt idx="9">
                  <c:v>200.3</c:v>
                </c:pt>
                <c:pt idx="10">
                  <c:v>210.3</c:v>
                </c:pt>
                <c:pt idx="11">
                  <c:v>388.4</c:v>
                </c:pt>
              </c:numCache>
            </c:numRef>
          </c:val>
          <c:extLst>
            <c:ext xmlns:c16="http://schemas.microsoft.com/office/drawing/2014/chart" uri="{C3380CC4-5D6E-409C-BE32-E72D297353CC}">
              <c16:uniqueId val="{00000000-EAC0-436D-B13F-E236282C87A8}"/>
            </c:ext>
          </c:extLst>
        </c:ser>
        <c:dLbls>
          <c:showLegendKey val="0"/>
          <c:showVal val="1"/>
          <c:showCatName val="0"/>
          <c:showSerName val="0"/>
          <c:showPercent val="0"/>
          <c:showBubbleSize val="0"/>
        </c:dLbls>
        <c:gapWidth val="150"/>
        <c:axId val="326818656"/>
        <c:axId val="326819904"/>
      </c:barChart>
      <c:lineChart>
        <c:grouping val="standard"/>
        <c:varyColors val="0"/>
        <c:ser>
          <c:idx val="1"/>
          <c:order val="1"/>
          <c:tx>
            <c:strRef>
              <c:f>Sheet1!$B$4</c:f>
              <c:strCache>
                <c:ptCount val="1"/>
                <c:pt idx="0">
                  <c:v>Зардалд злэх хувь</c:v>
                </c:pt>
              </c:strCache>
            </c:strRef>
          </c:tx>
          <c:spPr>
            <a:ln w="28575" cap="rnd">
              <a:solidFill>
                <a:schemeClr val="accent2"/>
              </a:solidFill>
              <a:round/>
            </a:ln>
            <a:effectLst/>
          </c:spPr>
          <c:marker>
            <c:symbol val="none"/>
          </c:marker>
          <c:dLbls>
            <c:dLbl>
              <c:idx val="0"/>
              <c:layout>
                <c:manualLayout>
                  <c:x val="3.5531079674541978E-2"/>
                  <c:y val="-0.15559098418782427"/>
                </c:manualLayout>
              </c:layout>
              <c:tx>
                <c:rich>
                  <a:bodyPr/>
                  <a:lstStyle/>
                  <a:p>
                    <a:r>
                      <a:rPr lang="en-US" b="1">
                        <a:solidFill>
                          <a:srgbClr val="C00000"/>
                        </a:solidFill>
                      </a:rPr>
                      <a:t>16.6%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C0-436D-B13F-E236282C87A8}"/>
                </c:ext>
              </c:extLst>
            </c:dLbl>
            <c:dLbl>
              <c:idx val="10"/>
              <c:layout>
                <c:manualLayout>
                  <c:x val="-9.7287070358464872E-2"/>
                  <c:y val="-5.3698652694746975E-2"/>
                </c:manualLayout>
              </c:layout>
              <c:tx>
                <c:rich>
                  <a:bodyPr/>
                  <a:lstStyle/>
                  <a:p>
                    <a:r>
                      <a:rPr lang="en-US" b="1">
                        <a:solidFill>
                          <a:srgbClr val="C00000"/>
                        </a:solidFill>
                      </a:rPr>
                      <a:t>28.1%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AC0-436D-B13F-E236282C87A8}"/>
                </c:ext>
              </c:extLst>
            </c:dLbl>
            <c:dLbl>
              <c:idx val="11"/>
              <c:layout>
                <c:manualLayout>
                  <c:x val="-6.5246849838589607E-3"/>
                  <c:y val="-6.82661803545809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solidFill>
                          <a:srgbClr val="C00000"/>
                        </a:solidFill>
                      </a:rPr>
                      <a:t>12.6%</a:t>
                    </a:r>
                  </a:p>
                </c:rich>
              </c:tx>
              <c:spPr>
                <a:solidFill>
                  <a:schemeClr val="bg1"/>
                </a:solidFill>
                <a:ln w="25400">
                  <a:solidFill>
                    <a:srgbClr val="C00000"/>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AC0-436D-B13F-E236282C87A8}"/>
                </c:ext>
              </c:extLst>
            </c:dLbl>
            <c:spPr>
              <a:noFill/>
              <a:ln w="25400">
                <a:solidFill>
                  <a:srgbClr val="C00000"/>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trendline>
            <c:spPr>
              <a:ln w="38100" cap="rnd" cmpd="sng">
                <a:solidFill>
                  <a:srgbClr val="C00000"/>
                </a:solidFill>
                <a:prstDash val="solid"/>
              </a:ln>
              <a:effectLst/>
            </c:spPr>
            <c:trendlineType val="poly"/>
            <c:order val="2"/>
            <c:dispRSqr val="0"/>
            <c:dispEq val="0"/>
          </c:trendline>
          <c:cat>
            <c:numRef>
              <c:f>Sheet1!$C$2:$N$2</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2022</c:v>
                </c:pt>
              </c:numCache>
            </c:numRef>
          </c:cat>
          <c:val>
            <c:numRef>
              <c:f>Sheet1!$C$4:$N$4</c:f>
              <c:numCache>
                <c:formatCode>General</c:formatCode>
                <c:ptCount val="12"/>
                <c:pt idx="0">
                  <c:v>5.5609999999999999</c:v>
                </c:pt>
                <c:pt idx="10">
                  <c:v>59.01</c:v>
                </c:pt>
                <c:pt idx="11">
                  <c:v>48.93</c:v>
                </c:pt>
              </c:numCache>
            </c:numRef>
          </c:val>
          <c:smooth val="0"/>
          <c:extLst>
            <c:ext xmlns:c16="http://schemas.microsoft.com/office/drawing/2014/chart" uri="{C3380CC4-5D6E-409C-BE32-E72D297353CC}">
              <c16:uniqueId val="{00000005-EAC0-436D-B13F-E236282C87A8}"/>
            </c:ext>
          </c:extLst>
        </c:ser>
        <c:dLbls>
          <c:showLegendKey val="0"/>
          <c:showVal val="1"/>
          <c:showCatName val="0"/>
          <c:showSerName val="0"/>
          <c:showPercent val="0"/>
          <c:showBubbleSize val="0"/>
        </c:dLbls>
        <c:marker val="1"/>
        <c:smooth val="0"/>
        <c:axId val="326800352"/>
        <c:axId val="326813664"/>
      </c:lineChart>
      <c:catAx>
        <c:axId val="32681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MN"/>
          </a:p>
        </c:txPr>
        <c:crossAx val="326819904"/>
        <c:crosses val="autoZero"/>
        <c:auto val="1"/>
        <c:lblAlgn val="ctr"/>
        <c:lblOffset val="100"/>
        <c:noMultiLvlLbl val="0"/>
      </c:catAx>
      <c:valAx>
        <c:axId val="32681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MN"/>
          </a:p>
        </c:txPr>
        <c:crossAx val="326818656"/>
        <c:crosses val="autoZero"/>
        <c:crossBetween val="between"/>
      </c:valAx>
      <c:valAx>
        <c:axId val="326813664"/>
        <c:scaling>
          <c:orientation val="minMax"/>
        </c:scaling>
        <c:delete val="1"/>
        <c:axPos val="r"/>
        <c:numFmt formatCode="General" sourceLinked="1"/>
        <c:majorTickMark val="none"/>
        <c:minorTickMark val="none"/>
        <c:tickLblPos val="nextTo"/>
        <c:crossAx val="326800352"/>
        <c:crosses val="max"/>
        <c:crossBetween val="between"/>
      </c:valAx>
      <c:catAx>
        <c:axId val="326800352"/>
        <c:scaling>
          <c:orientation val="minMax"/>
        </c:scaling>
        <c:delete val="1"/>
        <c:axPos val="b"/>
        <c:numFmt formatCode="General" sourceLinked="1"/>
        <c:majorTickMark val="none"/>
        <c:minorTickMark val="none"/>
        <c:tickLblPos val="nextTo"/>
        <c:crossAx val="326813664"/>
        <c:crosses val="autoZero"/>
        <c:auto val="1"/>
        <c:lblAlgn val="ctr"/>
        <c:lblOffset val="100"/>
        <c:noMultiLvlLbl val="0"/>
      </c:catAx>
      <c:spPr>
        <a:noFill/>
        <a:ln>
          <a:noFill/>
        </a:ln>
        <a:effectLst/>
      </c:spPr>
    </c:plotArea>
    <c:legend>
      <c:legendPos val="b"/>
      <c:legendEntry>
        <c:idx val="1"/>
        <c:delete val="1"/>
      </c:legendEntry>
      <c:layout>
        <c:manualLayout>
          <c:xMode val="edge"/>
          <c:yMode val="edge"/>
          <c:x val="0.24184524934383203"/>
          <c:y val="0.93109323780879316"/>
          <c:w val="0.61230950131233597"/>
          <c:h val="5.173938021695785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MN"/>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2/hckbWuPelnwD9o4InywFYRHQ==">AMUW2mXg8REUkANIZpG6u0Q3SUbCebjZ7UCc/SaMffjhc+FO5wrwrvejxt2dsFcrs8jqq7H7ZMY+Rk4WxniDCkqstj+iysrwE2LXjVk+Qcagw2paQty59kIivA4cUAiSDCbJ7Sr2kaJnnNF/iRNf4mZa5BpCz17WAQ==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3A3862-F190-49C1-AB17-A4739AAAA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C9573-A0DE-4110-823A-E3B98368A3EC}">
  <ds:schemaRefs>
    <ds:schemaRef ds:uri="http://schemas.microsoft.com/sharepoint/v3/contenttype/forms"/>
  </ds:schemaRefs>
</ds:datastoreItem>
</file>

<file path=customXml/itemProps4.xml><?xml version="1.0" encoding="utf-8"?>
<ds:datastoreItem xmlns:ds="http://schemas.openxmlformats.org/officeDocument/2006/customXml" ds:itemID="{61E39F9E-395C-4014-8D52-5B3499FDC643}">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Tsetsenbileg Doosmaa</dc:creator>
  <cp:lastModifiedBy>Microsoft Office User</cp:lastModifiedBy>
  <cp:revision>35</cp:revision>
  <cp:lastPrinted>2023-06-02T01:12:00Z</cp:lastPrinted>
  <dcterms:created xsi:type="dcterms:W3CDTF">2023-05-08T02:41:00Z</dcterms:created>
  <dcterms:modified xsi:type="dcterms:W3CDTF">2023-06-02T01:12:00Z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