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EC497" w14:textId="77777777" w:rsidR="00181457" w:rsidRDefault="00181457" w:rsidP="00181457">
      <w:pPr>
        <w:spacing w:after="0"/>
        <w:jc w:val="center"/>
        <w:rPr>
          <w:rFonts w:ascii="Arial" w:hAnsi="Arial" w:cs="Arial"/>
          <w:sz w:val="24"/>
          <w:szCs w:val="24"/>
          <w:lang w:val="mn-MN"/>
        </w:rPr>
      </w:pPr>
      <w:r>
        <w:rPr>
          <w:rFonts w:ascii="Arial" w:hAnsi="Arial" w:cs="Arial"/>
          <w:sz w:val="24"/>
          <w:szCs w:val="24"/>
          <w:lang w:val="mn-MN"/>
        </w:rPr>
        <w:t>ТАНИЛЦУУЛГА</w:t>
      </w:r>
    </w:p>
    <w:p w14:paraId="65C2E16A" w14:textId="77777777" w:rsidR="00F965B5" w:rsidRDefault="00181457" w:rsidP="00FE58A8">
      <w:pPr>
        <w:spacing w:after="0"/>
        <w:jc w:val="both"/>
        <w:rPr>
          <w:rFonts w:ascii="Arial" w:hAnsi="Arial" w:cs="Arial"/>
          <w:sz w:val="24"/>
          <w:szCs w:val="24"/>
          <w:lang w:val="mn-MN"/>
        </w:rPr>
      </w:pPr>
      <w:r>
        <w:rPr>
          <w:rFonts w:ascii="Arial" w:hAnsi="Arial" w:cs="Arial"/>
          <w:sz w:val="24"/>
          <w:szCs w:val="24"/>
          <w:lang w:val="mn-MN"/>
        </w:rPr>
        <w:t xml:space="preserve">                                                          </w:t>
      </w:r>
    </w:p>
    <w:p w14:paraId="60CB17E3" w14:textId="77777777" w:rsidR="00F965B5" w:rsidRDefault="00F965B5" w:rsidP="00FE58A8">
      <w:pPr>
        <w:spacing w:after="0"/>
        <w:jc w:val="both"/>
        <w:rPr>
          <w:rFonts w:ascii="Arial" w:hAnsi="Arial" w:cs="Arial"/>
          <w:sz w:val="24"/>
          <w:szCs w:val="24"/>
          <w:lang w:val="mn-MN"/>
        </w:rPr>
      </w:pPr>
    </w:p>
    <w:p w14:paraId="783D2A81" w14:textId="6453C1BF" w:rsidR="00FE58A8" w:rsidRPr="00FE58A8" w:rsidRDefault="00FE58A8" w:rsidP="00F965B5">
      <w:pPr>
        <w:spacing w:after="0"/>
        <w:ind w:left="4320" w:firstLine="15"/>
        <w:jc w:val="both"/>
        <w:rPr>
          <w:rFonts w:ascii="Arial" w:hAnsi="Arial" w:cs="Arial"/>
          <w:sz w:val="24"/>
          <w:szCs w:val="24"/>
          <w:lang w:val="mn-MN"/>
        </w:rPr>
      </w:pPr>
      <w:r>
        <w:rPr>
          <w:rFonts w:ascii="Arial" w:hAnsi="Arial" w:cs="Arial"/>
          <w:sz w:val="24"/>
          <w:szCs w:val="24"/>
          <w:lang w:val="mn-MN"/>
        </w:rPr>
        <w:t>“</w:t>
      </w:r>
      <w:r w:rsidR="00441DC8">
        <w:rPr>
          <w:rFonts w:ascii="Arial" w:hAnsi="Arial" w:cs="Arial"/>
          <w:sz w:val="24"/>
          <w:szCs w:val="24"/>
          <w:lang w:val="mn-MN"/>
        </w:rPr>
        <w:t>Эрүүгийн Хэрэг Хянан Шийдвэрлэх</w:t>
      </w:r>
      <w:r w:rsidR="00F965B5">
        <w:rPr>
          <w:rFonts w:ascii="Arial" w:hAnsi="Arial" w:cs="Arial"/>
          <w:sz w:val="24"/>
          <w:szCs w:val="24"/>
          <w:lang w:val="mn-MN"/>
        </w:rPr>
        <w:t xml:space="preserve"> тухай хуульд </w:t>
      </w:r>
      <w:r w:rsidRPr="00FE58A8">
        <w:rPr>
          <w:rFonts w:ascii="Arial" w:hAnsi="Arial" w:cs="Arial"/>
          <w:sz w:val="24"/>
          <w:szCs w:val="24"/>
          <w:lang w:val="mn-MN"/>
        </w:rPr>
        <w:t>өөрчлөлт оруулах тухай” хуулийн</w:t>
      </w:r>
    </w:p>
    <w:p w14:paraId="5D949052" w14:textId="77777777" w:rsidR="00140FD7" w:rsidRDefault="00FE58A8" w:rsidP="00FE58A8">
      <w:pPr>
        <w:spacing w:after="0"/>
        <w:jc w:val="both"/>
        <w:rPr>
          <w:rFonts w:ascii="Arial" w:hAnsi="Arial" w:cs="Arial"/>
          <w:sz w:val="24"/>
          <w:szCs w:val="24"/>
          <w:lang w:val="mn-MN"/>
        </w:rPr>
      </w:pPr>
      <w:r>
        <w:rPr>
          <w:rFonts w:ascii="Arial" w:hAnsi="Arial" w:cs="Arial"/>
          <w:sz w:val="24"/>
          <w:szCs w:val="24"/>
          <w:lang w:val="mn-MN"/>
        </w:rPr>
        <w:t xml:space="preserve">                 </w:t>
      </w:r>
      <w:r w:rsidR="00181457">
        <w:rPr>
          <w:rFonts w:ascii="Arial" w:hAnsi="Arial" w:cs="Arial"/>
          <w:sz w:val="24"/>
          <w:szCs w:val="24"/>
          <w:lang w:val="mn-MN"/>
        </w:rPr>
        <w:t xml:space="preserve">                                                                     </w:t>
      </w:r>
      <w:r>
        <w:rPr>
          <w:rFonts w:ascii="Arial" w:hAnsi="Arial" w:cs="Arial"/>
          <w:sz w:val="24"/>
          <w:szCs w:val="24"/>
          <w:lang w:val="mn-MN"/>
        </w:rPr>
        <w:t xml:space="preserve"> </w:t>
      </w:r>
      <w:r w:rsidRPr="00FE58A8">
        <w:rPr>
          <w:rFonts w:ascii="Arial" w:hAnsi="Arial" w:cs="Arial"/>
          <w:sz w:val="24"/>
          <w:szCs w:val="24"/>
          <w:lang w:val="mn-MN"/>
        </w:rPr>
        <w:t>төслийн талаар</w:t>
      </w:r>
    </w:p>
    <w:p w14:paraId="27718490" w14:textId="77777777" w:rsidR="002D1799" w:rsidRDefault="002D1799" w:rsidP="00FE58A8">
      <w:pPr>
        <w:spacing w:after="0"/>
        <w:jc w:val="both"/>
        <w:rPr>
          <w:rFonts w:ascii="Arial" w:hAnsi="Arial" w:cs="Arial"/>
          <w:sz w:val="24"/>
          <w:szCs w:val="24"/>
          <w:lang w:val="mn-MN"/>
        </w:rPr>
      </w:pPr>
    </w:p>
    <w:p w14:paraId="0BFA942F" w14:textId="77777777" w:rsidR="00883A91" w:rsidRDefault="00883A91" w:rsidP="00FE58A8">
      <w:pPr>
        <w:spacing w:after="0"/>
        <w:jc w:val="both"/>
        <w:rPr>
          <w:rFonts w:ascii="Arial" w:hAnsi="Arial" w:cs="Arial"/>
          <w:sz w:val="24"/>
          <w:szCs w:val="24"/>
          <w:lang w:val="mn-MN"/>
        </w:rPr>
      </w:pPr>
    </w:p>
    <w:p w14:paraId="54E55966" w14:textId="5CAF52DC" w:rsidR="003309C9" w:rsidRDefault="00EA0D64" w:rsidP="00DB57AE">
      <w:pPr>
        <w:spacing w:after="0"/>
        <w:ind w:firstLine="720"/>
        <w:jc w:val="both"/>
        <w:rPr>
          <w:rFonts w:ascii="Arial" w:hAnsi="Arial" w:cs="Arial"/>
          <w:sz w:val="24"/>
          <w:szCs w:val="24"/>
          <w:lang w:val="mn-MN"/>
        </w:rPr>
      </w:pPr>
      <w:r w:rsidRPr="00EA0D64">
        <w:rPr>
          <w:rFonts w:ascii="Arial" w:hAnsi="Arial" w:cs="Arial"/>
          <w:sz w:val="24"/>
          <w:szCs w:val="24"/>
          <w:lang w:val="mn-MN"/>
        </w:rPr>
        <w:t>Нэгдсэн Үндэстний Байгууллага</w:t>
      </w:r>
      <w:r>
        <w:rPr>
          <w:rFonts w:ascii="Arial" w:hAnsi="Arial" w:cs="Arial"/>
          <w:sz w:val="24"/>
          <w:szCs w:val="24"/>
          <w:lang w:val="mn-MN"/>
        </w:rPr>
        <w:t xml:space="preserve"> </w:t>
      </w:r>
      <w:r w:rsidRPr="00EA0D64">
        <w:rPr>
          <w:rFonts w:ascii="Arial" w:hAnsi="Arial" w:cs="Arial"/>
          <w:sz w:val="24"/>
          <w:szCs w:val="24"/>
          <w:lang w:val="mn-MN"/>
        </w:rPr>
        <w:t xml:space="preserve">(НҮБ)-ын Дур зоргоор саатуулах асуудал хариуцсан Ажлын хэсгийн урьдчилсан дүгнэлтэд манай улсад 2020-2021 онд хийгдсэн баривчлах ажиллагааны 98-99 хувь нь шүүхийн зөвшөөрөлгүй </w:t>
      </w:r>
      <w:r w:rsidR="003E381D">
        <w:rPr>
          <w:rFonts w:ascii="Arial" w:hAnsi="Arial" w:cs="Arial"/>
          <w:sz w:val="24"/>
          <w:szCs w:val="24"/>
          <w:lang w:val="mn-MN"/>
        </w:rPr>
        <w:t>хийгдсэнийг онцолсон. Энэ байд</w:t>
      </w:r>
      <w:r w:rsidR="003C6D0A">
        <w:rPr>
          <w:rFonts w:ascii="Arial" w:hAnsi="Arial" w:cs="Arial"/>
          <w:sz w:val="24"/>
          <w:szCs w:val="24"/>
          <w:lang w:val="mn-MN"/>
        </w:rPr>
        <w:t>ал үнэн болохыг</w:t>
      </w:r>
      <w:r w:rsidR="00C64E55">
        <w:rPr>
          <w:rFonts w:ascii="Arial" w:hAnsi="Arial" w:cs="Arial"/>
          <w:sz w:val="24"/>
          <w:szCs w:val="24"/>
          <w:lang w:val="mn-MN"/>
        </w:rPr>
        <w:t xml:space="preserve"> монгол улсын</w:t>
      </w:r>
      <w:r w:rsidR="003C6D0A">
        <w:rPr>
          <w:rFonts w:ascii="Arial" w:hAnsi="Arial" w:cs="Arial"/>
          <w:sz w:val="24"/>
          <w:szCs w:val="24"/>
          <w:lang w:val="mn-MN"/>
        </w:rPr>
        <w:t xml:space="preserve"> </w:t>
      </w:r>
      <w:r w:rsidR="00BA5B96">
        <w:rPr>
          <w:rFonts w:ascii="Arial" w:hAnsi="Arial" w:cs="Arial"/>
          <w:sz w:val="24"/>
          <w:szCs w:val="24"/>
          <w:lang w:val="mn-MN"/>
        </w:rPr>
        <w:t>хүний эрхийн комиссын</w:t>
      </w:r>
      <w:r w:rsidR="00BA5B96">
        <w:rPr>
          <w:rFonts w:ascii="Arial" w:hAnsi="Arial" w:cs="Arial"/>
          <w:sz w:val="24"/>
          <w:szCs w:val="24"/>
          <w:lang w:val="mn-MN"/>
        </w:rPr>
        <w:t xml:space="preserve"> </w:t>
      </w:r>
      <w:r w:rsidR="003E381D">
        <w:rPr>
          <w:rFonts w:ascii="Arial" w:hAnsi="Arial" w:cs="Arial"/>
          <w:sz w:val="24"/>
          <w:szCs w:val="24"/>
          <w:lang w:val="mn-MN"/>
        </w:rPr>
        <w:t>Монгол Улс дахь хүний эрх</w:t>
      </w:r>
      <w:r w:rsidR="00C64E55">
        <w:rPr>
          <w:rFonts w:ascii="Arial" w:hAnsi="Arial" w:cs="Arial"/>
          <w:sz w:val="24"/>
          <w:szCs w:val="24"/>
          <w:lang w:val="mn-MN"/>
        </w:rPr>
        <w:t>, эрх чөлөөний</w:t>
      </w:r>
      <w:r w:rsidR="003E381D">
        <w:rPr>
          <w:rFonts w:ascii="Arial" w:hAnsi="Arial" w:cs="Arial"/>
          <w:sz w:val="24"/>
          <w:szCs w:val="24"/>
          <w:lang w:val="mn-MN"/>
        </w:rPr>
        <w:t xml:space="preserve"> төлөв байдлын </w:t>
      </w:r>
      <w:r w:rsidR="003C6D0A">
        <w:rPr>
          <w:rFonts w:ascii="Arial" w:hAnsi="Arial" w:cs="Arial"/>
          <w:sz w:val="24"/>
          <w:szCs w:val="24"/>
          <w:lang w:val="mn-MN"/>
        </w:rPr>
        <w:t xml:space="preserve">22 </w:t>
      </w:r>
      <w:r w:rsidR="00C64E55">
        <w:rPr>
          <w:rFonts w:ascii="Arial" w:hAnsi="Arial" w:cs="Arial"/>
          <w:sz w:val="24"/>
          <w:szCs w:val="24"/>
          <w:lang w:val="mn-MN"/>
        </w:rPr>
        <w:t xml:space="preserve">дахь </w:t>
      </w:r>
      <w:r w:rsidR="003C6D0A">
        <w:rPr>
          <w:rFonts w:ascii="Arial" w:hAnsi="Arial" w:cs="Arial"/>
          <w:sz w:val="24"/>
          <w:szCs w:val="24"/>
          <w:lang w:val="mn-MN"/>
        </w:rPr>
        <w:t>илтгэлээр баталгаажуулсан.</w:t>
      </w:r>
      <w:r w:rsidR="009366D0">
        <w:rPr>
          <w:rFonts w:ascii="Arial" w:hAnsi="Arial" w:cs="Arial"/>
          <w:sz w:val="24"/>
          <w:szCs w:val="24"/>
          <w:lang w:val="mn-MN"/>
        </w:rPr>
        <w:t xml:space="preserve"> Тухайлбал, </w:t>
      </w:r>
      <w:r w:rsidR="00B26C73">
        <w:rPr>
          <w:rFonts w:ascii="Arial" w:hAnsi="Arial" w:cs="Arial"/>
          <w:sz w:val="24"/>
          <w:szCs w:val="24"/>
          <w:lang w:val="mn-MN"/>
        </w:rPr>
        <w:t>тус илтгэл</w:t>
      </w:r>
      <w:r w:rsidR="003309C9">
        <w:rPr>
          <w:rFonts w:ascii="Arial" w:hAnsi="Arial" w:cs="Arial"/>
          <w:sz w:val="24"/>
          <w:szCs w:val="24"/>
          <w:lang w:val="mn-MN"/>
        </w:rPr>
        <w:t xml:space="preserve">д </w:t>
      </w:r>
      <w:r w:rsidR="00DB57AE">
        <w:rPr>
          <w:rFonts w:ascii="Arial" w:hAnsi="Arial" w:cs="Arial"/>
          <w:sz w:val="24"/>
          <w:szCs w:val="24"/>
          <w:lang w:val="mn-MN"/>
        </w:rPr>
        <w:t>“</w:t>
      </w:r>
      <w:r w:rsidR="003309C9" w:rsidRPr="003309C9">
        <w:rPr>
          <w:rFonts w:ascii="Arial" w:hAnsi="Arial" w:cs="Arial"/>
          <w:sz w:val="24"/>
          <w:szCs w:val="24"/>
          <w:lang w:val="mn-MN"/>
        </w:rPr>
        <w:t>Сүүлийн 3 жилийн байдлаар сэжигтнийг шүүхийн зөвшөөрөлтэй болон зөвшөөрөлгүй баривчилсан судалгааг харвал 2020 онд 793 буюу 99.3 хувь, 2021 онд 809 буюу 98.5 хувь, 2022 онд 1075 буюу 99.7 хувь нь шүүхийн зөвшөөрөлгүй баривчлах ажиллагаа байсан</w:t>
      </w:r>
      <w:r w:rsidR="00BB14C7">
        <w:rPr>
          <w:rStyle w:val="FootnoteReference"/>
          <w:rFonts w:ascii="Arial" w:hAnsi="Arial" w:cs="Arial"/>
          <w:sz w:val="24"/>
          <w:szCs w:val="24"/>
          <w:lang w:val="mn-MN"/>
        </w:rPr>
        <w:footnoteReference w:id="1"/>
      </w:r>
      <w:r w:rsidR="00DB57AE">
        <w:rPr>
          <w:rFonts w:ascii="Arial" w:hAnsi="Arial" w:cs="Arial"/>
          <w:sz w:val="24"/>
          <w:szCs w:val="24"/>
          <w:lang w:val="mn-MN"/>
        </w:rPr>
        <w:t xml:space="preserve">, хамгийн ноцтой нь </w:t>
      </w:r>
      <w:r w:rsidR="002808F7">
        <w:rPr>
          <w:rFonts w:ascii="Arial" w:hAnsi="Arial" w:cs="Arial"/>
          <w:sz w:val="24"/>
          <w:szCs w:val="24"/>
          <w:lang w:val="mn-MN"/>
        </w:rPr>
        <w:t xml:space="preserve">2020 онд шүүхийн зөвшөөрөлгүй баривчлагдсаны сэжигтэний </w:t>
      </w:r>
      <w:r w:rsidR="00F02374">
        <w:rPr>
          <w:rFonts w:ascii="Arial" w:hAnsi="Arial" w:cs="Arial"/>
          <w:sz w:val="24"/>
          <w:szCs w:val="24"/>
          <w:lang w:val="mn-MN"/>
        </w:rPr>
        <w:t>331 буюу</w:t>
      </w:r>
      <w:r w:rsidR="006849D4">
        <w:rPr>
          <w:rFonts w:ascii="Arial" w:hAnsi="Arial" w:cs="Arial"/>
          <w:sz w:val="24"/>
          <w:szCs w:val="24"/>
          <w:lang w:val="mn-MN"/>
        </w:rPr>
        <w:t xml:space="preserve"> 41</w:t>
      </w:r>
      <w:r w:rsidR="00B11826">
        <w:rPr>
          <w:rFonts w:ascii="Arial" w:hAnsi="Arial" w:cs="Arial"/>
          <w:sz w:val="24"/>
          <w:szCs w:val="24"/>
        </w:rPr>
        <w:t>%</w:t>
      </w:r>
      <w:r w:rsidR="00F02374">
        <w:rPr>
          <w:rFonts w:ascii="Arial" w:hAnsi="Arial" w:cs="Arial"/>
          <w:sz w:val="24"/>
          <w:szCs w:val="24"/>
          <w:lang w:val="mn-MN"/>
        </w:rPr>
        <w:t xml:space="preserve"> </w:t>
      </w:r>
      <w:r w:rsidR="00197B91">
        <w:rPr>
          <w:rFonts w:ascii="Arial" w:hAnsi="Arial" w:cs="Arial"/>
          <w:sz w:val="24"/>
          <w:szCs w:val="24"/>
          <w:lang w:val="mn-MN"/>
        </w:rPr>
        <w:t xml:space="preserve">, 2021 оны </w:t>
      </w:r>
      <w:r w:rsidR="00E84786">
        <w:rPr>
          <w:rFonts w:ascii="Arial" w:hAnsi="Arial" w:cs="Arial"/>
          <w:sz w:val="24"/>
          <w:szCs w:val="24"/>
          <w:lang w:val="mn-MN"/>
        </w:rPr>
        <w:t>296 буюу</w:t>
      </w:r>
      <w:r w:rsidR="00B63155">
        <w:rPr>
          <w:rFonts w:ascii="Arial" w:hAnsi="Arial" w:cs="Arial"/>
          <w:sz w:val="24"/>
          <w:szCs w:val="24"/>
        </w:rPr>
        <w:t xml:space="preserve"> 36%</w:t>
      </w:r>
      <w:r w:rsidR="00E84786">
        <w:rPr>
          <w:rFonts w:ascii="Arial" w:hAnsi="Arial" w:cs="Arial"/>
          <w:sz w:val="24"/>
          <w:szCs w:val="24"/>
          <w:lang w:val="mn-MN"/>
        </w:rPr>
        <w:t xml:space="preserve">, </w:t>
      </w:r>
      <w:r w:rsidR="00597DB5">
        <w:rPr>
          <w:rFonts w:ascii="Arial" w:hAnsi="Arial" w:cs="Arial"/>
          <w:sz w:val="24"/>
          <w:szCs w:val="24"/>
          <w:lang w:val="mn-MN"/>
        </w:rPr>
        <w:t xml:space="preserve">2022 онд </w:t>
      </w:r>
      <w:r w:rsidR="00D608F4">
        <w:rPr>
          <w:rFonts w:ascii="Arial" w:hAnsi="Arial" w:cs="Arial"/>
          <w:sz w:val="24"/>
          <w:szCs w:val="24"/>
          <w:lang w:val="mn-MN"/>
        </w:rPr>
        <w:t>452 буюу</w:t>
      </w:r>
      <w:r w:rsidR="005929FF">
        <w:rPr>
          <w:rFonts w:ascii="Arial" w:hAnsi="Arial" w:cs="Arial"/>
          <w:sz w:val="24"/>
          <w:szCs w:val="24"/>
        </w:rPr>
        <w:t xml:space="preserve"> 42%</w:t>
      </w:r>
      <w:r w:rsidR="00CC5224">
        <w:rPr>
          <w:rFonts w:ascii="Arial" w:hAnsi="Arial" w:cs="Arial"/>
          <w:sz w:val="24"/>
          <w:szCs w:val="24"/>
          <w:lang w:val="mn-MN"/>
        </w:rPr>
        <w:t xml:space="preserve">-ийг </w:t>
      </w:r>
      <w:r w:rsidR="00985293">
        <w:rPr>
          <w:rFonts w:ascii="Arial" w:hAnsi="Arial" w:cs="Arial"/>
          <w:sz w:val="24"/>
          <w:szCs w:val="24"/>
          <w:lang w:val="mn-MN"/>
        </w:rPr>
        <w:t xml:space="preserve">үндэслэлгүй баривчилагдсан гэж үзэж шүүх, прокурорын шийдвэрээр  буцаан суллажээ. </w:t>
      </w:r>
      <w:r w:rsidR="00564157">
        <w:rPr>
          <w:rFonts w:ascii="Arial" w:hAnsi="Arial" w:cs="Arial"/>
          <w:sz w:val="24"/>
          <w:szCs w:val="24"/>
          <w:lang w:val="mn-MN"/>
        </w:rPr>
        <w:t xml:space="preserve">Бидний авсан судалгаа буюу прокурорын байгууллагаас ирүүлсэн тоо баримтаас үзвэл 2020 онд </w:t>
      </w:r>
      <w:r w:rsidR="00A6611F">
        <w:rPr>
          <w:rFonts w:ascii="Arial" w:hAnsi="Arial" w:cs="Arial"/>
          <w:sz w:val="24"/>
          <w:szCs w:val="24"/>
          <w:lang w:val="mn-MN"/>
        </w:rPr>
        <w:t xml:space="preserve">нийт </w:t>
      </w:r>
      <w:r w:rsidR="00B67B62">
        <w:rPr>
          <w:rFonts w:ascii="Arial" w:hAnsi="Arial" w:cs="Arial"/>
          <w:sz w:val="24"/>
          <w:szCs w:val="24"/>
          <w:lang w:val="mn-MN"/>
        </w:rPr>
        <w:t xml:space="preserve">шүүхийн зөвшөөрөлгүй </w:t>
      </w:r>
      <w:r w:rsidR="00A6611F">
        <w:rPr>
          <w:rFonts w:ascii="Arial" w:hAnsi="Arial" w:cs="Arial"/>
          <w:sz w:val="24"/>
          <w:szCs w:val="24"/>
          <w:lang w:val="mn-MN"/>
        </w:rPr>
        <w:t>баривчлах ажиллагааны 42.1</w:t>
      </w:r>
      <w:r w:rsidR="00A6611F">
        <w:rPr>
          <w:rFonts w:ascii="Arial" w:hAnsi="Arial" w:cs="Arial"/>
          <w:sz w:val="24"/>
          <w:szCs w:val="24"/>
        </w:rPr>
        <w:t>5</w:t>
      </w:r>
      <w:r w:rsidR="00340EE2">
        <w:rPr>
          <w:rFonts w:ascii="Arial" w:hAnsi="Arial" w:cs="Arial"/>
          <w:sz w:val="24"/>
          <w:szCs w:val="24"/>
        </w:rPr>
        <w:t>%</w:t>
      </w:r>
      <w:r w:rsidR="00A6611F">
        <w:rPr>
          <w:rFonts w:ascii="Arial" w:hAnsi="Arial" w:cs="Arial"/>
          <w:sz w:val="24"/>
          <w:szCs w:val="24"/>
        </w:rPr>
        <w:t xml:space="preserve">, 2021 </w:t>
      </w:r>
      <w:r w:rsidR="00B67B62">
        <w:rPr>
          <w:rFonts w:ascii="Arial" w:hAnsi="Arial" w:cs="Arial"/>
          <w:sz w:val="24"/>
          <w:szCs w:val="24"/>
          <w:lang w:val="mn-MN"/>
        </w:rPr>
        <w:t xml:space="preserve">онд </w:t>
      </w:r>
      <w:r w:rsidR="006D1CE2">
        <w:rPr>
          <w:rFonts w:ascii="Arial" w:hAnsi="Arial" w:cs="Arial"/>
          <w:sz w:val="24"/>
          <w:szCs w:val="24"/>
        </w:rPr>
        <w:t>42.3</w:t>
      </w:r>
      <w:r w:rsidR="00340EE2">
        <w:rPr>
          <w:rFonts w:ascii="Arial" w:hAnsi="Arial" w:cs="Arial"/>
          <w:sz w:val="24"/>
          <w:szCs w:val="24"/>
        </w:rPr>
        <w:t>%</w:t>
      </w:r>
      <w:r w:rsidR="006D1CE2">
        <w:rPr>
          <w:rFonts w:ascii="Arial" w:hAnsi="Arial" w:cs="Arial"/>
          <w:sz w:val="24"/>
          <w:szCs w:val="24"/>
        </w:rPr>
        <w:t xml:space="preserve">, 2022 </w:t>
      </w:r>
      <w:r w:rsidR="00B67B62">
        <w:rPr>
          <w:rFonts w:ascii="Arial" w:hAnsi="Arial" w:cs="Arial"/>
          <w:sz w:val="24"/>
          <w:szCs w:val="24"/>
          <w:lang w:val="mn-MN"/>
        </w:rPr>
        <w:t xml:space="preserve">онд </w:t>
      </w:r>
      <w:r w:rsidR="00340EE2">
        <w:rPr>
          <w:rFonts w:ascii="Arial" w:hAnsi="Arial" w:cs="Arial"/>
          <w:sz w:val="24"/>
          <w:szCs w:val="24"/>
        </w:rPr>
        <w:t>48.4%</w:t>
      </w:r>
      <w:r w:rsidR="00B67B62">
        <w:rPr>
          <w:rFonts w:ascii="Arial" w:hAnsi="Arial" w:cs="Arial"/>
          <w:sz w:val="24"/>
          <w:szCs w:val="24"/>
          <w:lang w:val="mn-MN"/>
        </w:rPr>
        <w:t xml:space="preserve"> нь</w:t>
      </w:r>
      <w:r w:rsidR="00802325">
        <w:rPr>
          <w:rFonts w:ascii="Arial" w:hAnsi="Arial" w:cs="Arial"/>
          <w:sz w:val="24"/>
          <w:szCs w:val="24"/>
          <w:lang w:val="mn-MN"/>
        </w:rPr>
        <w:t xml:space="preserve"> хүчингүй болж шүүх, прокурорын шийдвэрээр </w:t>
      </w:r>
      <w:r w:rsidR="00801B05">
        <w:rPr>
          <w:rFonts w:ascii="Arial" w:hAnsi="Arial" w:cs="Arial"/>
          <w:sz w:val="24"/>
          <w:szCs w:val="24"/>
          <w:lang w:val="mn-MN"/>
        </w:rPr>
        <w:t xml:space="preserve">баривчилсан </w:t>
      </w:r>
      <w:r w:rsidR="00802325">
        <w:rPr>
          <w:rFonts w:ascii="Arial" w:hAnsi="Arial" w:cs="Arial"/>
          <w:sz w:val="24"/>
          <w:szCs w:val="24"/>
          <w:lang w:val="mn-MN"/>
        </w:rPr>
        <w:t>сэжигтэн</w:t>
      </w:r>
      <w:r w:rsidR="00801B05">
        <w:rPr>
          <w:rFonts w:ascii="Arial" w:hAnsi="Arial" w:cs="Arial"/>
          <w:sz w:val="24"/>
          <w:szCs w:val="24"/>
          <w:lang w:val="mn-MN"/>
        </w:rPr>
        <w:t xml:space="preserve">ийг </w:t>
      </w:r>
      <w:r w:rsidR="00802325">
        <w:rPr>
          <w:rFonts w:ascii="Arial" w:hAnsi="Arial" w:cs="Arial"/>
          <w:sz w:val="24"/>
          <w:szCs w:val="24"/>
          <w:lang w:val="mn-MN"/>
        </w:rPr>
        <w:t>сулласан байна.</w:t>
      </w:r>
    </w:p>
    <w:p w14:paraId="33E26727" w14:textId="397926C6" w:rsidR="00A26A07" w:rsidRDefault="00A26A07" w:rsidP="00CE0179">
      <w:pPr>
        <w:spacing w:after="0"/>
        <w:ind w:firstLine="720"/>
        <w:jc w:val="both"/>
        <w:rPr>
          <w:rFonts w:ascii="Arial" w:hAnsi="Arial" w:cs="Arial"/>
          <w:sz w:val="24"/>
          <w:szCs w:val="24"/>
          <w:lang w:val="mn-MN"/>
        </w:rPr>
      </w:pPr>
      <w:r>
        <w:rPr>
          <w:rFonts w:ascii="Arial" w:hAnsi="Arial" w:cs="Arial"/>
          <w:sz w:val="24"/>
          <w:szCs w:val="24"/>
          <w:lang w:val="mn-MN"/>
        </w:rPr>
        <w:t xml:space="preserve">Эдгээрээс үзвэл </w:t>
      </w:r>
      <w:r w:rsidR="00801B05">
        <w:rPr>
          <w:rFonts w:ascii="Arial" w:hAnsi="Arial" w:cs="Arial"/>
          <w:sz w:val="24"/>
          <w:szCs w:val="24"/>
          <w:lang w:val="mn-MN"/>
        </w:rPr>
        <w:t xml:space="preserve">шүүхийн зөвшөөрөлгүй баривчлах ажиллагааг мөрдөгч дур зоргоороо буюу </w:t>
      </w:r>
      <w:r w:rsidR="00527446">
        <w:rPr>
          <w:rFonts w:ascii="Arial" w:hAnsi="Arial" w:cs="Arial"/>
          <w:sz w:val="24"/>
          <w:szCs w:val="24"/>
          <w:lang w:val="mn-MN"/>
        </w:rPr>
        <w:t>хуульд заасан үндэслэл муутай явуулж хүний үндсэн эрхийн нэг болох халдашгүй чөлөөтэй байх эрхэд халд</w:t>
      </w:r>
      <w:r w:rsidR="00433133">
        <w:rPr>
          <w:rFonts w:ascii="Arial" w:hAnsi="Arial" w:cs="Arial"/>
          <w:sz w:val="24"/>
          <w:szCs w:val="24"/>
          <w:lang w:val="mn-MN"/>
        </w:rPr>
        <w:t>жээ.</w:t>
      </w:r>
      <w:r w:rsidR="003F1086">
        <w:rPr>
          <w:rFonts w:ascii="Arial" w:hAnsi="Arial" w:cs="Arial"/>
          <w:sz w:val="24"/>
          <w:szCs w:val="24"/>
          <w:lang w:val="mn-MN"/>
        </w:rPr>
        <w:t xml:space="preserve"> Улмаар ХЭҮК </w:t>
      </w:r>
      <w:r w:rsidR="00CE0179" w:rsidRPr="00CE0179">
        <w:rPr>
          <w:rFonts w:ascii="Arial" w:hAnsi="Arial" w:cs="Arial"/>
          <w:sz w:val="24"/>
          <w:szCs w:val="24"/>
          <w:lang w:val="mn-MN"/>
        </w:rPr>
        <w:t>Сэжигтнийг шүүхийн зөвшөөрөлгүй баривчлах ажиллагаатай холбоотой эрх зүйн зохицуулалтыг Монгол Улсын нэгдэн орсон олон улсын гэрээ, конвенцод нийцүүлэн боловсронгуй болгох</w:t>
      </w:r>
      <w:r w:rsidR="00CE0179">
        <w:rPr>
          <w:rFonts w:ascii="Arial" w:hAnsi="Arial" w:cs="Arial"/>
          <w:sz w:val="24"/>
          <w:szCs w:val="24"/>
          <w:lang w:val="mn-MN"/>
        </w:rPr>
        <w:t xml:space="preserve"> </w:t>
      </w:r>
      <w:r w:rsidR="000D5C0F">
        <w:rPr>
          <w:rFonts w:ascii="Arial" w:hAnsi="Arial" w:cs="Arial"/>
          <w:sz w:val="24"/>
          <w:szCs w:val="24"/>
          <w:lang w:val="mn-MN"/>
        </w:rPr>
        <w:t>шийдвэр гаргуулах санал гаргажээ</w:t>
      </w:r>
      <w:r w:rsidR="000D5C0F">
        <w:rPr>
          <w:rStyle w:val="FootnoteReference"/>
          <w:rFonts w:ascii="Arial" w:hAnsi="Arial" w:cs="Arial"/>
          <w:sz w:val="24"/>
          <w:szCs w:val="24"/>
          <w:lang w:val="mn-MN"/>
        </w:rPr>
        <w:footnoteReference w:id="2"/>
      </w:r>
      <w:r w:rsidR="000D5C0F">
        <w:rPr>
          <w:rFonts w:ascii="Arial" w:hAnsi="Arial" w:cs="Arial"/>
          <w:sz w:val="24"/>
          <w:szCs w:val="24"/>
          <w:lang w:val="mn-MN"/>
        </w:rPr>
        <w:t>.</w:t>
      </w:r>
    </w:p>
    <w:p w14:paraId="29263089" w14:textId="77777777" w:rsidR="000D5C0F" w:rsidRDefault="000D5C0F" w:rsidP="00CE0179">
      <w:pPr>
        <w:spacing w:after="0"/>
        <w:ind w:firstLine="720"/>
        <w:jc w:val="both"/>
        <w:rPr>
          <w:rFonts w:ascii="Arial" w:hAnsi="Arial" w:cs="Arial"/>
          <w:sz w:val="24"/>
          <w:szCs w:val="24"/>
          <w:lang w:val="mn-MN"/>
        </w:rPr>
      </w:pPr>
    </w:p>
    <w:p w14:paraId="63785A6D" w14:textId="53279CCE" w:rsidR="009A60A8" w:rsidRDefault="009A60A8" w:rsidP="00DB57AE">
      <w:pPr>
        <w:spacing w:after="0"/>
        <w:ind w:firstLine="720"/>
        <w:jc w:val="both"/>
        <w:rPr>
          <w:rFonts w:ascii="Arial" w:hAnsi="Arial" w:cs="Arial"/>
          <w:sz w:val="24"/>
          <w:szCs w:val="24"/>
          <w:lang w:val="mn-MN"/>
        </w:rPr>
      </w:pPr>
      <w:r>
        <w:rPr>
          <w:rFonts w:ascii="Arial" w:hAnsi="Arial" w:cs="Arial"/>
          <w:sz w:val="24"/>
          <w:szCs w:val="24"/>
          <w:lang w:val="mn-MN"/>
        </w:rPr>
        <w:t>Хүний эрхийн комиссын илтгэл</w:t>
      </w:r>
      <w:r w:rsidR="004832A0">
        <w:rPr>
          <w:rFonts w:ascii="Arial" w:hAnsi="Arial" w:cs="Arial"/>
          <w:sz w:val="24"/>
          <w:szCs w:val="24"/>
          <w:lang w:val="mn-MN"/>
        </w:rPr>
        <w:t>д</w:t>
      </w:r>
      <w:r>
        <w:rPr>
          <w:rFonts w:ascii="Arial" w:hAnsi="Arial" w:cs="Arial"/>
          <w:sz w:val="24"/>
          <w:szCs w:val="24"/>
          <w:lang w:val="mn-MN"/>
        </w:rPr>
        <w:t xml:space="preserve"> </w:t>
      </w:r>
      <w:r w:rsidR="003731A0">
        <w:rPr>
          <w:rFonts w:ascii="Arial" w:hAnsi="Arial" w:cs="Arial"/>
          <w:sz w:val="24"/>
          <w:szCs w:val="24"/>
          <w:lang w:val="mn-MN"/>
        </w:rPr>
        <w:t xml:space="preserve">энэхүү шүүхийн зөвшөөрөлгүй баривчлах ажиллагааны 60-аас дээшгүй хувийг </w:t>
      </w:r>
      <w:r w:rsidR="003731A0" w:rsidRPr="004832A0">
        <w:rPr>
          <w:rFonts w:ascii="Arial" w:hAnsi="Arial" w:cs="Arial"/>
          <w:b/>
          <w:bCs/>
          <w:sz w:val="24"/>
          <w:szCs w:val="24"/>
          <w:lang w:val="mn-MN"/>
        </w:rPr>
        <w:t>“хойшлуулшгүй тохио</w:t>
      </w:r>
      <w:r w:rsidR="004832A0" w:rsidRPr="004832A0">
        <w:rPr>
          <w:rFonts w:ascii="Arial" w:hAnsi="Arial" w:cs="Arial"/>
          <w:b/>
          <w:bCs/>
          <w:sz w:val="24"/>
          <w:szCs w:val="24"/>
          <w:lang w:val="mn-MN"/>
        </w:rPr>
        <w:t>л</w:t>
      </w:r>
      <w:r w:rsidR="003731A0" w:rsidRPr="004832A0">
        <w:rPr>
          <w:rFonts w:ascii="Arial" w:hAnsi="Arial" w:cs="Arial"/>
          <w:b/>
          <w:bCs/>
          <w:sz w:val="24"/>
          <w:szCs w:val="24"/>
          <w:lang w:val="mn-MN"/>
        </w:rPr>
        <w:t>долд”</w:t>
      </w:r>
      <w:r w:rsidR="003731A0">
        <w:rPr>
          <w:rFonts w:ascii="Arial" w:hAnsi="Arial" w:cs="Arial"/>
          <w:sz w:val="24"/>
          <w:szCs w:val="24"/>
          <w:lang w:val="mn-MN"/>
        </w:rPr>
        <w:t xml:space="preserve"> гэсэн үндэслэл</w:t>
      </w:r>
      <w:r w:rsidR="00F90922">
        <w:rPr>
          <w:rFonts w:ascii="Arial" w:hAnsi="Arial" w:cs="Arial"/>
          <w:sz w:val="24"/>
          <w:szCs w:val="24"/>
          <w:lang w:val="mn-MN"/>
        </w:rPr>
        <w:t>ээр баривчилс</w:t>
      </w:r>
      <w:r w:rsidR="00F5166E">
        <w:rPr>
          <w:rFonts w:ascii="Arial" w:hAnsi="Arial" w:cs="Arial"/>
          <w:sz w:val="24"/>
          <w:szCs w:val="24"/>
          <w:lang w:val="mn-MN"/>
        </w:rPr>
        <w:t>а</w:t>
      </w:r>
      <w:r w:rsidR="00F90922">
        <w:rPr>
          <w:rFonts w:ascii="Arial" w:hAnsi="Arial" w:cs="Arial"/>
          <w:sz w:val="24"/>
          <w:szCs w:val="24"/>
          <w:lang w:val="mn-MN"/>
        </w:rPr>
        <w:t>н</w:t>
      </w:r>
      <w:r w:rsidR="00F5166E">
        <w:rPr>
          <w:rFonts w:ascii="Arial" w:hAnsi="Arial" w:cs="Arial"/>
          <w:sz w:val="24"/>
          <w:szCs w:val="24"/>
          <w:lang w:val="mn-MN"/>
        </w:rPr>
        <w:t xml:space="preserve"> болохыг </w:t>
      </w:r>
      <w:r w:rsidR="004832A0">
        <w:rPr>
          <w:rFonts w:ascii="Arial" w:hAnsi="Arial" w:cs="Arial"/>
          <w:sz w:val="24"/>
          <w:szCs w:val="24"/>
          <w:lang w:val="mn-MN"/>
        </w:rPr>
        <w:t>онцолсон байна</w:t>
      </w:r>
      <w:r w:rsidR="000D35AD">
        <w:rPr>
          <w:rStyle w:val="FootnoteReference"/>
          <w:rFonts w:ascii="Arial" w:hAnsi="Arial" w:cs="Arial"/>
          <w:sz w:val="24"/>
          <w:szCs w:val="24"/>
          <w:lang w:val="mn-MN"/>
        </w:rPr>
        <w:footnoteReference w:id="3"/>
      </w:r>
      <w:r w:rsidR="004832A0">
        <w:rPr>
          <w:rFonts w:ascii="Arial" w:hAnsi="Arial" w:cs="Arial"/>
          <w:sz w:val="24"/>
          <w:szCs w:val="24"/>
          <w:lang w:val="mn-MN"/>
        </w:rPr>
        <w:t>.</w:t>
      </w:r>
      <w:r w:rsidR="00F5166E">
        <w:rPr>
          <w:rFonts w:ascii="Arial" w:hAnsi="Arial" w:cs="Arial"/>
          <w:sz w:val="24"/>
          <w:szCs w:val="24"/>
          <w:lang w:val="mn-MN"/>
        </w:rPr>
        <w:t xml:space="preserve"> Эрүүгийн хэрэг хянан шийдвэрлэх тухай хуулийн </w:t>
      </w:r>
      <w:r w:rsidR="006A7AB6">
        <w:rPr>
          <w:rFonts w:ascii="Arial" w:hAnsi="Arial" w:cs="Arial"/>
          <w:sz w:val="24"/>
          <w:szCs w:val="24"/>
          <w:lang w:val="mn-MN"/>
        </w:rPr>
        <w:t xml:space="preserve">31 дүгээр бүлгийн 31.4 дүгээр зүйлд </w:t>
      </w:r>
      <w:r w:rsidR="00966443">
        <w:rPr>
          <w:rFonts w:ascii="Arial" w:hAnsi="Arial" w:cs="Arial"/>
          <w:sz w:val="24"/>
          <w:szCs w:val="24"/>
          <w:lang w:val="mn-MN"/>
        </w:rPr>
        <w:t xml:space="preserve">сэжигтнийг шүүхийн зөвшөөрөлтэйгээр баривчлах үндэслэл, журам, </w:t>
      </w:r>
      <w:r w:rsidR="00D043A9">
        <w:rPr>
          <w:rFonts w:ascii="Arial" w:hAnsi="Arial" w:cs="Arial"/>
          <w:sz w:val="24"/>
          <w:szCs w:val="24"/>
          <w:lang w:val="mn-MN"/>
        </w:rPr>
        <w:t xml:space="preserve">31.5 дугаар зүйлд шүүхийн зөвшөөрөлгүй баривчлах үндэслэл, журмыг хуульчилсан байдаг. </w:t>
      </w:r>
      <w:r w:rsidR="00C4360D">
        <w:rPr>
          <w:rFonts w:ascii="Arial" w:hAnsi="Arial" w:cs="Arial"/>
          <w:sz w:val="24"/>
          <w:szCs w:val="24"/>
          <w:lang w:val="mn-MN"/>
        </w:rPr>
        <w:t xml:space="preserve">Хуулийн эдгээр зүйлийг харьцуулан үзвэл ЭХХШТХ-ийн </w:t>
      </w:r>
      <w:r w:rsidR="004A2AB9">
        <w:rPr>
          <w:rFonts w:ascii="Arial" w:hAnsi="Arial" w:cs="Arial"/>
          <w:sz w:val="24"/>
          <w:szCs w:val="24"/>
          <w:lang w:val="mn-MN"/>
        </w:rPr>
        <w:t>31.4-д</w:t>
      </w:r>
    </w:p>
    <w:p w14:paraId="11EC6526" w14:textId="255CD8DE" w:rsidR="00674CB5" w:rsidRPr="00674CB5" w:rsidRDefault="00674CB5" w:rsidP="00674CB5">
      <w:pPr>
        <w:spacing w:after="0"/>
        <w:ind w:left="720"/>
        <w:jc w:val="both"/>
        <w:rPr>
          <w:rFonts w:ascii="Arial" w:hAnsi="Arial" w:cs="Arial"/>
          <w:sz w:val="24"/>
          <w:szCs w:val="24"/>
          <w:lang w:val="mn-MN"/>
        </w:rPr>
      </w:pPr>
      <w:r w:rsidRPr="00674CB5">
        <w:rPr>
          <w:rFonts w:ascii="Arial" w:hAnsi="Arial" w:cs="Arial"/>
          <w:sz w:val="24"/>
          <w:szCs w:val="24"/>
          <w:lang w:val="mn-MN"/>
        </w:rPr>
        <w:lastRenderedPageBreak/>
        <w:t>1.1.энэ хуулийн 31.2 дугаар зүйлд заасны дагуу сэжигтнийг дуудахад хүндэтгэн үзэх шалтгаангүйгээр ирээгүй, эсхүл мэдэгдэх хуудсыг хүлээн авахаас татгалзсан бол;</w:t>
      </w:r>
    </w:p>
    <w:p w14:paraId="34F11109" w14:textId="77777777" w:rsidR="00674CB5" w:rsidRPr="00674CB5" w:rsidRDefault="00674CB5" w:rsidP="00674CB5">
      <w:pPr>
        <w:spacing w:after="0"/>
        <w:ind w:left="720"/>
        <w:jc w:val="both"/>
        <w:rPr>
          <w:rFonts w:ascii="Arial" w:hAnsi="Arial" w:cs="Arial"/>
          <w:sz w:val="24"/>
          <w:szCs w:val="24"/>
          <w:lang w:val="mn-MN"/>
        </w:rPr>
      </w:pPr>
      <w:r w:rsidRPr="00674CB5">
        <w:rPr>
          <w:rFonts w:ascii="Arial" w:hAnsi="Arial" w:cs="Arial"/>
          <w:sz w:val="24"/>
          <w:szCs w:val="24"/>
          <w:lang w:val="mn-MN"/>
        </w:rPr>
        <w:t>1.2.оргон зайлсан, эсхүл мэдэгдэх хуудсаар дуудахад оргон зайлах үндэслэл байгаа бол;</w:t>
      </w:r>
    </w:p>
    <w:p w14:paraId="1F2762E2" w14:textId="77777777" w:rsidR="00674CB5" w:rsidRPr="00674CB5" w:rsidRDefault="00674CB5" w:rsidP="00674CB5">
      <w:pPr>
        <w:spacing w:after="0"/>
        <w:ind w:firstLine="720"/>
        <w:jc w:val="both"/>
        <w:rPr>
          <w:rFonts w:ascii="Arial" w:hAnsi="Arial" w:cs="Arial"/>
          <w:sz w:val="24"/>
          <w:szCs w:val="24"/>
          <w:lang w:val="mn-MN"/>
        </w:rPr>
      </w:pPr>
    </w:p>
    <w:p w14:paraId="75FDBE67" w14:textId="77777777" w:rsidR="00674CB5" w:rsidRDefault="00674CB5" w:rsidP="00674CB5">
      <w:pPr>
        <w:spacing w:after="0"/>
        <w:ind w:left="720"/>
        <w:jc w:val="both"/>
        <w:rPr>
          <w:rFonts w:ascii="Arial" w:hAnsi="Arial" w:cs="Arial"/>
          <w:sz w:val="24"/>
          <w:szCs w:val="24"/>
          <w:lang w:val="mn-MN"/>
        </w:rPr>
      </w:pPr>
      <w:r w:rsidRPr="00674CB5">
        <w:rPr>
          <w:rFonts w:ascii="Arial" w:hAnsi="Arial" w:cs="Arial"/>
          <w:sz w:val="24"/>
          <w:szCs w:val="24"/>
          <w:lang w:val="mn-MN"/>
        </w:rPr>
        <w:t>1.3.мөрдөгч, прокурор, шүүгч, хохирогч, гэрч, хамтран гэмт хэрэг үйлдсэн хүнийг дарамтлах, сүрдүүлэх, амь нас, эрүүл мэндэд нь халдах үндэслэл байгаа бол;</w:t>
      </w:r>
    </w:p>
    <w:p w14:paraId="7D1F5FDC" w14:textId="77777777" w:rsidR="00674CB5" w:rsidRDefault="00674CB5" w:rsidP="00674CB5">
      <w:pPr>
        <w:spacing w:after="0"/>
        <w:ind w:left="720"/>
        <w:jc w:val="both"/>
        <w:rPr>
          <w:rFonts w:ascii="Arial" w:hAnsi="Arial" w:cs="Arial"/>
          <w:sz w:val="24"/>
          <w:szCs w:val="24"/>
          <w:lang w:val="mn-MN"/>
        </w:rPr>
      </w:pPr>
      <w:r w:rsidRPr="00674CB5">
        <w:rPr>
          <w:rFonts w:ascii="Arial" w:hAnsi="Arial" w:cs="Arial"/>
          <w:sz w:val="24"/>
          <w:szCs w:val="24"/>
          <w:lang w:val="mn-MN"/>
        </w:rPr>
        <w:t>1.4.гэмт хэрэг үйлдсэн гэх хангалттай үндэслэл байгаа, түүнчлэн дахин гэмт хэрэг үйлдэх, гэмт хэргээ төгсгөх үндэслэл байгаа бол;</w:t>
      </w:r>
    </w:p>
    <w:p w14:paraId="35474D15" w14:textId="77A33CAF" w:rsidR="00883A91" w:rsidRDefault="00674CB5" w:rsidP="007A71CF">
      <w:pPr>
        <w:spacing w:after="0"/>
        <w:ind w:left="720"/>
        <w:jc w:val="both"/>
        <w:rPr>
          <w:rFonts w:ascii="Arial" w:hAnsi="Arial" w:cs="Arial"/>
          <w:sz w:val="24"/>
          <w:szCs w:val="24"/>
          <w:lang w:val="mn-MN"/>
        </w:rPr>
      </w:pPr>
      <w:r w:rsidRPr="00674CB5">
        <w:rPr>
          <w:rFonts w:ascii="Arial" w:hAnsi="Arial" w:cs="Arial"/>
          <w:sz w:val="24"/>
          <w:szCs w:val="24"/>
          <w:lang w:val="mn-MN"/>
        </w:rPr>
        <w:t>1.5.нотлох баримтаа устгах, өөрчлөх, хуурамчаар үйлдэх, эсхүл гэрч, хохирогч, хамтран гэмт хэрэг үйлдсэн хүнд хууль бусаар нөлөөлөх үндэслэл илэрсэн бол</w:t>
      </w:r>
      <w:r>
        <w:rPr>
          <w:rFonts w:ascii="Arial" w:hAnsi="Arial" w:cs="Arial"/>
          <w:sz w:val="24"/>
          <w:szCs w:val="24"/>
          <w:lang w:val="mn-MN"/>
        </w:rPr>
        <w:t xml:space="preserve"> </w:t>
      </w:r>
      <w:r w:rsidR="00B24725" w:rsidRPr="00B24725">
        <w:rPr>
          <w:rFonts w:ascii="Arial" w:hAnsi="Arial" w:cs="Arial"/>
          <w:sz w:val="24"/>
          <w:szCs w:val="24"/>
          <w:lang w:val="mn-MN"/>
        </w:rPr>
        <w:t>прокурор сэжигтнийг баривчлах тухай мөрдөгчийн саналыг хүлээн авснаас хойш уг саналыг шүүхэд даруй хүргүүл</w:t>
      </w:r>
      <w:r w:rsidR="00B24725">
        <w:rPr>
          <w:rFonts w:ascii="Arial" w:hAnsi="Arial" w:cs="Arial"/>
          <w:sz w:val="24"/>
          <w:szCs w:val="24"/>
          <w:lang w:val="mn-MN"/>
        </w:rPr>
        <w:t xml:space="preserve">ж шүүх </w:t>
      </w:r>
      <w:r w:rsidR="007A71CF" w:rsidRPr="007A71CF">
        <w:rPr>
          <w:rFonts w:ascii="Arial" w:hAnsi="Arial" w:cs="Arial"/>
          <w:sz w:val="24"/>
          <w:szCs w:val="24"/>
          <w:lang w:val="mn-MN"/>
        </w:rPr>
        <w:t>24 цагийн дотор сэжигтнийг баривчлах эсэхийг шийдвэрлэ</w:t>
      </w:r>
      <w:r w:rsidR="007A71CF">
        <w:rPr>
          <w:rFonts w:ascii="Arial" w:hAnsi="Arial" w:cs="Arial"/>
          <w:sz w:val="24"/>
          <w:szCs w:val="24"/>
          <w:lang w:val="mn-MN"/>
        </w:rPr>
        <w:t>хээр зохицуулсан</w:t>
      </w:r>
      <w:r w:rsidRPr="00674CB5">
        <w:rPr>
          <w:rFonts w:ascii="Arial" w:hAnsi="Arial" w:cs="Arial"/>
          <w:sz w:val="24"/>
          <w:szCs w:val="24"/>
          <w:lang w:val="mn-MN"/>
        </w:rPr>
        <w:t>.</w:t>
      </w:r>
    </w:p>
    <w:p w14:paraId="00D7FABC" w14:textId="7CB49C92" w:rsidR="007A71CF" w:rsidRDefault="007A71CF" w:rsidP="007A71CF">
      <w:pPr>
        <w:spacing w:after="0"/>
        <w:ind w:firstLine="720"/>
        <w:jc w:val="both"/>
        <w:rPr>
          <w:rFonts w:ascii="Arial" w:hAnsi="Arial" w:cs="Arial"/>
          <w:sz w:val="24"/>
          <w:szCs w:val="24"/>
          <w:lang w:val="mn-MN"/>
        </w:rPr>
      </w:pPr>
      <w:r>
        <w:rPr>
          <w:rFonts w:ascii="Arial" w:hAnsi="Arial" w:cs="Arial"/>
          <w:sz w:val="24"/>
          <w:szCs w:val="24"/>
          <w:lang w:val="mn-MN"/>
        </w:rPr>
        <w:t xml:space="preserve">Харин тус хуулийн </w:t>
      </w:r>
      <w:r w:rsidR="00D24A0B">
        <w:rPr>
          <w:rFonts w:ascii="Arial" w:hAnsi="Arial" w:cs="Arial"/>
          <w:sz w:val="24"/>
          <w:szCs w:val="24"/>
          <w:lang w:val="mn-MN"/>
        </w:rPr>
        <w:t>31.5-д</w:t>
      </w:r>
    </w:p>
    <w:p w14:paraId="4E4DEBBE" w14:textId="73F723A0" w:rsidR="00D24A0B" w:rsidRPr="00D24A0B" w:rsidRDefault="00D24A0B" w:rsidP="00D24A0B">
      <w:pPr>
        <w:spacing w:after="0"/>
        <w:ind w:firstLine="720"/>
        <w:jc w:val="both"/>
        <w:rPr>
          <w:rFonts w:ascii="Arial" w:hAnsi="Arial" w:cs="Arial"/>
          <w:sz w:val="24"/>
          <w:szCs w:val="24"/>
          <w:lang w:val="mn-MN"/>
        </w:rPr>
      </w:pPr>
      <w:r w:rsidRPr="00D24A0B">
        <w:rPr>
          <w:rFonts w:ascii="Arial" w:hAnsi="Arial" w:cs="Arial"/>
          <w:sz w:val="24"/>
          <w:szCs w:val="24"/>
          <w:lang w:val="mn-MN"/>
        </w:rPr>
        <w:t>1.1.гэмт хэрэг үйлдэж байх үед, эсхүл үйлдсэн дор нь барьсан;</w:t>
      </w:r>
    </w:p>
    <w:p w14:paraId="7502FAAF" w14:textId="32C8A01F" w:rsidR="00D24A0B" w:rsidRPr="00D24A0B" w:rsidRDefault="00D24A0B" w:rsidP="00D24A0B">
      <w:pPr>
        <w:spacing w:after="0"/>
        <w:ind w:firstLine="720"/>
        <w:jc w:val="both"/>
        <w:rPr>
          <w:rFonts w:ascii="Arial" w:hAnsi="Arial" w:cs="Arial"/>
          <w:sz w:val="24"/>
          <w:szCs w:val="24"/>
          <w:lang w:val="mn-MN"/>
        </w:rPr>
      </w:pPr>
      <w:r w:rsidRPr="00D24A0B">
        <w:rPr>
          <w:rFonts w:ascii="Arial" w:hAnsi="Arial" w:cs="Arial"/>
          <w:sz w:val="24"/>
          <w:szCs w:val="24"/>
          <w:lang w:val="mn-MN"/>
        </w:rPr>
        <w:t>1.2.энэ хуульд заасан хойшлуулшгүй тохиолдолд;</w:t>
      </w:r>
    </w:p>
    <w:p w14:paraId="600862CC" w14:textId="43FB42CB" w:rsidR="00D24A0B" w:rsidRPr="00D24A0B" w:rsidRDefault="00D24A0B" w:rsidP="00D24A0B">
      <w:pPr>
        <w:spacing w:after="0"/>
        <w:ind w:firstLine="720"/>
        <w:jc w:val="both"/>
        <w:rPr>
          <w:rFonts w:ascii="Arial" w:hAnsi="Arial" w:cs="Arial"/>
          <w:sz w:val="24"/>
          <w:szCs w:val="24"/>
          <w:lang w:val="mn-MN"/>
        </w:rPr>
      </w:pPr>
      <w:r w:rsidRPr="00D24A0B">
        <w:rPr>
          <w:rFonts w:ascii="Arial" w:hAnsi="Arial" w:cs="Arial"/>
          <w:sz w:val="24"/>
          <w:szCs w:val="24"/>
          <w:lang w:val="mn-MN"/>
        </w:rPr>
        <w:t>1.3.гэмт хэрэг үйлдсэн гэж гэрч, хохирогч шууд заасан;</w:t>
      </w:r>
    </w:p>
    <w:p w14:paraId="4ADFE14D" w14:textId="0B514DBC" w:rsidR="00D24A0B" w:rsidRDefault="00D24A0B" w:rsidP="00D24A0B">
      <w:pPr>
        <w:spacing w:after="0"/>
        <w:ind w:left="720"/>
        <w:jc w:val="both"/>
        <w:rPr>
          <w:rFonts w:ascii="Arial" w:hAnsi="Arial" w:cs="Arial"/>
          <w:sz w:val="24"/>
          <w:szCs w:val="24"/>
          <w:lang w:val="mn-MN"/>
        </w:rPr>
      </w:pPr>
      <w:r w:rsidRPr="00D24A0B">
        <w:rPr>
          <w:rFonts w:ascii="Arial" w:hAnsi="Arial" w:cs="Arial"/>
          <w:sz w:val="24"/>
          <w:szCs w:val="24"/>
          <w:lang w:val="mn-MN"/>
        </w:rPr>
        <w:t>1.4.тухайн хүний хувцас, бие, орон байр, эд зүйл, тээврийн хэрэгсэлд гэмт хэргийн ул мөр илэрсэн</w:t>
      </w:r>
      <w:r>
        <w:rPr>
          <w:rFonts w:ascii="Arial" w:hAnsi="Arial" w:cs="Arial"/>
          <w:sz w:val="24"/>
          <w:szCs w:val="24"/>
          <w:lang w:val="mn-MN"/>
        </w:rPr>
        <w:t xml:space="preserve"> бол мөрдөгч </w:t>
      </w:r>
      <w:r w:rsidR="00842869">
        <w:rPr>
          <w:rFonts w:ascii="Arial" w:hAnsi="Arial" w:cs="Arial"/>
          <w:sz w:val="24"/>
          <w:szCs w:val="24"/>
          <w:lang w:val="mn-MN"/>
        </w:rPr>
        <w:t>сэжигтэнийг шүүхийн зөвшөөрөлгүй баривчилж болно гэж заасан.</w:t>
      </w:r>
    </w:p>
    <w:p w14:paraId="5D7D021C" w14:textId="77777777" w:rsidR="00E1022E" w:rsidRDefault="00E1022E" w:rsidP="00FE58A8">
      <w:pPr>
        <w:spacing w:after="0"/>
        <w:jc w:val="both"/>
        <w:rPr>
          <w:rFonts w:ascii="Arial" w:hAnsi="Arial" w:cs="Arial"/>
          <w:sz w:val="24"/>
          <w:szCs w:val="24"/>
          <w:lang w:val="mn-MN"/>
        </w:rPr>
      </w:pPr>
    </w:p>
    <w:p w14:paraId="36EDF21A" w14:textId="62A959BF" w:rsidR="00EA0D64" w:rsidRDefault="00E1022E" w:rsidP="00E1022E">
      <w:pPr>
        <w:spacing w:after="0"/>
        <w:ind w:firstLine="720"/>
        <w:jc w:val="both"/>
        <w:rPr>
          <w:rFonts w:ascii="Arial" w:hAnsi="Arial" w:cs="Arial"/>
          <w:sz w:val="24"/>
          <w:szCs w:val="24"/>
          <w:lang w:val="mn-MN"/>
        </w:rPr>
      </w:pPr>
      <w:r>
        <w:rPr>
          <w:rFonts w:ascii="Arial" w:hAnsi="Arial" w:cs="Arial"/>
          <w:sz w:val="24"/>
          <w:szCs w:val="24"/>
          <w:lang w:val="mn-MN"/>
        </w:rPr>
        <w:t xml:space="preserve">Сэжигтэнийг шүүхийн зөвшөөрөлгүй баривчлахад хамгийн түгээмэл хэрэглэж буй хойшлуулшгүй тохиолдолд гэх үндэслэлийг </w:t>
      </w:r>
      <w:r w:rsidR="000E4774">
        <w:rPr>
          <w:rFonts w:ascii="Arial" w:hAnsi="Arial" w:cs="Arial"/>
          <w:sz w:val="24"/>
          <w:szCs w:val="24"/>
          <w:lang w:val="mn-MN"/>
        </w:rPr>
        <w:t xml:space="preserve">нарийвчлан авч үзвэл ЭХХШТХ-ийн </w:t>
      </w:r>
      <w:r w:rsidR="00F81A26">
        <w:rPr>
          <w:rFonts w:ascii="Arial" w:hAnsi="Arial" w:cs="Arial"/>
          <w:sz w:val="24"/>
          <w:szCs w:val="24"/>
          <w:lang w:val="mn-MN"/>
        </w:rPr>
        <w:t xml:space="preserve">1 дүгээр бүлгийн 1.4 дүгээр зүйлийн 1.26 дахь хэсэгт </w:t>
      </w:r>
      <w:r w:rsidR="00EA58CA" w:rsidRPr="00EA58CA">
        <w:rPr>
          <w:rFonts w:ascii="Arial" w:hAnsi="Arial" w:cs="Arial"/>
          <w:sz w:val="24"/>
          <w:szCs w:val="24"/>
          <w:lang w:val="mn-MN"/>
        </w:rPr>
        <w:t>"хойшлуулшгүй тохиолдол" гэж хүний амь нас, эрүүл мэнд, эд хөрөнгөд ноцтой хохирол учрах, сэжигтэн, яллагдагч оргон зайлах, хэргийн ул мөр, эд мөрийн баримт устах, зөөвөрлөх, нуун далдлах, үрэгдэх бодит аюул байгааг</w:t>
      </w:r>
      <w:r w:rsidR="00EA58CA">
        <w:rPr>
          <w:rFonts w:ascii="Arial" w:hAnsi="Arial" w:cs="Arial"/>
          <w:sz w:val="24"/>
          <w:szCs w:val="24"/>
          <w:lang w:val="mn-MN"/>
        </w:rPr>
        <w:t xml:space="preserve"> </w:t>
      </w:r>
      <w:r w:rsidR="00717B3D">
        <w:rPr>
          <w:rFonts w:ascii="Arial" w:hAnsi="Arial" w:cs="Arial"/>
          <w:sz w:val="24"/>
          <w:szCs w:val="24"/>
          <w:lang w:val="mn-MN"/>
        </w:rPr>
        <w:t xml:space="preserve">ойлгоно </w:t>
      </w:r>
      <w:r w:rsidR="00EA58CA">
        <w:rPr>
          <w:rFonts w:ascii="Arial" w:hAnsi="Arial" w:cs="Arial"/>
          <w:sz w:val="24"/>
          <w:szCs w:val="24"/>
          <w:lang w:val="mn-MN"/>
        </w:rPr>
        <w:t xml:space="preserve">гэж </w:t>
      </w:r>
      <w:r w:rsidR="00717B3D">
        <w:rPr>
          <w:rFonts w:ascii="Arial" w:hAnsi="Arial" w:cs="Arial"/>
          <w:sz w:val="24"/>
          <w:szCs w:val="24"/>
          <w:lang w:val="mn-MN"/>
        </w:rPr>
        <w:t>заасан. Үүн</w:t>
      </w:r>
      <w:r w:rsidR="00BD7892">
        <w:rPr>
          <w:rFonts w:ascii="Arial" w:hAnsi="Arial" w:cs="Arial"/>
          <w:sz w:val="24"/>
          <w:szCs w:val="24"/>
          <w:lang w:val="mn-MN"/>
        </w:rPr>
        <w:t>ий улмаас ЭХХШТХ-ийн 31.5</w:t>
      </w:r>
      <w:r w:rsidR="001F615B">
        <w:rPr>
          <w:rFonts w:ascii="Arial" w:hAnsi="Arial" w:cs="Arial"/>
          <w:sz w:val="24"/>
          <w:szCs w:val="24"/>
          <w:lang w:val="mn-MN"/>
        </w:rPr>
        <w:t>.1.2-д заасан хойшлуулшгүй тохиолдолд баривчлах үндэслэл нь “</w:t>
      </w:r>
      <w:r w:rsidR="001F615B" w:rsidRPr="00EA58CA">
        <w:rPr>
          <w:rFonts w:ascii="Arial" w:hAnsi="Arial" w:cs="Arial"/>
          <w:sz w:val="24"/>
          <w:szCs w:val="24"/>
          <w:lang w:val="mn-MN"/>
        </w:rPr>
        <w:t>хүний амь нас, эрүүл мэнд, эд хөрөнгөд ноцтой хохирол учрах, сэжигтэн, яллагдагч оргон зайлах, хэргийн ул мөр, эд мөрийн баримт устах, зөөвөрлөх, нуун далдлах, үрэгдэх бодит аюул бай</w:t>
      </w:r>
      <w:r w:rsidR="00391205">
        <w:rPr>
          <w:rFonts w:ascii="Arial" w:hAnsi="Arial" w:cs="Arial"/>
          <w:sz w:val="24"/>
          <w:szCs w:val="24"/>
          <w:lang w:val="mn-MN"/>
        </w:rPr>
        <w:t xml:space="preserve">х” явдал болж байна. Гэтэл ЭХХШТХ-ийн </w:t>
      </w:r>
      <w:r w:rsidR="00A0141A">
        <w:rPr>
          <w:rFonts w:ascii="Arial" w:hAnsi="Arial" w:cs="Arial"/>
          <w:sz w:val="24"/>
          <w:szCs w:val="24"/>
          <w:lang w:val="mn-MN"/>
        </w:rPr>
        <w:t xml:space="preserve">31.4-д заасны дагуу </w:t>
      </w:r>
      <w:r w:rsidR="00CB19E0">
        <w:rPr>
          <w:rFonts w:ascii="Arial" w:hAnsi="Arial" w:cs="Arial"/>
          <w:sz w:val="24"/>
          <w:szCs w:val="24"/>
          <w:lang w:val="mn-MN"/>
        </w:rPr>
        <w:t>34.1.1.2 “сэжигтэн оргон зайлсан, эсхүл оргон зайлах үндэслэл байгаа бол</w:t>
      </w:r>
      <w:r w:rsidR="00BA704B">
        <w:rPr>
          <w:rFonts w:ascii="Arial" w:hAnsi="Arial" w:cs="Arial"/>
          <w:sz w:val="24"/>
          <w:szCs w:val="24"/>
          <w:lang w:val="mn-MN"/>
        </w:rPr>
        <w:t xml:space="preserve">, </w:t>
      </w:r>
      <w:r w:rsidR="00A026C1">
        <w:rPr>
          <w:rFonts w:ascii="Arial" w:hAnsi="Arial" w:cs="Arial"/>
          <w:sz w:val="24"/>
          <w:szCs w:val="24"/>
          <w:lang w:val="mn-MN"/>
        </w:rPr>
        <w:t>34.1.</w:t>
      </w:r>
      <w:r w:rsidR="00A026C1">
        <w:rPr>
          <w:rFonts w:ascii="Arial" w:hAnsi="Arial" w:cs="Arial"/>
          <w:sz w:val="24"/>
          <w:szCs w:val="24"/>
          <w:lang w:val="mn-MN"/>
        </w:rPr>
        <w:t xml:space="preserve">1.3 </w:t>
      </w:r>
      <w:r w:rsidR="00A026C1" w:rsidRPr="00674CB5">
        <w:rPr>
          <w:rFonts w:ascii="Arial" w:hAnsi="Arial" w:cs="Arial"/>
          <w:sz w:val="24"/>
          <w:szCs w:val="24"/>
          <w:lang w:val="mn-MN"/>
        </w:rPr>
        <w:t>мөрдөгч, прокурор, шүүгч, хохирогч, гэрч, хамтран гэмт хэрэг үйлдсэн хүнийг дарамтлах, сүрдүүлэх, амь нас, эрүүл мэндэд нь халдах үндэслэл байгаа</w:t>
      </w:r>
      <w:r w:rsidR="00A026C1">
        <w:rPr>
          <w:rFonts w:ascii="Arial" w:hAnsi="Arial" w:cs="Arial"/>
          <w:sz w:val="24"/>
          <w:szCs w:val="24"/>
          <w:lang w:val="mn-MN"/>
        </w:rPr>
        <w:t xml:space="preserve">, </w:t>
      </w:r>
      <w:r w:rsidR="00C63C06">
        <w:rPr>
          <w:rFonts w:ascii="Arial" w:hAnsi="Arial" w:cs="Arial"/>
          <w:sz w:val="24"/>
          <w:szCs w:val="24"/>
          <w:lang w:val="mn-MN"/>
        </w:rPr>
        <w:t>34.1.</w:t>
      </w:r>
      <w:r w:rsidR="00C63C06" w:rsidRPr="00674CB5">
        <w:rPr>
          <w:rFonts w:ascii="Arial" w:hAnsi="Arial" w:cs="Arial"/>
          <w:sz w:val="24"/>
          <w:szCs w:val="24"/>
          <w:lang w:val="mn-MN"/>
        </w:rPr>
        <w:t>1.5.нотлох баримтаа устгах, өөрчлөх, хуурамчаар үйлдэх, эсхүл гэрч, хохирогч, хамтран гэмт хэрэг үйлдсэн хүнд хууль бусаар нөлөөлөх үндэслэл илэрсэн</w:t>
      </w:r>
      <w:r w:rsidR="00C63C06">
        <w:rPr>
          <w:rFonts w:ascii="Arial" w:hAnsi="Arial" w:cs="Arial"/>
          <w:sz w:val="24"/>
          <w:szCs w:val="24"/>
          <w:lang w:val="mn-MN"/>
        </w:rPr>
        <w:t xml:space="preserve"> </w:t>
      </w:r>
      <w:r w:rsidR="00246848">
        <w:rPr>
          <w:rFonts w:ascii="Arial" w:hAnsi="Arial" w:cs="Arial"/>
          <w:sz w:val="24"/>
          <w:szCs w:val="24"/>
          <w:lang w:val="mn-MN"/>
        </w:rPr>
        <w:t xml:space="preserve">бол энэ талаар мөрдөгч, прокурор үндэслэлээ шүүхэд танилцуулж </w:t>
      </w:r>
      <w:r w:rsidR="006F0385">
        <w:rPr>
          <w:rFonts w:ascii="Arial" w:hAnsi="Arial" w:cs="Arial"/>
          <w:sz w:val="24"/>
          <w:szCs w:val="24"/>
          <w:lang w:val="mn-MN"/>
        </w:rPr>
        <w:t xml:space="preserve">шүүх ингэж үзэх бодит үндэслэл байвал сэжигтэнийг баривчлах шийдвэр гаргахаар хуульчилсан. </w:t>
      </w:r>
    </w:p>
    <w:p w14:paraId="54D88574" w14:textId="3963C23D" w:rsidR="009D199D" w:rsidRDefault="009D199D" w:rsidP="00E1022E">
      <w:pPr>
        <w:spacing w:after="0"/>
        <w:ind w:firstLine="720"/>
        <w:jc w:val="both"/>
        <w:rPr>
          <w:rFonts w:ascii="Arial" w:hAnsi="Arial" w:cs="Arial"/>
          <w:sz w:val="24"/>
          <w:szCs w:val="24"/>
          <w:lang w:val="mn-MN"/>
        </w:rPr>
      </w:pPr>
      <w:r>
        <w:rPr>
          <w:rFonts w:ascii="Arial" w:hAnsi="Arial" w:cs="Arial"/>
          <w:sz w:val="24"/>
          <w:szCs w:val="24"/>
          <w:lang w:val="mn-MN"/>
        </w:rPr>
        <w:t xml:space="preserve">Үүнээс үзэхэд ЭХХШТХ-ийн 31.5.1.2-д заасан “хойшлуулшгүй тохиолдолд” гэх </w:t>
      </w:r>
      <w:r w:rsidR="00292030">
        <w:rPr>
          <w:rFonts w:ascii="Arial" w:hAnsi="Arial" w:cs="Arial"/>
          <w:sz w:val="24"/>
          <w:szCs w:val="24"/>
          <w:lang w:val="mn-MN"/>
        </w:rPr>
        <w:t xml:space="preserve">зохицуулалт хэвээр үйлчлэх тохиолдолд ЭХХШТХ-ийн </w:t>
      </w:r>
      <w:r w:rsidR="00D8243E">
        <w:rPr>
          <w:rFonts w:ascii="Arial" w:hAnsi="Arial" w:cs="Arial"/>
          <w:sz w:val="24"/>
          <w:szCs w:val="24"/>
          <w:lang w:val="mn-MN"/>
        </w:rPr>
        <w:t>31.4</w:t>
      </w:r>
      <w:r w:rsidR="001A1183">
        <w:rPr>
          <w:rFonts w:ascii="Arial" w:hAnsi="Arial" w:cs="Arial"/>
          <w:sz w:val="24"/>
          <w:szCs w:val="24"/>
          <w:lang w:val="mn-MN"/>
        </w:rPr>
        <w:t xml:space="preserve">-д заасан аль нэг </w:t>
      </w:r>
      <w:r w:rsidR="001A1183">
        <w:rPr>
          <w:rFonts w:ascii="Arial" w:hAnsi="Arial" w:cs="Arial"/>
          <w:sz w:val="24"/>
          <w:szCs w:val="24"/>
          <w:lang w:val="mn-MN"/>
        </w:rPr>
        <w:lastRenderedPageBreak/>
        <w:t xml:space="preserve">үндэслэлээр шүүхээс зөвшөөрөл хүсэх шаардлагагүй, мөрдөгч </w:t>
      </w:r>
      <w:r w:rsidR="00695472">
        <w:rPr>
          <w:rFonts w:ascii="Arial" w:hAnsi="Arial" w:cs="Arial"/>
          <w:sz w:val="24"/>
          <w:szCs w:val="24"/>
          <w:lang w:val="mn-MN"/>
        </w:rPr>
        <w:t>ЭХХШТХ-ийн 31.5.1.2, 1</w:t>
      </w:r>
      <w:r w:rsidR="003A6735">
        <w:rPr>
          <w:rFonts w:ascii="Arial" w:hAnsi="Arial" w:cs="Arial"/>
          <w:sz w:val="24"/>
          <w:szCs w:val="24"/>
          <w:lang w:val="mn-MN"/>
        </w:rPr>
        <w:t xml:space="preserve">.4.1.26-г ашиглан сэжигтэнийг баривчлах эрх зүйн боломжтой </w:t>
      </w:r>
      <w:r w:rsidR="009135F3">
        <w:rPr>
          <w:rFonts w:ascii="Arial" w:hAnsi="Arial" w:cs="Arial"/>
          <w:sz w:val="24"/>
          <w:szCs w:val="24"/>
          <w:lang w:val="mn-MN"/>
        </w:rPr>
        <w:t>хэвээр үлдэхээр байна.</w:t>
      </w:r>
    </w:p>
    <w:p w14:paraId="299BE60D" w14:textId="1CC3D493" w:rsidR="009135F3" w:rsidRDefault="009135F3" w:rsidP="00E1022E">
      <w:pPr>
        <w:spacing w:after="0"/>
        <w:ind w:firstLine="720"/>
        <w:jc w:val="both"/>
        <w:rPr>
          <w:rFonts w:ascii="Arial" w:hAnsi="Arial" w:cs="Arial"/>
          <w:sz w:val="24"/>
          <w:szCs w:val="24"/>
          <w:lang w:val="mn-MN"/>
        </w:rPr>
      </w:pPr>
      <w:r>
        <w:rPr>
          <w:rFonts w:ascii="Arial" w:hAnsi="Arial" w:cs="Arial"/>
          <w:sz w:val="24"/>
          <w:szCs w:val="24"/>
          <w:lang w:val="mn-MN"/>
        </w:rPr>
        <w:t xml:space="preserve">Хүний үндсэн эрхийн нэг болох халдашгүй чөлөөтэй байх эрхийг </w:t>
      </w:r>
      <w:r w:rsidR="005A1A46">
        <w:rPr>
          <w:rFonts w:ascii="Arial" w:hAnsi="Arial" w:cs="Arial"/>
          <w:sz w:val="24"/>
          <w:szCs w:val="24"/>
          <w:lang w:val="mn-MN"/>
        </w:rPr>
        <w:t xml:space="preserve">шүүхээр хэлэлцэж бодитой, баримттай, </w:t>
      </w:r>
      <w:r w:rsidR="00C47E9D">
        <w:rPr>
          <w:rFonts w:ascii="Arial" w:hAnsi="Arial" w:cs="Arial"/>
          <w:sz w:val="24"/>
          <w:szCs w:val="24"/>
          <w:lang w:val="mn-MN"/>
        </w:rPr>
        <w:t xml:space="preserve">нээлттэйгээр шийдвэрлэхийн тулд зөвхөн мөрдөгч </w:t>
      </w:r>
      <w:r w:rsidR="0033747F">
        <w:rPr>
          <w:rFonts w:ascii="Arial" w:hAnsi="Arial" w:cs="Arial"/>
          <w:sz w:val="24"/>
          <w:szCs w:val="24"/>
          <w:lang w:val="mn-MN"/>
        </w:rPr>
        <w:t>“</w:t>
      </w:r>
      <w:r w:rsidR="00C47E9D">
        <w:rPr>
          <w:rFonts w:ascii="Arial" w:hAnsi="Arial" w:cs="Arial"/>
          <w:sz w:val="24"/>
          <w:szCs w:val="24"/>
          <w:lang w:val="mn-MN"/>
        </w:rPr>
        <w:t>хойшлуулшгүй</w:t>
      </w:r>
      <w:r w:rsidR="0033747F">
        <w:rPr>
          <w:rFonts w:ascii="Arial" w:hAnsi="Arial" w:cs="Arial"/>
          <w:sz w:val="24"/>
          <w:szCs w:val="24"/>
          <w:lang w:val="mn-MN"/>
        </w:rPr>
        <w:t xml:space="preserve">” гэсэн хуулийн боломжийг ашиглан </w:t>
      </w:r>
      <w:r w:rsidR="000C64C2">
        <w:rPr>
          <w:rFonts w:ascii="Arial" w:hAnsi="Arial" w:cs="Arial"/>
          <w:sz w:val="24"/>
          <w:szCs w:val="24"/>
          <w:lang w:val="mn-MN"/>
        </w:rPr>
        <w:t>сэжигтэнийг баривч</w:t>
      </w:r>
      <w:r w:rsidR="00884A52">
        <w:rPr>
          <w:rFonts w:ascii="Arial" w:hAnsi="Arial" w:cs="Arial"/>
          <w:sz w:val="24"/>
          <w:szCs w:val="24"/>
          <w:lang w:val="mn-MN"/>
        </w:rPr>
        <w:t>илдаг</w:t>
      </w:r>
      <w:r w:rsidR="000C64C2">
        <w:rPr>
          <w:rFonts w:ascii="Arial" w:hAnsi="Arial" w:cs="Arial"/>
          <w:sz w:val="24"/>
          <w:szCs w:val="24"/>
          <w:lang w:val="mn-MN"/>
        </w:rPr>
        <w:t xml:space="preserve"> эрх зүйн зохицуулалтыг </w:t>
      </w:r>
      <w:r w:rsidR="00884A52">
        <w:rPr>
          <w:rFonts w:ascii="Arial" w:hAnsi="Arial" w:cs="Arial"/>
          <w:sz w:val="24"/>
          <w:szCs w:val="24"/>
          <w:lang w:val="mn-MN"/>
        </w:rPr>
        <w:t>боловсронгуй болгох шаардлагатай байна.</w:t>
      </w:r>
    </w:p>
    <w:p w14:paraId="39218D12" w14:textId="77777777" w:rsidR="009E7978" w:rsidRDefault="009E7978" w:rsidP="000658D5">
      <w:pPr>
        <w:spacing w:after="0"/>
        <w:jc w:val="both"/>
        <w:rPr>
          <w:rFonts w:ascii="Arial" w:hAnsi="Arial" w:cs="Arial"/>
          <w:sz w:val="24"/>
          <w:szCs w:val="24"/>
          <w:lang w:val="mn-MN"/>
        </w:rPr>
      </w:pPr>
    </w:p>
    <w:p w14:paraId="572DCC32" w14:textId="723A4B40" w:rsidR="009E7978" w:rsidRPr="00BD301B" w:rsidRDefault="009E7978" w:rsidP="00884A52">
      <w:pPr>
        <w:spacing w:after="0"/>
        <w:ind w:firstLine="720"/>
        <w:jc w:val="both"/>
        <w:rPr>
          <w:rFonts w:ascii="Arial" w:hAnsi="Arial" w:cs="Arial"/>
          <w:sz w:val="24"/>
          <w:szCs w:val="24"/>
          <w:lang w:val="mn-MN"/>
        </w:rPr>
      </w:pPr>
      <w:r>
        <w:rPr>
          <w:rFonts w:ascii="Arial" w:hAnsi="Arial" w:cs="Arial"/>
          <w:sz w:val="24"/>
          <w:szCs w:val="24"/>
          <w:lang w:val="mn-MN"/>
        </w:rPr>
        <w:t xml:space="preserve">Монгол Улсын </w:t>
      </w:r>
      <w:r w:rsidR="006F772F">
        <w:rPr>
          <w:rFonts w:ascii="Arial" w:hAnsi="Arial" w:cs="Arial"/>
          <w:sz w:val="24"/>
          <w:szCs w:val="24"/>
          <w:lang w:val="mn-MN"/>
        </w:rPr>
        <w:t xml:space="preserve">Эрүүгийн Хэрэг Хянан Шийдвэрлэх тухай хуулийн 31 дүгээр бүлгийн </w:t>
      </w:r>
      <w:r w:rsidR="00053AF5">
        <w:rPr>
          <w:rFonts w:ascii="Arial" w:hAnsi="Arial" w:cs="Arial"/>
          <w:sz w:val="24"/>
          <w:szCs w:val="24"/>
          <w:lang w:val="mn-MN"/>
        </w:rPr>
        <w:t xml:space="preserve">31.5 дугаар зүйлийн 1.2 дахь </w:t>
      </w:r>
      <w:r w:rsidR="00515F97">
        <w:rPr>
          <w:rFonts w:ascii="Arial" w:eastAsia="Times New Roman" w:hAnsi="Arial" w:cs="Arial"/>
          <w:sz w:val="24"/>
          <w:szCs w:val="24"/>
          <w:lang w:val="mn-MN"/>
        </w:rPr>
        <w:t>хэсэг “</w:t>
      </w:r>
      <w:r w:rsidR="00515F97" w:rsidRPr="000A56A1">
        <w:rPr>
          <w:rFonts w:ascii="Arial" w:eastAsia="Times New Roman" w:hAnsi="Arial" w:cs="Arial"/>
          <w:sz w:val="24"/>
          <w:szCs w:val="24"/>
          <w:lang w:val="mn-MN"/>
        </w:rPr>
        <w:t>1.2.энэ хуульд заасан хойшлуулшгүй тохиолдолд;</w:t>
      </w:r>
      <w:r w:rsidR="00515F97">
        <w:rPr>
          <w:rFonts w:ascii="Arial" w:eastAsia="Times New Roman" w:hAnsi="Arial" w:cs="Arial"/>
          <w:sz w:val="24"/>
          <w:szCs w:val="24"/>
          <w:lang w:val="mn-MN"/>
        </w:rPr>
        <w:t>” гэснийг</w:t>
      </w:r>
      <w:r w:rsidR="00BD301B">
        <w:rPr>
          <w:rFonts w:ascii="Arial" w:eastAsia="Times New Roman" w:hAnsi="Arial" w:cs="Arial"/>
          <w:sz w:val="24"/>
          <w:szCs w:val="24"/>
          <w:lang w:val="mn-MN"/>
        </w:rPr>
        <w:t xml:space="preserve"> хасаж</w:t>
      </w:r>
      <w:r w:rsidR="00BD301B">
        <w:rPr>
          <w:rFonts w:ascii="Arial" w:hAnsi="Arial" w:cs="Arial"/>
          <w:sz w:val="24"/>
          <w:szCs w:val="24"/>
          <w:lang w:val="mn-MN"/>
        </w:rPr>
        <w:t xml:space="preserve"> Эрүүгийн Хэрэг Хянан Шийдвэрлэх </w:t>
      </w:r>
      <w:r w:rsidR="00AF5F36">
        <w:rPr>
          <w:rFonts w:ascii="Arial" w:hAnsi="Arial" w:cs="Arial"/>
          <w:sz w:val="24"/>
          <w:szCs w:val="24"/>
          <w:lang w:val="mn-MN"/>
        </w:rPr>
        <w:t xml:space="preserve">тухай хуульд өөрчлөлт оруулах хуулийн </w:t>
      </w:r>
      <w:r w:rsidRPr="009E7978">
        <w:rPr>
          <w:rFonts w:ascii="Arial" w:hAnsi="Arial" w:cs="Arial"/>
          <w:sz w:val="24"/>
          <w:szCs w:val="24"/>
          <w:lang w:val="mn-MN"/>
        </w:rPr>
        <w:t>төсөл боловсрууллаа.</w:t>
      </w:r>
    </w:p>
    <w:p w14:paraId="12FF8025" w14:textId="77777777" w:rsidR="009E7978" w:rsidRDefault="009E7978" w:rsidP="009E7978">
      <w:pPr>
        <w:spacing w:after="0"/>
        <w:jc w:val="both"/>
        <w:rPr>
          <w:rFonts w:ascii="Arial" w:hAnsi="Arial" w:cs="Arial"/>
          <w:sz w:val="24"/>
          <w:szCs w:val="24"/>
          <w:lang w:val="mn-MN"/>
        </w:rPr>
      </w:pPr>
    </w:p>
    <w:p w14:paraId="6EE3C715" w14:textId="77777777" w:rsidR="009E7978" w:rsidRDefault="009E7978" w:rsidP="009E7978">
      <w:pPr>
        <w:spacing w:after="0"/>
        <w:jc w:val="both"/>
        <w:rPr>
          <w:rFonts w:ascii="Arial" w:hAnsi="Arial" w:cs="Arial"/>
          <w:sz w:val="24"/>
          <w:szCs w:val="24"/>
          <w:lang w:val="mn-MN"/>
        </w:rPr>
      </w:pPr>
    </w:p>
    <w:p w14:paraId="335960F3" w14:textId="77777777" w:rsidR="009E7978" w:rsidRDefault="009E7978" w:rsidP="009E7978">
      <w:pPr>
        <w:spacing w:after="0"/>
        <w:jc w:val="center"/>
        <w:rPr>
          <w:rFonts w:ascii="Arial" w:hAnsi="Arial" w:cs="Arial"/>
          <w:sz w:val="24"/>
          <w:szCs w:val="24"/>
          <w:lang w:val="mn-MN"/>
        </w:rPr>
      </w:pPr>
    </w:p>
    <w:p w14:paraId="06E9088C" w14:textId="77777777" w:rsidR="00402E2C" w:rsidRPr="00FE58A8" w:rsidRDefault="009E7978" w:rsidP="009E7978">
      <w:pPr>
        <w:spacing w:after="0"/>
        <w:jc w:val="center"/>
        <w:rPr>
          <w:rFonts w:ascii="Arial" w:hAnsi="Arial" w:cs="Arial"/>
          <w:sz w:val="24"/>
          <w:szCs w:val="24"/>
          <w:lang w:val="mn-MN"/>
        </w:rPr>
      </w:pPr>
      <w:r w:rsidRPr="009E7978">
        <w:rPr>
          <w:rFonts w:ascii="Arial" w:hAnsi="Arial" w:cs="Arial"/>
          <w:sz w:val="24"/>
          <w:szCs w:val="24"/>
          <w:lang w:val="mn-MN"/>
        </w:rPr>
        <w:t>ХУУЛЬ САНААЧЛАГЧ</w:t>
      </w:r>
    </w:p>
    <w:sectPr w:rsidR="00402E2C" w:rsidRPr="00FE58A8" w:rsidSect="00A17E7E">
      <w:pgSz w:w="12240" w:h="15840" w:code="1"/>
      <w:pgMar w:top="1418" w:right="1134"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3C96B" w14:textId="77777777" w:rsidR="00DD750B" w:rsidRDefault="00DD750B" w:rsidP="000D35AD">
      <w:pPr>
        <w:spacing w:after="0" w:line="240" w:lineRule="auto"/>
      </w:pPr>
      <w:r>
        <w:separator/>
      </w:r>
    </w:p>
  </w:endnote>
  <w:endnote w:type="continuationSeparator" w:id="0">
    <w:p w14:paraId="1D9324E1" w14:textId="77777777" w:rsidR="00DD750B" w:rsidRDefault="00DD750B" w:rsidP="000D35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F77A3" w14:textId="77777777" w:rsidR="00DD750B" w:rsidRDefault="00DD750B" w:rsidP="000D35AD">
      <w:pPr>
        <w:spacing w:after="0" w:line="240" w:lineRule="auto"/>
      </w:pPr>
      <w:r>
        <w:separator/>
      </w:r>
    </w:p>
  </w:footnote>
  <w:footnote w:type="continuationSeparator" w:id="0">
    <w:p w14:paraId="75671857" w14:textId="77777777" w:rsidR="00DD750B" w:rsidRDefault="00DD750B" w:rsidP="000D35AD">
      <w:pPr>
        <w:spacing w:after="0" w:line="240" w:lineRule="auto"/>
      </w:pPr>
      <w:r>
        <w:continuationSeparator/>
      </w:r>
    </w:p>
  </w:footnote>
  <w:footnote w:id="1">
    <w:p w14:paraId="4D0AA2E1" w14:textId="0A900447" w:rsidR="00BB14C7" w:rsidRPr="00BB14C7" w:rsidRDefault="00BB14C7">
      <w:pPr>
        <w:pStyle w:val="FootnoteText"/>
        <w:rPr>
          <w:lang w:val="mn-MN"/>
        </w:rPr>
      </w:pPr>
      <w:r>
        <w:rPr>
          <w:rStyle w:val="FootnoteReference"/>
        </w:rPr>
        <w:footnoteRef/>
      </w:r>
      <w:r>
        <w:t xml:space="preserve"> </w:t>
      </w:r>
      <w:r w:rsidR="00FB7D8F">
        <w:rPr>
          <w:lang w:val="mn-MN"/>
        </w:rPr>
        <w:t>Хүний эрх, эрх чөлөөний төлөв байдлын 22 дахь илтгэл.</w:t>
      </w:r>
      <w:r w:rsidR="00FB7D8F">
        <w:rPr>
          <w:lang w:val="mn-MN"/>
        </w:rPr>
        <w:t xml:space="preserve"> 8 дахь тал</w:t>
      </w:r>
    </w:p>
  </w:footnote>
  <w:footnote w:id="2">
    <w:p w14:paraId="77D1545D" w14:textId="4E379E00" w:rsidR="000D5C0F" w:rsidRPr="000D5C0F" w:rsidRDefault="000D5C0F">
      <w:pPr>
        <w:pStyle w:val="FootnoteText"/>
        <w:rPr>
          <w:lang w:val="mn-MN"/>
        </w:rPr>
      </w:pPr>
      <w:r>
        <w:rPr>
          <w:rStyle w:val="FootnoteReference"/>
        </w:rPr>
        <w:footnoteRef/>
      </w:r>
      <w:r>
        <w:t xml:space="preserve"> </w:t>
      </w:r>
      <w:r w:rsidR="000654C2">
        <w:rPr>
          <w:lang w:val="mn-MN"/>
        </w:rPr>
        <w:t>Мөн тэнд 396 дахь тал</w:t>
      </w:r>
    </w:p>
  </w:footnote>
  <w:footnote w:id="3">
    <w:p w14:paraId="21C171E7" w14:textId="4EB8652D" w:rsidR="000D35AD" w:rsidRPr="00F90922" w:rsidRDefault="000D35AD">
      <w:pPr>
        <w:pStyle w:val="FootnoteText"/>
        <w:rPr>
          <w:lang w:val="mn-MN"/>
        </w:rPr>
      </w:pPr>
      <w:r>
        <w:rPr>
          <w:rStyle w:val="FootnoteReference"/>
        </w:rPr>
        <w:footnoteRef/>
      </w:r>
      <w:r>
        <w:t xml:space="preserve"> </w:t>
      </w:r>
      <w:r w:rsidR="00F90922">
        <w:rPr>
          <w:lang w:val="mn-MN"/>
        </w:rPr>
        <w:t>Мөн тэнд 9 дэх тал</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36A"/>
    <w:rsid w:val="00053AF5"/>
    <w:rsid w:val="000654C2"/>
    <w:rsid w:val="000658D5"/>
    <w:rsid w:val="000A3A9C"/>
    <w:rsid w:val="000C64C2"/>
    <w:rsid w:val="000D35AD"/>
    <w:rsid w:val="000D5C0F"/>
    <w:rsid w:val="000E4774"/>
    <w:rsid w:val="00140FD7"/>
    <w:rsid w:val="00181457"/>
    <w:rsid w:val="00197B91"/>
    <w:rsid w:val="001A1183"/>
    <w:rsid w:val="001D63B1"/>
    <w:rsid w:val="001F615B"/>
    <w:rsid w:val="00246848"/>
    <w:rsid w:val="002646FF"/>
    <w:rsid w:val="00267CE4"/>
    <w:rsid w:val="002808F7"/>
    <w:rsid w:val="00292030"/>
    <w:rsid w:val="002D1799"/>
    <w:rsid w:val="003309C9"/>
    <w:rsid w:val="0033747F"/>
    <w:rsid w:val="00340EE2"/>
    <w:rsid w:val="003731A0"/>
    <w:rsid w:val="00391205"/>
    <w:rsid w:val="003A6735"/>
    <w:rsid w:val="003C6D0A"/>
    <w:rsid w:val="003E381D"/>
    <w:rsid w:val="003F1086"/>
    <w:rsid w:val="00402E2C"/>
    <w:rsid w:val="0042236A"/>
    <w:rsid w:val="00433133"/>
    <w:rsid w:val="00441DC8"/>
    <w:rsid w:val="004832A0"/>
    <w:rsid w:val="004A2AB9"/>
    <w:rsid w:val="00515F97"/>
    <w:rsid w:val="00527373"/>
    <w:rsid w:val="00527446"/>
    <w:rsid w:val="00564157"/>
    <w:rsid w:val="00570330"/>
    <w:rsid w:val="00570D07"/>
    <w:rsid w:val="005929FF"/>
    <w:rsid w:val="00597DB5"/>
    <w:rsid w:val="005A1A46"/>
    <w:rsid w:val="00674CB5"/>
    <w:rsid w:val="006849D4"/>
    <w:rsid w:val="00695472"/>
    <w:rsid w:val="006A7AB6"/>
    <w:rsid w:val="006D1CE2"/>
    <w:rsid w:val="006F0385"/>
    <w:rsid w:val="006F772F"/>
    <w:rsid w:val="00717B3D"/>
    <w:rsid w:val="007A71CF"/>
    <w:rsid w:val="00801B05"/>
    <w:rsid w:val="00802325"/>
    <w:rsid w:val="00842869"/>
    <w:rsid w:val="00883A91"/>
    <w:rsid w:val="00884A52"/>
    <w:rsid w:val="00903A8C"/>
    <w:rsid w:val="009135F3"/>
    <w:rsid w:val="009366D0"/>
    <w:rsid w:val="00966443"/>
    <w:rsid w:val="009847CD"/>
    <w:rsid w:val="00985293"/>
    <w:rsid w:val="009A60A8"/>
    <w:rsid w:val="009D199D"/>
    <w:rsid w:val="009E7978"/>
    <w:rsid w:val="00A0141A"/>
    <w:rsid w:val="00A026C1"/>
    <w:rsid w:val="00A17E7E"/>
    <w:rsid w:val="00A26A07"/>
    <w:rsid w:val="00A6611F"/>
    <w:rsid w:val="00A75EF5"/>
    <w:rsid w:val="00AF5F36"/>
    <w:rsid w:val="00B11826"/>
    <w:rsid w:val="00B24725"/>
    <w:rsid w:val="00B26C73"/>
    <w:rsid w:val="00B63155"/>
    <w:rsid w:val="00B638E7"/>
    <w:rsid w:val="00B67B62"/>
    <w:rsid w:val="00BA5B96"/>
    <w:rsid w:val="00BA704B"/>
    <w:rsid w:val="00BB14C7"/>
    <w:rsid w:val="00BD301B"/>
    <w:rsid w:val="00BD7892"/>
    <w:rsid w:val="00C4360D"/>
    <w:rsid w:val="00C47E9D"/>
    <w:rsid w:val="00C63C06"/>
    <w:rsid w:val="00C64E55"/>
    <w:rsid w:val="00CA4BF7"/>
    <w:rsid w:val="00CB19E0"/>
    <w:rsid w:val="00CC5224"/>
    <w:rsid w:val="00CE0179"/>
    <w:rsid w:val="00D043A9"/>
    <w:rsid w:val="00D24A0B"/>
    <w:rsid w:val="00D608F4"/>
    <w:rsid w:val="00D8243E"/>
    <w:rsid w:val="00DB57AE"/>
    <w:rsid w:val="00DD750B"/>
    <w:rsid w:val="00E1022E"/>
    <w:rsid w:val="00E84786"/>
    <w:rsid w:val="00EA0D64"/>
    <w:rsid w:val="00EA1768"/>
    <w:rsid w:val="00EA58CA"/>
    <w:rsid w:val="00F02374"/>
    <w:rsid w:val="00F0790B"/>
    <w:rsid w:val="00F4480E"/>
    <w:rsid w:val="00F5166E"/>
    <w:rsid w:val="00F81A26"/>
    <w:rsid w:val="00F90922"/>
    <w:rsid w:val="00F965B5"/>
    <w:rsid w:val="00FB7D8F"/>
    <w:rsid w:val="00FE1063"/>
    <w:rsid w:val="00FE58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FF34C"/>
  <w15:chartTrackingRefBased/>
  <w15:docId w15:val="{43632308-3792-45B2-B4ED-E30522504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D35A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D35AD"/>
    <w:rPr>
      <w:sz w:val="20"/>
      <w:szCs w:val="20"/>
    </w:rPr>
  </w:style>
  <w:style w:type="character" w:styleId="FootnoteReference">
    <w:name w:val="footnote reference"/>
    <w:basedOn w:val="DefaultParagraphFont"/>
    <w:uiPriority w:val="99"/>
    <w:semiHidden/>
    <w:unhideWhenUsed/>
    <w:rsid w:val="000D35A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231202">
      <w:bodyDiv w:val="1"/>
      <w:marLeft w:val="0"/>
      <w:marRight w:val="0"/>
      <w:marTop w:val="0"/>
      <w:marBottom w:val="0"/>
      <w:divBdr>
        <w:top w:val="none" w:sz="0" w:space="0" w:color="auto"/>
        <w:left w:val="none" w:sz="0" w:space="0" w:color="auto"/>
        <w:bottom w:val="none" w:sz="0" w:space="0" w:color="auto"/>
        <w:right w:val="none" w:sz="0" w:space="0" w:color="auto"/>
      </w:divBdr>
      <w:divsChild>
        <w:div w:id="250432451">
          <w:marLeft w:val="0"/>
          <w:marRight w:val="0"/>
          <w:marTop w:val="150"/>
          <w:marBottom w:val="0"/>
          <w:divBdr>
            <w:top w:val="none" w:sz="0" w:space="0" w:color="auto"/>
            <w:left w:val="none" w:sz="0" w:space="0" w:color="auto"/>
            <w:bottom w:val="none" w:sz="0" w:space="0" w:color="auto"/>
            <w:right w:val="none" w:sz="0" w:space="0" w:color="auto"/>
          </w:divBdr>
        </w:div>
        <w:div w:id="600071582">
          <w:marLeft w:val="0"/>
          <w:marRight w:val="0"/>
          <w:marTop w:val="150"/>
          <w:marBottom w:val="0"/>
          <w:divBdr>
            <w:top w:val="none" w:sz="0" w:space="0" w:color="auto"/>
            <w:left w:val="none" w:sz="0" w:space="0" w:color="auto"/>
            <w:bottom w:val="none" w:sz="0" w:space="0" w:color="auto"/>
            <w:right w:val="none" w:sz="0" w:space="0" w:color="auto"/>
          </w:divBdr>
        </w:div>
        <w:div w:id="657727368">
          <w:marLeft w:val="0"/>
          <w:marRight w:val="0"/>
          <w:marTop w:val="150"/>
          <w:marBottom w:val="0"/>
          <w:divBdr>
            <w:top w:val="none" w:sz="0" w:space="0" w:color="auto"/>
            <w:left w:val="none" w:sz="0" w:space="0" w:color="auto"/>
            <w:bottom w:val="none" w:sz="0" w:space="0" w:color="auto"/>
            <w:right w:val="none" w:sz="0" w:space="0" w:color="auto"/>
          </w:divBdr>
        </w:div>
        <w:div w:id="992874214">
          <w:marLeft w:val="0"/>
          <w:marRight w:val="0"/>
          <w:marTop w:val="150"/>
          <w:marBottom w:val="0"/>
          <w:divBdr>
            <w:top w:val="none" w:sz="0" w:space="0" w:color="auto"/>
            <w:left w:val="none" w:sz="0" w:space="0" w:color="auto"/>
            <w:bottom w:val="none" w:sz="0" w:space="0" w:color="auto"/>
            <w:right w:val="none" w:sz="0" w:space="0" w:color="auto"/>
          </w:divBdr>
        </w:div>
      </w:divsChild>
    </w:div>
    <w:div w:id="1546286153">
      <w:bodyDiv w:val="1"/>
      <w:marLeft w:val="0"/>
      <w:marRight w:val="0"/>
      <w:marTop w:val="0"/>
      <w:marBottom w:val="0"/>
      <w:divBdr>
        <w:top w:val="none" w:sz="0" w:space="0" w:color="auto"/>
        <w:left w:val="none" w:sz="0" w:space="0" w:color="auto"/>
        <w:bottom w:val="none" w:sz="0" w:space="0" w:color="auto"/>
        <w:right w:val="none" w:sz="0" w:space="0" w:color="auto"/>
      </w:divBdr>
      <w:divsChild>
        <w:div w:id="2106075991">
          <w:marLeft w:val="0"/>
          <w:marRight w:val="0"/>
          <w:marTop w:val="150"/>
          <w:marBottom w:val="0"/>
          <w:divBdr>
            <w:top w:val="none" w:sz="0" w:space="0" w:color="auto"/>
            <w:left w:val="none" w:sz="0" w:space="0" w:color="auto"/>
            <w:bottom w:val="none" w:sz="0" w:space="0" w:color="auto"/>
            <w:right w:val="none" w:sz="0" w:space="0" w:color="auto"/>
          </w:divBdr>
        </w:div>
        <w:div w:id="1252278348">
          <w:marLeft w:val="0"/>
          <w:marRight w:val="0"/>
          <w:marTop w:val="150"/>
          <w:marBottom w:val="0"/>
          <w:divBdr>
            <w:top w:val="none" w:sz="0" w:space="0" w:color="auto"/>
            <w:left w:val="none" w:sz="0" w:space="0" w:color="auto"/>
            <w:bottom w:val="none" w:sz="0" w:space="0" w:color="auto"/>
            <w:right w:val="none" w:sz="0" w:space="0" w:color="auto"/>
          </w:divBdr>
        </w:div>
        <w:div w:id="979573347">
          <w:marLeft w:val="0"/>
          <w:marRight w:val="0"/>
          <w:marTop w:val="150"/>
          <w:marBottom w:val="0"/>
          <w:divBdr>
            <w:top w:val="none" w:sz="0" w:space="0" w:color="auto"/>
            <w:left w:val="none" w:sz="0" w:space="0" w:color="auto"/>
            <w:bottom w:val="none" w:sz="0" w:space="0" w:color="auto"/>
            <w:right w:val="none" w:sz="0" w:space="0" w:color="auto"/>
          </w:divBdr>
        </w:div>
        <w:div w:id="1693461040">
          <w:marLeft w:val="0"/>
          <w:marRight w:val="0"/>
          <w:marTop w:val="150"/>
          <w:marBottom w:val="0"/>
          <w:divBdr>
            <w:top w:val="none" w:sz="0" w:space="0" w:color="auto"/>
            <w:left w:val="none" w:sz="0" w:space="0" w:color="auto"/>
            <w:bottom w:val="none" w:sz="0" w:space="0" w:color="auto"/>
            <w:right w:val="none" w:sz="0" w:space="0" w:color="auto"/>
          </w:divBdr>
        </w:div>
        <w:div w:id="1982540215">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3</Pages>
  <Words>846</Words>
  <Characters>4825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myadagmaa</dc:creator>
  <cp:keywords/>
  <dc:description/>
  <cp:lastModifiedBy>erdenebat ganbat</cp:lastModifiedBy>
  <cp:revision>90</cp:revision>
  <dcterms:created xsi:type="dcterms:W3CDTF">2023-05-03T10:46:00Z</dcterms:created>
  <dcterms:modified xsi:type="dcterms:W3CDTF">2023-05-03T12:07:00Z</dcterms:modified>
</cp:coreProperties>
</file>