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9072C" w14:textId="4B91B598" w:rsidR="000833E1" w:rsidRPr="00337F0E" w:rsidRDefault="000833E1" w:rsidP="008B183E">
      <w:pPr>
        <w:spacing w:after="0" w:line="240" w:lineRule="auto"/>
        <w:ind w:right="-272"/>
        <w:jc w:val="both"/>
        <w:rPr>
          <w:rFonts w:ascii="Arial" w:eastAsia="Times New Roman" w:hAnsi="Arial" w:cs="Arial"/>
          <w:b/>
          <w:sz w:val="24"/>
          <w:szCs w:val="24"/>
          <w:lang w:val="mn-MN"/>
        </w:rPr>
      </w:pPr>
      <w:r w:rsidRPr="00337F0E">
        <w:rPr>
          <w:rFonts w:ascii="Arial" w:eastAsia="Times New Roman" w:hAnsi="Arial" w:cs="Arial"/>
          <w:b/>
          <w:sz w:val="24"/>
          <w:szCs w:val="24"/>
          <w:lang w:val="mn-MN"/>
        </w:rPr>
        <w:t>БАТЛАВ.</w:t>
      </w:r>
    </w:p>
    <w:p w14:paraId="05C4D198" w14:textId="7B68EF0B" w:rsidR="000833E1" w:rsidRPr="00337F0E" w:rsidRDefault="000833E1" w:rsidP="008B183E">
      <w:pPr>
        <w:spacing w:after="0" w:line="240" w:lineRule="auto"/>
        <w:ind w:right="-272"/>
        <w:jc w:val="both"/>
        <w:rPr>
          <w:rFonts w:ascii="Arial" w:eastAsia="Times New Roman" w:hAnsi="Arial" w:cs="Arial"/>
          <w:b/>
          <w:sz w:val="24"/>
          <w:szCs w:val="24"/>
          <w:lang w:val="mn-MN"/>
        </w:rPr>
      </w:pPr>
      <w:r w:rsidRPr="00337F0E">
        <w:rPr>
          <w:rFonts w:ascii="Arial" w:eastAsia="Times New Roman" w:hAnsi="Arial" w:cs="Arial"/>
          <w:b/>
          <w:sz w:val="24"/>
          <w:szCs w:val="24"/>
          <w:lang w:val="mn-MN"/>
        </w:rPr>
        <w:t xml:space="preserve">УЛСЫН ИХ ХУРЛЫН ГИШҮҮН                                 </w:t>
      </w:r>
      <w:r w:rsidRPr="00337F0E">
        <w:rPr>
          <w:rFonts w:ascii="Arial" w:eastAsia="Times New Roman" w:hAnsi="Arial" w:cs="Arial"/>
          <w:b/>
          <w:sz w:val="24"/>
          <w:szCs w:val="24"/>
          <w:lang w:val="mn-MN"/>
        </w:rPr>
        <w:tab/>
      </w:r>
      <w:r w:rsidRPr="00337F0E">
        <w:rPr>
          <w:rFonts w:ascii="Arial" w:eastAsia="Times New Roman" w:hAnsi="Arial" w:cs="Arial"/>
          <w:b/>
          <w:sz w:val="24"/>
          <w:szCs w:val="24"/>
          <w:lang w:val="mn-MN"/>
        </w:rPr>
        <w:tab/>
      </w:r>
      <w:r w:rsidRPr="00337F0E">
        <w:rPr>
          <w:rFonts w:ascii="Arial" w:eastAsia="Times New Roman" w:hAnsi="Arial" w:cs="Arial"/>
          <w:b/>
          <w:sz w:val="24"/>
          <w:szCs w:val="24"/>
          <w:lang w:val="mn-MN"/>
        </w:rPr>
        <w:tab/>
        <w:t xml:space="preserve">   </w:t>
      </w:r>
      <w:r w:rsidR="006D2BF4" w:rsidRPr="00337F0E">
        <w:rPr>
          <w:rFonts w:ascii="Arial" w:eastAsia="Times New Roman" w:hAnsi="Arial" w:cs="Arial"/>
          <w:b/>
          <w:sz w:val="24"/>
          <w:szCs w:val="24"/>
          <w:lang w:val="mn-MN"/>
        </w:rPr>
        <w:t xml:space="preserve">     С.ОДОНТУЯА</w:t>
      </w:r>
    </w:p>
    <w:p w14:paraId="6AA966F1" w14:textId="77777777" w:rsidR="000833E1" w:rsidRPr="00337F0E" w:rsidRDefault="000833E1" w:rsidP="008B183E">
      <w:pPr>
        <w:spacing w:after="0" w:line="240" w:lineRule="auto"/>
        <w:ind w:right="-274"/>
        <w:jc w:val="both"/>
        <w:rPr>
          <w:rFonts w:ascii="Arial" w:eastAsia="Times New Roman" w:hAnsi="Arial" w:cs="Arial"/>
          <w:b/>
          <w:sz w:val="24"/>
          <w:szCs w:val="24"/>
          <w:lang w:val="mn-MN"/>
        </w:rPr>
      </w:pPr>
    </w:p>
    <w:p w14:paraId="7FDF2AA0" w14:textId="77777777" w:rsidR="000833E1" w:rsidRPr="00337F0E" w:rsidRDefault="000833E1" w:rsidP="008B183E">
      <w:pPr>
        <w:spacing w:after="0" w:line="240" w:lineRule="auto"/>
        <w:ind w:right="-274"/>
        <w:jc w:val="both"/>
        <w:rPr>
          <w:rFonts w:ascii="Arial" w:eastAsia="Times New Roman" w:hAnsi="Arial" w:cs="Arial"/>
          <w:b/>
          <w:sz w:val="24"/>
          <w:szCs w:val="24"/>
          <w:lang w:val="mn-MN"/>
        </w:rPr>
      </w:pPr>
    </w:p>
    <w:p w14:paraId="2F733EBA" w14:textId="77777777" w:rsidR="000833E1" w:rsidRPr="00337F0E" w:rsidRDefault="000833E1" w:rsidP="008B183E">
      <w:pPr>
        <w:spacing w:after="0" w:line="240" w:lineRule="auto"/>
        <w:ind w:right="-274"/>
        <w:jc w:val="both"/>
        <w:rPr>
          <w:rFonts w:ascii="Arial" w:eastAsia="Times New Roman" w:hAnsi="Arial" w:cs="Arial"/>
          <w:b/>
          <w:sz w:val="24"/>
          <w:szCs w:val="24"/>
          <w:lang w:val="mn-MN"/>
        </w:rPr>
      </w:pPr>
    </w:p>
    <w:p w14:paraId="42C25771" w14:textId="44C916FF" w:rsidR="008B183E" w:rsidRDefault="00634DC2" w:rsidP="008B183E">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lang w:val="mn-MN"/>
        </w:rPr>
        <w:t xml:space="preserve">ЭРҮҮГИЙН ХЭРЭГ ХЯНАН ШИЙДВЭРЛЭХ ТУХАЙ </w:t>
      </w:r>
      <w:r w:rsidR="000833E1" w:rsidRPr="00337F0E">
        <w:rPr>
          <w:rFonts w:ascii="Arial" w:eastAsia="Times New Roman" w:hAnsi="Arial" w:cs="Arial"/>
          <w:b/>
          <w:bCs/>
          <w:sz w:val="24"/>
          <w:szCs w:val="24"/>
        </w:rPr>
        <w:t>ХУУЛЬД ӨӨРЧЛӨЛТ</w:t>
      </w:r>
    </w:p>
    <w:p w14:paraId="733A301F" w14:textId="3E078D3E" w:rsidR="000833E1" w:rsidRPr="00337F0E" w:rsidRDefault="000833E1" w:rsidP="008B183E">
      <w:pPr>
        <w:spacing w:after="0" w:line="240" w:lineRule="auto"/>
        <w:jc w:val="center"/>
        <w:rPr>
          <w:rFonts w:ascii="Arial" w:eastAsia="Times New Roman" w:hAnsi="Arial" w:cs="Arial"/>
          <w:sz w:val="24"/>
          <w:szCs w:val="24"/>
        </w:rPr>
      </w:pPr>
      <w:r w:rsidRPr="00337F0E">
        <w:rPr>
          <w:rFonts w:ascii="Arial" w:eastAsia="Times New Roman" w:hAnsi="Arial" w:cs="Arial"/>
          <w:b/>
          <w:bCs/>
          <w:sz w:val="24"/>
          <w:szCs w:val="24"/>
        </w:rPr>
        <w:t>ОРУУЛАХ ТУХАЙ</w:t>
      </w:r>
      <w:r w:rsidRPr="00337F0E">
        <w:rPr>
          <w:rFonts w:ascii="Arial" w:eastAsia="Times New Roman" w:hAnsi="Arial" w:cs="Arial"/>
          <w:sz w:val="24"/>
          <w:szCs w:val="24"/>
          <w:lang w:val="mn-MN"/>
        </w:rPr>
        <w:t xml:space="preserve"> </w:t>
      </w:r>
      <w:r w:rsidRPr="00337F0E">
        <w:rPr>
          <w:rFonts w:ascii="Arial" w:eastAsia="Times New Roman" w:hAnsi="Arial" w:cs="Arial"/>
          <w:b/>
          <w:sz w:val="24"/>
          <w:szCs w:val="24"/>
          <w:lang w:val="mn-MN"/>
        </w:rPr>
        <w:t>ХУУЛИЙН ТӨСЛИЙН ҮЗЭЛ БАРИМТЛАЛ</w:t>
      </w:r>
    </w:p>
    <w:p w14:paraId="1A550B34" w14:textId="77777777" w:rsidR="000833E1" w:rsidRPr="00E8773B" w:rsidRDefault="000833E1" w:rsidP="008B183E">
      <w:pPr>
        <w:spacing w:after="0" w:line="240" w:lineRule="auto"/>
        <w:ind w:right="-274"/>
        <w:jc w:val="both"/>
        <w:rPr>
          <w:rFonts w:ascii="Arial" w:eastAsia="Times New Roman" w:hAnsi="Arial" w:cs="Arial"/>
          <w:sz w:val="24"/>
          <w:szCs w:val="24"/>
        </w:rPr>
      </w:pPr>
    </w:p>
    <w:p w14:paraId="06EA19FD" w14:textId="77777777" w:rsidR="00DA50E3" w:rsidRPr="00926AFC" w:rsidRDefault="00DA50E3" w:rsidP="00DA50E3">
      <w:pPr>
        <w:jc w:val="both"/>
        <w:rPr>
          <w:rFonts w:ascii="Arial" w:hAnsi="Arial" w:cs="Arial"/>
          <w:b/>
          <w:sz w:val="24"/>
          <w:szCs w:val="24"/>
        </w:rPr>
      </w:pPr>
      <w:r w:rsidRPr="00926AFC">
        <w:rPr>
          <w:rFonts w:ascii="Arial" w:hAnsi="Arial" w:cs="Arial"/>
          <w:b/>
          <w:sz w:val="24"/>
          <w:szCs w:val="24"/>
        </w:rPr>
        <w:t>Нэг. Хуулийн төсөл боловсруулах болсон үндэслэл, шаардлага</w:t>
      </w:r>
    </w:p>
    <w:p w14:paraId="5DF3BE13" w14:textId="467D258B" w:rsidR="00DA50E3" w:rsidRPr="00DA50E3" w:rsidRDefault="00BC3539" w:rsidP="00926AFC">
      <w:pPr>
        <w:ind w:firstLine="720"/>
        <w:jc w:val="both"/>
        <w:rPr>
          <w:rFonts w:ascii="Arial" w:hAnsi="Arial" w:cs="Arial"/>
          <w:sz w:val="24"/>
          <w:szCs w:val="24"/>
        </w:rPr>
      </w:pPr>
      <w:r>
        <w:rPr>
          <w:rFonts w:ascii="Arial" w:hAnsi="Arial" w:cs="Arial"/>
          <w:sz w:val="24"/>
          <w:szCs w:val="24"/>
          <w:lang w:val="mn-MN"/>
        </w:rPr>
        <w:t xml:space="preserve">Эрүүгийн хэрэг хянан шийдвэрлэх тухай </w:t>
      </w:r>
      <w:r w:rsidR="00DA50E3" w:rsidRPr="00DA50E3">
        <w:rPr>
          <w:rFonts w:ascii="Arial" w:hAnsi="Arial" w:cs="Arial"/>
          <w:sz w:val="24"/>
          <w:szCs w:val="24"/>
        </w:rPr>
        <w:t>хуульд өөрчлөлт оруулах тухай хуулийн төслийг боловсруулах дараах хууль зүйн үндэслэл, практик шаардлага байна.</w:t>
      </w:r>
    </w:p>
    <w:p w14:paraId="6ACFBD76" w14:textId="77777777" w:rsidR="00DA50E3" w:rsidRPr="00926AFC" w:rsidRDefault="00DA50E3" w:rsidP="00657ECE">
      <w:pPr>
        <w:ind w:firstLine="720"/>
        <w:jc w:val="both"/>
        <w:rPr>
          <w:rFonts w:ascii="Arial" w:hAnsi="Arial" w:cs="Arial"/>
          <w:b/>
          <w:sz w:val="24"/>
          <w:szCs w:val="24"/>
        </w:rPr>
      </w:pPr>
      <w:r w:rsidRPr="00926AFC">
        <w:rPr>
          <w:rFonts w:ascii="Arial" w:hAnsi="Arial" w:cs="Arial"/>
          <w:b/>
          <w:sz w:val="24"/>
          <w:szCs w:val="24"/>
        </w:rPr>
        <w:t>1.1Хууль зүйн үндэслэл</w:t>
      </w:r>
    </w:p>
    <w:p w14:paraId="3EA43A8C" w14:textId="75DC2324" w:rsidR="00DA50E3" w:rsidRPr="00DA50E3" w:rsidRDefault="00DA50E3" w:rsidP="00926AFC">
      <w:pPr>
        <w:ind w:firstLine="720"/>
        <w:jc w:val="both"/>
        <w:rPr>
          <w:rFonts w:ascii="Arial" w:hAnsi="Arial" w:cs="Arial"/>
          <w:sz w:val="24"/>
          <w:szCs w:val="24"/>
        </w:rPr>
      </w:pPr>
      <w:r w:rsidRPr="00DA50E3">
        <w:rPr>
          <w:rFonts w:ascii="Arial" w:hAnsi="Arial" w:cs="Arial"/>
          <w:sz w:val="24"/>
          <w:szCs w:val="24"/>
        </w:rPr>
        <w:t xml:space="preserve">Монгол Улсын Үндсэн хуулийн 16 дугаар зүйлд Монгол Улсын иргэн </w:t>
      </w:r>
      <w:r w:rsidR="0069745C">
        <w:rPr>
          <w:rFonts w:ascii="Arial" w:hAnsi="Arial" w:cs="Arial"/>
          <w:sz w:val="24"/>
          <w:szCs w:val="24"/>
          <w:lang w:val="mn-MN"/>
        </w:rPr>
        <w:t>халдашгүй</w:t>
      </w:r>
      <w:r w:rsidR="001A74E2">
        <w:rPr>
          <w:rFonts w:ascii="Arial" w:hAnsi="Arial" w:cs="Arial"/>
          <w:sz w:val="24"/>
          <w:szCs w:val="24"/>
          <w:lang w:val="mn-MN"/>
        </w:rPr>
        <w:t>,</w:t>
      </w:r>
      <w:r w:rsidR="0069745C">
        <w:rPr>
          <w:rFonts w:ascii="Arial" w:hAnsi="Arial" w:cs="Arial"/>
          <w:sz w:val="24"/>
          <w:szCs w:val="24"/>
          <w:lang w:val="mn-MN"/>
        </w:rPr>
        <w:t xml:space="preserve"> чөлөөтэй </w:t>
      </w:r>
      <w:r w:rsidR="001A74E2">
        <w:rPr>
          <w:rFonts w:ascii="Arial" w:hAnsi="Arial" w:cs="Arial"/>
          <w:sz w:val="24"/>
          <w:szCs w:val="24"/>
          <w:lang w:val="mn-MN"/>
        </w:rPr>
        <w:t xml:space="preserve">байх </w:t>
      </w:r>
      <w:r w:rsidRPr="00DA50E3">
        <w:rPr>
          <w:rFonts w:ascii="Arial" w:hAnsi="Arial" w:cs="Arial"/>
          <w:sz w:val="24"/>
          <w:szCs w:val="24"/>
        </w:rPr>
        <w:t>эрхтэй хэмээн тунхагласан.</w:t>
      </w:r>
    </w:p>
    <w:p w14:paraId="0847754F" w14:textId="6EF4405F" w:rsidR="00E157A4" w:rsidRDefault="00E157A4" w:rsidP="00926AFC">
      <w:pPr>
        <w:ind w:firstLine="720"/>
        <w:jc w:val="both"/>
        <w:rPr>
          <w:rFonts w:ascii="Arial" w:hAnsi="Arial" w:cs="Arial"/>
          <w:sz w:val="24"/>
          <w:szCs w:val="24"/>
          <w:lang w:val="mn-MN"/>
        </w:rPr>
      </w:pPr>
      <w:r>
        <w:rPr>
          <w:rFonts w:ascii="Arial" w:hAnsi="Arial" w:cs="Arial"/>
          <w:sz w:val="24"/>
          <w:szCs w:val="24"/>
          <w:lang w:val="mn-MN"/>
        </w:rPr>
        <w:t xml:space="preserve">Эрүүгийн хэрэг хянан шийдвэрлэх тухай хуулийн </w:t>
      </w:r>
      <w:r w:rsidR="001D785C">
        <w:rPr>
          <w:rFonts w:ascii="Arial" w:hAnsi="Arial" w:cs="Arial"/>
          <w:sz w:val="24"/>
          <w:szCs w:val="24"/>
          <w:lang w:val="mn-MN"/>
        </w:rPr>
        <w:t xml:space="preserve">31.4, 31.5 дугаар зүйлээр сэжигтэнийг баривчлах эрх зүйн зохицуулалтыг хийхдээ </w:t>
      </w:r>
      <w:r w:rsidR="00E06B9D">
        <w:rPr>
          <w:rFonts w:ascii="Arial" w:hAnsi="Arial" w:cs="Arial"/>
          <w:sz w:val="24"/>
          <w:szCs w:val="24"/>
          <w:lang w:val="mn-MN"/>
        </w:rPr>
        <w:t xml:space="preserve">хүний халдашгүй чөлөөтэй байх эрхийг </w:t>
      </w:r>
      <w:r w:rsidR="003C1EC4">
        <w:rPr>
          <w:rFonts w:ascii="Arial" w:hAnsi="Arial" w:cs="Arial"/>
          <w:sz w:val="24"/>
          <w:szCs w:val="24"/>
          <w:lang w:val="mn-MN"/>
        </w:rPr>
        <w:t>хязгаарлах</w:t>
      </w:r>
      <w:r w:rsidR="0053563D">
        <w:rPr>
          <w:rFonts w:ascii="Arial" w:hAnsi="Arial" w:cs="Arial"/>
          <w:sz w:val="24"/>
          <w:szCs w:val="24"/>
          <w:lang w:val="mn-MN"/>
        </w:rPr>
        <w:t xml:space="preserve"> </w:t>
      </w:r>
      <w:r w:rsidR="00FA0223">
        <w:rPr>
          <w:rFonts w:ascii="Arial" w:hAnsi="Arial" w:cs="Arial"/>
          <w:sz w:val="24"/>
          <w:szCs w:val="24"/>
          <w:lang w:val="mn-MN"/>
        </w:rPr>
        <w:t xml:space="preserve">хоёрдмол утга зохицуулалт хийж хууль сахиулагч “дур зоргоороо” </w:t>
      </w:r>
      <w:r w:rsidR="00044D33">
        <w:rPr>
          <w:rFonts w:ascii="Arial" w:hAnsi="Arial" w:cs="Arial"/>
          <w:sz w:val="24"/>
          <w:szCs w:val="24"/>
          <w:lang w:val="mn-MN"/>
        </w:rPr>
        <w:t xml:space="preserve">сэжигтэнг </w:t>
      </w:r>
      <w:r w:rsidR="00FA0223">
        <w:rPr>
          <w:rFonts w:ascii="Arial" w:hAnsi="Arial" w:cs="Arial"/>
          <w:sz w:val="24"/>
          <w:szCs w:val="24"/>
          <w:lang w:val="mn-MN"/>
        </w:rPr>
        <w:t>баривчлах боломжийг олгосон байна.</w:t>
      </w:r>
    </w:p>
    <w:p w14:paraId="2D29CA9D" w14:textId="2FC429F6" w:rsidR="00EA0CF7" w:rsidRDefault="00DE7025" w:rsidP="00DA1913">
      <w:pPr>
        <w:ind w:firstLine="720"/>
        <w:jc w:val="both"/>
        <w:rPr>
          <w:rFonts w:ascii="Arial" w:hAnsi="Arial" w:cs="Arial"/>
          <w:sz w:val="24"/>
          <w:szCs w:val="24"/>
          <w:lang w:val="mn-MN"/>
        </w:rPr>
      </w:pPr>
      <w:r>
        <w:rPr>
          <w:rFonts w:ascii="Arial" w:hAnsi="Arial" w:cs="Arial"/>
          <w:sz w:val="24"/>
          <w:szCs w:val="24"/>
          <w:lang w:val="mn-MN"/>
        </w:rPr>
        <w:t xml:space="preserve">Монгол Улсын Хүний эрхийн комиссын тухай хуулийн </w:t>
      </w:r>
      <w:r w:rsidR="00764091">
        <w:rPr>
          <w:rFonts w:ascii="Arial" w:hAnsi="Arial" w:cs="Arial"/>
          <w:sz w:val="24"/>
          <w:szCs w:val="24"/>
          <w:lang w:val="mn-MN"/>
        </w:rPr>
        <w:t xml:space="preserve">7.1.4-д заасны дагуу </w:t>
      </w:r>
      <w:r w:rsidR="00EC3760">
        <w:rPr>
          <w:rFonts w:ascii="Arial" w:hAnsi="Arial" w:cs="Arial"/>
          <w:sz w:val="24"/>
          <w:szCs w:val="24"/>
          <w:lang w:val="mn-MN"/>
        </w:rPr>
        <w:t xml:space="preserve"> </w:t>
      </w:r>
      <w:r w:rsidR="002C64BE">
        <w:rPr>
          <w:rFonts w:ascii="Arial" w:hAnsi="Arial" w:cs="Arial"/>
          <w:sz w:val="24"/>
          <w:szCs w:val="24"/>
          <w:lang w:val="mn-MN"/>
        </w:rPr>
        <w:t>“</w:t>
      </w:r>
      <w:r w:rsidR="00BD312D" w:rsidRPr="00BD312D">
        <w:rPr>
          <w:rFonts w:ascii="Arial" w:hAnsi="Arial" w:cs="Arial"/>
          <w:sz w:val="24"/>
          <w:szCs w:val="24"/>
          <w:lang w:val="mn-MN"/>
        </w:rPr>
        <w:t>Сэжигтнийг шүүхийн зөвшөөрөлгүй баривчлах ажиллагаатай холбоотой эрх зүйн зохицуулалтыг Монгол Улсын нэгдэн орсон олон улсын гэрээ, конвенцод нийцүүлэн боловсронгуй болгох</w:t>
      </w:r>
      <w:r w:rsidR="002C64BE">
        <w:rPr>
          <w:rFonts w:ascii="Arial" w:hAnsi="Arial" w:cs="Arial"/>
          <w:sz w:val="24"/>
          <w:szCs w:val="24"/>
          <w:lang w:val="mn-MN"/>
        </w:rPr>
        <w:t>”</w:t>
      </w:r>
      <w:r w:rsidR="00BD312D">
        <w:rPr>
          <w:rFonts w:ascii="Arial" w:hAnsi="Arial" w:cs="Arial"/>
          <w:sz w:val="24"/>
          <w:szCs w:val="24"/>
          <w:lang w:val="mn-MN"/>
        </w:rPr>
        <w:t xml:space="preserve"> санал</w:t>
      </w:r>
      <w:r w:rsidR="004A0D4E">
        <w:rPr>
          <w:rFonts w:ascii="Arial" w:hAnsi="Arial" w:cs="Arial"/>
          <w:sz w:val="24"/>
          <w:szCs w:val="24"/>
          <w:lang w:val="mn-MN"/>
        </w:rPr>
        <w:t>аа уламжилсан.</w:t>
      </w:r>
      <w:r w:rsidR="00B10A98">
        <w:rPr>
          <w:rFonts w:ascii="Arial" w:hAnsi="Arial" w:cs="Arial"/>
          <w:sz w:val="24"/>
          <w:szCs w:val="24"/>
          <w:lang w:val="mn-MN"/>
        </w:rPr>
        <w:t xml:space="preserve"> </w:t>
      </w:r>
    </w:p>
    <w:p w14:paraId="7A705858" w14:textId="4545172E" w:rsidR="00E64A2B" w:rsidRPr="00E157A4" w:rsidRDefault="00E64A2B" w:rsidP="00DA1913">
      <w:pPr>
        <w:ind w:firstLine="720"/>
        <w:jc w:val="both"/>
        <w:rPr>
          <w:rFonts w:ascii="Arial" w:hAnsi="Arial" w:cs="Arial"/>
          <w:sz w:val="24"/>
          <w:szCs w:val="24"/>
          <w:lang w:val="mn-MN"/>
        </w:rPr>
      </w:pPr>
      <w:r>
        <w:rPr>
          <w:rFonts w:ascii="Arial" w:hAnsi="Arial" w:cs="Arial"/>
          <w:sz w:val="24"/>
          <w:szCs w:val="24"/>
          <w:lang w:val="mn-MN"/>
        </w:rPr>
        <w:t>...яагаад а</w:t>
      </w:r>
      <w:r w:rsidR="008657E0">
        <w:rPr>
          <w:rFonts w:ascii="Arial" w:hAnsi="Arial" w:cs="Arial"/>
          <w:sz w:val="24"/>
          <w:szCs w:val="24"/>
          <w:lang w:val="mn-MN"/>
        </w:rPr>
        <w:t>вах ёстой.</w:t>
      </w:r>
    </w:p>
    <w:p w14:paraId="3DD9FDF4" w14:textId="77777777" w:rsidR="00DA50E3" w:rsidRPr="00926AFC" w:rsidRDefault="00DA50E3" w:rsidP="00657ECE">
      <w:pPr>
        <w:ind w:firstLine="720"/>
        <w:jc w:val="both"/>
        <w:rPr>
          <w:rFonts w:ascii="Arial" w:hAnsi="Arial" w:cs="Arial"/>
          <w:b/>
          <w:sz w:val="24"/>
          <w:szCs w:val="24"/>
        </w:rPr>
      </w:pPr>
      <w:r w:rsidRPr="00926AFC">
        <w:rPr>
          <w:rFonts w:ascii="Arial" w:hAnsi="Arial" w:cs="Arial"/>
          <w:b/>
          <w:sz w:val="24"/>
          <w:szCs w:val="24"/>
        </w:rPr>
        <w:t>1.2Практик шаардлага</w:t>
      </w:r>
    </w:p>
    <w:p w14:paraId="4579C407" w14:textId="77777777" w:rsidR="007D3C26" w:rsidRDefault="007D3C26" w:rsidP="007D3C26">
      <w:pPr>
        <w:spacing w:after="0"/>
        <w:ind w:firstLine="720"/>
        <w:jc w:val="both"/>
        <w:rPr>
          <w:rFonts w:ascii="Arial" w:hAnsi="Arial" w:cs="Arial"/>
          <w:sz w:val="24"/>
          <w:szCs w:val="24"/>
          <w:lang w:val="mn-MN"/>
        </w:rPr>
      </w:pPr>
      <w:r w:rsidRPr="00EA0D64">
        <w:rPr>
          <w:rFonts w:ascii="Arial" w:hAnsi="Arial" w:cs="Arial"/>
          <w:sz w:val="24"/>
          <w:szCs w:val="24"/>
          <w:lang w:val="mn-MN"/>
        </w:rPr>
        <w:t>Нэгдсэн Үндэстний Байгууллага</w:t>
      </w:r>
      <w:r>
        <w:rPr>
          <w:rFonts w:ascii="Arial" w:hAnsi="Arial" w:cs="Arial"/>
          <w:sz w:val="24"/>
          <w:szCs w:val="24"/>
          <w:lang w:val="mn-MN"/>
        </w:rPr>
        <w:t xml:space="preserve"> </w:t>
      </w:r>
      <w:r w:rsidRPr="00EA0D64">
        <w:rPr>
          <w:rFonts w:ascii="Arial" w:hAnsi="Arial" w:cs="Arial"/>
          <w:sz w:val="24"/>
          <w:szCs w:val="24"/>
          <w:lang w:val="mn-MN"/>
        </w:rPr>
        <w:t xml:space="preserve">(НҮБ)-ын Дур зоргоор саатуулах асуудал хариуцсан Ажлын хэсгийн урьдчилсан дүгнэлтэд манай улсад 2020-2021 онд хийгдсэн баривчлах ажиллагааны 98-99 хувь нь шүүхийн зөвшөөрөлгүй </w:t>
      </w:r>
      <w:r>
        <w:rPr>
          <w:rFonts w:ascii="Arial" w:hAnsi="Arial" w:cs="Arial"/>
          <w:sz w:val="24"/>
          <w:szCs w:val="24"/>
          <w:lang w:val="mn-MN"/>
        </w:rPr>
        <w:t>хийгдсэнийг онцолсон. Энэ байдал үнэн болохыг монгол улсын хүний эрхийн комиссын Монгол Улс дахь хүний эрх, эрх чөлөөний төлөв байдлын 22 дахь илтгэлээр баталгаажуулсан. Тухайлбал, тус илтгэлд “</w:t>
      </w:r>
      <w:r w:rsidRPr="003309C9">
        <w:rPr>
          <w:rFonts w:ascii="Arial" w:hAnsi="Arial" w:cs="Arial"/>
          <w:sz w:val="24"/>
          <w:szCs w:val="24"/>
          <w:lang w:val="mn-MN"/>
        </w:rPr>
        <w:t>Сүүлийн 3 жилийн байдлаар сэжигтнийг шүүхийн зөвшөөрөлтэй болон зөвшөөрөлгүй баривчилсан судалгааг харвал 2020 онд 793 буюу 99.3 хувь, 2021 онд 809 буюу 98.5 хувь, 2022 онд 1075 буюу 99.7 хувь нь шүүхийн зөвшөөрөлгүй баривчлах ажиллагаа байсан</w:t>
      </w:r>
      <w:r>
        <w:rPr>
          <w:rStyle w:val="FootnoteReference"/>
          <w:rFonts w:ascii="Arial" w:hAnsi="Arial" w:cs="Arial"/>
          <w:sz w:val="24"/>
          <w:szCs w:val="24"/>
          <w:lang w:val="mn-MN"/>
        </w:rPr>
        <w:footnoteReference w:id="1"/>
      </w:r>
      <w:r>
        <w:rPr>
          <w:rFonts w:ascii="Arial" w:hAnsi="Arial" w:cs="Arial"/>
          <w:sz w:val="24"/>
          <w:szCs w:val="24"/>
          <w:lang w:val="mn-MN"/>
        </w:rPr>
        <w:t>, хамгийн ноцтой нь 2020 онд шүүхийн зөвшөөрөлгүй баривчлагдсаны сэжигтэний 331 буюу 41</w:t>
      </w:r>
      <w:r>
        <w:rPr>
          <w:rFonts w:ascii="Arial" w:hAnsi="Arial" w:cs="Arial"/>
          <w:sz w:val="24"/>
          <w:szCs w:val="24"/>
        </w:rPr>
        <w:t>%</w:t>
      </w:r>
      <w:r>
        <w:rPr>
          <w:rFonts w:ascii="Arial" w:hAnsi="Arial" w:cs="Arial"/>
          <w:sz w:val="24"/>
          <w:szCs w:val="24"/>
          <w:lang w:val="mn-MN"/>
        </w:rPr>
        <w:t xml:space="preserve"> , 2021 оны 296 буюу</w:t>
      </w:r>
      <w:r>
        <w:rPr>
          <w:rFonts w:ascii="Arial" w:hAnsi="Arial" w:cs="Arial"/>
          <w:sz w:val="24"/>
          <w:szCs w:val="24"/>
        </w:rPr>
        <w:t xml:space="preserve"> 36%</w:t>
      </w:r>
      <w:r>
        <w:rPr>
          <w:rFonts w:ascii="Arial" w:hAnsi="Arial" w:cs="Arial"/>
          <w:sz w:val="24"/>
          <w:szCs w:val="24"/>
          <w:lang w:val="mn-MN"/>
        </w:rPr>
        <w:t>, 2022 онд 452 буюу</w:t>
      </w:r>
      <w:r>
        <w:rPr>
          <w:rFonts w:ascii="Arial" w:hAnsi="Arial" w:cs="Arial"/>
          <w:sz w:val="24"/>
          <w:szCs w:val="24"/>
        </w:rPr>
        <w:t xml:space="preserve"> 42%</w:t>
      </w:r>
      <w:r>
        <w:rPr>
          <w:rFonts w:ascii="Arial" w:hAnsi="Arial" w:cs="Arial"/>
          <w:sz w:val="24"/>
          <w:szCs w:val="24"/>
          <w:lang w:val="mn-MN"/>
        </w:rPr>
        <w:t xml:space="preserve">-ийг үндэслэлгүй баривчилагдсан гэж үзэж шүүх, прокурорын шийдвэрээр  буцаан суллажээ. Бидний авсан судалгаа буюу прокурорын байгууллагаас ирүүлсэн тоо баримтаас үзвэл 2020 онд нийт шүүхийн зөвшөөрөлгүй баривчлах ажиллагааны </w:t>
      </w:r>
      <w:r>
        <w:rPr>
          <w:rFonts w:ascii="Arial" w:hAnsi="Arial" w:cs="Arial"/>
          <w:sz w:val="24"/>
          <w:szCs w:val="24"/>
          <w:lang w:val="mn-MN"/>
        </w:rPr>
        <w:lastRenderedPageBreak/>
        <w:t>42.1</w:t>
      </w:r>
      <w:r>
        <w:rPr>
          <w:rFonts w:ascii="Arial" w:hAnsi="Arial" w:cs="Arial"/>
          <w:sz w:val="24"/>
          <w:szCs w:val="24"/>
        </w:rPr>
        <w:t xml:space="preserve">5%, 2021 </w:t>
      </w:r>
      <w:r>
        <w:rPr>
          <w:rFonts w:ascii="Arial" w:hAnsi="Arial" w:cs="Arial"/>
          <w:sz w:val="24"/>
          <w:szCs w:val="24"/>
          <w:lang w:val="mn-MN"/>
        </w:rPr>
        <w:t xml:space="preserve">онд </w:t>
      </w:r>
      <w:r>
        <w:rPr>
          <w:rFonts w:ascii="Arial" w:hAnsi="Arial" w:cs="Arial"/>
          <w:sz w:val="24"/>
          <w:szCs w:val="24"/>
        </w:rPr>
        <w:t xml:space="preserve">42.3%, 2022 </w:t>
      </w:r>
      <w:r>
        <w:rPr>
          <w:rFonts w:ascii="Arial" w:hAnsi="Arial" w:cs="Arial"/>
          <w:sz w:val="24"/>
          <w:szCs w:val="24"/>
          <w:lang w:val="mn-MN"/>
        </w:rPr>
        <w:t xml:space="preserve">онд </w:t>
      </w:r>
      <w:r>
        <w:rPr>
          <w:rFonts w:ascii="Arial" w:hAnsi="Arial" w:cs="Arial"/>
          <w:sz w:val="24"/>
          <w:szCs w:val="24"/>
        </w:rPr>
        <w:t>48.4%</w:t>
      </w:r>
      <w:r>
        <w:rPr>
          <w:rFonts w:ascii="Arial" w:hAnsi="Arial" w:cs="Arial"/>
          <w:sz w:val="24"/>
          <w:szCs w:val="24"/>
          <w:lang w:val="mn-MN"/>
        </w:rPr>
        <w:t xml:space="preserve"> нь хүчингүй болж шүүх, прокурорын шийдвэрээр баривчилсан сэжигтэнийг сулласан байна.</w:t>
      </w:r>
    </w:p>
    <w:p w14:paraId="7A1E9BFC" w14:textId="77777777" w:rsidR="00657ECE" w:rsidRDefault="00657ECE" w:rsidP="00657ECE">
      <w:pPr>
        <w:spacing w:after="0"/>
        <w:ind w:firstLine="720"/>
        <w:jc w:val="both"/>
        <w:rPr>
          <w:rFonts w:ascii="Arial" w:hAnsi="Arial" w:cs="Arial"/>
          <w:sz w:val="24"/>
          <w:szCs w:val="24"/>
          <w:lang w:val="mn-MN"/>
        </w:rPr>
      </w:pPr>
      <w:r>
        <w:rPr>
          <w:rFonts w:ascii="Arial" w:hAnsi="Arial" w:cs="Arial"/>
          <w:sz w:val="24"/>
          <w:szCs w:val="24"/>
          <w:lang w:val="mn-MN"/>
        </w:rPr>
        <w:t xml:space="preserve">Сэжигтэнийг шүүхийн зөвшөөрөлгүй баривчлахад хамгийн түгээмэл хэрэглэж буй хойшлуулшгүй тохиолдолд гэх үндэслэлийг нарийвчлан авч үзвэл ЭХХШТХ-ийн 1 дүгээр бүлгийн 1.4 дүгээр зүйлийн 1.26 дахь хэсэгт </w:t>
      </w:r>
      <w:r w:rsidRPr="00EA58CA">
        <w:rPr>
          <w:rFonts w:ascii="Arial" w:hAnsi="Arial" w:cs="Arial"/>
          <w:sz w:val="24"/>
          <w:szCs w:val="24"/>
          <w:lang w:val="mn-MN"/>
        </w:rPr>
        <w:t>"хойшлуулшгүй тохиолдол" гэж хүний амь нас, эрүүл мэнд, эд хөрөнгөд ноцтой хохирол учрах, сэжигтэн, яллагдагч оргон зайлах, хэргийн ул мөр, эд мөрийн баримт устах, зөөвөрлөх, нуун далдлах, үрэгдэх бодит аюул байгааг</w:t>
      </w:r>
      <w:r>
        <w:rPr>
          <w:rFonts w:ascii="Arial" w:hAnsi="Arial" w:cs="Arial"/>
          <w:sz w:val="24"/>
          <w:szCs w:val="24"/>
          <w:lang w:val="mn-MN"/>
        </w:rPr>
        <w:t xml:space="preserve"> ойлгоно гэж заасан. Үүний улмаас ЭХХШТХ-ийн 31.5.1.2-д заасан хойшлуулшгүй тохиолдолд баривчлах үндэслэл нь “</w:t>
      </w:r>
      <w:r w:rsidRPr="00EA58CA">
        <w:rPr>
          <w:rFonts w:ascii="Arial" w:hAnsi="Arial" w:cs="Arial"/>
          <w:sz w:val="24"/>
          <w:szCs w:val="24"/>
          <w:lang w:val="mn-MN"/>
        </w:rPr>
        <w:t>хүний амь нас, эрүүл мэнд, эд хөрөнгөд ноцтой хохирол учрах, сэжигтэн, яллагдагч оргон зайлах, хэргийн ул мөр, эд мөрийн баримт устах, зөөвөрлөх, нуун далдлах, үрэгдэх бодит аюул бай</w:t>
      </w:r>
      <w:r>
        <w:rPr>
          <w:rFonts w:ascii="Arial" w:hAnsi="Arial" w:cs="Arial"/>
          <w:sz w:val="24"/>
          <w:szCs w:val="24"/>
          <w:lang w:val="mn-MN"/>
        </w:rPr>
        <w:t xml:space="preserve">х” явдал болж байна. Гэтэл ЭХХШТХ-ийн 31.4-д заасны дагуу 34.1.1.2 “сэжигтэн оргон зайлсан, эсхүл оргон зайлах үндэслэл байгаа бол, 34.1.1.3 </w:t>
      </w:r>
      <w:r w:rsidRPr="00674CB5">
        <w:rPr>
          <w:rFonts w:ascii="Arial" w:hAnsi="Arial" w:cs="Arial"/>
          <w:sz w:val="24"/>
          <w:szCs w:val="24"/>
          <w:lang w:val="mn-MN"/>
        </w:rPr>
        <w:t>мөрдөгч, прокурор, шүүгч, хохирогч, гэрч, хамтран гэмт хэрэг үйлдсэн хүнийг дарамтлах, сүрдүүлэх, амь нас, эрүүл мэндэд нь халдах үндэслэл байгаа</w:t>
      </w:r>
      <w:r>
        <w:rPr>
          <w:rFonts w:ascii="Arial" w:hAnsi="Arial" w:cs="Arial"/>
          <w:sz w:val="24"/>
          <w:szCs w:val="24"/>
          <w:lang w:val="mn-MN"/>
        </w:rPr>
        <w:t>, 34.1.</w:t>
      </w:r>
      <w:r w:rsidRPr="00674CB5">
        <w:rPr>
          <w:rFonts w:ascii="Arial" w:hAnsi="Arial" w:cs="Arial"/>
          <w:sz w:val="24"/>
          <w:szCs w:val="24"/>
          <w:lang w:val="mn-MN"/>
        </w:rPr>
        <w:t>1.5.нотлох баримтаа устгах, өөрчлөх, хуурамчаар үйлдэх, эсхүл гэрч, хохирогч, хамтран гэмт хэрэг үйлдсэн хүнд хууль бусаар нөлөөлөх үндэслэл илэрсэн</w:t>
      </w:r>
      <w:r>
        <w:rPr>
          <w:rFonts w:ascii="Arial" w:hAnsi="Arial" w:cs="Arial"/>
          <w:sz w:val="24"/>
          <w:szCs w:val="24"/>
          <w:lang w:val="mn-MN"/>
        </w:rPr>
        <w:t xml:space="preserve"> бол энэ талаар мөрдөгч, прокурор үндэслэлээ шүүхэд танилцуулж шүүх ингэж үзэх бодит үндэслэл байвал сэжигтэнийг баривчлах шийдвэр гаргахаар хуульчилсан. </w:t>
      </w:r>
    </w:p>
    <w:p w14:paraId="03530232" w14:textId="776A0FAC" w:rsidR="00657ECE" w:rsidRDefault="00657ECE" w:rsidP="00657ECE">
      <w:pPr>
        <w:spacing w:after="0"/>
        <w:ind w:firstLine="720"/>
        <w:jc w:val="both"/>
        <w:rPr>
          <w:rFonts w:ascii="Arial" w:hAnsi="Arial" w:cs="Arial"/>
          <w:sz w:val="24"/>
          <w:szCs w:val="24"/>
          <w:lang w:val="mn-MN"/>
        </w:rPr>
      </w:pPr>
      <w:r>
        <w:rPr>
          <w:rFonts w:ascii="Arial" w:hAnsi="Arial" w:cs="Arial"/>
          <w:sz w:val="24"/>
          <w:szCs w:val="24"/>
          <w:lang w:val="mn-MN"/>
        </w:rPr>
        <w:t xml:space="preserve">Үүнээс үзэхэд ЭХХШТХ-ийн 31.5.1.2-д заасан “хойшлуулшгүй тохиолдолд” гэх зохицуулалт хэвээр үйлчлэх тохиолдолд ЭХХШТХ-ийн 31.4-д заасан аль нэг үндэслэлээр шүүхээс зөвшөөрөл хүсэх шаардлагагүй, мөрдөгч ЭХХШТХ-ийн 31.5.1.2, 1.4.1.26-г ашиглан сэжигтэнийг </w:t>
      </w:r>
      <w:r w:rsidR="0034016D">
        <w:rPr>
          <w:rFonts w:ascii="Arial" w:hAnsi="Arial" w:cs="Arial"/>
          <w:sz w:val="24"/>
          <w:szCs w:val="24"/>
          <w:lang w:val="mn-MN"/>
        </w:rPr>
        <w:t xml:space="preserve">дур зоргоороо </w:t>
      </w:r>
      <w:r>
        <w:rPr>
          <w:rFonts w:ascii="Arial" w:hAnsi="Arial" w:cs="Arial"/>
          <w:sz w:val="24"/>
          <w:szCs w:val="24"/>
          <w:lang w:val="mn-MN"/>
        </w:rPr>
        <w:t>баривчлах эрх зүйн боломжтой байна.</w:t>
      </w:r>
    </w:p>
    <w:p w14:paraId="417DB5C5" w14:textId="50E2C65A" w:rsidR="007D3C26" w:rsidRDefault="00657ECE" w:rsidP="00657ECE">
      <w:pPr>
        <w:spacing w:after="0"/>
        <w:ind w:firstLine="720"/>
        <w:jc w:val="both"/>
        <w:rPr>
          <w:rFonts w:ascii="Arial" w:hAnsi="Arial" w:cs="Arial"/>
          <w:sz w:val="24"/>
          <w:szCs w:val="24"/>
          <w:lang w:val="mn-MN"/>
        </w:rPr>
      </w:pPr>
      <w:r>
        <w:rPr>
          <w:rFonts w:ascii="Arial" w:hAnsi="Arial" w:cs="Arial"/>
          <w:sz w:val="24"/>
          <w:szCs w:val="24"/>
          <w:lang w:val="mn-MN"/>
        </w:rPr>
        <w:t>Хүний үндсэн эрхийн нэг болох халдашгүй чөлөөтэй байх эрхийг шүүхээр хэлэлцэж бодитой, баримттай, нээлттэйгээр шийдвэрлэхийн тулд зөвхөн мөрдөгч “хойшлуулшгүй” гэсэн хуулийн боломжийг ашиглан сэжигтэнийг баривчилдаг эрх зүйн зохицуулалтыг боловсронгуй болгох шаардлагатай байна.</w:t>
      </w:r>
    </w:p>
    <w:p w14:paraId="06FF52EF" w14:textId="77777777" w:rsidR="00657ECE" w:rsidRPr="00657ECE" w:rsidRDefault="00657ECE" w:rsidP="00657ECE">
      <w:pPr>
        <w:spacing w:after="0"/>
        <w:ind w:firstLine="720"/>
        <w:jc w:val="both"/>
        <w:rPr>
          <w:rFonts w:ascii="Arial" w:hAnsi="Arial" w:cs="Arial"/>
          <w:sz w:val="24"/>
          <w:szCs w:val="24"/>
          <w:lang w:val="mn-MN"/>
        </w:rPr>
      </w:pPr>
    </w:p>
    <w:p w14:paraId="0453C238" w14:textId="77777777" w:rsidR="00DA50E3" w:rsidRPr="00926AFC" w:rsidRDefault="00DA50E3" w:rsidP="00657ECE">
      <w:pPr>
        <w:spacing w:before="240"/>
        <w:ind w:firstLine="720"/>
        <w:jc w:val="both"/>
        <w:rPr>
          <w:rFonts w:ascii="Arial" w:hAnsi="Arial" w:cs="Arial"/>
          <w:b/>
          <w:sz w:val="24"/>
          <w:szCs w:val="24"/>
        </w:rPr>
      </w:pPr>
      <w:r w:rsidRPr="00926AFC">
        <w:rPr>
          <w:rFonts w:ascii="Arial" w:hAnsi="Arial" w:cs="Arial"/>
          <w:b/>
          <w:sz w:val="24"/>
          <w:szCs w:val="24"/>
        </w:rPr>
        <w:t>Хоёр. Хуулийн төслийн  зорилго, ерөнхий бүтэц, зохицуулах харилцаа, хамрах хүрээ</w:t>
      </w:r>
    </w:p>
    <w:p w14:paraId="41C9242B" w14:textId="5308FCED" w:rsidR="0094515C" w:rsidRDefault="0094515C" w:rsidP="00926AFC">
      <w:pPr>
        <w:ind w:firstLine="720"/>
        <w:jc w:val="both"/>
        <w:rPr>
          <w:rFonts w:ascii="Arial" w:hAnsi="Arial" w:cs="Arial"/>
          <w:sz w:val="24"/>
          <w:szCs w:val="24"/>
          <w:lang w:val="mn-MN"/>
        </w:rPr>
      </w:pPr>
      <w:r>
        <w:rPr>
          <w:rFonts w:ascii="Arial" w:hAnsi="Arial" w:cs="Arial"/>
          <w:sz w:val="24"/>
          <w:szCs w:val="24"/>
          <w:lang w:val="mn-MN"/>
        </w:rPr>
        <w:t xml:space="preserve">Энэхүү хуулийн төслийг боловсруулсанаар </w:t>
      </w:r>
      <w:r w:rsidR="00EB7598">
        <w:rPr>
          <w:rFonts w:ascii="Arial" w:hAnsi="Arial" w:cs="Arial"/>
          <w:sz w:val="24"/>
          <w:szCs w:val="24"/>
          <w:lang w:val="mn-MN"/>
        </w:rPr>
        <w:t>хүнийг үндэслэлгүйгээр баривчлах ажиллагааг зогсооно.</w:t>
      </w:r>
    </w:p>
    <w:p w14:paraId="65328183" w14:textId="554C015C" w:rsidR="00021CDC" w:rsidRDefault="00021CDC" w:rsidP="00926AFC">
      <w:pPr>
        <w:ind w:firstLine="720"/>
        <w:jc w:val="both"/>
        <w:rPr>
          <w:rFonts w:ascii="Arial" w:hAnsi="Arial" w:cs="Arial"/>
          <w:sz w:val="24"/>
          <w:szCs w:val="24"/>
          <w:lang w:val="mn-MN"/>
        </w:rPr>
      </w:pPr>
      <w:r>
        <w:rPr>
          <w:rFonts w:ascii="Arial" w:hAnsi="Arial" w:cs="Arial"/>
          <w:sz w:val="24"/>
          <w:szCs w:val="24"/>
          <w:lang w:val="mn-MN"/>
        </w:rPr>
        <w:t>Төсөл н</w:t>
      </w:r>
      <w:r w:rsidR="00C83F5E">
        <w:rPr>
          <w:rFonts w:ascii="Arial" w:hAnsi="Arial" w:cs="Arial"/>
          <w:sz w:val="24"/>
          <w:szCs w:val="24"/>
          <w:lang w:val="mn-MN"/>
        </w:rPr>
        <w:t xml:space="preserve">ь тухайн хуулиар зохицуулах харилцааг бүхэлд нь хамаарахгүй, зөвхөн </w:t>
      </w:r>
      <w:r w:rsidR="006277D9">
        <w:rPr>
          <w:rFonts w:ascii="Arial" w:hAnsi="Arial" w:cs="Arial"/>
          <w:sz w:val="24"/>
          <w:szCs w:val="24"/>
          <w:lang w:val="mn-MN"/>
        </w:rPr>
        <w:t>хүний халдашгүй эрхэд хамаарах тухайлсан зүйлийг өөрчилнө.</w:t>
      </w:r>
    </w:p>
    <w:p w14:paraId="13F1F904" w14:textId="11C19550" w:rsidR="00130242" w:rsidRPr="0094515C" w:rsidRDefault="00130242" w:rsidP="00926AFC">
      <w:pPr>
        <w:ind w:firstLine="720"/>
        <w:jc w:val="both"/>
        <w:rPr>
          <w:rFonts w:ascii="Arial" w:hAnsi="Arial" w:cs="Arial"/>
          <w:sz w:val="24"/>
          <w:szCs w:val="24"/>
          <w:lang w:val="mn-MN"/>
        </w:rPr>
      </w:pPr>
      <w:r>
        <w:rPr>
          <w:rFonts w:ascii="Arial" w:hAnsi="Arial" w:cs="Arial"/>
          <w:sz w:val="24"/>
          <w:szCs w:val="24"/>
          <w:lang w:val="mn-MN"/>
        </w:rPr>
        <w:t>Хуулийн төсөл нь ЭХХША-г бүхэлд хамрахгүй, зөвхөн сэжигтэнийг баривчлах ажиллагаатай холбоотой эрх зүйн зохицуулалтын хүрээгээр хязгаарлагдана.</w:t>
      </w:r>
    </w:p>
    <w:p w14:paraId="4F290D09" w14:textId="77777777" w:rsidR="0094515C" w:rsidRDefault="0094515C" w:rsidP="00926AFC">
      <w:pPr>
        <w:ind w:firstLine="720"/>
        <w:jc w:val="both"/>
        <w:rPr>
          <w:rFonts w:ascii="Arial" w:hAnsi="Arial" w:cs="Arial"/>
          <w:sz w:val="24"/>
          <w:szCs w:val="24"/>
        </w:rPr>
      </w:pPr>
    </w:p>
    <w:p w14:paraId="2443BA8C" w14:textId="77777777" w:rsidR="00DA50E3" w:rsidRPr="00926AFC" w:rsidRDefault="00DA50E3" w:rsidP="00FE70CC">
      <w:pPr>
        <w:spacing w:before="240"/>
        <w:jc w:val="both"/>
        <w:rPr>
          <w:rFonts w:ascii="Arial" w:hAnsi="Arial" w:cs="Arial"/>
          <w:b/>
          <w:sz w:val="24"/>
          <w:szCs w:val="24"/>
        </w:rPr>
      </w:pPr>
      <w:r w:rsidRPr="00926AFC">
        <w:rPr>
          <w:rFonts w:ascii="Arial" w:hAnsi="Arial" w:cs="Arial"/>
          <w:b/>
          <w:sz w:val="24"/>
          <w:szCs w:val="24"/>
        </w:rPr>
        <w:t>Гурав. Хуулийн төсөл батлагдсанаар үүсч болох эдийн засаг, нийгэм, хууль зүйн үр дагаврын талаар</w:t>
      </w:r>
    </w:p>
    <w:p w14:paraId="77FBA05A" w14:textId="67E57D33" w:rsidR="00B17217" w:rsidRDefault="00194298" w:rsidP="00926AFC">
      <w:pPr>
        <w:ind w:firstLine="720"/>
        <w:jc w:val="both"/>
        <w:rPr>
          <w:rFonts w:ascii="Arial" w:hAnsi="Arial" w:cs="Arial"/>
          <w:sz w:val="24"/>
          <w:szCs w:val="24"/>
          <w:lang w:val="mn-MN"/>
        </w:rPr>
      </w:pPr>
      <w:r>
        <w:rPr>
          <w:rFonts w:ascii="Arial" w:hAnsi="Arial" w:cs="Arial"/>
          <w:sz w:val="24"/>
          <w:szCs w:val="24"/>
          <w:lang w:val="mn-MN"/>
        </w:rPr>
        <w:lastRenderedPageBreak/>
        <w:t xml:space="preserve">Эрүүгийн хэрэг хянан шийдвэрлэх ажиллагаанд </w:t>
      </w:r>
      <w:r w:rsidR="00891AFD">
        <w:rPr>
          <w:rFonts w:ascii="Arial" w:hAnsi="Arial" w:cs="Arial"/>
          <w:sz w:val="24"/>
          <w:szCs w:val="24"/>
          <w:lang w:val="mn-MN"/>
        </w:rPr>
        <w:t xml:space="preserve">энэхүү өөрчлөлтийг оруулахад </w:t>
      </w:r>
      <w:r w:rsidR="00AC2A4A">
        <w:rPr>
          <w:rFonts w:ascii="Arial" w:hAnsi="Arial" w:cs="Arial"/>
          <w:sz w:val="24"/>
          <w:szCs w:val="24"/>
          <w:lang w:val="mn-MN"/>
        </w:rPr>
        <w:t>эдийн засгийн нэмэлт зардал</w:t>
      </w:r>
      <w:r w:rsidR="00AC6E79">
        <w:rPr>
          <w:rFonts w:ascii="Arial" w:hAnsi="Arial" w:cs="Arial"/>
          <w:sz w:val="24"/>
          <w:szCs w:val="24"/>
          <w:lang w:val="mn-MN"/>
        </w:rPr>
        <w:t xml:space="preserve"> шаардагдахгүй.</w:t>
      </w:r>
    </w:p>
    <w:p w14:paraId="3A884514" w14:textId="77777777" w:rsidR="00B17217" w:rsidRDefault="00B17217" w:rsidP="00926AFC">
      <w:pPr>
        <w:ind w:firstLine="720"/>
        <w:jc w:val="both"/>
        <w:rPr>
          <w:rFonts w:ascii="Arial" w:hAnsi="Arial" w:cs="Arial"/>
          <w:sz w:val="24"/>
          <w:szCs w:val="24"/>
          <w:lang w:val="mn-MN"/>
        </w:rPr>
      </w:pPr>
    </w:p>
    <w:p w14:paraId="02C09EBD" w14:textId="77777777" w:rsidR="00FE70CC" w:rsidRPr="00FE70CC" w:rsidRDefault="00DA50E3" w:rsidP="00FE70CC">
      <w:pPr>
        <w:spacing w:before="240"/>
        <w:jc w:val="both"/>
        <w:rPr>
          <w:rFonts w:ascii="Arial" w:hAnsi="Arial" w:cs="Arial"/>
          <w:b/>
          <w:sz w:val="24"/>
          <w:szCs w:val="24"/>
          <w:lang w:val="mn-MN"/>
        </w:rPr>
      </w:pPr>
      <w:r w:rsidRPr="00FE70CC">
        <w:rPr>
          <w:rFonts w:ascii="Arial" w:hAnsi="Arial" w:cs="Arial"/>
          <w:b/>
          <w:sz w:val="24"/>
          <w:szCs w:val="24"/>
        </w:rPr>
        <w:t>Дөрөв.</w:t>
      </w:r>
      <w:r w:rsidRPr="00DA50E3">
        <w:rPr>
          <w:rFonts w:ascii="Arial" w:hAnsi="Arial" w:cs="Arial"/>
          <w:sz w:val="24"/>
          <w:szCs w:val="24"/>
        </w:rPr>
        <w:t xml:space="preserve"> </w:t>
      </w:r>
      <w:r w:rsidRPr="00FE70CC">
        <w:rPr>
          <w:rFonts w:ascii="Arial" w:hAnsi="Arial" w:cs="Arial"/>
          <w:b/>
          <w:sz w:val="24"/>
          <w:szCs w:val="24"/>
        </w:rPr>
        <w:t>Хуулийн төсөл нь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r w:rsidR="00FE70CC" w:rsidRPr="00FE70CC">
        <w:rPr>
          <w:rFonts w:ascii="Arial" w:hAnsi="Arial" w:cs="Arial"/>
          <w:b/>
          <w:sz w:val="24"/>
          <w:szCs w:val="24"/>
          <w:lang w:val="mn-MN"/>
        </w:rPr>
        <w:t xml:space="preserve"> </w:t>
      </w:r>
    </w:p>
    <w:p w14:paraId="5FAFDD93" w14:textId="108A1139" w:rsidR="00DA50E3" w:rsidRPr="007040A9" w:rsidRDefault="007040A9" w:rsidP="00FE70CC">
      <w:pPr>
        <w:ind w:firstLine="720"/>
        <w:jc w:val="both"/>
        <w:rPr>
          <w:rFonts w:ascii="Arial" w:hAnsi="Arial" w:cs="Arial"/>
          <w:sz w:val="24"/>
          <w:szCs w:val="24"/>
          <w:lang w:val="mn-MN"/>
        </w:rPr>
      </w:pPr>
      <w:r>
        <w:rPr>
          <w:rFonts w:ascii="Arial" w:hAnsi="Arial" w:cs="Arial"/>
          <w:sz w:val="24"/>
          <w:szCs w:val="24"/>
          <w:lang w:val="mn-MN"/>
        </w:rPr>
        <w:t xml:space="preserve">Эрүүгийн хэрэг хянан шийдвэрлэх тухай хуульд </w:t>
      </w:r>
      <w:r w:rsidR="00FA4A2D">
        <w:rPr>
          <w:rFonts w:ascii="Arial" w:hAnsi="Arial" w:cs="Arial"/>
          <w:sz w:val="24"/>
          <w:szCs w:val="24"/>
          <w:lang w:val="mn-MN"/>
        </w:rPr>
        <w:t>өөрчлөлт оруулахтай холбогдуулан бусад монгол улсын хууль тогтоомжид өөрчлөлт оруулах шаардлагагүй.</w:t>
      </w:r>
    </w:p>
    <w:p w14:paraId="78D42EE2" w14:textId="77777777" w:rsidR="00DA50E3" w:rsidRPr="00DA50E3" w:rsidRDefault="00DA50E3" w:rsidP="00DA50E3">
      <w:pPr>
        <w:jc w:val="both"/>
        <w:rPr>
          <w:rFonts w:ascii="Arial" w:hAnsi="Arial" w:cs="Arial"/>
          <w:sz w:val="24"/>
          <w:szCs w:val="24"/>
        </w:rPr>
      </w:pPr>
    </w:p>
    <w:p w14:paraId="73FB36A4" w14:textId="662D3EA1" w:rsidR="00DA50E3" w:rsidRPr="00DA50E3" w:rsidRDefault="00DA50E3" w:rsidP="00FE70CC">
      <w:pPr>
        <w:jc w:val="center"/>
        <w:rPr>
          <w:rFonts w:ascii="Arial" w:hAnsi="Arial" w:cs="Arial"/>
          <w:sz w:val="24"/>
          <w:szCs w:val="24"/>
        </w:rPr>
      </w:pPr>
      <w:r w:rsidRPr="00DA50E3">
        <w:rPr>
          <w:rFonts w:ascii="Arial" w:hAnsi="Arial" w:cs="Arial"/>
          <w:sz w:val="24"/>
          <w:szCs w:val="24"/>
        </w:rPr>
        <w:t>--- оОо ---</w:t>
      </w:r>
    </w:p>
    <w:p w14:paraId="076C21E6" w14:textId="77777777" w:rsidR="00DA50E3" w:rsidRPr="00DA50E3" w:rsidRDefault="00DA50E3" w:rsidP="00DA50E3">
      <w:pPr>
        <w:jc w:val="both"/>
        <w:rPr>
          <w:rFonts w:ascii="Arial" w:hAnsi="Arial" w:cs="Arial"/>
          <w:sz w:val="24"/>
          <w:szCs w:val="24"/>
        </w:rPr>
      </w:pPr>
      <w:r w:rsidRPr="00DA50E3">
        <w:rPr>
          <w:rFonts w:ascii="Arial" w:hAnsi="Arial" w:cs="Arial"/>
          <w:sz w:val="24"/>
          <w:szCs w:val="24"/>
        </w:rPr>
        <w:t xml:space="preserve"> </w:t>
      </w:r>
    </w:p>
    <w:p w14:paraId="5A5D32D2" w14:textId="77777777" w:rsidR="00DA50E3" w:rsidRPr="00DA50E3" w:rsidRDefault="00DA50E3" w:rsidP="00DA50E3">
      <w:pPr>
        <w:jc w:val="both"/>
        <w:rPr>
          <w:rFonts w:ascii="Arial" w:hAnsi="Arial" w:cs="Arial"/>
          <w:sz w:val="24"/>
          <w:szCs w:val="24"/>
        </w:rPr>
      </w:pPr>
      <w:r w:rsidRPr="00DA50E3">
        <w:rPr>
          <w:rFonts w:ascii="Arial" w:hAnsi="Arial" w:cs="Arial"/>
          <w:sz w:val="24"/>
          <w:szCs w:val="24"/>
        </w:rPr>
        <w:t xml:space="preserve"> </w:t>
      </w:r>
    </w:p>
    <w:p w14:paraId="7A0D555A" w14:textId="77777777" w:rsidR="002D7BD8" w:rsidRPr="00DA50E3" w:rsidRDefault="002D7BD8" w:rsidP="008B183E">
      <w:pPr>
        <w:jc w:val="both"/>
        <w:rPr>
          <w:rFonts w:ascii="Arial" w:hAnsi="Arial" w:cs="Arial"/>
          <w:sz w:val="24"/>
          <w:szCs w:val="24"/>
        </w:rPr>
      </w:pPr>
    </w:p>
    <w:sectPr w:rsidR="002D7BD8" w:rsidRPr="00DA50E3" w:rsidSect="00FE70CC">
      <w:pgSz w:w="12240" w:h="15840" w:code="1"/>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0FD3" w14:textId="77777777" w:rsidR="00E52DBB" w:rsidRDefault="00E52DBB" w:rsidP="007D3C26">
      <w:pPr>
        <w:spacing w:after="0" w:line="240" w:lineRule="auto"/>
      </w:pPr>
      <w:r>
        <w:separator/>
      </w:r>
    </w:p>
  </w:endnote>
  <w:endnote w:type="continuationSeparator" w:id="0">
    <w:p w14:paraId="7C2BB640" w14:textId="77777777" w:rsidR="00E52DBB" w:rsidRDefault="00E52DBB" w:rsidP="007D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A613" w14:textId="77777777" w:rsidR="00E52DBB" w:rsidRDefault="00E52DBB" w:rsidP="007D3C26">
      <w:pPr>
        <w:spacing w:after="0" w:line="240" w:lineRule="auto"/>
      </w:pPr>
      <w:r>
        <w:separator/>
      </w:r>
    </w:p>
  </w:footnote>
  <w:footnote w:type="continuationSeparator" w:id="0">
    <w:p w14:paraId="2B170621" w14:textId="77777777" w:rsidR="00E52DBB" w:rsidRDefault="00E52DBB" w:rsidP="007D3C26">
      <w:pPr>
        <w:spacing w:after="0" w:line="240" w:lineRule="auto"/>
      </w:pPr>
      <w:r>
        <w:continuationSeparator/>
      </w:r>
    </w:p>
  </w:footnote>
  <w:footnote w:id="1">
    <w:p w14:paraId="6B6222B2" w14:textId="77777777" w:rsidR="007D3C26" w:rsidRPr="00BB14C7" w:rsidRDefault="007D3C26" w:rsidP="007D3C26">
      <w:pPr>
        <w:pStyle w:val="FootnoteText"/>
        <w:rPr>
          <w:lang w:val="mn-MN"/>
        </w:rPr>
      </w:pPr>
      <w:r>
        <w:rPr>
          <w:rStyle w:val="FootnoteReference"/>
        </w:rPr>
        <w:footnoteRef/>
      </w:r>
      <w:r>
        <w:t xml:space="preserve"> </w:t>
      </w:r>
      <w:r>
        <w:rPr>
          <w:lang w:val="mn-MN"/>
        </w:rPr>
        <w:t>Хүний эрх, эрх чөлөөний төлөв байдлын 22 дахь илтгэл. 8 дахь тал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E1"/>
    <w:rsid w:val="00021CDC"/>
    <w:rsid w:val="0002419B"/>
    <w:rsid w:val="00044D33"/>
    <w:rsid w:val="000833E1"/>
    <w:rsid w:val="000C510C"/>
    <w:rsid w:val="000D2EAB"/>
    <w:rsid w:val="000E3AE1"/>
    <w:rsid w:val="001028F7"/>
    <w:rsid w:val="00110C20"/>
    <w:rsid w:val="00120378"/>
    <w:rsid w:val="00130242"/>
    <w:rsid w:val="00140F54"/>
    <w:rsid w:val="00176BA2"/>
    <w:rsid w:val="00194298"/>
    <w:rsid w:val="001A74E2"/>
    <w:rsid w:val="001C4D28"/>
    <w:rsid w:val="001D785C"/>
    <w:rsid w:val="001E5417"/>
    <w:rsid w:val="001E74C5"/>
    <w:rsid w:val="00204ED7"/>
    <w:rsid w:val="0023181F"/>
    <w:rsid w:val="00244AE0"/>
    <w:rsid w:val="002A64F9"/>
    <w:rsid w:val="002B523C"/>
    <w:rsid w:val="002C64BE"/>
    <w:rsid w:val="002C6D44"/>
    <w:rsid w:val="002D2FDF"/>
    <w:rsid w:val="002D7BD8"/>
    <w:rsid w:val="002E4AF0"/>
    <w:rsid w:val="00302E2C"/>
    <w:rsid w:val="00337F0E"/>
    <w:rsid w:val="0034016D"/>
    <w:rsid w:val="0034085D"/>
    <w:rsid w:val="003B468C"/>
    <w:rsid w:val="003C1EC4"/>
    <w:rsid w:val="003E6B36"/>
    <w:rsid w:val="004346DF"/>
    <w:rsid w:val="00437CC8"/>
    <w:rsid w:val="00437F57"/>
    <w:rsid w:val="0044062C"/>
    <w:rsid w:val="004A0D4E"/>
    <w:rsid w:val="004F1884"/>
    <w:rsid w:val="004F3D9D"/>
    <w:rsid w:val="00511EBE"/>
    <w:rsid w:val="005164BB"/>
    <w:rsid w:val="00523317"/>
    <w:rsid w:val="0053563D"/>
    <w:rsid w:val="00567D22"/>
    <w:rsid w:val="006277D9"/>
    <w:rsid w:val="00634DC2"/>
    <w:rsid w:val="00657ECE"/>
    <w:rsid w:val="00671563"/>
    <w:rsid w:val="006828BD"/>
    <w:rsid w:val="0069745C"/>
    <w:rsid w:val="006B7227"/>
    <w:rsid w:val="006C5598"/>
    <w:rsid w:val="006D2BF4"/>
    <w:rsid w:val="007040A9"/>
    <w:rsid w:val="00764091"/>
    <w:rsid w:val="0076512C"/>
    <w:rsid w:val="00767659"/>
    <w:rsid w:val="007C492B"/>
    <w:rsid w:val="007D3C26"/>
    <w:rsid w:val="008523E4"/>
    <w:rsid w:val="00852CE9"/>
    <w:rsid w:val="008657E0"/>
    <w:rsid w:val="0089120B"/>
    <w:rsid w:val="00891AFD"/>
    <w:rsid w:val="008A15A8"/>
    <w:rsid w:val="008B183E"/>
    <w:rsid w:val="008E6224"/>
    <w:rsid w:val="00926AFC"/>
    <w:rsid w:val="00934035"/>
    <w:rsid w:val="00942037"/>
    <w:rsid w:val="0094515C"/>
    <w:rsid w:val="0096330E"/>
    <w:rsid w:val="00995388"/>
    <w:rsid w:val="009A3EEE"/>
    <w:rsid w:val="00A45ABF"/>
    <w:rsid w:val="00AA1638"/>
    <w:rsid w:val="00AC2A4A"/>
    <w:rsid w:val="00AC6E79"/>
    <w:rsid w:val="00AD2D65"/>
    <w:rsid w:val="00AF5AA5"/>
    <w:rsid w:val="00AF6DA8"/>
    <w:rsid w:val="00B00BC6"/>
    <w:rsid w:val="00B10A98"/>
    <w:rsid w:val="00B17217"/>
    <w:rsid w:val="00B31791"/>
    <w:rsid w:val="00BA6E0F"/>
    <w:rsid w:val="00BC3539"/>
    <w:rsid w:val="00BD312D"/>
    <w:rsid w:val="00C00CFA"/>
    <w:rsid w:val="00C145FF"/>
    <w:rsid w:val="00C33FA1"/>
    <w:rsid w:val="00C83F5E"/>
    <w:rsid w:val="00CE227C"/>
    <w:rsid w:val="00CF7602"/>
    <w:rsid w:val="00D13D9B"/>
    <w:rsid w:val="00D5667A"/>
    <w:rsid w:val="00D912A8"/>
    <w:rsid w:val="00DA0A03"/>
    <w:rsid w:val="00DA1913"/>
    <w:rsid w:val="00DA50E3"/>
    <w:rsid w:val="00DC0998"/>
    <w:rsid w:val="00DD253A"/>
    <w:rsid w:val="00DD75F6"/>
    <w:rsid w:val="00DE7025"/>
    <w:rsid w:val="00E06B9D"/>
    <w:rsid w:val="00E11D8B"/>
    <w:rsid w:val="00E157A4"/>
    <w:rsid w:val="00E207E1"/>
    <w:rsid w:val="00E365B4"/>
    <w:rsid w:val="00E50DCF"/>
    <w:rsid w:val="00E5114C"/>
    <w:rsid w:val="00E52DBB"/>
    <w:rsid w:val="00E534B2"/>
    <w:rsid w:val="00E64A2B"/>
    <w:rsid w:val="00E65BC9"/>
    <w:rsid w:val="00E67B2B"/>
    <w:rsid w:val="00E8537D"/>
    <w:rsid w:val="00EA0CF7"/>
    <w:rsid w:val="00EA46E3"/>
    <w:rsid w:val="00EB7598"/>
    <w:rsid w:val="00EC3760"/>
    <w:rsid w:val="00ED25CC"/>
    <w:rsid w:val="00F05434"/>
    <w:rsid w:val="00F146DB"/>
    <w:rsid w:val="00F22EC4"/>
    <w:rsid w:val="00F515D2"/>
    <w:rsid w:val="00F735F8"/>
    <w:rsid w:val="00FA0223"/>
    <w:rsid w:val="00FA4A2D"/>
    <w:rsid w:val="00FC0FBD"/>
    <w:rsid w:val="00FE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C5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3E1"/>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D44"/>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7D3C2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D3C26"/>
    <w:rPr>
      <w:sz w:val="20"/>
      <w:szCs w:val="20"/>
    </w:rPr>
  </w:style>
  <w:style w:type="character" w:styleId="FootnoteReference">
    <w:name w:val="footnote reference"/>
    <w:basedOn w:val="DefaultParagraphFont"/>
    <w:uiPriority w:val="99"/>
    <w:semiHidden/>
    <w:unhideWhenUsed/>
    <w:rsid w:val="007D3C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erdenebat ganbat</cp:lastModifiedBy>
  <cp:revision>50</cp:revision>
  <cp:lastPrinted>2021-09-20T10:16:00Z</cp:lastPrinted>
  <dcterms:created xsi:type="dcterms:W3CDTF">2023-05-03T11:55:00Z</dcterms:created>
  <dcterms:modified xsi:type="dcterms:W3CDTF">2023-05-03T19:47:00Z</dcterms:modified>
</cp:coreProperties>
</file>