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24FB" w14:textId="77777777" w:rsidR="008B00AA" w:rsidRPr="00357172" w:rsidRDefault="008B00AA" w:rsidP="008B00AA">
      <w:pPr>
        <w:jc w:val="center"/>
        <w:rPr>
          <w:rFonts w:ascii="Arial" w:hAnsi="Arial" w:cs="Arial"/>
          <w:noProof/>
        </w:rPr>
      </w:pPr>
    </w:p>
    <w:p w14:paraId="257D95E4" w14:textId="77777777" w:rsidR="008B00AA" w:rsidRPr="00FA537A" w:rsidRDefault="008B00AA" w:rsidP="008B00AA">
      <w:pPr>
        <w:jc w:val="center"/>
        <w:rPr>
          <w:rFonts w:ascii="Arial" w:hAnsi="Arial" w:cs="Arial"/>
          <w:b/>
          <w:bCs/>
          <w:noProof/>
          <w:lang w:val="mn-MN"/>
        </w:rPr>
      </w:pPr>
      <w:r w:rsidRPr="00FA537A">
        <w:rPr>
          <w:rFonts w:ascii="Arial" w:hAnsi="Arial" w:cs="Arial"/>
          <w:b/>
          <w:bCs/>
          <w:noProof/>
          <w:lang w:val="mn-MN"/>
        </w:rPr>
        <w:t>ТАНИЛЦУУЛГА</w:t>
      </w:r>
    </w:p>
    <w:p w14:paraId="5DEC0419" w14:textId="77777777" w:rsidR="008B00AA" w:rsidRPr="00FA537A" w:rsidRDefault="008B00AA" w:rsidP="008B00AA">
      <w:pPr>
        <w:spacing w:after="0"/>
        <w:jc w:val="right"/>
        <w:rPr>
          <w:rFonts w:ascii="Arial" w:hAnsi="Arial" w:cs="Arial"/>
          <w:i/>
          <w:iCs/>
          <w:noProof/>
          <w:lang w:val="mn-MN"/>
        </w:rPr>
      </w:pPr>
      <w:bookmarkStart w:id="0" w:name="_Hlk136593612"/>
      <w:r w:rsidRPr="00FA537A">
        <w:rPr>
          <w:rFonts w:ascii="Arial" w:hAnsi="Arial" w:cs="Arial"/>
          <w:i/>
          <w:iCs/>
          <w:noProof/>
          <w:lang w:val="mn-MN"/>
        </w:rPr>
        <w:t>Нийтээр амрах баярын болон тэмдэглэлт</w:t>
      </w:r>
    </w:p>
    <w:p w14:paraId="42661CBB" w14:textId="77777777" w:rsidR="008B00AA" w:rsidRPr="00FA537A" w:rsidRDefault="008B00AA" w:rsidP="008B00AA">
      <w:pPr>
        <w:jc w:val="right"/>
        <w:rPr>
          <w:rFonts w:ascii="Arial" w:hAnsi="Arial" w:cs="Arial"/>
          <w:i/>
          <w:iCs/>
          <w:noProof/>
          <w:lang w:val="mn-MN"/>
        </w:rPr>
      </w:pPr>
      <w:r w:rsidRPr="00FA537A">
        <w:rPr>
          <w:rFonts w:ascii="Arial" w:hAnsi="Arial" w:cs="Arial"/>
          <w:i/>
          <w:iCs/>
          <w:noProof/>
          <w:lang w:val="mn-MN"/>
        </w:rPr>
        <w:t xml:space="preserve">өдрүүдийн тухай хуульд нэмэлт оруулах </w:t>
      </w:r>
      <w:bookmarkEnd w:id="0"/>
      <w:r w:rsidRPr="00FA537A">
        <w:rPr>
          <w:rFonts w:ascii="Arial" w:hAnsi="Arial" w:cs="Arial"/>
          <w:i/>
          <w:iCs/>
          <w:noProof/>
          <w:lang w:val="mn-MN"/>
        </w:rPr>
        <w:t>тухай</w:t>
      </w:r>
    </w:p>
    <w:p w14:paraId="6269101E"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Монгол Улсын Их Хурлаас 2003 оны 12 дугаар сарын 18-ны өдөр “Нийтээр амрах баярын болон тэмдэглэл өдрүүдийн тухай хууль”-ийг баталсан. Тус хуулиар нийтээр тэмдэглэх баярын өдөр, нийтээр тэмдэглэх тэмдэглэлт өдрийг жагсаан хуульчилсан бөгөөд нийтээр тэмдэглэх баярын болон тэмдэглэлт өдрийг Засгийн газар тогтоохоор хуульчилжээ.</w:t>
      </w:r>
    </w:p>
    <w:p w14:paraId="739C3519" w14:textId="77777777" w:rsidR="008B00AA" w:rsidRPr="00FA537A" w:rsidRDefault="008B00AA" w:rsidP="008B00AA">
      <w:pPr>
        <w:ind w:firstLine="720"/>
        <w:jc w:val="both"/>
        <w:rPr>
          <w:rFonts w:ascii="Arial" w:hAnsi="Arial" w:cs="Arial"/>
          <w:noProof/>
          <w:lang w:val="mn-MN"/>
        </w:rPr>
      </w:pPr>
      <w:r w:rsidRPr="00FA537A">
        <w:rPr>
          <w:rFonts w:ascii="Arial" w:hAnsi="Arial" w:cs="Arial"/>
          <w:noProof/>
          <w:lang w:val="mn-MN"/>
        </w:rPr>
        <w:t xml:space="preserve">Монгол Улсын Их Хурлаас 1992 оны 01 дүгээр сарын 13-ны өдөр Монгол Улсын Үндсэн хуулийг баталж, хууль тогтоох, гүйцэтгэх, шүүх эрх мэдлийн байгууллагын төрийн эрх мэдэл хуваарилалт, хяналт тэнцлийн зарчмын суурь  үндсийг тогтоон бэхжүүлсэн. </w:t>
      </w:r>
    </w:p>
    <w:p w14:paraId="4AADF6FE"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Монгол Улсын Үндсэн хуулийн Дөрөвт “Шүүх эрх мэдэл”-ийн байгууллагын эрх зүйн үндсийг тодорхойлсон бөгөөд тус хуулийн Дөчин есдүгээр зүйлийн 3-т “Шүүгчийн хараат бус, шүүхийн бие даасан байдлыг хангах зорилгоор Шүүхийн ерөнхий зөвлөл ажиллана” гэж, мөн зүйлийн 4-т “Шүүхийн ерөнхий зөвлөл шүүх, шүүгчийн шүүн таслах ажиллагаанд оролцохгүйгээр, гагцхүү хуульчдаас шүүгчийг шилж олох, эрх ашгийг нь хамгаалах зэрэг шүүхийг бие даан ажиллах нөхцөлөөр хангахтай холбогдсон үүргийг биелүүлнэ” гэж, 5-т “Шүүхийн ерөнхий зөвлөлийн гишүүдийн тавыг шүүгчид дотроосоо сонгож, бусад таван гишүүнийг нээлттэйгээр нэр дэвшүүлж томилно. Тэдгээр нь дөрвөн жилийн хугацаагаар зөвхөн нэг удаа ажиллах бөгөөд Зөвлөлийн даргыг гишүүд дотроосоо сонгоно. Шүүгчийн хараат бус байдлыг хангахтай холбоотой Зөвлөлийн үйл ажиллагааны тайланг Улсын дээд шүүхэд танилцуулна. Зөвлөлийн зохион байгуулалт, үйл ажиллагааны журам, бүрэлдэхүүнд тавих шаардлага, томилох журмыг хуулиар тогтооно” гэж тус тус зааж, Шүүхийн ерөнхий зөвлөл буюу шүүхийн захиргааны төв байгууллагыг Үндсэн хуулийн байгууллага болгон, чиг үүрэг, эрх хэмжээг тодорхойлон хуульчилсан.</w:t>
      </w:r>
    </w:p>
    <w:p w14:paraId="0EE9524E"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Өдгөө Монгол Улсад орчин цагийн шүүх байгуулагдсанаас хойш 112 жил, ардчилсан шинэ Үндсэн хуулиар Шүүх эрх мэдлийн салбарыг Төрийн байгууллын тогтолцооны нэг институт болгон хуульчлан бэхжүүлсэн өдрөөс хойш 30 гаруй жилийн хугацаа өнгөрчээ.</w:t>
      </w:r>
    </w:p>
    <w:p w14:paraId="2807409F" w14:textId="77777777" w:rsidR="008B00AA" w:rsidRDefault="008B00AA" w:rsidP="008B00AA">
      <w:pPr>
        <w:jc w:val="both"/>
        <w:rPr>
          <w:rFonts w:ascii="Arial" w:hAnsi="Arial" w:cs="Arial"/>
          <w:noProof/>
          <w:lang w:val="mn-MN"/>
        </w:rPr>
      </w:pPr>
      <w:r w:rsidRPr="00FA537A">
        <w:rPr>
          <w:rFonts w:ascii="Arial" w:hAnsi="Arial" w:cs="Arial"/>
          <w:noProof/>
          <w:lang w:val="mn-MN"/>
        </w:rPr>
        <w:tab/>
        <w:t xml:space="preserve"> Монгол Улсад шүүх үүсгэн байгуулагдаж нийгэмд шударга ёсыг тогтоож, эрх зүйт төр, хууль дээдлэх ёсыг бэхжүүлэх, иргэдийн шударга шүүхээр шүүлгэх, эрх, хууль ёсны ашиг сонирхлыг хамгаалах тогтолцоо бүрдсэн түүхэн ойн арга хэмжээ жил бүр тохиож байна. </w:t>
      </w:r>
    </w:p>
    <w:p w14:paraId="3946D5C6" w14:textId="77777777" w:rsidR="008B00AA" w:rsidRPr="00FA537A" w:rsidRDefault="008B00AA" w:rsidP="008B00AA">
      <w:pPr>
        <w:ind w:firstLine="720"/>
        <w:jc w:val="both"/>
        <w:rPr>
          <w:rFonts w:ascii="Arial" w:hAnsi="Arial" w:cs="Arial"/>
          <w:noProof/>
          <w:lang w:val="mn-MN"/>
        </w:rPr>
      </w:pPr>
      <w:r w:rsidRPr="00FA537A">
        <w:rPr>
          <w:rFonts w:ascii="Arial" w:hAnsi="Arial" w:cs="Arial"/>
          <w:noProof/>
          <w:lang w:val="mn-MN"/>
        </w:rPr>
        <w:t>Өнгөрсөн хугацаанд ойн хүрээнд шүүхийн үйл ажиллагааг олон нийтэд сурталчлах, шүүхийн нээлттэй ил тод байдлыг хангах, иргэдийн эрх зүйн боловсролыг дээшлүүлэх, шүүхийн үйл ажиллагаан дахь иргэдийн оролцоог нэмэгдүүлж, шинэ санал, санаачилгыг үйл ажиллагаандаа нэвтрүүлэх, сургалт, зөвлөгөөн, олон улсын эрдэм шинжилгээний хурал зохион байгуулж сайн туршлагыг нэвтрүүлэх, шүүхийн шинэтгэлийг гүнзгийрүүлэх, шүүхэд итгэх олон нийтийн итгэлийг нэмэгдүүлэх зэрэг олон талын ач холбогдолтой арга хэмжээг жил бүр зохион байгуулсаар иржээ.</w:t>
      </w:r>
    </w:p>
    <w:p w14:paraId="6D83E7BE" w14:textId="77777777" w:rsidR="008B00AA" w:rsidRPr="00FA537A" w:rsidRDefault="008B00AA" w:rsidP="008B00AA">
      <w:pPr>
        <w:ind w:firstLine="720"/>
        <w:jc w:val="both"/>
        <w:rPr>
          <w:rFonts w:ascii="Arial" w:hAnsi="Arial" w:cs="Arial"/>
          <w:noProof/>
          <w:lang w:val="mn-MN"/>
        </w:rPr>
      </w:pPr>
      <w:r w:rsidRPr="00FA537A">
        <w:rPr>
          <w:rFonts w:ascii="Arial" w:hAnsi="Arial" w:cs="Arial"/>
          <w:noProof/>
          <w:lang w:val="mn-MN"/>
        </w:rPr>
        <w:t>Гэвч шүүх эрх мэдлийн салбарын түүхэн ойг тэмдэглэн өнгөрүүлэхтэй холбоотой эрх зүйн зохицуулалтын талаар Нийтээр амрах баярын болон тэмдэглэлт өдрүүдийн тухай хуульд тухайлан тусгаж, зохицуулаагүй байна.</w:t>
      </w:r>
    </w:p>
    <w:p w14:paraId="785E438E" w14:textId="77777777" w:rsidR="008B00AA" w:rsidRDefault="008B00AA" w:rsidP="008B00AA">
      <w:pPr>
        <w:jc w:val="both"/>
        <w:rPr>
          <w:rFonts w:ascii="Arial" w:hAnsi="Arial" w:cs="Arial"/>
          <w:noProof/>
          <w:lang w:val="mn-MN"/>
        </w:rPr>
      </w:pPr>
      <w:r w:rsidRPr="00FA537A">
        <w:rPr>
          <w:rFonts w:ascii="Arial" w:hAnsi="Arial" w:cs="Arial"/>
          <w:noProof/>
          <w:lang w:val="mn-MN"/>
        </w:rPr>
        <w:tab/>
      </w:r>
      <w:r>
        <w:rPr>
          <w:rFonts w:ascii="Arial" w:hAnsi="Arial" w:cs="Arial"/>
          <w:noProof/>
          <w:lang w:val="mn-MN"/>
        </w:rPr>
        <w:t>Харин гүйцэтгэх эрх мэдлийн байгууллагын түүхэн үйл явдлын ой, тэмдэглэлт өдрийн жагсаалтыг Засгийн газрын 2019 оны 204 дүгээр тогтоолын 1 дүгээр хавсралтаар  баталсан байна. Тус тогтоолоор дараах ойн болон тэмдэглэлт өдрийг жагсаан баталжээ. Үүнд:</w:t>
      </w:r>
    </w:p>
    <w:p w14:paraId="53528F34" w14:textId="77777777" w:rsidR="008B00AA" w:rsidRDefault="008B00AA" w:rsidP="008B00AA">
      <w:pPr>
        <w:pStyle w:val="ListParagraph"/>
        <w:numPr>
          <w:ilvl w:val="0"/>
          <w:numId w:val="2"/>
        </w:numPr>
        <w:jc w:val="both"/>
        <w:rPr>
          <w:rFonts w:ascii="Arial" w:hAnsi="Arial" w:cs="Arial"/>
          <w:noProof/>
          <w:lang w:val="mn-MN"/>
        </w:rPr>
      </w:pPr>
      <w:r>
        <w:rPr>
          <w:rFonts w:ascii="Arial" w:hAnsi="Arial" w:cs="Arial"/>
          <w:noProof/>
          <w:lang w:val="mn-MN"/>
        </w:rPr>
        <w:t xml:space="preserve">Түүхэн үйл явдлын ой </w:t>
      </w:r>
      <w:r>
        <w:rPr>
          <w:rFonts w:ascii="Arial" w:hAnsi="Arial" w:cs="Arial"/>
          <w:noProof/>
        </w:rPr>
        <w:t>(</w:t>
      </w:r>
      <w:r>
        <w:rPr>
          <w:rFonts w:ascii="Arial" w:hAnsi="Arial" w:cs="Arial"/>
          <w:noProof/>
          <w:lang w:val="mn-MN"/>
        </w:rPr>
        <w:t>7</w:t>
      </w:r>
      <w:r>
        <w:rPr>
          <w:rFonts w:ascii="Arial" w:hAnsi="Arial" w:cs="Arial"/>
          <w:noProof/>
        </w:rPr>
        <w:t>);</w:t>
      </w:r>
    </w:p>
    <w:p w14:paraId="214C9808" w14:textId="77777777" w:rsidR="008B00AA" w:rsidRPr="00740281" w:rsidRDefault="008B00AA" w:rsidP="008B00AA">
      <w:pPr>
        <w:pStyle w:val="ListParagraph"/>
        <w:numPr>
          <w:ilvl w:val="0"/>
          <w:numId w:val="2"/>
        </w:numPr>
        <w:jc w:val="both"/>
        <w:rPr>
          <w:rFonts w:ascii="Arial" w:hAnsi="Arial" w:cs="Arial"/>
          <w:noProof/>
          <w:lang w:val="mn-MN"/>
        </w:rPr>
      </w:pPr>
      <w:r>
        <w:rPr>
          <w:rFonts w:ascii="Arial" w:hAnsi="Arial" w:cs="Arial"/>
          <w:noProof/>
          <w:lang w:val="mn-MN"/>
        </w:rPr>
        <w:lastRenderedPageBreak/>
        <w:t xml:space="preserve">Салбарын, зарим ажил, мэргэжлийн ажилтны тэмдэглэлт өдөр </w:t>
      </w:r>
      <w:r>
        <w:rPr>
          <w:rFonts w:ascii="Arial" w:hAnsi="Arial" w:cs="Arial"/>
          <w:noProof/>
        </w:rPr>
        <w:t>(</w:t>
      </w:r>
      <w:r>
        <w:rPr>
          <w:rFonts w:ascii="Arial" w:hAnsi="Arial" w:cs="Arial"/>
          <w:noProof/>
          <w:lang w:val="mn-MN"/>
        </w:rPr>
        <w:t>57</w:t>
      </w:r>
      <w:r>
        <w:rPr>
          <w:rFonts w:ascii="Arial" w:hAnsi="Arial" w:cs="Arial"/>
          <w:noProof/>
        </w:rPr>
        <w:t>);</w:t>
      </w:r>
    </w:p>
    <w:p w14:paraId="12713217" w14:textId="77777777" w:rsidR="008B00AA" w:rsidRDefault="008B00AA" w:rsidP="008B00AA">
      <w:pPr>
        <w:pStyle w:val="ListParagraph"/>
        <w:numPr>
          <w:ilvl w:val="0"/>
          <w:numId w:val="2"/>
        </w:numPr>
        <w:jc w:val="both"/>
        <w:rPr>
          <w:rFonts w:ascii="Arial" w:hAnsi="Arial" w:cs="Arial"/>
          <w:noProof/>
          <w:lang w:val="mn-MN"/>
        </w:rPr>
      </w:pPr>
      <w:r>
        <w:rPr>
          <w:rFonts w:ascii="Arial" w:hAnsi="Arial" w:cs="Arial"/>
          <w:noProof/>
          <w:lang w:val="mn-MN"/>
        </w:rPr>
        <w:t xml:space="preserve">Бусад тэмдэглэл өдөр </w:t>
      </w:r>
      <w:r>
        <w:rPr>
          <w:rFonts w:ascii="Arial" w:hAnsi="Arial" w:cs="Arial"/>
          <w:noProof/>
        </w:rPr>
        <w:t>(</w:t>
      </w:r>
      <w:r>
        <w:rPr>
          <w:rFonts w:ascii="Arial" w:hAnsi="Arial" w:cs="Arial"/>
          <w:noProof/>
          <w:lang w:val="mn-MN"/>
        </w:rPr>
        <w:t>8</w:t>
      </w:r>
      <w:r>
        <w:rPr>
          <w:rFonts w:ascii="Arial" w:hAnsi="Arial" w:cs="Arial"/>
          <w:noProof/>
        </w:rPr>
        <w:t>)</w:t>
      </w:r>
      <w:r>
        <w:rPr>
          <w:rFonts w:ascii="Arial" w:hAnsi="Arial" w:cs="Arial"/>
          <w:noProof/>
          <w:lang w:val="mn-MN"/>
        </w:rPr>
        <w:t xml:space="preserve"> нийт 72 ойн болон тэмдэглэлт өдөртэй байхаар тогтоож өгсөн байна.</w:t>
      </w:r>
    </w:p>
    <w:p w14:paraId="1B9B6543" w14:textId="77777777" w:rsidR="008B00AA" w:rsidRDefault="008B00AA" w:rsidP="008B00AA">
      <w:pPr>
        <w:ind w:firstLine="720"/>
        <w:jc w:val="both"/>
        <w:rPr>
          <w:rFonts w:ascii="Arial" w:hAnsi="Arial" w:cs="Arial"/>
          <w:noProof/>
          <w:lang w:val="mn-MN"/>
        </w:rPr>
      </w:pPr>
      <w:r>
        <w:rPr>
          <w:rFonts w:ascii="Arial" w:hAnsi="Arial" w:cs="Arial"/>
          <w:noProof/>
          <w:lang w:val="mn-MN"/>
        </w:rPr>
        <w:t>Тус тогтоолоор ЗГ-ын байгууллагын салбарын ажилтан албан хаагчийн болон ажил мэргэжлийн өдрийг өргөн хүрээнд хамруулжээ.</w:t>
      </w:r>
    </w:p>
    <w:p w14:paraId="33888B11" w14:textId="77777777" w:rsidR="008B00AA" w:rsidRPr="00740281" w:rsidRDefault="008B00AA" w:rsidP="008B00AA">
      <w:pPr>
        <w:ind w:firstLine="720"/>
        <w:jc w:val="both"/>
        <w:rPr>
          <w:rFonts w:ascii="Arial" w:hAnsi="Arial" w:cs="Arial"/>
          <w:noProof/>
          <w:lang w:val="mn-MN"/>
        </w:rPr>
      </w:pPr>
      <w:r>
        <w:rPr>
          <w:rFonts w:ascii="Arial" w:hAnsi="Arial" w:cs="Arial"/>
          <w:noProof/>
          <w:lang w:val="mn-MN"/>
        </w:rPr>
        <w:t xml:space="preserve">Тухайлбал, дээрх тогтоолоор Прокурорын албаны өдөр, Цагдаагийн болон дотоодын цэргийн алба хаагчдын өдөр, Тагнуулын байгууллагын ажилтны өдөр зэрэг хууль хүчний байгууллагын албан хаагчдын өдрийг оруулсан байх бөгөөд ЗГ-ын 2022 он 250 дугаар тогтоолоор Шүүхийн шийдвэр гүйцэтгэх байгууллагын ажилтны өдрийг, мөн оны 254 дүгээр тогтоолоор Усан зам, далайн тээвэрчдийн өдрийг жил бүр тэмдэглэн өнгөрүүлэхээр тогтоосон байна. </w:t>
      </w:r>
      <w:r w:rsidRPr="00740281">
        <w:rPr>
          <w:rFonts w:ascii="Arial" w:hAnsi="Arial" w:cs="Arial"/>
          <w:noProof/>
          <w:lang w:val="mn-MN"/>
        </w:rPr>
        <w:t xml:space="preserve"> </w:t>
      </w:r>
    </w:p>
    <w:p w14:paraId="184BC8D8" w14:textId="77777777" w:rsidR="008B00AA" w:rsidRPr="00FA537A" w:rsidRDefault="008B00AA" w:rsidP="008B00AA">
      <w:pPr>
        <w:jc w:val="both"/>
        <w:rPr>
          <w:rFonts w:ascii="Arial" w:hAnsi="Arial" w:cs="Arial"/>
          <w:noProof/>
          <w:lang w:val="mn-MN"/>
        </w:rPr>
      </w:pPr>
      <w:r>
        <w:rPr>
          <w:rFonts w:ascii="Arial" w:hAnsi="Arial" w:cs="Arial"/>
          <w:noProof/>
          <w:lang w:val="mn-MN"/>
        </w:rPr>
        <w:tab/>
        <w:t xml:space="preserve">Шүүх эрх мэдлийн салбарын түүхэн үйл явдал, ойн болон ажилтан албан хаагчдын тэмдэглэлт өдөртэй болсноор улсын хэмжээнд ажиллаж буй 511 шүүгч, 1400 гаруй шүүхийн захиргааны албан хаагчид салбарын онцлог, ажил мэргэжлээрээ бахархах, шинэ санал санаачлага гаргах, урамших, ойн болон тэмдэглэлт өдрийг ажлын өндөр бүтээмж, шинэлэг бүтээлээр угтах, цаашид тогтвор суурьшилтай ажиллах эрмэлзлэлийг бий болгохоос гадна иргэд, олон нийтэд эрх зүйн боловсрол олгох, шүүх эрх мэдлийн салбарын талаарх үнэн зөв, бодит мэдээллийг хүргэх ингэснээр шүүхэд итгэх олон нийтийн итгэл дээшлэх зэрэг дотогшоо болон гадагшаа чиглэсэн олон давуу тал бий болох юм.   </w:t>
      </w:r>
    </w:p>
    <w:p w14:paraId="2E64CCC1" w14:textId="77777777" w:rsidR="008B00AA" w:rsidRDefault="008B00AA" w:rsidP="008B00AA">
      <w:pPr>
        <w:jc w:val="both"/>
        <w:rPr>
          <w:rFonts w:ascii="Arial" w:hAnsi="Arial" w:cs="Arial"/>
          <w:noProof/>
          <w:lang w:val="mn-MN"/>
        </w:rPr>
      </w:pPr>
      <w:r w:rsidRPr="00FA537A">
        <w:rPr>
          <w:rFonts w:ascii="Arial" w:hAnsi="Arial" w:cs="Arial"/>
          <w:noProof/>
          <w:lang w:val="mn-MN"/>
        </w:rPr>
        <w:tab/>
        <w:t xml:space="preserve">Иймд Нийтээр амрах баярын болон тэмдэглэлт өдрүүдийн тухай хуульд нэмэлт оруулж шүүх эрх мэдлийн салбарын түүхэн ойг тэмдэглэн өнгөрүүлэх, тэмдэглэлт өдрийг тогтоохтой холбоотой асуудлыг Үндсэн хуулийн байгууллага болох Шүүхийн ерөнхий зөвлөл </w:t>
      </w:r>
      <w:r>
        <w:rPr>
          <w:rFonts w:ascii="Arial" w:hAnsi="Arial" w:cs="Arial"/>
          <w:noProof/>
          <w:lang w:val="mn-MN"/>
        </w:rPr>
        <w:t xml:space="preserve">Улсын дээд шүүхтэй зөвшилцөн </w:t>
      </w:r>
      <w:r w:rsidRPr="00FA537A">
        <w:rPr>
          <w:rFonts w:ascii="Arial" w:hAnsi="Arial" w:cs="Arial"/>
          <w:noProof/>
          <w:lang w:val="mn-MN"/>
        </w:rPr>
        <w:t>шийдвэрлэ</w:t>
      </w:r>
      <w:r>
        <w:rPr>
          <w:rFonts w:ascii="Arial" w:hAnsi="Arial" w:cs="Arial"/>
          <w:noProof/>
          <w:lang w:val="mn-MN"/>
        </w:rPr>
        <w:t>х</w:t>
      </w:r>
      <w:r w:rsidRPr="00FA537A">
        <w:rPr>
          <w:rFonts w:ascii="Arial" w:hAnsi="Arial" w:cs="Arial"/>
          <w:noProof/>
          <w:lang w:val="mn-MN"/>
        </w:rPr>
        <w:t xml:space="preserve"> зохицуулалтыг төсөлд тусгав.</w:t>
      </w:r>
    </w:p>
    <w:p w14:paraId="6C0FCA1F" w14:textId="77777777" w:rsidR="008B00AA" w:rsidRPr="0089604C" w:rsidRDefault="008B00AA" w:rsidP="008B00AA">
      <w:pPr>
        <w:jc w:val="both"/>
        <w:rPr>
          <w:rFonts w:ascii="Arial" w:hAnsi="Arial" w:cs="Arial"/>
          <w:noProof/>
          <w:lang w:val="mn-MN"/>
        </w:rPr>
      </w:pPr>
      <w:r>
        <w:rPr>
          <w:rFonts w:ascii="Arial" w:hAnsi="Arial" w:cs="Arial"/>
          <w:noProof/>
          <w:lang w:val="mn-MN"/>
        </w:rPr>
        <w:tab/>
        <w:t>Жич: Хуульд нэмэлт оруулах саналын төслийг 2023 оны 05 дугаар сарын 18-ны өдрөөс мөн оны 06 дугаар сарын 02-ны өдрийг хүртэлх хугацаанд өөрийн цахим хуудсанд санал авахаар байршуулсан бөгөөд тус хугацаанд иргэд, олон нийтээс санал ирүүлээгүй бөгөөд хууль батлагдан гарахтай холбоотой аливаа төсөв, санхүүгийн зардал гарахгүй болно.</w:t>
      </w:r>
    </w:p>
    <w:p w14:paraId="34CA0870"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Хүлээн авч шийдвэрлэж өгөхийг хүсье.</w:t>
      </w:r>
    </w:p>
    <w:p w14:paraId="45B29039"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Танилцуулгад</w:t>
      </w:r>
    </w:p>
    <w:p w14:paraId="6E53A4E2" w14:textId="77777777" w:rsidR="008B00AA" w:rsidRPr="00FA537A" w:rsidRDefault="008B00AA" w:rsidP="008B00AA">
      <w:pPr>
        <w:pStyle w:val="ListParagraph"/>
        <w:numPr>
          <w:ilvl w:val="0"/>
          <w:numId w:val="1"/>
        </w:numPr>
        <w:jc w:val="both"/>
        <w:rPr>
          <w:rFonts w:ascii="Arial" w:hAnsi="Arial" w:cs="Arial"/>
          <w:noProof/>
          <w:lang w:val="mn-MN"/>
        </w:rPr>
      </w:pPr>
      <w:r w:rsidRPr="00FA537A">
        <w:rPr>
          <w:rFonts w:ascii="Arial" w:hAnsi="Arial" w:cs="Arial"/>
          <w:noProof/>
          <w:lang w:val="mn-MN"/>
        </w:rPr>
        <w:t>Хуулийн төсөл</w:t>
      </w:r>
    </w:p>
    <w:p w14:paraId="19E96B90" w14:textId="77777777" w:rsidR="008B00AA" w:rsidRPr="00FA537A" w:rsidRDefault="008B00AA" w:rsidP="008B00AA">
      <w:pPr>
        <w:pStyle w:val="ListParagraph"/>
        <w:numPr>
          <w:ilvl w:val="0"/>
          <w:numId w:val="1"/>
        </w:numPr>
        <w:jc w:val="both"/>
        <w:rPr>
          <w:rFonts w:ascii="Arial" w:hAnsi="Arial" w:cs="Arial"/>
          <w:noProof/>
          <w:lang w:val="mn-MN"/>
        </w:rPr>
      </w:pPr>
      <w:r w:rsidRPr="00FA537A">
        <w:rPr>
          <w:rFonts w:ascii="Arial" w:hAnsi="Arial" w:cs="Arial"/>
          <w:noProof/>
          <w:lang w:val="mn-MN"/>
        </w:rPr>
        <w:t xml:space="preserve">Холбогдох тооцоо, судалгааг хавсаргав.  </w:t>
      </w:r>
    </w:p>
    <w:p w14:paraId="2AD037B9" w14:textId="77777777" w:rsidR="008B00AA" w:rsidRPr="00FA537A" w:rsidRDefault="008B00AA" w:rsidP="008B00AA">
      <w:pPr>
        <w:jc w:val="both"/>
        <w:rPr>
          <w:rFonts w:ascii="Arial" w:hAnsi="Arial" w:cs="Arial"/>
          <w:noProof/>
          <w:lang w:val="mn-MN"/>
        </w:rPr>
      </w:pPr>
      <w:r w:rsidRPr="00FA537A">
        <w:rPr>
          <w:rFonts w:ascii="Arial" w:hAnsi="Arial" w:cs="Arial"/>
          <w:noProof/>
          <w:lang w:val="mn-MN"/>
        </w:rPr>
        <w:tab/>
        <w:t xml:space="preserve">       </w:t>
      </w:r>
    </w:p>
    <w:p w14:paraId="10F687D5" w14:textId="77777777" w:rsidR="008B00AA" w:rsidRPr="00FA537A" w:rsidRDefault="008B00AA" w:rsidP="008B00AA">
      <w:pPr>
        <w:jc w:val="center"/>
        <w:rPr>
          <w:rFonts w:ascii="Arial" w:hAnsi="Arial" w:cs="Arial"/>
          <w:noProof/>
          <w:lang w:val="mn-MN"/>
        </w:rPr>
      </w:pPr>
    </w:p>
    <w:p w14:paraId="5CC59EC4" w14:textId="77777777" w:rsidR="008B00AA" w:rsidRDefault="008B00AA" w:rsidP="008B00AA">
      <w:pPr>
        <w:jc w:val="center"/>
        <w:rPr>
          <w:rFonts w:ascii="Arial" w:hAnsi="Arial" w:cs="Arial"/>
          <w:b/>
          <w:bCs/>
          <w:noProof/>
          <w:lang w:val="mn-MN"/>
        </w:rPr>
      </w:pPr>
      <w:r w:rsidRPr="00FA537A">
        <w:rPr>
          <w:rFonts w:ascii="Arial" w:hAnsi="Arial" w:cs="Arial"/>
          <w:b/>
          <w:bCs/>
          <w:noProof/>
          <w:lang w:val="mn-MN"/>
        </w:rPr>
        <w:t>-ооОоо-</w:t>
      </w:r>
    </w:p>
    <w:p w14:paraId="24689B5F" w14:textId="77777777" w:rsidR="005B62A5" w:rsidRDefault="005B62A5" w:rsidP="008B00AA">
      <w:pPr>
        <w:jc w:val="center"/>
        <w:rPr>
          <w:rFonts w:ascii="Arial" w:hAnsi="Arial" w:cs="Arial"/>
          <w:b/>
          <w:bCs/>
          <w:noProof/>
          <w:lang w:val="mn-MN"/>
        </w:rPr>
      </w:pPr>
    </w:p>
    <w:p w14:paraId="5C1D6101" w14:textId="77777777" w:rsidR="005B62A5" w:rsidRDefault="005B62A5" w:rsidP="008B00AA">
      <w:pPr>
        <w:jc w:val="center"/>
        <w:rPr>
          <w:rFonts w:ascii="Arial" w:hAnsi="Arial" w:cs="Arial"/>
          <w:b/>
          <w:bCs/>
          <w:noProof/>
          <w:lang w:val="mn-MN"/>
        </w:rPr>
      </w:pPr>
    </w:p>
    <w:p w14:paraId="6E1F46DE" w14:textId="77777777" w:rsidR="005B62A5" w:rsidRDefault="005B62A5" w:rsidP="008B00AA">
      <w:pPr>
        <w:jc w:val="center"/>
        <w:rPr>
          <w:rFonts w:ascii="Arial" w:hAnsi="Arial" w:cs="Arial"/>
          <w:b/>
          <w:bCs/>
          <w:noProof/>
          <w:lang w:val="mn-MN"/>
        </w:rPr>
      </w:pPr>
    </w:p>
    <w:p w14:paraId="371D36A2" w14:textId="0C2217DB" w:rsidR="0086494D" w:rsidRDefault="0086494D" w:rsidP="0086494D">
      <w:pPr>
        <w:ind w:firstLine="720"/>
        <w:jc w:val="both"/>
        <w:rPr>
          <w:rFonts w:ascii="Arial" w:hAnsi="Arial" w:cs="Arial"/>
          <w:sz w:val="24"/>
          <w:szCs w:val="24"/>
          <w:shd w:val="clear" w:color="auto" w:fill="FFFFFF"/>
          <w:lang w:val="mn-MN"/>
        </w:rPr>
      </w:pPr>
    </w:p>
    <w:sectPr w:rsidR="0086494D" w:rsidSect="005B62A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F4E"/>
    <w:multiLevelType w:val="hybridMultilevel"/>
    <w:tmpl w:val="F54E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56D57"/>
    <w:multiLevelType w:val="hybridMultilevel"/>
    <w:tmpl w:val="953CAD00"/>
    <w:lvl w:ilvl="0" w:tplc="08D2B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B405C3"/>
    <w:multiLevelType w:val="hybridMultilevel"/>
    <w:tmpl w:val="2F6EE09C"/>
    <w:lvl w:ilvl="0" w:tplc="F2B84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9037992">
    <w:abstractNumId w:val="2"/>
  </w:num>
  <w:num w:numId="2" w16cid:durableId="793524567">
    <w:abstractNumId w:val="1"/>
  </w:num>
  <w:num w:numId="3" w16cid:durableId="769858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A"/>
    <w:rsid w:val="000A2315"/>
    <w:rsid w:val="00147232"/>
    <w:rsid w:val="00306B9B"/>
    <w:rsid w:val="00357172"/>
    <w:rsid w:val="003A54FA"/>
    <w:rsid w:val="005A5276"/>
    <w:rsid w:val="005B62A5"/>
    <w:rsid w:val="0086494D"/>
    <w:rsid w:val="008B00AA"/>
    <w:rsid w:val="008D5484"/>
    <w:rsid w:val="00CA3F50"/>
    <w:rsid w:val="00EF3386"/>
    <w:rsid w:val="00F1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91CF"/>
  <w15:chartTrackingRefBased/>
  <w15:docId w15:val="{D7D30C3B-B2C2-46C7-9835-A72ACB3B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0AA"/>
    <w:pPr>
      <w:ind w:left="720"/>
      <w:contextualSpacing/>
    </w:pPr>
  </w:style>
  <w:style w:type="paragraph" w:styleId="NormalWeb">
    <w:name w:val="Normal (Web)"/>
    <w:basedOn w:val="Normal"/>
    <w:uiPriority w:val="99"/>
    <w:unhideWhenUsed/>
    <w:rsid w:val="008D54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bilguun batjargal</dc:creator>
  <cp:keywords/>
  <dc:description/>
  <cp:lastModifiedBy>Bayasgalan Sainnyambuu</cp:lastModifiedBy>
  <cp:revision>2</cp:revision>
  <cp:lastPrinted>2023-06-15T01:10:00Z</cp:lastPrinted>
  <dcterms:created xsi:type="dcterms:W3CDTF">2023-06-16T04:21:00Z</dcterms:created>
  <dcterms:modified xsi:type="dcterms:W3CDTF">2023-06-16T04:21:00Z</dcterms:modified>
</cp:coreProperties>
</file>