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C763" w14:textId="335FA3B1" w:rsidR="001E7C23" w:rsidRDefault="001E7C23" w:rsidP="001E7C23">
      <w:pPr>
        <w:spacing w:after="0" w:line="240" w:lineRule="auto"/>
        <w:jc w:val="center"/>
        <w:rPr>
          <w:rFonts w:ascii="Arial" w:hAnsi="Arial" w:cs="Arial"/>
          <w:b/>
          <w:bCs/>
          <w:sz w:val="24"/>
          <w:szCs w:val="24"/>
          <w:lang w:val="mn-MN"/>
        </w:rPr>
      </w:pPr>
      <w:r w:rsidRPr="001E7C23">
        <w:rPr>
          <w:rFonts w:ascii="Arial" w:hAnsi="Arial" w:cs="Arial"/>
          <w:b/>
          <w:bCs/>
          <w:sz w:val="24"/>
          <w:szCs w:val="24"/>
          <w:lang w:val="mn-MN"/>
        </w:rPr>
        <w:t>“МОНГОЛ УЛСЫН 2022 ОНЫ ТӨСВИЙН ГҮЙЦЭТГЭЛ БАТЛАХ ТУХАЙ”</w:t>
      </w:r>
    </w:p>
    <w:p w14:paraId="59C6A642" w14:textId="524DDF3C" w:rsidR="001E7C23" w:rsidRDefault="001E7C23" w:rsidP="001E7C23">
      <w:pPr>
        <w:spacing w:after="0" w:line="240" w:lineRule="auto"/>
        <w:jc w:val="center"/>
        <w:rPr>
          <w:rFonts w:ascii="Arial" w:hAnsi="Arial" w:cs="Arial"/>
          <w:b/>
          <w:bCs/>
          <w:sz w:val="24"/>
          <w:szCs w:val="24"/>
          <w:lang w:val="mn-MN"/>
        </w:rPr>
      </w:pPr>
      <w:r w:rsidRPr="001E7C23">
        <w:rPr>
          <w:rFonts w:ascii="Arial" w:eastAsia="Arial" w:hAnsi="Arial" w:cs="Arial"/>
          <w:b/>
          <w:bCs/>
          <w:sz w:val="24"/>
          <w:szCs w:val="24"/>
          <w:lang w:val="mn-MN"/>
        </w:rPr>
        <w:t>УЛСЫН ИХ ХУРЛЫН ТОГТООЛЫН ТӨСЛИЙН ТАНИЛЦУУЛГА</w:t>
      </w:r>
    </w:p>
    <w:p w14:paraId="1079E222" w14:textId="2EE4E3F5" w:rsidR="001E7C23" w:rsidRDefault="001E7C23" w:rsidP="001E7C23">
      <w:pPr>
        <w:spacing w:after="0" w:line="240" w:lineRule="auto"/>
        <w:jc w:val="center"/>
        <w:rPr>
          <w:rFonts w:ascii="Arial" w:hAnsi="Arial" w:cs="Arial"/>
          <w:b/>
          <w:bCs/>
          <w:sz w:val="24"/>
          <w:szCs w:val="24"/>
          <w:lang w:val="mn-MN"/>
        </w:rPr>
      </w:pPr>
    </w:p>
    <w:p w14:paraId="1E09EAEC" w14:textId="77777777" w:rsidR="001E7C23" w:rsidRPr="001E7C23" w:rsidRDefault="001E7C23" w:rsidP="001E7C23">
      <w:pPr>
        <w:spacing w:after="0" w:line="240" w:lineRule="auto"/>
        <w:jc w:val="center"/>
        <w:rPr>
          <w:rFonts w:ascii="Arial" w:hAnsi="Arial" w:cs="Arial"/>
          <w:b/>
          <w:bCs/>
          <w:sz w:val="24"/>
          <w:szCs w:val="24"/>
          <w:lang w:val="mn-MN"/>
        </w:rPr>
      </w:pPr>
    </w:p>
    <w:p w14:paraId="04A301FF" w14:textId="6D64C49D" w:rsidR="00637593" w:rsidRDefault="00637593" w:rsidP="001E7C23">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Төсвийн тухай хуулийн 8 дугаар зүйлийн 8.10.4 дэх заалтад “Улсын Их Хурал нэгдсэн төсвийн гүйцэтгэлийн тайланг хаврын чуулганаар хэлэлцэн, улсын төсвийн гүйцэтгэлийг батлах”</w:t>
      </w:r>
      <w:r w:rsidR="001E7C23">
        <w:rPr>
          <w:rFonts w:ascii="Arial" w:eastAsia="Arial" w:hAnsi="Arial" w:cs="Arial"/>
          <w:sz w:val="24"/>
          <w:szCs w:val="24"/>
          <w:lang w:val="mn-MN"/>
        </w:rPr>
        <w:t xml:space="preserve"> гэж</w:t>
      </w:r>
      <w:r w:rsidRPr="001E7C23">
        <w:rPr>
          <w:rFonts w:ascii="Arial" w:eastAsia="Arial" w:hAnsi="Arial" w:cs="Arial"/>
          <w:sz w:val="24"/>
          <w:szCs w:val="24"/>
          <w:lang w:val="mn-MN"/>
        </w:rPr>
        <w:t xml:space="preserve">, 9 дүгээр зүйлийн 9.1.3 дахь заалтад “нэгдсэн төсвийн гүйцэтгэлийг хэлэлцэн, улсын төсвийн гүйцэтгэлийг батлах” гэж тус тус заасны дагуу </w:t>
      </w:r>
      <w:r w:rsidR="001E7C23">
        <w:rPr>
          <w:rFonts w:ascii="Arial" w:eastAsia="Arial" w:hAnsi="Arial" w:cs="Arial"/>
          <w:sz w:val="24"/>
          <w:szCs w:val="24"/>
        </w:rPr>
        <w:t>“</w:t>
      </w:r>
      <w:r w:rsidRPr="001E7C23">
        <w:rPr>
          <w:rFonts w:ascii="Arial" w:eastAsia="Arial" w:hAnsi="Arial" w:cs="Arial"/>
          <w:sz w:val="24"/>
          <w:szCs w:val="24"/>
          <w:lang w:val="mn-MN"/>
        </w:rPr>
        <w:t>Монгол Улсын 2022 оны төсвийн гүйцэтгэл батлах тухай</w:t>
      </w:r>
      <w:r w:rsidR="001E7C23">
        <w:rPr>
          <w:rFonts w:ascii="Arial" w:eastAsia="Arial" w:hAnsi="Arial" w:cs="Arial"/>
          <w:sz w:val="24"/>
          <w:szCs w:val="24"/>
        </w:rPr>
        <w:t>”</w:t>
      </w:r>
      <w:r w:rsidRPr="001E7C23">
        <w:rPr>
          <w:rFonts w:ascii="Arial" w:eastAsia="Arial" w:hAnsi="Arial" w:cs="Arial"/>
          <w:sz w:val="24"/>
          <w:szCs w:val="24"/>
          <w:lang w:val="mn-MN"/>
        </w:rPr>
        <w:t xml:space="preserve"> Улсын Их Хурлын тогтоолын төслийг боловсрууллаа.</w:t>
      </w:r>
    </w:p>
    <w:p w14:paraId="3649F59C" w14:textId="77777777" w:rsidR="001E7C23" w:rsidRPr="001E7C23" w:rsidRDefault="001E7C23" w:rsidP="001E7C23">
      <w:pPr>
        <w:spacing w:after="0" w:line="240" w:lineRule="auto"/>
        <w:ind w:firstLine="567"/>
        <w:jc w:val="both"/>
        <w:rPr>
          <w:rFonts w:ascii="Arial" w:eastAsia="Arial" w:hAnsi="Arial" w:cs="Arial"/>
          <w:sz w:val="24"/>
          <w:szCs w:val="24"/>
          <w:lang w:val="mn-MN"/>
        </w:rPr>
      </w:pPr>
    </w:p>
    <w:p w14:paraId="4235D019" w14:textId="614490D8" w:rsidR="0028030D" w:rsidRDefault="0028030D" w:rsidP="001E7C23">
      <w:pPr>
        <w:spacing w:after="0" w:line="240" w:lineRule="auto"/>
        <w:ind w:firstLine="567"/>
        <w:jc w:val="both"/>
        <w:rPr>
          <w:rFonts w:ascii="Arial" w:eastAsia="Arial" w:hAnsi="Arial" w:cs="Arial"/>
          <w:sz w:val="24"/>
          <w:szCs w:val="24"/>
          <w:lang w:val="mn-MN"/>
        </w:rPr>
      </w:pPr>
      <w:bookmarkStart w:id="0" w:name="_Hlk103937536"/>
      <w:r w:rsidRPr="001E7C23">
        <w:rPr>
          <w:rFonts w:ascii="Arial" w:eastAsia="Arial" w:hAnsi="Arial" w:cs="Arial"/>
          <w:sz w:val="24"/>
          <w:szCs w:val="24"/>
          <w:lang w:val="mn-MN"/>
        </w:rPr>
        <w:t xml:space="preserve">Монгол Улсын </w:t>
      </w:r>
      <w:r w:rsidR="001E7C23" w:rsidRPr="001E7C23">
        <w:rPr>
          <w:rFonts w:ascii="Arial" w:eastAsia="Arial" w:hAnsi="Arial" w:cs="Arial"/>
          <w:sz w:val="24"/>
          <w:szCs w:val="24"/>
          <w:lang w:val="mn-MN"/>
        </w:rPr>
        <w:t>2022 он</w:t>
      </w:r>
      <w:r w:rsidR="001E7C23">
        <w:rPr>
          <w:rFonts w:ascii="Arial" w:eastAsia="Arial" w:hAnsi="Arial" w:cs="Arial"/>
          <w:sz w:val="24"/>
          <w:szCs w:val="24"/>
          <w:lang w:val="mn-MN"/>
        </w:rPr>
        <w:t>ы</w:t>
      </w:r>
      <w:r w:rsidR="001E7C23" w:rsidRPr="001E7C23">
        <w:rPr>
          <w:rFonts w:ascii="Arial" w:eastAsia="Arial" w:hAnsi="Arial" w:cs="Arial"/>
          <w:sz w:val="24"/>
          <w:szCs w:val="24"/>
          <w:lang w:val="mn-MN"/>
        </w:rPr>
        <w:t xml:space="preserve"> </w:t>
      </w:r>
      <w:r w:rsidRPr="001E7C23">
        <w:rPr>
          <w:rFonts w:ascii="Arial" w:eastAsia="Arial" w:hAnsi="Arial" w:cs="Arial"/>
          <w:sz w:val="24"/>
          <w:szCs w:val="24"/>
          <w:lang w:val="mn-MN"/>
        </w:rPr>
        <w:t>нэгдсэн төсвийн нийт орлого 18.5 их наяд төгрөг, нийт зарлага ба цэвэр зээлийн дүн 18,159.7 тэрбум төгрөгт хүрч</w:t>
      </w:r>
      <w:r w:rsidR="001E7C23">
        <w:rPr>
          <w:rFonts w:ascii="Arial" w:eastAsia="Arial" w:hAnsi="Arial" w:cs="Arial"/>
          <w:sz w:val="24"/>
          <w:szCs w:val="24"/>
          <w:lang w:val="mn-MN"/>
        </w:rPr>
        <w:t>,</w:t>
      </w:r>
      <w:r w:rsidRPr="001E7C23">
        <w:rPr>
          <w:rFonts w:ascii="Arial" w:eastAsia="Arial" w:hAnsi="Arial" w:cs="Arial"/>
          <w:sz w:val="24"/>
          <w:szCs w:val="24"/>
          <w:lang w:val="mn-MN"/>
        </w:rPr>
        <w:t xml:space="preserve"> нэгдсэн төсвийн тэнцвэржүүлсэн тэнцэл 1,032.7 тэрбум төгрөгийн алдагдалтай гарсан нь </w:t>
      </w:r>
      <w:r w:rsidR="001E7C23" w:rsidRPr="001E7C23">
        <w:rPr>
          <w:rFonts w:ascii="Arial" w:eastAsia="Arial" w:hAnsi="Arial" w:cs="Arial"/>
          <w:sz w:val="24"/>
          <w:szCs w:val="24"/>
          <w:lang w:val="mn-MN"/>
        </w:rPr>
        <w:t>д</w:t>
      </w:r>
      <w:r w:rsidRPr="001E7C23">
        <w:rPr>
          <w:rFonts w:ascii="Arial" w:eastAsia="Arial" w:hAnsi="Arial" w:cs="Arial"/>
          <w:sz w:val="24"/>
          <w:szCs w:val="24"/>
          <w:lang w:val="mn-MN"/>
        </w:rPr>
        <w:t>отоодын нийт бүтээгдэхүүн</w:t>
      </w:r>
      <w:r w:rsidRPr="001E7C23">
        <w:rPr>
          <w:rFonts w:ascii="Arial" w:eastAsia="Arial" w:hAnsi="Arial" w:cs="Arial"/>
          <w:sz w:val="24"/>
          <w:szCs w:val="24"/>
          <w:lang w:val="mn-MN"/>
        </w:rPr>
        <w:footnoteReference w:id="1"/>
      </w:r>
      <w:r w:rsidRPr="001E7C23">
        <w:rPr>
          <w:rFonts w:ascii="Arial" w:eastAsia="Arial" w:hAnsi="Arial" w:cs="Arial"/>
          <w:sz w:val="24"/>
          <w:szCs w:val="24"/>
          <w:lang w:val="mn-MN"/>
        </w:rPr>
        <w:t>-ий -2.0 хувьтай тэнцэж байна.</w:t>
      </w:r>
      <w:bookmarkEnd w:id="0"/>
    </w:p>
    <w:p w14:paraId="59120DB7" w14:textId="77777777" w:rsidR="001E7C23" w:rsidRPr="001E7C23" w:rsidRDefault="001E7C23" w:rsidP="001E7C23">
      <w:pPr>
        <w:spacing w:after="0" w:line="240" w:lineRule="auto"/>
        <w:ind w:firstLine="567"/>
        <w:jc w:val="both"/>
        <w:rPr>
          <w:rFonts w:ascii="Arial" w:eastAsia="Arial" w:hAnsi="Arial" w:cs="Arial"/>
          <w:sz w:val="24"/>
          <w:szCs w:val="24"/>
          <w:lang w:val="mn-MN"/>
        </w:rPr>
      </w:pPr>
    </w:p>
    <w:p w14:paraId="7A2C1589" w14:textId="72FC8E33" w:rsidR="0028030D" w:rsidRDefault="0028030D" w:rsidP="001E7C23">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Ковид</w:t>
      </w:r>
      <w:r w:rsidR="00D94D98">
        <w:rPr>
          <w:rFonts w:ascii="Arial" w:eastAsia="Arial" w:hAnsi="Arial" w:cs="Arial"/>
          <w:sz w:val="24"/>
          <w:szCs w:val="24"/>
          <w:lang w:val="mn-MN"/>
        </w:rPr>
        <w:t>-19</w:t>
      </w:r>
      <w:r w:rsidRPr="001E7C23">
        <w:rPr>
          <w:rFonts w:ascii="Arial" w:eastAsia="Arial" w:hAnsi="Arial" w:cs="Arial"/>
          <w:sz w:val="24"/>
          <w:szCs w:val="24"/>
          <w:lang w:val="mn-MN"/>
        </w:rPr>
        <w:t xml:space="preserve"> цар тахлаас хойш төсвийн алдагдлыг шат дараатайгаар бууруулж ажилласны үр дүнд нэгдсэн төсвийн алдагдал 1.0 их наяд төгрөгт хүрч</w:t>
      </w:r>
      <w:r w:rsidR="00D94D98">
        <w:rPr>
          <w:rFonts w:ascii="Arial" w:eastAsia="Arial" w:hAnsi="Arial" w:cs="Arial"/>
          <w:sz w:val="24"/>
          <w:szCs w:val="24"/>
          <w:lang w:val="mn-MN"/>
        </w:rPr>
        <w:t>,</w:t>
      </w:r>
      <w:r w:rsidRPr="001E7C23">
        <w:rPr>
          <w:rFonts w:ascii="Arial" w:eastAsia="Arial" w:hAnsi="Arial" w:cs="Arial"/>
          <w:sz w:val="24"/>
          <w:szCs w:val="24"/>
          <w:lang w:val="mn-MN"/>
        </w:rPr>
        <w:t xml:space="preserve"> </w:t>
      </w:r>
      <w:r w:rsidR="005813F4" w:rsidRPr="001E7C23">
        <w:rPr>
          <w:rFonts w:ascii="Arial" w:eastAsia="Arial" w:hAnsi="Arial" w:cs="Arial"/>
          <w:sz w:val="24"/>
          <w:szCs w:val="24"/>
          <w:lang w:val="mn-MN"/>
        </w:rPr>
        <w:t>төлөвлөсөн дүнгээс 1.8 их наяд</w:t>
      </w:r>
      <w:r w:rsidR="00D94D98">
        <w:rPr>
          <w:rFonts w:ascii="Arial" w:eastAsia="Arial" w:hAnsi="Arial" w:cs="Arial"/>
          <w:sz w:val="24"/>
          <w:szCs w:val="24"/>
          <w:lang w:val="mn-MN"/>
        </w:rPr>
        <w:t xml:space="preserve"> төгрөгөөр</w:t>
      </w:r>
      <w:r w:rsidR="005813F4" w:rsidRPr="001E7C23">
        <w:rPr>
          <w:rFonts w:ascii="Arial" w:eastAsia="Arial" w:hAnsi="Arial" w:cs="Arial"/>
          <w:sz w:val="24"/>
          <w:szCs w:val="24"/>
          <w:lang w:val="mn-MN"/>
        </w:rPr>
        <w:t xml:space="preserve"> буурсан.</w:t>
      </w:r>
    </w:p>
    <w:p w14:paraId="47F970B8" w14:textId="77777777" w:rsidR="001E7C23" w:rsidRPr="001E7C23" w:rsidRDefault="001E7C23" w:rsidP="001E7C23">
      <w:pPr>
        <w:spacing w:after="0" w:line="240" w:lineRule="auto"/>
        <w:ind w:firstLine="567"/>
        <w:jc w:val="both"/>
        <w:rPr>
          <w:rFonts w:ascii="Arial" w:eastAsia="Arial" w:hAnsi="Arial" w:cs="Arial"/>
          <w:sz w:val="24"/>
          <w:szCs w:val="24"/>
          <w:lang w:val="mn-MN"/>
        </w:rPr>
      </w:pPr>
    </w:p>
    <w:p w14:paraId="515618C4" w14:textId="5DE82872" w:rsidR="005D1D82" w:rsidRPr="00191866" w:rsidRDefault="005D1D82" w:rsidP="001E7C23">
      <w:pPr>
        <w:spacing w:after="0" w:line="240" w:lineRule="auto"/>
        <w:ind w:firstLine="567"/>
        <w:jc w:val="both"/>
        <w:rPr>
          <w:rFonts w:ascii="Arial" w:eastAsia="Arial" w:hAnsi="Arial" w:cs="Arial"/>
          <w:b/>
          <w:bCs/>
          <w:sz w:val="24"/>
          <w:szCs w:val="24"/>
        </w:rPr>
      </w:pPr>
      <w:r w:rsidRPr="00191866">
        <w:rPr>
          <w:rFonts w:ascii="Arial" w:eastAsia="Arial" w:hAnsi="Arial" w:cs="Arial"/>
          <w:b/>
          <w:bCs/>
          <w:sz w:val="24"/>
          <w:szCs w:val="24"/>
          <w:lang w:val="mn-MN"/>
        </w:rPr>
        <w:t>Монгол Улсын 2022 оны нэгдсэн төсвийн гүйцэтгэл нь Төсвийн тогтвортой байдлын тухай хуульд заасан төсвийн тусгай шаардлагуудад дараах байдлаар нийцэж байгаа болно</w:t>
      </w:r>
      <w:r w:rsidR="00B26299" w:rsidRPr="00191866">
        <w:rPr>
          <w:rFonts w:ascii="Arial" w:eastAsia="Arial" w:hAnsi="Arial" w:cs="Arial"/>
          <w:b/>
          <w:bCs/>
          <w:sz w:val="24"/>
          <w:szCs w:val="24"/>
        </w:rPr>
        <w:t>:</w:t>
      </w:r>
    </w:p>
    <w:p w14:paraId="321F85FE" w14:textId="77777777" w:rsidR="001E7C23" w:rsidRPr="001E7C23" w:rsidRDefault="001E7C23" w:rsidP="001E7C23">
      <w:pPr>
        <w:spacing w:after="0" w:line="240" w:lineRule="auto"/>
        <w:jc w:val="both"/>
        <w:rPr>
          <w:rFonts w:ascii="Arial" w:eastAsia="Arial" w:hAnsi="Arial" w:cs="Arial"/>
          <w:sz w:val="24"/>
          <w:szCs w:val="24"/>
          <w:lang w:val="mn-MN"/>
        </w:rPr>
      </w:pPr>
    </w:p>
    <w:p w14:paraId="49D6B451" w14:textId="2E64893D" w:rsidR="0008124C" w:rsidRPr="001A386D" w:rsidRDefault="009D4418" w:rsidP="00A31804">
      <w:pPr>
        <w:pStyle w:val="NormalWeb"/>
        <w:spacing w:before="0" w:beforeAutospacing="0" w:after="0" w:afterAutospacing="0"/>
        <w:ind w:firstLine="567"/>
        <w:jc w:val="both"/>
        <w:rPr>
          <w:rFonts w:ascii="Arial" w:hAnsi="Arial" w:cs="Arial"/>
          <w:b/>
          <w:bCs/>
          <w:color w:val="000000" w:themeColor="text1"/>
          <w:u w:val="single"/>
          <w:bdr w:val="none" w:sz="0" w:space="0" w:color="auto" w:frame="1"/>
          <w:lang w:val="mn-MN"/>
        </w:rPr>
      </w:pPr>
      <w:r w:rsidRPr="001A386D">
        <w:rPr>
          <w:rStyle w:val="SubtleReference"/>
          <w:rFonts w:ascii="Arial" w:hAnsi="Arial" w:cs="Arial"/>
          <w:b w:val="0"/>
          <w:bCs w:val="0"/>
          <w:color w:val="000000" w:themeColor="text1"/>
          <w:u w:val="single"/>
          <w:lang w:val="mn-MN"/>
        </w:rPr>
        <w:t>1.</w:t>
      </w:r>
      <w:r w:rsidR="00D94D98" w:rsidRPr="001A386D">
        <w:rPr>
          <w:rStyle w:val="SubtleReference"/>
          <w:rFonts w:ascii="Arial" w:hAnsi="Arial" w:cs="Arial"/>
          <w:b w:val="0"/>
          <w:bCs w:val="0"/>
          <w:color w:val="000000" w:themeColor="text1"/>
          <w:u w:val="single"/>
          <w:lang w:val="mn-MN"/>
        </w:rPr>
        <w:t>Нэгдсэн т</w:t>
      </w:r>
      <w:r w:rsidR="002420ED" w:rsidRPr="001A386D">
        <w:rPr>
          <w:rStyle w:val="SubtleReference"/>
          <w:rFonts w:ascii="Arial" w:hAnsi="Arial" w:cs="Arial"/>
          <w:b w:val="0"/>
          <w:bCs w:val="0"/>
          <w:color w:val="000000" w:themeColor="text1"/>
          <w:u w:val="single"/>
          <w:lang w:val="mn-MN"/>
        </w:rPr>
        <w:t>өсвийн орлогы</w:t>
      </w:r>
      <w:r w:rsidR="00D94D98" w:rsidRPr="001A386D">
        <w:rPr>
          <w:rStyle w:val="SubtleReference"/>
          <w:rFonts w:ascii="Arial" w:hAnsi="Arial" w:cs="Arial"/>
          <w:b w:val="0"/>
          <w:bCs w:val="0"/>
          <w:color w:val="000000" w:themeColor="text1"/>
          <w:u w:val="single"/>
          <w:lang w:val="mn-MN"/>
        </w:rPr>
        <w:t>г тэнцвэржүүлсэн журмаар тооцдог байх</w:t>
      </w:r>
      <w:r w:rsidR="002420ED" w:rsidRPr="001A386D">
        <w:rPr>
          <w:rStyle w:val="SubtleReference"/>
          <w:rFonts w:ascii="Arial" w:hAnsi="Arial" w:cs="Arial"/>
          <w:b w:val="0"/>
          <w:bCs w:val="0"/>
          <w:color w:val="000000" w:themeColor="text1"/>
          <w:u w:val="single"/>
          <w:lang w:val="mn-MN"/>
        </w:rPr>
        <w:t>:</w:t>
      </w:r>
      <w:r w:rsidR="002420ED" w:rsidRPr="001A386D">
        <w:rPr>
          <w:rFonts w:ascii="Arial" w:hAnsi="Arial" w:cs="Arial"/>
          <w:b/>
          <w:bCs/>
          <w:color w:val="000000" w:themeColor="text1"/>
          <w:u w:val="single"/>
          <w:bdr w:val="none" w:sz="0" w:space="0" w:color="auto" w:frame="1"/>
          <w:lang w:val="mn-MN"/>
        </w:rPr>
        <w:t xml:space="preserve"> </w:t>
      </w:r>
      <w:bookmarkStart w:id="2" w:name="h.1ci93xb" w:colFirst="0" w:colLast="0"/>
      <w:bookmarkEnd w:id="2"/>
    </w:p>
    <w:p w14:paraId="709DA5F8" w14:textId="77777777" w:rsidR="0008124C" w:rsidRPr="001A386D" w:rsidRDefault="0008124C" w:rsidP="00A31804">
      <w:pPr>
        <w:pStyle w:val="NormalWeb"/>
        <w:spacing w:before="0" w:beforeAutospacing="0" w:after="0" w:afterAutospacing="0"/>
        <w:ind w:firstLine="567"/>
        <w:jc w:val="both"/>
        <w:rPr>
          <w:rFonts w:ascii="Arial" w:hAnsi="Arial" w:cs="Arial"/>
          <w:color w:val="000000" w:themeColor="text1"/>
          <w:bdr w:val="none" w:sz="0" w:space="0" w:color="auto" w:frame="1"/>
          <w:lang w:val="mn-MN"/>
        </w:rPr>
      </w:pPr>
    </w:p>
    <w:p w14:paraId="2503220E" w14:textId="0F4371AC" w:rsidR="002420ED" w:rsidRDefault="002420ED" w:rsidP="00A31804">
      <w:pPr>
        <w:pStyle w:val="NormalWeb"/>
        <w:spacing w:before="0" w:beforeAutospacing="0" w:after="0" w:afterAutospacing="0"/>
        <w:ind w:firstLine="567"/>
        <w:jc w:val="both"/>
        <w:rPr>
          <w:rFonts w:ascii="Arial" w:eastAsiaTheme="minorEastAsia" w:hAnsi="Arial" w:cs="Arial"/>
          <w:noProof/>
          <w:lang w:val="mn-MN"/>
        </w:rPr>
      </w:pPr>
      <w:r w:rsidRPr="001A386D">
        <w:rPr>
          <w:rFonts w:ascii="Arial" w:eastAsiaTheme="minorEastAsia" w:hAnsi="Arial" w:cs="Arial"/>
          <w:noProof/>
          <w:color w:val="000000" w:themeColor="text1"/>
          <w:lang w:val="mn-MN"/>
        </w:rPr>
        <w:t xml:space="preserve">Монгол Улсын 2022 оны төсвийн орлогын </w:t>
      </w:r>
      <w:r w:rsidRPr="001E7C23">
        <w:rPr>
          <w:rFonts w:ascii="Arial" w:eastAsiaTheme="minorEastAsia" w:hAnsi="Arial" w:cs="Arial"/>
          <w:noProof/>
          <w:lang w:val="mn-MN"/>
        </w:rPr>
        <w:t xml:space="preserve">төслийг Төсвийн тогтвортой байдлын тухай хуулийн 6 дугаар зүйлийн 6.1.1-д заасан </w:t>
      </w:r>
      <w:r w:rsidR="0008124C">
        <w:rPr>
          <w:rFonts w:ascii="Arial" w:eastAsiaTheme="minorEastAsia" w:hAnsi="Arial" w:cs="Arial"/>
          <w:noProof/>
          <w:lang w:val="mn-MN"/>
        </w:rPr>
        <w:t xml:space="preserve">уг </w:t>
      </w:r>
      <w:r w:rsidRPr="001E7C23">
        <w:rPr>
          <w:rFonts w:ascii="Arial" w:eastAsiaTheme="minorEastAsia" w:hAnsi="Arial" w:cs="Arial"/>
          <w:noProof/>
          <w:lang w:val="mn-MN"/>
        </w:rPr>
        <w:t>тусгай шаардлагын дагуу боловсруулан батлуулж, төсвийн жилийн турш хуульд заасан зарчим, шаардлагыг баримтлан ажиллалаа.</w:t>
      </w:r>
    </w:p>
    <w:p w14:paraId="61D5CBE7" w14:textId="77777777" w:rsidR="001E7C23" w:rsidRPr="001E7C23" w:rsidRDefault="001E7C23" w:rsidP="00A31804">
      <w:pPr>
        <w:pStyle w:val="NormalWeb"/>
        <w:spacing w:before="0" w:beforeAutospacing="0" w:after="0" w:afterAutospacing="0"/>
        <w:ind w:firstLine="567"/>
        <w:jc w:val="both"/>
        <w:rPr>
          <w:rFonts w:ascii="Arial" w:eastAsiaTheme="minorEastAsia" w:hAnsi="Arial" w:cs="Arial"/>
          <w:noProof/>
          <w:lang w:val="mn-MN"/>
        </w:rPr>
      </w:pPr>
    </w:p>
    <w:p w14:paraId="59504E75" w14:textId="112D2249" w:rsidR="002420ED" w:rsidRDefault="002420ED" w:rsidP="00A31804">
      <w:pPr>
        <w:pStyle w:val="NormalWeb"/>
        <w:spacing w:before="0" w:beforeAutospacing="0" w:after="0" w:afterAutospacing="0"/>
        <w:ind w:firstLine="567"/>
        <w:jc w:val="both"/>
        <w:rPr>
          <w:rFonts w:ascii="Arial" w:eastAsiaTheme="minorEastAsia" w:hAnsi="Arial" w:cs="Arial"/>
          <w:noProof/>
          <w:lang w:val="mn-MN"/>
        </w:rPr>
      </w:pPr>
      <w:bookmarkStart w:id="3" w:name="_Hlk137485731"/>
      <w:r w:rsidRPr="001E7C23">
        <w:rPr>
          <w:rFonts w:ascii="Arial" w:eastAsiaTheme="minorEastAsia" w:hAnsi="Arial" w:cs="Arial"/>
          <w:noProof/>
          <w:lang w:val="mn-MN"/>
        </w:rPr>
        <w:t>Төсвийн тогтвортой байдлын тухай хуулийн 11 дүгээр зүйлийн 11.1.3-т заасны дагуу гол нэр төрлийн эрдэс баялгийн 2022 онд баримтлах тэнцвэржүүлсэн үнийг Олон улсын валютын сан болон ашигт малтмалын бүтээгдэхүүний үнийн төсөөлөл хийдэг олон улсын нэр хүнд бүхий</w:t>
      </w:r>
      <w:r w:rsidR="00954D0E">
        <w:rPr>
          <w:rFonts w:ascii="Arial" w:eastAsiaTheme="minorEastAsia" w:hAnsi="Arial" w:cs="Arial"/>
          <w:noProof/>
          <w:lang w:val="mn-MN"/>
        </w:rPr>
        <w:t>, Засгийн газраас тодорхойлсон</w:t>
      </w:r>
      <w:r w:rsidRPr="001E7C23">
        <w:rPr>
          <w:rFonts w:ascii="Arial" w:eastAsiaTheme="minorEastAsia" w:hAnsi="Arial" w:cs="Arial"/>
          <w:noProof/>
          <w:lang w:val="mn-MN"/>
        </w:rPr>
        <w:t xml:space="preserve"> санхүүгийн </w:t>
      </w:r>
      <w:r w:rsidR="00954D0E">
        <w:rPr>
          <w:rFonts w:ascii="Arial" w:eastAsiaTheme="minorEastAsia" w:hAnsi="Arial" w:cs="Arial"/>
          <w:noProof/>
          <w:lang w:val="mn-MN"/>
        </w:rPr>
        <w:t xml:space="preserve">мэдээллийн </w:t>
      </w:r>
      <w:r w:rsidRPr="001E7C23">
        <w:rPr>
          <w:rFonts w:ascii="Arial" w:eastAsiaTheme="minorEastAsia" w:hAnsi="Arial" w:cs="Arial"/>
          <w:noProof/>
          <w:lang w:val="mn-MN"/>
        </w:rPr>
        <w:t xml:space="preserve">байгууллагаас гаргасан өмнөх 20 жилийн дундаж </w:t>
      </w:r>
      <w:r w:rsidR="00954D0E">
        <w:rPr>
          <w:rFonts w:ascii="Arial" w:eastAsiaTheme="minorEastAsia" w:hAnsi="Arial" w:cs="Arial"/>
          <w:noProof/>
          <w:lang w:val="mn-MN"/>
        </w:rPr>
        <w:t xml:space="preserve">үнэ </w:t>
      </w:r>
      <w:r w:rsidRPr="001E7C23">
        <w:rPr>
          <w:rFonts w:ascii="Arial" w:eastAsiaTheme="minorEastAsia" w:hAnsi="Arial" w:cs="Arial"/>
          <w:noProof/>
          <w:lang w:val="mn-MN"/>
        </w:rPr>
        <w:t xml:space="preserve">болон тухайн төсвийн жил, түүний дараах 3 жилийн дундаж үнийн төсөөллийг дундажлан тус тус тооцсон. Эрдэс </w:t>
      </w:r>
      <w:r w:rsidR="00954D0E">
        <w:rPr>
          <w:rFonts w:ascii="Arial" w:eastAsiaTheme="minorEastAsia" w:hAnsi="Arial" w:cs="Arial"/>
          <w:noProof/>
          <w:lang w:val="mn-MN"/>
        </w:rPr>
        <w:t>баялгийн</w:t>
      </w:r>
      <w:r w:rsidR="00954D0E" w:rsidRPr="001E7C23">
        <w:rPr>
          <w:rFonts w:ascii="Arial" w:eastAsiaTheme="minorEastAsia" w:hAnsi="Arial" w:cs="Arial"/>
          <w:noProof/>
          <w:lang w:val="mn-MN"/>
        </w:rPr>
        <w:t xml:space="preserve"> </w:t>
      </w:r>
      <w:r w:rsidRPr="001E7C23">
        <w:rPr>
          <w:rFonts w:ascii="Arial" w:eastAsiaTheme="minorEastAsia" w:hAnsi="Arial" w:cs="Arial"/>
          <w:noProof/>
          <w:lang w:val="mn-MN"/>
        </w:rPr>
        <w:t xml:space="preserve">үнийн төсөөллийг </w:t>
      </w:r>
      <w:r w:rsidR="00954D0E">
        <w:rPr>
          <w:rFonts w:ascii="Arial" w:eastAsiaTheme="minorEastAsia" w:hAnsi="Arial" w:cs="Arial"/>
          <w:noProof/>
          <w:lang w:val="mn-MN"/>
        </w:rPr>
        <w:t>мөн</w:t>
      </w:r>
      <w:r w:rsidRPr="001E7C23">
        <w:rPr>
          <w:rFonts w:ascii="Arial" w:eastAsiaTheme="minorEastAsia" w:hAnsi="Arial" w:cs="Arial"/>
          <w:noProof/>
          <w:lang w:val="mn-MN"/>
        </w:rPr>
        <w:t xml:space="preserve"> хуулийн 5 дугаар зүйлийн 5.1.4-т заасан зарчмын дагуу 2022 онд нэг тонн зэсийн тэнцвэржүүлсэн үнийг 6,306.0 ам.доллар, нүүрсний үнийг 73.4 ам.доллар байхаар тооцож, Төсвийн тогтворжуулалтын санд 576.8 тэрбум төгрөг төвлөрүүлэхээр төлөвлөсөн.</w:t>
      </w:r>
    </w:p>
    <w:p w14:paraId="2462FB6D" w14:textId="77777777" w:rsidR="001E7C23" w:rsidRPr="001E7C23" w:rsidRDefault="001E7C23" w:rsidP="00A31804">
      <w:pPr>
        <w:pStyle w:val="NormalWeb"/>
        <w:spacing w:before="0" w:beforeAutospacing="0" w:after="0" w:afterAutospacing="0"/>
        <w:ind w:firstLine="567"/>
        <w:jc w:val="both"/>
        <w:rPr>
          <w:rFonts w:ascii="Arial" w:eastAsiaTheme="minorEastAsia" w:hAnsi="Arial" w:cs="Arial"/>
          <w:noProof/>
          <w:lang w:val="mn-MN"/>
        </w:rPr>
      </w:pPr>
    </w:p>
    <w:p w14:paraId="78DEC3F4" w14:textId="0B890BC9" w:rsidR="002420ED" w:rsidRPr="00B26299" w:rsidRDefault="002420ED" w:rsidP="00A31804">
      <w:pPr>
        <w:pStyle w:val="NormalWeb"/>
        <w:spacing w:before="0" w:beforeAutospacing="0" w:after="0" w:afterAutospacing="0"/>
        <w:ind w:firstLine="567"/>
        <w:jc w:val="both"/>
        <w:rPr>
          <w:rFonts w:ascii="Arial" w:eastAsiaTheme="minorEastAsia" w:hAnsi="Arial" w:cs="Arial"/>
          <w:noProof/>
        </w:rPr>
      </w:pPr>
      <w:r w:rsidRPr="001E7C23">
        <w:rPr>
          <w:rFonts w:ascii="Arial" w:eastAsiaTheme="minorEastAsia" w:hAnsi="Arial" w:cs="Arial"/>
          <w:noProof/>
          <w:lang w:val="mn-MN"/>
        </w:rPr>
        <w:t xml:space="preserve">Засгийн газар хилийн боомтын нэвтрэх хүчин чадлыг сайжруулах, экспортыг нэмэгдүүлэхэд онцгой анхаарч, голлох боомтууд болох Гашуунсухайт, Шивээхүрэн </w:t>
      </w:r>
      <w:r w:rsidRPr="001E7C23">
        <w:rPr>
          <w:rFonts w:ascii="Arial" w:eastAsiaTheme="minorEastAsia" w:hAnsi="Arial" w:cs="Arial"/>
          <w:noProof/>
          <w:lang w:val="mn-MN"/>
        </w:rPr>
        <w:lastRenderedPageBreak/>
        <w:t xml:space="preserve">боомтуудаар нэвтрэх </w:t>
      </w:r>
      <w:r w:rsidR="00954D0E">
        <w:rPr>
          <w:rFonts w:ascii="Arial" w:eastAsiaTheme="minorEastAsia" w:hAnsi="Arial" w:cs="Arial"/>
          <w:noProof/>
          <w:lang w:val="mn-MN"/>
        </w:rPr>
        <w:t>авто</w:t>
      </w:r>
      <w:r w:rsidRPr="001E7C23">
        <w:rPr>
          <w:rFonts w:ascii="Arial" w:eastAsiaTheme="minorEastAsia" w:hAnsi="Arial" w:cs="Arial"/>
          <w:noProof/>
          <w:lang w:val="mn-MN"/>
        </w:rPr>
        <w:t>машины тоог нэмэгдүүлсэн. Үүний үр дүнд нүүрсний экспортын хэмжээг төлөвлөсөн хэмжээнээс 13.7 сая тонноор нэмэгдүүлж, 31.7 сая тоннд хүргэсэн. Түүнчлэн нүүрсний экспортын хэмжээ 31.8 сая т</w:t>
      </w:r>
      <w:r w:rsidR="00B26299">
        <w:rPr>
          <w:rFonts w:ascii="Arial" w:eastAsiaTheme="minorEastAsia" w:hAnsi="Arial" w:cs="Arial"/>
          <w:noProof/>
          <w:lang w:val="mn-MN"/>
        </w:rPr>
        <w:t>он</w:t>
      </w:r>
      <w:r w:rsidRPr="001E7C23">
        <w:rPr>
          <w:rFonts w:ascii="Arial" w:eastAsiaTheme="minorEastAsia" w:hAnsi="Arial" w:cs="Arial"/>
          <w:noProof/>
          <w:lang w:val="mn-MN"/>
        </w:rPr>
        <w:t>н, нүүрсний зах зээлийн дундаж үнэ 204.4 ам.дол/тн хүрсэн нь Төсвийн тогтворжуулалтын сан төлөвлөсөн хэмжээнээс 642.9 тэрбум төгрөгөөр илүү буюу 1,394.6 төгрөгийн орлого төвлөрүүлэхэд тус тус нөлөөллөө</w:t>
      </w:r>
      <w:r w:rsidR="00B26299">
        <w:rPr>
          <w:rFonts w:ascii="Arial" w:eastAsiaTheme="minorEastAsia" w:hAnsi="Arial" w:cs="Arial"/>
          <w:noProof/>
        </w:rPr>
        <w:t>;</w:t>
      </w:r>
    </w:p>
    <w:p w14:paraId="7AB2B5BD" w14:textId="77777777" w:rsidR="001E7C23" w:rsidRPr="001E7C23" w:rsidRDefault="001E7C23" w:rsidP="00A31804">
      <w:pPr>
        <w:pStyle w:val="NormalWeb"/>
        <w:spacing w:before="0" w:beforeAutospacing="0" w:after="0" w:afterAutospacing="0"/>
        <w:ind w:firstLine="567"/>
        <w:jc w:val="both"/>
        <w:rPr>
          <w:rFonts w:ascii="Arial" w:eastAsiaTheme="minorEastAsia" w:hAnsi="Arial" w:cs="Arial"/>
          <w:noProof/>
          <w:lang w:val="mn-MN"/>
        </w:rPr>
      </w:pPr>
    </w:p>
    <w:bookmarkEnd w:id="3"/>
    <w:p w14:paraId="5ED78EC1" w14:textId="522511FE" w:rsidR="002420ED" w:rsidRPr="001A386D" w:rsidRDefault="009D4418" w:rsidP="00A31804">
      <w:pPr>
        <w:spacing w:after="0" w:line="240" w:lineRule="auto"/>
        <w:ind w:firstLine="567"/>
        <w:jc w:val="both"/>
        <w:rPr>
          <w:rFonts w:ascii="Arial" w:eastAsia="Arial" w:hAnsi="Arial" w:cs="Arial"/>
          <w:color w:val="000000" w:themeColor="text1"/>
          <w:sz w:val="24"/>
          <w:szCs w:val="24"/>
          <w:u w:val="single"/>
          <w:lang w:val="mn-MN"/>
        </w:rPr>
      </w:pPr>
      <w:r w:rsidRPr="001A386D">
        <w:rPr>
          <w:rStyle w:val="SubtleReference"/>
          <w:rFonts w:ascii="Arial" w:hAnsi="Arial" w:cs="Arial"/>
          <w:b w:val="0"/>
          <w:bCs w:val="0"/>
          <w:color w:val="000000" w:themeColor="text1"/>
          <w:sz w:val="24"/>
          <w:szCs w:val="24"/>
          <w:u w:val="single"/>
          <w:lang w:val="mn-MN"/>
        </w:rPr>
        <w:t>2.</w:t>
      </w:r>
      <w:r w:rsidR="0008124C" w:rsidRPr="001A386D">
        <w:rPr>
          <w:rStyle w:val="SubtleReference"/>
          <w:rFonts w:ascii="Arial" w:hAnsi="Arial" w:cs="Arial"/>
          <w:b w:val="0"/>
          <w:bCs w:val="0"/>
          <w:color w:val="000000" w:themeColor="text1"/>
          <w:sz w:val="24"/>
          <w:szCs w:val="24"/>
          <w:u w:val="single"/>
          <w:lang w:val="mn-MN"/>
        </w:rPr>
        <w:t>Н</w:t>
      </w:r>
      <w:r w:rsidR="002420ED" w:rsidRPr="001A386D">
        <w:rPr>
          <w:rFonts w:ascii="Arial" w:eastAsia="Arial" w:hAnsi="Arial" w:cs="Arial"/>
          <w:color w:val="000000" w:themeColor="text1"/>
          <w:sz w:val="24"/>
          <w:szCs w:val="24"/>
          <w:u w:val="single"/>
          <w:lang w:val="mn-MN"/>
        </w:rPr>
        <w:t>эгдсэн төсвийн тэнцвэржүүлсэн тэнцэл нь тухайн төсвийн жилийн дотоодын нийт бүтээгдэхүүний хоёр хувиас илүүгүй алдагдалтай, эсхүл ашигтай байх</w:t>
      </w:r>
      <w:r w:rsidR="0008124C" w:rsidRPr="001A386D">
        <w:rPr>
          <w:rFonts w:ascii="Arial" w:eastAsia="Arial" w:hAnsi="Arial" w:cs="Arial"/>
          <w:color w:val="000000" w:themeColor="text1"/>
          <w:sz w:val="24"/>
          <w:szCs w:val="24"/>
          <w:u w:val="single"/>
        </w:rPr>
        <w:t>:</w:t>
      </w:r>
    </w:p>
    <w:p w14:paraId="1FFA4AEE" w14:textId="77777777" w:rsidR="001E7C23" w:rsidRPr="001A386D" w:rsidRDefault="001E7C23" w:rsidP="00A31804">
      <w:pPr>
        <w:spacing w:after="0" w:line="240" w:lineRule="auto"/>
        <w:ind w:firstLine="567"/>
        <w:jc w:val="both"/>
        <w:rPr>
          <w:rFonts w:ascii="Arial" w:eastAsia="Arial" w:hAnsi="Arial" w:cs="Arial"/>
          <w:color w:val="000000" w:themeColor="text1"/>
          <w:sz w:val="24"/>
          <w:szCs w:val="24"/>
          <w:lang w:val="mn-MN"/>
        </w:rPr>
      </w:pPr>
    </w:p>
    <w:p w14:paraId="0E8C6EB0" w14:textId="05FB9D7E" w:rsidR="002420ED" w:rsidRDefault="002420ED" w:rsidP="00A31804">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Улсын Их Хурлаас төсвийн нэгдмэл байдлыг хангах зорилгоор Төсвийн тогтвортой байдлын тухай хуул</w:t>
      </w:r>
      <w:r w:rsidR="00476585">
        <w:rPr>
          <w:rFonts w:ascii="Arial" w:eastAsia="Arial" w:hAnsi="Arial" w:cs="Arial"/>
          <w:sz w:val="24"/>
          <w:szCs w:val="24"/>
          <w:lang w:val="mn-MN"/>
        </w:rPr>
        <w:t>ьд</w:t>
      </w:r>
      <w:r w:rsidR="00C5168A">
        <w:rPr>
          <w:rFonts w:ascii="Arial" w:eastAsia="Arial" w:hAnsi="Arial" w:cs="Arial"/>
          <w:sz w:val="24"/>
          <w:szCs w:val="24"/>
          <w:lang w:val="mn-MN"/>
        </w:rPr>
        <w:t xml:space="preserve"> </w:t>
      </w:r>
      <w:r w:rsidRPr="001E7C23">
        <w:rPr>
          <w:rFonts w:ascii="Arial" w:eastAsia="Arial" w:hAnsi="Arial" w:cs="Arial"/>
          <w:sz w:val="24"/>
          <w:szCs w:val="24"/>
          <w:lang w:val="mn-MN"/>
        </w:rPr>
        <w:t>2017 оны 04 дүгээр сарын 14-ний өд</w:t>
      </w:r>
      <w:r w:rsidR="00C5168A">
        <w:rPr>
          <w:rFonts w:ascii="Arial" w:eastAsia="Arial" w:hAnsi="Arial" w:cs="Arial"/>
          <w:sz w:val="24"/>
          <w:szCs w:val="24"/>
          <w:lang w:val="mn-MN"/>
        </w:rPr>
        <w:t>рийн хуулиар</w:t>
      </w:r>
      <w:r w:rsidRPr="001E7C23">
        <w:rPr>
          <w:rFonts w:ascii="Arial" w:eastAsia="Arial" w:hAnsi="Arial" w:cs="Arial"/>
          <w:sz w:val="24"/>
          <w:szCs w:val="24"/>
          <w:lang w:val="mn-MN"/>
        </w:rPr>
        <w:t xml:space="preserve"> нэмэлт</w:t>
      </w:r>
      <w:r w:rsidR="00476585">
        <w:rPr>
          <w:rFonts w:ascii="Arial" w:eastAsia="Arial" w:hAnsi="Arial" w:cs="Arial"/>
          <w:sz w:val="24"/>
          <w:szCs w:val="24"/>
          <w:lang w:val="mn-MN"/>
        </w:rPr>
        <w:t>,</w:t>
      </w:r>
      <w:r w:rsidRPr="001E7C23">
        <w:rPr>
          <w:rFonts w:ascii="Arial" w:eastAsia="Arial" w:hAnsi="Arial" w:cs="Arial"/>
          <w:sz w:val="24"/>
          <w:szCs w:val="24"/>
          <w:lang w:val="mn-MN"/>
        </w:rPr>
        <w:t xml:space="preserve"> өөрчлөлт оруулсан. </w:t>
      </w:r>
      <w:r w:rsidR="00476585">
        <w:rPr>
          <w:rFonts w:ascii="Arial" w:eastAsia="Arial" w:hAnsi="Arial" w:cs="Arial"/>
          <w:sz w:val="24"/>
          <w:szCs w:val="24"/>
          <w:lang w:val="mn-MN"/>
        </w:rPr>
        <w:t>Тухайлбал, хуулийн 19 дүгээр зүйлд</w:t>
      </w:r>
      <w:r w:rsidRPr="001E7C23">
        <w:rPr>
          <w:rFonts w:ascii="Arial" w:eastAsia="Arial" w:hAnsi="Arial" w:cs="Arial"/>
          <w:sz w:val="24"/>
          <w:szCs w:val="24"/>
          <w:lang w:val="mn-MN"/>
        </w:rPr>
        <w:t xml:space="preserve"> “</w:t>
      </w:r>
      <w:r w:rsidR="00476585">
        <w:rPr>
          <w:rFonts w:ascii="Arial" w:eastAsia="Arial" w:hAnsi="Arial" w:cs="Arial"/>
          <w:sz w:val="24"/>
          <w:szCs w:val="24"/>
          <w:lang w:val="mn-MN"/>
        </w:rPr>
        <w:t>19.9.</w:t>
      </w:r>
      <w:r w:rsidRPr="001E7C23">
        <w:rPr>
          <w:rFonts w:ascii="Arial" w:eastAsia="Arial" w:hAnsi="Arial" w:cs="Arial"/>
          <w:sz w:val="24"/>
          <w:szCs w:val="24"/>
          <w:lang w:val="mn-MN"/>
        </w:rPr>
        <w:t xml:space="preserve">Энэ хуулийн 6.1.2-т заасан нэгдсэн төсвийн тэнцвэржүүлсэн тэнцлийн алдагдлын тухайн жилийн оны үнээр тооцсон дотоодын нийт бүтээгдэхүүнд эзлэх хувь хэмжээг 2017 онд 10.4 хувиас, 2018 онд 9.5 хувиас, 2019 онд 6.9 хувиас, 2020 онд 12.5 хувиас, 2021 онд 8.8 хувиас, 2022 онд 5.1 хувиас, 2023 онд 3.6 хувиас, 2024 онд 2.8 хувиас тус тус хэтрүүлэхгүй, 2025 оны төсвийн жилээс эхлэн нэгдсэн төсвийн тэнцвэржүүлсэн тэнцэл нь тухайн төсвийн жилийн дотоодын нийт бүтээгдэхүүний хоёр хувиас илүүгүй алдагдалтай, эсхүл ашигтай байна.” </w:t>
      </w:r>
      <w:r w:rsidR="00476585" w:rsidRPr="001E7C23">
        <w:rPr>
          <w:rFonts w:ascii="Arial" w:eastAsia="Arial" w:hAnsi="Arial" w:cs="Arial"/>
          <w:sz w:val="24"/>
          <w:szCs w:val="24"/>
          <w:lang w:val="mn-MN"/>
        </w:rPr>
        <w:t>г</w:t>
      </w:r>
      <w:r w:rsidRPr="001E7C23">
        <w:rPr>
          <w:rFonts w:ascii="Arial" w:eastAsia="Arial" w:hAnsi="Arial" w:cs="Arial"/>
          <w:sz w:val="24"/>
          <w:szCs w:val="24"/>
          <w:lang w:val="mn-MN"/>
        </w:rPr>
        <w:t>э</w:t>
      </w:r>
      <w:r w:rsidR="00476585">
        <w:rPr>
          <w:rFonts w:ascii="Arial" w:eastAsia="Arial" w:hAnsi="Arial" w:cs="Arial"/>
          <w:sz w:val="24"/>
          <w:szCs w:val="24"/>
          <w:lang w:val="mn-MN"/>
        </w:rPr>
        <w:t>сэн хэсэг нэмсэн</w:t>
      </w:r>
      <w:r w:rsidRPr="001E7C23">
        <w:rPr>
          <w:rFonts w:ascii="Arial" w:eastAsia="Arial" w:hAnsi="Arial" w:cs="Arial"/>
          <w:sz w:val="24"/>
          <w:szCs w:val="24"/>
          <w:lang w:val="mn-MN"/>
        </w:rPr>
        <w:t>.</w:t>
      </w:r>
    </w:p>
    <w:p w14:paraId="4609F00B" w14:textId="77777777" w:rsidR="001E7C23" w:rsidRPr="001E7C23" w:rsidRDefault="001E7C23" w:rsidP="001E7C23">
      <w:pPr>
        <w:spacing w:after="0" w:line="240" w:lineRule="auto"/>
        <w:jc w:val="both"/>
        <w:rPr>
          <w:rFonts w:ascii="Arial" w:eastAsia="Arial" w:hAnsi="Arial" w:cs="Arial"/>
          <w:sz w:val="24"/>
          <w:szCs w:val="24"/>
          <w:lang w:val="mn-MN"/>
        </w:rPr>
      </w:pPr>
    </w:p>
    <w:p w14:paraId="3B535396" w14:textId="06BA7784" w:rsidR="002420ED" w:rsidRPr="001E7C23" w:rsidRDefault="002420ED" w:rsidP="001E7C23">
      <w:pPr>
        <w:spacing w:after="0" w:line="240" w:lineRule="auto"/>
        <w:jc w:val="center"/>
        <w:rPr>
          <w:rFonts w:ascii="Arial" w:eastAsia="Arial" w:hAnsi="Arial" w:cs="Arial"/>
          <w:b/>
          <w:bCs/>
          <w:color w:val="000000" w:themeColor="text1"/>
          <w:sz w:val="24"/>
          <w:szCs w:val="24"/>
          <w:lang w:val="mn-MN"/>
        </w:rPr>
      </w:pPr>
      <w:r w:rsidRPr="001E7C23">
        <w:rPr>
          <w:rStyle w:val="SubtleReference"/>
          <w:rFonts w:ascii="Arial" w:hAnsi="Arial" w:cs="Arial"/>
          <w:b w:val="0"/>
          <w:bCs w:val="0"/>
          <w:color w:val="000000" w:themeColor="text1"/>
          <w:sz w:val="24"/>
          <w:szCs w:val="24"/>
          <w:lang w:val="mn-MN"/>
        </w:rPr>
        <w:t>Нэгдсэн төсвийн тэнцвэржүүлсэн тэнцлийн гүйцэтгэл</w:t>
      </w:r>
    </w:p>
    <w:tbl>
      <w:tblPr>
        <w:tblpPr w:leftFromText="180" w:rightFromText="180" w:vertAnchor="text" w:horzAnchor="margin" w:tblpXSpec="center" w:tblpY="114"/>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5517"/>
        <w:gridCol w:w="2803"/>
      </w:tblGrid>
      <w:tr w:rsidR="002420ED" w:rsidRPr="001E7C23" w14:paraId="108F5C40" w14:textId="77777777" w:rsidTr="002420ED">
        <w:trPr>
          <w:trHeight w:val="284"/>
        </w:trPr>
        <w:tc>
          <w:tcPr>
            <w:tcW w:w="5860" w:type="dxa"/>
            <w:gridSpan w:val="2"/>
            <w:shd w:val="clear" w:color="auto" w:fill="auto"/>
          </w:tcPr>
          <w:p w14:paraId="3963FA0F" w14:textId="77777777" w:rsidR="002420ED" w:rsidRPr="001E7C23" w:rsidRDefault="002420ED" w:rsidP="001E7C23">
            <w:pPr>
              <w:spacing w:after="0" w:line="240" w:lineRule="auto"/>
              <w:rPr>
                <w:rFonts w:ascii="Arial" w:hAnsi="Arial" w:cs="Arial"/>
                <w:sz w:val="24"/>
                <w:szCs w:val="24"/>
                <w:lang w:val="mn-MN" w:eastAsia="ja-JP"/>
              </w:rPr>
            </w:pPr>
            <w:r w:rsidRPr="001E7C23">
              <w:rPr>
                <w:rFonts w:ascii="Arial" w:hAnsi="Arial" w:cs="Arial"/>
                <w:sz w:val="24"/>
                <w:szCs w:val="24"/>
                <w:lang w:val="mn-MN" w:eastAsia="ja-JP"/>
              </w:rPr>
              <w:t>Үзүүлэлт</w:t>
            </w:r>
          </w:p>
        </w:tc>
        <w:tc>
          <w:tcPr>
            <w:tcW w:w="2810" w:type="dxa"/>
            <w:shd w:val="clear" w:color="auto" w:fill="auto"/>
          </w:tcPr>
          <w:p w14:paraId="4B7CDF4D" w14:textId="77777777" w:rsidR="002420ED" w:rsidRPr="001E7C23" w:rsidRDefault="002420ED" w:rsidP="001E7C23">
            <w:pPr>
              <w:spacing w:after="0" w:line="240" w:lineRule="auto"/>
              <w:jc w:val="right"/>
              <w:rPr>
                <w:rFonts w:ascii="Arial" w:hAnsi="Arial" w:cs="Arial"/>
                <w:sz w:val="24"/>
                <w:szCs w:val="24"/>
                <w:lang w:val="mn-MN"/>
              </w:rPr>
            </w:pPr>
            <w:r w:rsidRPr="001E7C23">
              <w:rPr>
                <w:rFonts w:ascii="Arial" w:hAnsi="Arial" w:cs="Arial"/>
                <w:sz w:val="24"/>
                <w:szCs w:val="24"/>
                <w:lang w:val="mn-MN"/>
              </w:rPr>
              <w:t>2022 он</w:t>
            </w:r>
          </w:p>
        </w:tc>
      </w:tr>
      <w:tr w:rsidR="002420ED" w:rsidRPr="001E7C23" w14:paraId="732E4F7B" w14:textId="77777777" w:rsidTr="002420ED">
        <w:trPr>
          <w:trHeight w:val="284"/>
        </w:trPr>
        <w:tc>
          <w:tcPr>
            <w:tcW w:w="328" w:type="dxa"/>
            <w:shd w:val="clear" w:color="auto" w:fill="auto"/>
          </w:tcPr>
          <w:p w14:paraId="66D2BD78" w14:textId="77777777" w:rsidR="002420ED" w:rsidRPr="001E7C23" w:rsidRDefault="002420ED" w:rsidP="001E7C23">
            <w:pPr>
              <w:spacing w:after="0" w:line="240" w:lineRule="auto"/>
              <w:rPr>
                <w:rFonts w:ascii="Arial" w:hAnsi="Arial" w:cs="Arial"/>
                <w:sz w:val="24"/>
                <w:szCs w:val="24"/>
                <w:lang w:val="mn-MN"/>
              </w:rPr>
            </w:pPr>
            <w:r w:rsidRPr="001E7C23">
              <w:rPr>
                <w:rFonts w:ascii="Arial" w:hAnsi="Arial" w:cs="Arial"/>
                <w:sz w:val="24"/>
                <w:szCs w:val="24"/>
                <w:lang w:val="mn-MN"/>
              </w:rPr>
              <w:t>1</w:t>
            </w:r>
          </w:p>
        </w:tc>
        <w:tc>
          <w:tcPr>
            <w:tcW w:w="5532" w:type="dxa"/>
            <w:shd w:val="clear" w:color="auto" w:fill="auto"/>
          </w:tcPr>
          <w:p w14:paraId="3DBB839A" w14:textId="77777777" w:rsidR="002420ED" w:rsidRPr="001E7C23" w:rsidRDefault="002420ED" w:rsidP="001E7C23">
            <w:pPr>
              <w:spacing w:after="0" w:line="240" w:lineRule="auto"/>
              <w:rPr>
                <w:rFonts w:ascii="Arial" w:hAnsi="Arial" w:cs="Arial"/>
                <w:sz w:val="24"/>
                <w:szCs w:val="24"/>
                <w:lang w:val="mn-MN"/>
              </w:rPr>
            </w:pPr>
            <w:r w:rsidRPr="001E7C23">
              <w:rPr>
                <w:rFonts w:ascii="Arial" w:hAnsi="Arial" w:cs="Arial"/>
                <w:sz w:val="24"/>
                <w:szCs w:val="24"/>
                <w:lang w:val="mn-MN"/>
              </w:rPr>
              <w:t>Хуулиар тогтоосон хязгаар</w:t>
            </w:r>
          </w:p>
        </w:tc>
        <w:tc>
          <w:tcPr>
            <w:tcW w:w="2810" w:type="dxa"/>
            <w:shd w:val="clear" w:color="auto" w:fill="auto"/>
          </w:tcPr>
          <w:p w14:paraId="5DB49112" w14:textId="77777777" w:rsidR="002420ED" w:rsidRPr="001E7C23" w:rsidRDefault="002420ED" w:rsidP="001E7C23">
            <w:pPr>
              <w:spacing w:after="0" w:line="240" w:lineRule="auto"/>
              <w:jc w:val="right"/>
              <w:rPr>
                <w:rFonts w:ascii="Arial" w:hAnsi="Arial" w:cs="Arial"/>
                <w:sz w:val="24"/>
                <w:szCs w:val="24"/>
                <w:lang w:val="mn-MN"/>
              </w:rPr>
            </w:pPr>
            <w:r w:rsidRPr="001E7C23">
              <w:rPr>
                <w:rFonts w:ascii="Arial" w:hAnsi="Arial" w:cs="Arial"/>
                <w:sz w:val="24"/>
                <w:szCs w:val="24"/>
                <w:lang w:val="mn-MN"/>
              </w:rPr>
              <w:t>-5.1%</w:t>
            </w:r>
          </w:p>
        </w:tc>
      </w:tr>
      <w:tr w:rsidR="002420ED" w:rsidRPr="001E7C23" w14:paraId="4865C5A2" w14:textId="77777777" w:rsidTr="002420ED">
        <w:trPr>
          <w:trHeight w:val="284"/>
        </w:trPr>
        <w:tc>
          <w:tcPr>
            <w:tcW w:w="328" w:type="dxa"/>
            <w:shd w:val="clear" w:color="auto" w:fill="auto"/>
          </w:tcPr>
          <w:p w14:paraId="52AC09C2" w14:textId="77777777" w:rsidR="002420ED" w:rsidRPr="001E7C23" w:rsidRDefault="002420ED" w:rsidP="001E7C23">
            <w:pPr>
              <w:spacing w:after="0" w:line="240" w:lineRule="auto"/>
              <w:rPr>
                <w:rFonts w:ascii="Arial" w:hAnsi="Arial" w:cs="Arial"/>
                <w:sz w:val="24"/>
                <w:szCs w:val="24"/>
                <w:lang w:val="mn-MN"/>
              </w:rPr>
            </w:pPr>
            <w:r w:rsidRPr="001E7C23">
              <w:rPr>
                <w:rFonts w:ascii="Arial" w:hAnsi="Arial" w:cs="Arial"/>
                <w:sz w:val="24"/>
                <w:szCs w:val="24"/>
                <w:lang w:val="mn-MN"/>
              </w:rPr>
              <w:t>2</w:t>
            </w:r>
          </w:p>
        </w:tc>
        <w:tc>
          <w:tcPr>
            <w:tcW w:w="5532" w:type="dxa"/>
            <w:shd w:val="clear" w:color="auto" w:fill="auto"/>
          </w:tcPr>
          <w:p w14:paraId="2CFF3CDB" w14:textId="77777777" w:rsidR="002420ED" w:rsidRPr="001E7C23" w:rsidRDefault="002420ED" w:rsidP="001E7C23">
            <w:pPr>
              <w:spacing w:after="0" w:line="240" w:lineRule="auto"/>
              <w:rPr>
                <w:rFonts w:ascii="Arial" w:hAnsi="Arial" w:cs="Arial"/>
                <w:sz w:val="24"/>
                <w:szCs w:val="24"/>
                <w:lang w:val="mn-MN"/>
              </w:rPr>
            </w:pPr>
            <w:r w:rsidRPr="001E7C23">
              <w:rPr>
                <w:rFonts w:ascii="Arial" w:hAnsi="Arial" w:cs="Arial"/>
                <w:sz w:val="24"/>
                <w:szCs w:val="24"/>
                <w:lang w:val="mn-MN"/>
              </w:rPr>
              <w:t>Гүйцэтгэл</w:t>
            </w:r>
          </w:p>
        </w:tc>
        <w:tc>
          <w:tcPr>
            <w:tcW w:w="2810" w:type="dxa"/>
            <w:shd w:val="clear" w:color="auto" w:fill="auto"/>
          </w:tcPr>
          <w:p w14:paraId="56CE6E2E" w14:textId="77777777" w:rsidR="002420ED" w:rsidRPr="001E7C23" w:rsidRDefault="002420ED" w:rsidP="001E7C23">
            <w:pPr>
              <w:spacing w:after="0" w:line="240" w:lineRule="auto"/>
              <w:jc w:val="right"/>
              <w:rPr>
                <w:rFonts w:ascii="Arial" w:hAnsi="Arial" w:cs="Arial"/>
                <w:sz w:val="24"/>
                <w:szCs w:val="24"/>
                <w:lang w:val="mn-MN"/>
              </w:rPr>
            </w:pPr>
            <w:r w:rsidRPr="001E7C23">
              <w:rPr>
                <w:rFonts w:ascii="Arial" w:hAnsi="Arial" w:cs="Arial"/>
                <w:sz w:val="24"/>
                <w:szCs w:val="24"/>
                <w:lang w:val="mn-MN"/>
              </w:rPr>
              <w:t>-2.0%</w:t>
            </w:r>
          </w:p>
        </w:tc>
      </w:tr>
    </w:tbl>
    <w:p w14:paraId="3549BDF5" w14:textId="77777777" w:rsidR="002420ED" w:rsidRPr="001E7C23" w:rsidRDefault="002420ED" w:rsidP="001E7C23">
      <w:pPr>
        <w:spacing w:after="0" w:line="240" w:lineRule="auto"/>
        <w:jc w:val="both"/>
        <w:rPr>
          <w:rFonts w:ascii="Arial" w:hAnsi="Arial" w:cs="Arial"/>
          <w:sz w:val="24"/>
          <w:szCs w:val="24"/>
          <w:lang w:val="mn-MN"/>
        </w:rPr>
      </w:pPr>
    </w:p>
    <w:p w14:paraId="035BB96A" w14:textId="784C89B1" w:rsidR="002420ED" w:rsidRDefault="002420ED" w:rsidP="00A31804">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 xml:space="preserve">2022 оны </w:t>
      </w:r>
      <w:r w:rsidR="00476585" w:rsidRPr="001E7C23">
        <w:rPr>
          <w:rFonts w:ascii="Arial" w:eastAsia="Arial" w:hAnsi="Arial" w:cs="Arial"/>
          <w:sz w:val="24"/>
          <w:szCs w:val="24"/>
          <w:lang w:val="mn-MN"/>
        </w:rPr>
        <w:t xml:space="preserve">нэгдсэн </w:t>
      </w:r>
      <w:r w:rsidRPr="001E7C23">
        <w:rPr>
          <w:rFonts w:ascii="Arial" w:eastAsia="Arial" w:hAnsi="Arial" w:cs="Arial"/>
          <w:sz w:val="24"/>
          <w:szCs w:val="24"/>
          <w:lang w:val="mn-MN"/>
        </w:rPr>
        <w:t>төсвийн гүйцэтгэлээр төсвийн тэнцвэржүүлсэн тэнцэл -1,032.7 тэрбум төгрөг буюу ДНБ-ий -2.0 хувьтай тэнцэж байгаа нь Төсвийн тогтвортой байдлын тухай хуульд заасан төсвийн тэнцлийн тусгай шаардлагыг хангаж байна</w:t>
      </w:r>
      <w:r w:rsidR="00214492">
        <w:rPr>
          <w:rFonts w:ascii="Arial" w:eastAsia="Arial" w:hAnsi="Arial" w:cs="Arial"/>
          <w:sz w:val="24"/>
          <w:szCs w:val="24"/>
        </w:rPr>
        <w:t>;</w:t>
      </w:r>
    </w:p>
    <w:p w14:paraId="7BC9A515" w14:textId="77777777" w:rsidR="001E7C23" w:rsidRPr="001E7C23" w:rsidRDefault="001E7C23" w:rsidP="00A31804">
      <w:pPr>
        <w:spacing w:after="0" w:line="240" w:lineRule="auto"/>
        <w:ind w:firstLine="567"/>
        <w:jc w:val="both"/>
        <w:rPr>
          <w:rFonts w:ascii="Arial" w:eastAsia="Arial" w:hAnsi="Arial" w:cs="Arial"/>
          <w:sz w:val="24"/>
          <w:szCs w:val="24"/>
          <w:lang w:val="mn-MN"/>
        </w:rPr>
      </w:pPr>
    </w:p>
    <w:p w14:paraId="70E4B7A6" w14:textId="421780DA" w:rsidR="002420ED" w:rsidRPr="00191866" w:rsidRDefault="009D4418" w:rsidP="00A31804">
      <w:pPr>
        <w:spacing w:after="0" w:line="240" w:lineRule="auto"/>
        <w:ind w:firstLine="567"/>
        <w:jc w:val="both"/>
        <w:rPr>
          <w:rFonts w:ascii="Arial" w:eastAsia="Arial" w:hAnsi="Arial" w:cs="Arial"/>
          <w:sz w:val="24"/>
          <w:szCs w:val="24"/>
          <w:lang w:val="mn-MN"/>
        </w:rPr>
      </w:pPr>
      <w:r w:rsidRPr="001A386D">
        <w:rPr>
          <w:rStyle w:val="SubtleReference"/>
          <w:rFonts w:ascii="Arial" w:hAnsi="Arial" w:cs="Arial"/>
          <w:b w:val="0"/>
          <w:bCs w:val="0"/>
          <w:color w:val="000000" w:themeColor="text1"/>
          <w:sz w:val="24"/>
          <w:szCs w:val="24"/>
          <w:lang w:val="mn-MN"/>
        </w:rPr>
        <w:t>3.</w:t>
      </w:r>
      <w:r w:rsidR="0008124C" w:rsidRPr="001A386D">
        <w:rPr>
          <w:rStyle w:val="SubtleReference"/>
          <w:rFonts w:ascii="Arial" w:hAnsi="Arial" w:cs="Arial"/>
          <w:b w:val="0"/>
          <w:bCs w:val="0"/>
          <w:color w:val="000000" w:themeColor="text1"/>
          <w:sz w:val="24"/>
          <w:szCs w:val="24"/>
        </w:rPr>
        <w:t>Т</w:t>
      </w:r>
      <w:r w:rsidR="002420ED" w:rsidRPr="001A386D">
        <w:rPr>
          <w:rFonts w:ascii="Arial" w:eastAsia="Arial" w:hAnsi="Arial" w:cs="Arial"/>
          <w:color w:val="000000" w:themeColor="text1"/>
          <w:sz w:val="24"/>
          <w:szCs w:val="24"/>
          <w:lang w:val="mn-MN"/>
        </w:rPr>
        <w:t xml:space="preserve">ухайн жилийн нэгдсэн төсвийн нийт зарлагын өсөлтийн хувь нь тухайн жилийн эрдэс баялгийн </w:t>
      </w:r>
      <w:r w:rsidR="002420ED" w:rsidRPr="00191866">
        <w:rPr>
          <w:rFonts w:ascii="Arial" w:eastAsia="Arial" w:hAnsi="Arial" w:cs="Arial"/>
          <w:sz w:val="24"/>
          <w:szCs w:val="24"/>
          <w:lang w:val="mn-MN"/>
        </w:rPr>
        <w:t>бус дотоодын нийт бүтээгдэхүүний өсөлтийн хувь, тухайн жилийн өмнөх дараалсан 12 жилийн эрдэс баялгийн бус дотоодын нийт бүтээгдэхүүний өсөлтийн дунджийн аль ихээс хэтрэхгүй байх</w:t>
      </w:r>
      <w:r w:rsidR="0008124C" w:rsidRPr="00191866">
        <w:rPr>
          <w:rFonts w:ascii="Arial" w:eastAsia="Arial" w:hAnsi="Arial" w:cs="Arial"/>
          <w:sz w:val="24"/>
          <w:szCs w:val="24"/>
        </w:rPr>
        <w:t>:</w:t>
      </w:r>
    </w:p>
    <w:p w14:paraId="7E55D606" w14:textId="77777777" w:rsidR="001E7C23" w:rsidRPr="001E7C23" w:rsidRDefault="001E7C23" w:rsidP="00A31804">
      <w:pPr>
        <w:spacing w:after="0" w:line="240" w:lineRule="auto"/>
        <w:ind w:firstLine="567"/>
        <w:jc w:val="both"/>
        <w:rPr>
          <w:rFonts w:ascii="Arial" w:eastAsia="Arial" w:hAnsi="Arial" w:cs="Arial"/>
          <w:sz w:val="24"/>
          <w:szCs w:val="24"/>
          <w:lang w:val="mn-MN"/>
        </w:rPr>
      </w:pPr>
    </w:p>
    <w:p w14:paraId="0BD1A802" w14:textId="2FBC1735" w:rsidR="002420ED" w:rsidRPr="001E7C23" w:rsidRDefault="002420ED" w:rsidP="00A31804">
      <w:pPr>
        <w:spacing w:after="0" w:line="240" w:lineRule="auto"/>
        <w:ind w:firstLine="567"/>
        <w:jc w:val="center"/>
        <w:rPr>
          <w:rStyle w:val="SubtleReference"/>
          <w:rFonts w:ascii="Arial" w:hAnsi="Arial" w:cs="Arial"/>
          <w:b w:val="0"/>
          <w:bCs w:val="0"/>
          <w:color w:val="000000" w:themeColor="text1"/>
          <w:sz w:val="24"/>
          <w:szCs w:val="24"/>
          <w:lang w:val="mn-MN"/>
        </w:rPr>
      </w:pPr>
      <w:r w:rsidRPr="001E7C23">
        <w:rPr>
          <w:rStyle w:val="SubtleReference"/>
          <w:rFonts w:ascii="Arial" w:hAnsi="Arial" w:cs="Arial"/>
          <w:b w:val="0"/>
          <w:bCs w:val="0"/>
          <w:color w:val="000000" w:themeColor="text1"/>
          <w:sz w:val="24"/>
          <w:szCs w:val="24"/>
          <w:lang w:val="mn-MN"/>
        </w:rPr>
        <w:t>Зарлагын өсөлтийн үзүүлэлтүүд</w:t>
      </w:r>
    </w:p>
    <w:tbl>
      <w:tblPr>
        <w:tblpPr w:leftFromText="180" w:rightFromText="180" w:vertAnchor="text" w:horzAnchor="margin" w:tblpXSpec="center" w:tblpY="2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6048"/>
        <w:gridCol w:w="1677"/>
      </w:tblGrid>
      <w:tr w:rsidR="002420ED" w:rsidRPr="001E7C23" w14:paraId="62758270" w14:textId="77777777" w:rsidTr="0008124C">
        <w:trPr>
          <w:trHeight w:val="284"/>
        </w:trPr>
        <w:tc>
          <w:tcPr>
            <w:tcW w:w="6941" w:type="dxa"/>
            <w:gridSpan w:val="2"/>
            <w:shd w:val="clear" w:color="auto" w:fill="auto"/>
          </w:tcPr>
          <w:p w14:paraId="14053E36" w14:textId="77777777" w:rsidR="002420ED" w:rsidRPr="001E7C23" w:rsidRDefault="002420ED" w:rsidP="00A31804">
            <w:pPr>
              <w:spacing w:after="0" w:line="240" w:lineRule="auto"/>
              <w:ind w:firstLine="567"/>
              <w:rPr>
                <w:rFonts w:ascii="Arial" w:hAnsi="Arial" w:cs="Arial"/>
                <w:sz w:val="24"/>
                <w:szCs w:val="24"/>
                <w:lang w:val="mn-MN"/>
              </w:rPr>
            </w:pPr>
            <w:r w:rsidRPr="001E7C23">
              <w:rPr>
                <w:rFonts w:ascii="Arial" w:hAnsi="Arial" w:cs="Arial"/>
                <w:sz w:val="24"/>
                <w:szCs w:val="24"/>
                <w:lang w:val="mn-MN"/>
              </w:rPr>
              <w:t>Үзүүлэлт</w:t>
            </w:r>
          </w:p>
        </w:tc>
        <w:tc>
          <w:tcPr>
            <w:tcW w:w="1701" w:type="dxa"/>
            <w:shd w:val="clear" w:color="auto" w:fill="auto"/>
          </w:tcPr>
          <w:p w14:paraId="28305D3C" w14:textId="77777777" w:rsidR="002420ED" w:rsidRPr="001E7C23" w:rsidRDefault="002420ED" w:rsidP="00A31804">
            <w:pPr>
              <w:spacing w:after="0" w:line="240" w:lineRule="auto"/>
              <w:ind w:firstLine="567"/>
              <w:jc w:val="right"/>
              <w:rPr>
                <w:rFonts w:ascii="Arial" w:hAnsi="Arial" w:cs="Arial"/>
                <w:sz w:val="24"/>
                <w:szCs w:val="24"/>
                <w:lang w:val="mn-MN"/>
              </w:rPr>
            </w:pPr>
            <w:r w:rsidRPr="001E7C23">
              <w:rPr>
                <w:rFonts w:ascii="Arial" w:hAnsi="Arial" w:cs="Arial"/>
                <w:sz w:val="24"/>
                <w:szCs w:val="24"/>
                <w:lang w:val="mn-MN"/>
              </w:rPr>
              <w:t>2022 он</w:t>
            </w:r>
          </w:p>
        </w:tc>
      </w:tr>
      <w:tr w:rsidR="002420ED" w:rsidRPr="001E7C23" w14:paraId="14AAFF25" w14:textId="77777777" w:rsidTr="0008124C">
        <w:trPr>
          <w:trHeight w:val="284"/>
        </w:trPr>
        <w:tc>
          <w:tcPr>
            <w:tcW w:w="421" w:type="dxa"/>
            <w:shd w:val="clear" w:color="auto" w:fill="auto"/>
          </w:tcPr>
          <w:p w14:paraId="5119F301" w14:textId="77777777" w:rsidR="002420ED" w:rsidRPr="001E7C23" w:rsidRDefault="002420ED" w:rsidP="00A31804">
            <w:pPr>
              <w:spacing w:after="0" w:line="240" w:lineRule="auto"/>
              <w:ind w:firstLine="567"/>
              <w:rPr>
                <w:rFonts w:ascii="Arial" w:hAnsi="Arial" w:cs="Arial"/>
                <w:sz w:val="24"/>
                <w:szCs w:val="24"/>
                <w:lang w:val="mn-MN"/>
              </w:rPr>
            </w:pPr>
            <w:r w:rsidRPr="001E7C23">
              <w:rPr>
                <w:rFonts w:ascii="Arial" w:hAnsi="Arial" w:cs="Arial"/>
                <w:sz w:val="24"/>
                <w:szCs w:val="24"/>
                <w:lang w:val="mn-MN"/>
              </w:rPr>
              <w:t>1</w:t>
            </w:r>
          </w:p>
        </w:tc>
        <w:tc>
          <w:tcPr>
            <w:tcW w:w="6520" w:type="dxa"/>
            <w:shd w:val="clear" w:color="auto" w:fill="auto"/>
          </w:tcPr>
          <w:p w14:paraId="6B8C51EA" w14:textId="77777777" w:rsidR="002420ED" w:rsidRPr="001E7C23" w:rsidRDefault="002420ED" w:rsidP="00A31804">
            <w:pPr>
              <w:spacing w:after="0" w:line="240" w:lineRule="auto"/>
              <w:ind w:firstLine="567"/>
              <w:rPr>
                <w:rFonts w:ascii="Arial" w:hAnsi="Arial" w:cs="Arial"/>
                <w:sz w:val="24"/>
                <w:szCs w:val="24"/>
                <w:lang w:val="mn-MN"/>
              </w:rPr>
            </w:pPr>
            <w:r w:rsidRPr="001E7C23">
              <w:rPr>
                <w:rFonts w:ascii="Arial" w:hAnsi="Arial" w:cs="Arial"/>
                <w:sz w:val="24"/>
                <w:szCs w:val="24"/>
                <w:lang w:val="mn-MN"/>
              </w:rPr>
              <w:t>Тухайн жилийн нэгдсэн төсвийн нийт зарлагын өсөлтийн хувь</w:t>
            </w:r>
          </w:p>
        </w:tc>
        <w:tc>
          <w:tcPr>
            <w:tcW w:w="1701" w:type="dxa"/>
            <w:shd w:val="clear" w:color="auto" w:fill="auto"/>
            <w:vAlign w:val="center"/>
          </w:tcPr>
          <w:p w14:paraId="012F7513" w14:textId="77777777" w:rsidR="002420ED" w:rsidRPr="001E7C23" w:rsidRDefault="002420ED" w:rsidP="00A31804">
            <w:pPr>
              <w:spacing w:after="0" w:line="240" w:lineRule="auto"/>
              <w:ind w:firstLine="567"/>
              <w:jc w:val="right"/>
              <w:rPr>
                <w:rFonts w:ascii="Arial" w:hAnsi="Arial" w:cs="Arial"/>
                <w:sz w:val="24"/>
                <w:szCs w:val="24"/>
                <w:lang w:val="mn-MN"/>
              </w:rPr>
            </w:pPr>
            <w:r w:rsidRPr="001E7C23">
              <w:rPr>
                <w:rFonts w:ascii="Arial" w:hAnsi="Arial" w:cs="Arial"/>
                <w:sz w:val="24"/>
                <w:szCs w:val="24"/>
                <w:lang w:val="mn-MN"/>
              </w:rPr>
              <w:t>16.2%</w:t>
            </w:r>
          </w:p>
        </w:tc>
      </w:tr>
      <w:tr w:rsidR="002420ED" w:rsidRPr="001E7C23" w14:paraId="7AD937CD" w14:textId="77777777" w:rsidTr="0008124C">
        <w:trPr>
          <w:trHeight w:val="284"/>
        </w:trPr>
        <w:tc>
          <w:tcPr>
            <w:tcW w:w="421" w:type="dxa"/>
            <w:shd w:val="clear" w:color="auto" w:fill="auto"/>
          </w:tcPr>
          <w:p w14:paraId="7F0AEC7B" w14:textId="77777777" w:rsidR="002420ED" w:rsidRPr="001E7C23" w:rsidRDefault="002420ED" w:rsidP="00A31804">
            <w:pPr>
              <w:spacing w:after="0" w:line="240" w:lineRule="auto"/>
              <w:ind w:firstLine="567"/>
              <w:rPr>
                <w:rFonts w:ascii="Arial" w:hAnsi="Arial" w:cs="Arial"/>
                <w:sz w:val="24"/>
                <w:szCs w:val="24"/>
                <w:lang w:val="mn-MN"/>
              </w:rPr>
            </w:pPr>
            <w:r w:rsidRPr="001E7C23">
              <w:rPr>
                <w:rFonts w:ascii="Arial" w:hAnsi="Arial" w:cs="Arial"/>
                <w:sz w:val="24"/>
                <w:szCs w:val="24"/>
                <w:lang w:val="mn-MN"/>
              </w:rPr>
              <w:t>2</w:t>
            </w:r>
          </w:p>
        </w:tc>
        <w:tc>
          <w:tcPr>
            <w:tcW w:w="6520" w:type="dxa"/>
            <w:shd w:val="clear" w:color="auto" w:fill="auto"/>
          </w:tcPr>
          <w:p w14:paraId="611F1F4F" w14:textId="343BDFC4" w:rsidR="002420ED" w:rsidRPr="001E7C23" w:rsidRDefault="002420ED" w:rsidP="00A31804">
            <w:pPr>
              <w:spacing w:after="0" w:line="240" w:lineRule="auto"/>
              <w:ind w:firstLine="567"/>
              <w:rPr>
                <w:rFonts w:ascii="Arial" w:hAnsi="Arial" w:cs="Arial"/>
                <w:sz w:val="24"/>
                <w:szCs w:val="24"/>
                <w:lang w:val="mn-MN"/>
              </w:rPr>
            </w:pPr>
            <w:r w:rsidRPr="001E7C23">
              <w:rPr>
                <w:rFonts w:ascii="Arial" w:hAnsi="Arial" w:cs="Arial"/>
                <w:sz w:val="24"/>
                <w:szCs w:val="24"/>
                <w:lang w:val="mn-MN"/>
              </w:rPr>
              <w:t>Тухайн жилийн эрдэс баялгийн бус дотоодын нийт бүтээгдэхүүний өсөлтийн хувь</w:t>
            </w:r>
          </w:p>
        </w:tc>
        <w:tc>
          <w:tcPr>
            <w:tcW w:w="1701" w:type="dxa"/>
            <w:shd w:val="clear" w:color="auto" w:fill="auto"/>
            <w:vAlign w:val="center"/>
          </w:tcPr>
          <w:p w14:paraId="0200FC3C" w14:textId="77777777" w:rsidR="002420ED" w:rsidRPr="001E7C23" w:rsidRDefault="002420ED" w:rsidP="00A31804">
            <w:pPr>
              <w:spacing w:after="0" w:line="240" w:lineRule="auto"/>
              <w:ind w:firstLine="567"/>
              <w:jc w:val="right"/>
              <w:rPr>
                <w:rFonts w:ascii="Arial" w:hAnsi="Arial" w:cs="Arial"/>
                <w:sz w:val="24"/>
                <w:szCs w:val="24"/>
                <w:lang w:val="mn-MN"/>
              </w:rPr>
            </w:pPr>
            <w:r w:rsidRPr="001E7C23">
              <w:rPr>
                <w:rFonts w:ascii="Arial" w:hAnsi="Arial" w:cs="Arial"/>
                <w:sz w:val="24"/>
                <w:szCs w:val="24"/>
                <w:lang w:val="mn-MN"/>
              </w:rPr>
              <w:t>11.4%</w:t>
            </w:r>
          </w:p>
        </w:tc>
      </w:tr>
      <w:tr w:rsidR="002420ED" w:rsidRPr="001E7C23" w14:paraId="09ACF138" w14:textId="77777777" w:rsidTr="0008124C">
        <w:trPr>
          <w:trHeight w:val="284"/>
        </w:trPr>
        <w:tc>
          <w:tcPr>
            <w:tcW w:w="421" w:type="dxa"/>
            <w:shd w:val="clear" w:color="auto" w:fill="auto"/>
          </w:tcPr>
          <w:p w14:paraId="7A3EA18B" w14:textId="77777777" w:rsidR="002420ED" w:rsidRPr="001E7C23" w:rsidRDefault="002420ED" w:rsidP="00A31804">
            <w:pPr>
              <w:spacing w:after="0" w:line="240" w:lineRule="auto"/>
              <w:ind w:firstLine="567"/>
              <w:rPr>
                <w:rFonts w:ascii="Arial" w:hAnsi="Arial" w:cs="Arial"/>
                <w:sz w:val="24"/>
                <w:szCs w:val="24"/>
                <w:lang w:val="mn-MN"/>
              </w:rPr>
            </w:pPr>
            <w:r w:rsidRPr="001E7C23">
              <w:rPr>
                <w:rFonts w:ascii="Arial" w:hAnsi="Arial" w:cs="Arial"/>
                <w:sz w:val="24"/>
                <w:szCs w:val="24"/>
                <w:lang w:val="mn-MN"/>
              </w:rPr>
              <w:t>3</w:t>
            </w:r>
          </w:p>
        </w:tc>
        <w:tc>
          <w:tcPr>
            <w:tcW w:w="6520" w:type="dxa"/>
            <w:shd w:val="clear" w:color="auto" w:fill="auto"/>
          </w:tcPr>
          <w:p w14:paraId="4FC83BD2" w14:textId="77777777" w:rsidR="002420ED" w:rsidRPr="001E7C23" w:rsidRDefault="002420ED" w:rsidP="00A31804">
            <w:pPr>
              <w:spacing w:after="0" w:line="240" w:lineRule="auto"/>
              <w:ind w:firstLine="567"/>
              <w:rPr>
                <w:rFonts w:ascii="Arial" w:hAnsi="Arial" w:cs="Arial"/>
                <w:sz w:val="24"/>
                <w:szCs w:val="24"/>
                <w:lang w:val="mn-MN"/>
              </w:rPr>
            </w:pPr>
            <w:r w:rsidRPr="001E7C23">
              <w:rPr>
                <w:rFonts w:ascii="Arial" w:hAnsi="Arial" w:cs="Arial"/>
                <w:sz w:val="24"/>
                <w:szCs w:val="24"/>
                <w:lang w:val="mn-MN"/>
              </w:rPr>
              <w:t>Тухайн жилийн өмнөх дараалсан 12 жилийн эрдэс баялгийн бус дотоодын нийт бүтээгдэхүүний өсөлтийн дундаж</w:t>
            </w:r>
          </w:p>
        </w:tc>
        <w:tc>
          <w:tcPr>
            <w:tcW w:w="1701" w:type="dxa"/>
            <w:shd w:val="clear" w:color="auto" w:fill="auto"/>
            <w:vAlign w:val="center"/>
          </w:tcPr>
          <w:p w14:paraId="4FABB789" w14:textId="77777777" w:rsidR="002420ED" w:rsidRPr="001E7C23" w:rsidRDefault="002420ED" w:rsidP="00A31804">
            <w:pPr>
              <w:spacing w:after="0" w:line="240" w:lineRule="auto"/>
              <w:ind w:firstLine="567"/>
              <w:jc w:val="right"/>
              <w:rPr>
                <w:rFonts w:ascii="Arial" w:hAnsi="Arial" w:cs="Arial"/>
                <w:sz w:val="24"/>
                <w:szCs w:val="24"/>
                <w:lang w:val="mn-MN"/>
              </w:rPr>
            </w:pPr>
            <w:r w:rsidRPr="001E7C23">
              <w:rPr>
                <w:rFonts w:ascii="Arial" w:hAnsi="Arial" w:cs="Arial"/>
                <w:sz w:val="24"/>
                <w:szCs w:val="24"/>
                <w:lang w:val="mn-MN"/>
              </w:rPr>
              <w:t>17.8%</w:t>
            </w:r>
          </w:p>
        </w:tc>
      </w:tr>
    </w:tbl>
    <w:p w14:paraId="33976B8D" w14:textId="77777777" w:rsidR="00476585" w:rsidRDefault="00476585" w:rsidP="00A31804">
      <w:pPr>
        <w:spacing w:after="0" w:line="240" w:lineRule="auto"/>
        <w:ind w:firstLine="567"/>
        <w:jc w:val="both"/>
        <w:rPr>
          <w:rFonts w:ascii="Arial" w:eastAsia="Arial" w:hAnsi="Arial" w:cs="Arial"/>
          <w:sz w:val="24"/>
          <w:szCs w:val="24"/>
          <w:lang w:val="mn-MN"/>
        </w:rPr>
      </w:pPr>
    </w:p>
    <w:p w14:paraId="4AAE9AC7" w14:textId="1AB7148C" w:rsidR="002420ED" w:rsidRDefault="002420ED" w:rsidP="00A31804">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2022 оны нэгдсэн төсвийн нийт зарлагын өсөлтийн хувь 12.2 хувьтай байгаа нь Төсвийн тогтвортой байдлын тухай хуулийн төсвийн зарлагын өсөлтийн тусгай шаардлагыг хангаж байна</w:t>
      </w:r>
      <w:r w:rsidR="00214492">
        <w:rPr>
          <w:rFonts w:ascii="Arial" w:eastAsia="Arial" w:hAnsi="Arial" w:cs="Arial"/>
          <w:sz w:val="24"/>
          <w:szCs w:val="24"/>
        </w:rPr>
        <w:t>;</w:t>
      </w:r>
    </w:p>
    <w:p w14:paraId="45B84886" w14:textId="77777777" w:rsidR="00A31804" w:rsidRPr="001E7C23" w:rsidRDefault="00A31804" w:rsidP="00A31804">
      <w:pPr>
        <w:spacing w:after="0" w:line="240" w:lineRule="auto"/>
        <w:ind w:firstLine="567"/>
        <w:jc w:val="both"/>
        <w:rPr>
          <w:rFonts w:ascii="Arial" w:eastAsia="Arial" w:hAnsi="Arial" w:cs="Arial"/>
          <w:b/>
          <w:bCs/>
          <w:sz w:val="24"/>
          <w:szCs w:val="24"/>
          <w:lang w:val="mn-MN"/>
        </w:rPr>
      </w:pPr>
    </w:p>
    <w:p w14:paraId="36F7E8FC" w14:textId="07E5C550" w:rsidR="00214492" w:rsidRPr="001A386D" w:rsidRDefault="009D4418" w:rsidP="00214492">
      <w:pPr>
        <w:spacing w:after="0" w:line="240" w:lineRule="auto"/>
        <w:ind w:firstLine="567"/>
        <w:jc w:val="both"/>
        <w:rPr>
          <w:rFonts w:ascii="Arial" w:hAnsi="Arial" w:cs="Arial"/>
          <w:b/>
          <w:bCs/>
          <w:color w:val="000000" w:themeColor="text1"/>
          <w:sz w:val="24"/>
          <w:szCs w:val="24"/>
          <w:lang w:val="mn-MN"/>
        </w:rPr>
      </w:pPr>
      <w:r w:rsidRPr="001A386D">
        <w:rPr>
          <w:rStyle w:val="SubtleReference"/>
          <w:rFonts w:ascii="Arial" w:hAnsi="Arial" w:cs="Arial"/>
          <w:b w:val="0"/>
          <w:bCs w:val="0"/>
          <w:color w:val="000000" w:themeColor="text1"/>
          <w:sz w:val="24"/>
          <w:szCs w:val="24"/>
          <w:lang w:val="mn-MN"/>
        </w:rPr>
        <w:t>4.</w:t>
      </w:r>
      <w:proofErr w:type="spellStart"/>
      <w:r w:rsidR="00214492" w:rsidRPr="001A386D">
        <w:rPr>
          <w:rFonts w:ascii="Arial" w:hAnsi="Arial" w:cs="Arial"/>
          <w:color w:val="000000" w:themeColor="text1"/>
          <w:sz w:val="24"/>
          <w:szCs w:val="24"/>
          <w:shd w:val="clear" w:color="auto" w:fill="FFFFFF"/>
        </w:rPr>
        <w:t>Засгийн</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газрын</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өрийн</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өнөөгийн</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үнэ</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цэнээр</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илэрхийлэгдсэн</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үлдэгдэл</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нь</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тухайн</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жилийн</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оны</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үнээр</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тооцсон</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дотоодын</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нийт</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бүтээгдэхүүний</w:t>
      </w:r>
      <w:proofErr w:type="spellEnd"/>
      <w:r w:rsidR="00214492" w:rsidRPr="001A386D">
        <w:rPr>
          <w:rFonts w:ascii="Arial" w:hAnsi="Arial" w:cs="Arial"/>
          <w:color w:val="000000" w:themeColor="text1"/>
          <w:sz w:val="24"/>
          <w:szCs w:val="24"/>
          <w:shd w:val="clear" w:color="auto" w:fill="FFFFFF"/>
        </w:rPr>
        <w:t xml:space="preserve"> 60 </w:t>
      </w:r>
      <w:proofErr w:type="spellStart"/>
      <w:r w:rsidR="00214492" w:rsidRPr="001A386D">
        <w:rPr>
          <w:rFonts w:ascii="Arial" w:hAnsi="Arial" w:cs="Arial"/>
          <w:color w:val="000000" w:themeColor="text1"/>
          <w:sz w:val="24"/>
          <w:szCs w:val="24"/>
          <w:shd w:val="clear" w:color="auto" w:fill="FFFFFF"/>
        </w:rPr>
        <w:t>хувиас</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хэтрэхгүй</w:t>
      </w:r>
      <w:proofErr w:type="spellEnd"/>
      <w:r w:rsidR="00214492" w:rsidRPr="001A386D">
        <w:rPr>
          <w:rFonts w:ascii="Arial" w:hAnsi="Arial" w:cs="Arial"/>
          <w:color w:val="000000" w:themeColor="text1"/>
          <w:sz w:val="24"/>
          <w:szCs w:val="24"/>
          <w:shd w:val="clear" w:color="auto" w:fill="FFFFFF"/>
        </w:rPr>
        <w:t xml:space="preserve"> </w:t>
      </w:r>
      <w:proofErr w:type="spellStart"/>
      <w:r w:rsidR="00214492" w:rsidRPr="001A386D">
        <w:rPr>
          <w:rFonts w:ascii="Arial" w:hAnsi="Arial" w:cs="Arial"/>
          <w:color w:val="000000" w:themeColor="text1"/>
          <w:sz w:val="24"/>
          <w:szCs w:val="24"/>
          <w:shd w:val="clear" w:color="auto" w:fill="FFFFFF"/>
        </w:rPr>
        <w:t>байх</w:t>
      </w:r>
      <w:proofErr w:type="spellEnd"/>
      <w:r w:rsidR="002420ED" w:rsidRPr="001A386D">
        <w:rPr>
          <w:rFonts w:ascii="Arial" w:hAnsi="Arial" w:cs="Arial"/>
          <w:color w:val="000000" w:themeColor="text1"/>
          <w:sz w:val="24"/>
          <w:szCs w:val="24"/>
          <w:lang w:val="mn-MN"/>
        </w:rPr>
        <w:t>:</w:t>
      </w:r>
      <w:r w:rsidR="002420ED" w:rsidRPr="001A386D">
        <w:rPr>
          <w:rFonts w:ascii="Arial" w:hAnsi="Arial" w:cs="Arial"/>
          <w:b/>
          <w:bCs/>
          <w:color w:val="000000" w:themeColor="text1"/>
          <w:sz w:val="24"/>
          <w:szCs w:val="24"/>
          <w:lang w:val="mn-MN"/>
        </w:rPr>
        <w:t xml:space="preserve"> </w:t>
      </w:r>
    </w:p>
    <w:p w14:paraId="472CD377" w14:textId="77777777" w:rsidR="00214492" w:rsidRPr="001A386D" w:rsidRDefault="00214492" w:rsidP="00214492">
      <w:pPr>
        <w:spacing w:after="0" w:line="240" w:lineRule="auto"/>
        <w:ind w:firstLine="567"/>
        <w:jc w:val="both"/>
        <w:rPr>
          <w:rFonts w:ascii="Arial" w:hAnsi="Arial" w:cs="Arial"/>
          <w:color w:val="000000" w:themeColor="text1"/>
          <w:sz w:val="24"/>
          <w:szCs w:val="24"/>
          <w:lang w:val="mn-MN"/>
        </w:rPr>
      </w:pPr>
    </w:p>
    <w:p w14:paraId="14628A53" w14:textId="6C742F6D" w:rsidR="002420ED" w:rsidRPr="00214492" w:rsidRDefault="002420ED" w:rsidP="00214492">
      <w:pPr>
        <w:spacing w:after="0" w:line="240" w:lineRule="auto"/>
        <w:ind w:firstLine="567"/>
        <w:jc w:val="both"/>
        <w:rPr>
          <w:rFonts w:ascii="Arial" w:hAnsi="Arial" w:cs="Arial"/>
          <w:color w:val="333333"/>
          <w:sz w:val="24"/>
          <w:szCs w:val="24"/>
          <w:shd w:val="clear" w:color="auto" w:fill="FFFFFF"/>
        </w:rPr>
      </w:pPr>
      <w:r w:rsidRPr="001A386D">
        <w:rPr>
          <w:rFonts w:ascii="Arial" w:eastAsia="Arial" w:hAnsi="Arial" w:cs="Arial"/>
          <w:color w:val="000000" w:themeColor="text1"/>
          <w:sz w:val="24"/>
          <w:szCs w:val="24"/>
          <w:lang w:val="mn-MN"/>
        </w:rPr>
        <w:t xml:space="preserve">Төсвийн тогтвортой байдлын тухай хуулийн 19 дүгээр зүйлийн 19.3-т </w:t>
      </w:r>
      <w:r w:rsidR="00214492" w:rsidRPr="001A386D">
        <w:rPr>
          <w:rFonts w:ascii="Arial" w:eastAsia="Arial" w:hAnsi="Arial" w:cs="Arial"/>
          <w:color w:val="000000" w:themeColor="text1"/>
          <w:sz w:val="24"/>
          <w:szCs w:val="24"/>
        </w:rPr>
        <w:t>“</w:t>
      </w:r>
      <w:proofErr w:type="spellStart"/>
      <w:r w:rsidR="00214492" w:rsidRPr="001A386D">
        <w:rPr>
          <w:rFonts w:ascii="Arial" w:eastAsia="Arial" w:hAnsi="Arial" w:cs="Arial"/>
          <w:color w:val="000000" w:themeColor="text1"/>
          <w:sz w:val="24"/>
          <w:szCs w:val="24"/>
        </w:rPr>
        <w:t>Энэ</w:t>
      </w:r>
      <w:proofErr w:type="spellEnd"/>
      <w:r w:rsidR="00214492" w:rsidRPr="001A386D">
        <w:rPr>
          <w:rFonts w:ascii="Arial" w:eastAsia="Arial" w:hAnsi="Arial" w:cs="Arial"/>
          <w:color w:val="000000" w:themeColor="text1"/>
          <w:sz w:val="24"/>
          <w:szCs w:val="24"/>
        </w:rPr>
        <w:t xml:space="preserve"> </w:t>
      </w:r>
      <w:proofErr w:type="spellStart"/>
      <w:r w:rsidR="00214492" w:rsidRPr="001A386D">
        <w:rPr>
          <w:rFonts w:ascii="Arial" w:eastAsia="Arial" w:hAnsi="Arial" w:cs="Arial"/>
          <w:color w:val="000000" w:themeColor="text1"/>
          <w:sz w:val="24"/>
          <w:szCs w:val="24"/>
        </w:rPr>
        <w:t>хуулийн</w:t>
      </w:r>
      <w:proofErr w:type="spellEnd"/>
      <w:r w:rsidR="00214492" w:rsidRPr="001A386D">
        <w:rPr>
          <w:rFonts w:ascii="Arial" w:eastAsia="Arial" w:hAnsi="Arial" w:cs="Arial"/>
          <w:color w:val="000000" w:themeColor="text1"/>
          <w:sz w:val="24"/>
          <w:szCs w:val="24"/>
        </w:rPr>
        <w:t xml:space="preserve"> </w:t>
      </w:r>
      <w:r w:rsidR="00214492" w:rsidRPr="001A386D">
        <w:rPr>
          <w:rFonts w:ascii="Arial" w:eastAsia="Arial" w:hAnsi="Arial" w:cs="Arial"/>
          <w:color w:val="000000" w:themeColor="text1"/>
          <w:sz w:val="24"/>
          <w:szCs w:val="24"/>
          <w:lang w:val="mn-MN"/>
        </w:rPr>
        <w:t xml:space="preserve">6.1.4-т заасан төсвийн тусгай шаардлагыг үе шаттайгаар хэрэгжүүлэх зорилгоор </w:t>
      </w:r>
      <w:r w:rsidRPr="001A386D">
        <w:rPr>
          <w:rFonts w:ascii="Arial" w:eastAsia="Arial" w:hAnsi="Arial" w:cs="Arial"/>
          <w:color w:val="000000" w:themeColor="text1"/>
          <w:sz w:val="24"/>
          <w:szCs w:val="24"/>
          <w:lang w:val="mn-MN"/>
        </w:rPr>
        <w:t xml:space="preserve">өнөөгийн үнэ цэнээр илэрхийлсэн Засгийн өрийн </w:t>
      </w:r>
      <w:r w:rsidRPr="00214492">
        <w:rPr>
          <w:rFonts w:ascii="Arial" w:eastAsia="Arial" w:hAnsi="Arial" w:cs="Arial"/>
          <w:sz w:val="24"/>
          <w:szCs w:val="24"/>
          <w:lang w:val="mn-MN"/>
        </w:rPr>
        <w:t>үлдэгдлийн</w:t>
      </w:r>
      <w:r w:rsidRPr="001E7C23">
        <w:rPr>
          <w:rFonts w:ascii="Arial" w:eastAsia="Arial" w:hAnsi="Arial" w:cs="Arial"/>
          <w:sz w:val="24"/>
          <w:szCs w:val="24"/>
          <w:lang w:val="mn-MN"/>
        </w:rPr>
        <w:t xml:space="preserve"> дотоодын нийт бүтээгдэхүүнд эзлэх хувь хэмжээг </w:t>
      </w:r>
      <w:r w:rsidR="00214492">
        <w:rPr>
          <w:rFonts w:ascii="Arial" w:eastAsia="Arial" w:hAnsi="Arial" w:cs="Arial"/>
          <w:sz w:val="24"/>
          <w:szCs w:val="24"/>
          <w:lang w:val="mn-MN"/>
        </w:rPr>
        <w:t xml:space="preserve">... </w:t>
      </w:r>
      <w:r w:rsidRPr="001E7C23">
        <w:rPr>
          <w:rFonts w:ascii="Arial" w:eastAsia="Arial" w:hAnsi="Arial" w:cs="Arial"/>
          <w:sz w:val="24"/>
          <w:szCs w:val="24"/>
          <w:lang w:val="mn-MN"/>
        </w:rPr>
        <w:t xml:space="preserve">2022 оны төсвийн жилд 70 хувиас </w:t>
      </w:r>
      <w:r w:rsidR="00214492">
        <w:rPr>
          <w:rFonts w:ascii="Arial" w:eastAsia="Arial" w:hAnsi="Arial" w:cs="Arial"/>
          <w:sz w:val="24"/>
          <w:szCs w:val="24"/>
          <w:lang w:val="mn-MN"/>
        </w:rPr>
        <w:t xml:space="preserve">... </w:t>
      </w:r>
      <w:r w:rsidRPr="001E7C23">
        <w:rPr>
          <w:rFonts w:ascii="Arial" w:eastAsia="Arial" w:hAnsi="Arial" w:cs="Arial"/>
          <w:sz w:val="24"/>
          <w:szCs w:val="24"/>
          <w:lang w:val="mn-MN"/>
        </w:rPr>
        <w:t>хэтрүүлэхгүй бай</w:t>
      </w:r>
      <w:r w:rsidR="00214492">
        <w:rPr>
          <w:rFonts w:ascii="Arial" w:eastAsia="Arial" w:hAnsi="Arial" w:cs="Arial"/>
          <w:sz w:val="24"/>
          <w:szCs w:val="24"/>
          <w:lang w:val="mn-MN"/>
        </w:rPr>
        <w:t>на</w:t>
      </w:r>
      <w:r w:rsidR="00214492">
        <w:rPr>
          <w:rFonts w:ascii="Arial" w:eastAsia="Arial" w:hAnsi="Arial" w:cs="Arial"/>
          <w:sz w:val="24"/>
          <w:szCs w:val="24"/>
        </w:rPr>
        <w:t xml:space="preserve">” </w:t>
      </w:r>
      <w:proofErr w:type="spellStart"/>
      <w:r w:rsidR="00214492">
        <w:rPr>
          <w:rFonts w:ascii="Arial" w:eastAsia="Arial" w:hAnsi="Arial" w:cs="Arial"/>
          <w:sz w:val="24"/>
          <w:szCs w:val="24"/>
        </w:rPr>
        <w:t>гэж</w:t>
      </w:r>
      <w:proofErr w:type="spellEnd"/>
      <w:r w:rsidRPr="001E7C23">
        <w:rPr>
          <w:rFonts w:ascii="Arial" w:eastAsia="Arial" w:hAnsi="Arial" w:cs="Arial"/>
          <w:sz w:val="24"/>
          <w:szCs w:val="24"/>
          <w:lang w:val="mn-MN"/>
        </w:rPr>
        <w:t xml:space="preserve"> заасан. Засгийн газрын өрийн нэрлэсэн үлдэгдэл 2022 оны эцэст 31.9 их наяд төгрөг, өнөөгийн үнэ цэнээр илэрхийлэгдсэн үлдэгдэл 27.7 их наяд төгрөг буюу ДНБ-ий 52.4 хувьтай тэнцүү байгаа нь Төсвийн тогтвортой байдлын тухай хуульд заасан өрийн </w:t>
      </w:r>
      <w:r w:rsidR="00214492">
        <w:rPr>
          <w:rFonts w:ascii="Arial" w:eastAsia="Arial" w:hAnsi="Arial" w:cs="Arial"/>
          <w:sz w:val="24"/>
          <w:szCs w:val="24"/>
          <w:lang w:val="mn-MN"/>
        </w:rPr>
        <w:t>талаар</w:t>
      </w:r>
      <w:r w:rsidR="00214492" w:rsidRPr="001E7C23">
        <w:rPr>
          <w:rFonts w:ascii="Arial" w:eastAsia="Arial" w:hAnsi="Arial" w:cs="Arial"/>
          <w:sz w:val="24"/>
          <w:szCs w:val="24"/>
          <w:lang w:val="mn-MN"/>
        </w:rPr>
        <w:t xml:space="preserve"> </w:t>
      </w:r>
      <w:r w:rsidRPr="001E7C23">
        <w:rPr>
          <w:rFonts w:ascii="Arial" w:eastAsia="Arial" w:hAnsi="Arial" w:cs="Arial"/>
          <w:sz w:val="24"/>
          <w:szCs w:val="24"/>
          <w:lang w:val="mn-MN"/>
        </w:rPr>
        <w:t>тусгай шаардлагыг бүрэн хангаж байна</w:t>
      </w:r>
      <w:r w:rsidR="009D4418" w:rsidRPr="001E7C23">
        <w:rPr>
          <w:rFonts w:ascii="Arial" w:eastAsia="Arial" w:hAnsi="Arial" w:cs="Arial"/>
          <w:sz w:val="24"/>
          <w:szCs w:val="24"/>
          <w:lang w:val="mn-MN"/>
        </w:rPr>
        <w:t>.</w:t>
      </w:r>
    </w:p>
    <w:p w14:paraId="36E36C8E" w14:textId="77777777" w:rsidR="001E7C23" w:rsidRPr="001E7C23" w:rsidRDefault="001E7C23" w:rsidP="001E7C23">
      <w:pPr>
        <w:spacing w:after="0" w:line="240" w:lineRule="auto"/>
        <w:jc w:val="both"/>
        <w:rPr>
          <w:rFonts w:ascii="Arial" w:eastAsia="Arial" w:hAnsi="Arial" w:cs="Arial"/>
          <w:sz w:val="24"/>
          <w:szCs w:val="24"/>
          <w:lang w:val="mn-MN"/>
        </w:rPr>
      </w:pPr>
    </w:p>
    <w:p w14:paraId="7C65F600" w14:textId="0572F771" w:rsidR="009D4418" w:rsidRDefault="00191866" w:rsidP="00214492">
      <w:pPr>
        <w:spacing w:after="0" w:line="240" w:lineRule="auto"/>
        <w:ind w:firstLine="567"/>
        <w:jc w:val="both"/>
        <w:rPr>
          <w:rFonts w:ascii="Arial" w:eastAsia="Arial" w:hAnsi="Arial" w:cs="Arial"/>
          <w:b/>
          <w:bCs/>
          <w:sz w:val="24"/>
          <w:szCs w:val="24"/>
          <w:lang w:val="mn-MN"/>
        </w:rPr>
      </w:pPr>
      <w:r>
        <w:rPr>
          <w:rFonts w:ascii="Arial" w:eastAsia="Arial" w:hAnsi="Arial" w:cs="Arial"/>
          <w:b/>
          <w:bCs/>
          <w:sz w:val="24"/>
          <w:szCs w:val="24"/>
          <w:lang w:val="mn-MN"/>
        </w:rPr>
        <w:t xml:space="preserve">Монгол </w:t>
      </w:r>
      <w:r w:rsidR="009D4418" w:rsidRPr="001E7C23">
        <w:rPr>
          <w:rFonts w:ascii="Arial" w:eastAsia="Arial" w:hAnsi="Arial" w:cs="Arial"/>
          <w:b/>
          <w:bCs/>
          <w:sz w:val="24"/>
          <w:szCs w:val="24"/>
          <w:lang w:val="mn-MN"/>
        </w:rPr>
        <w:t xml:space="preserve">Улсын </w:t>
      </w:r>
      <w:r>
        <w:rPr>
          <w:rFonts w:ascii="Arial" w:eastAsia="Arial" w:hAnsi="Arial" w:cs="Arial"/>
          <w:b/>
          <w:bCs/>
          <w:sz w:val="24"/>
          <w:szCs w:val="24"/>
          <w:lang w:val="mn-MN"/>
        </w:rPr>
        <w:t xml:space="preserve">2022 оны </w:t>
      </w:r>
      <w:r w:rsidR="009D4418" w:rsidRPr="001E7C23">
        <w:rPr>
          <w:rFonts w:ascii="Arial" w:eastAsia="Arial" w:hAnsi="Arial" w:cs="Arial"/>
          <w:b/>
          <w:bCs/>
          <w:sz w:val="24"/>
          <w:szCs w:val="24"/>
          <w:lang w:val="mn-MN"/>
        </w:rPr>
        <w:t>төсвийн орлого, зарлагын талаар:</w:t>
      </w:r>
    </w:p>
    <w:p w14:paraId="18E0655A" w14:textId="77777777" w:rsidR="001E7C23" w:rsidRPr="001E7C23" w:rsidRDefault="001E7C23" w:rsidP="00214492">
      <w:pPr>
        <w:spacing w:after="0" w:line="240" w:lineRule="auto"/>
        <w:ind w:firstLine="567"/>
        <w:jc w:val="both"/>
        <w:rPr>
          <w:rFonts w:ascii="Arial" w:eastAsia="Arial" w:hAnsi="Arial" w:cs="Arial"/>
          <w:b/>
          <w:bCs/>
          <w:sz w:val="24"/>
          <w:szCs w:val="24"/>
          <w:lang w:val="mn-MN"/>
        </w:rPr>
      </w:pPr>
    </w:p>
    <w:p w14:paraId="7C9058A4" w14:textId="4B3E362C" w:rsidR="00637593" w:rsidRDefault="005D0354" w:rsidP="00214492">
      <w:pPr>
        <w:spacing w:after="0" w:line="240" w:lineRule="auto"/>
        <w:ind w:firstLine="567"/>
        <w:jc w:val="both"/>
        <w:rPr>
          <w:rFonts w:ascii="Arial" w:eastAsia="Arial" w:hAnsi="Arial" w:cs="Arial"/>
          <w:sz w:val="24"/>
          <w:szCs w:val="24"/>
          <w:lang w:val="mn-MN"/>
        </w:rPr>
      </w:pPr>
      <w:proofErr w:type="spellStart"/>
      <w:r>
        <w:rPr>
          <w:rFonts w:ascii="Arial" w:eastAsia="Arial" w:hAnsi="Arial" w:cs="Arial"/>
          <w:sz w:val="24"/>
          <w:szCs w:val="24"/>
        </w:rPr>
        <w:t>Монгол</w:t>
      </w:r>
      <w:proofErr w:type="spellEnd"/>
      <w:r>
        <w:rPr>
          <w:rFonts w:ascii="Arial" w:eastAsia="Arial" w:hAnsi="Arial" w:cs="Arial"/>
          <w:sz w:val="24"/>
          <w:szCs w:val="24"/>
        </w:rPr>
        <w:t xml:space="preserve"> </w:t>
      </w:r>
      <w:proofErr w:type="spellStart"/>
      <w:r>
        <w:rPr>
          <w:rFonts w:ascii="Arial" w:eastAsia="Arial" w:hAnsi="Arial" w:cs="Arial"/>
          <w:sz w:val="24"/>
          <w:szCs w:val="24"/>
        </w:rPr>
        <w:t>Улсын</w:t>
      </w:r>
      <w:proofErr w:type="spellEnd"/>
      <w:r>
        <w:rPr>
          <w:rFonts w:ascii="Arial" w:eastAsia="Arial" w:hAnsi="Arial" w:cs="Arial"/>
          <w:sz w:val="24"/>
          <w:szCs w:val="24"/>
        </w:rPr>
        <w:t xml:space="preserve"> 2022 </w:t>
      </w:r>
      <w:proofErr w:type="spellStart"/>
      <w:r>
        <w:rPr>
          <w:rFonts w:ascii="Arial" w:eastAsia="Arial" w:hAnsi="Arial" w:cs="Arial"/>
          <w:sz w:val="24"/>
          <w:szCs w:val="24"/>
        </w:rPr>
        <w:t>оны</w:t>
      </w:r>
      <w:proofErr w:type="spellEnd"/>
      <w:r>
        <w:rPr>
          <w:rFonts w:ascii="Arial" w:eastAsia="Arial" w:hAnsi="Arial" w:cs="Arial"/>
          <w:sz w:val="24"/>
          <w:szCs w:val="24"/>
        </w:rPr>
        <w:t xml:space="preserve"> </w:t>
      </w:r>
      <w:proofErr w:type="spellStart"/>
      <w:r>
        <w:rPr>
          <w:rFonts w:ascii="Arial" w:eastAsia="Arial" w:hAnsi="Arial" w:cs="Arial"/>
          <w:sz w:val="24"/>
          <w:szCs w:val="24"/>
        </w:rPr>
        <w:t>төсвийн</w:t>
      </w:r>
      <w:proofErr w:type="spellEnd"/>
      <w:r>
        <w:rPr>
          <w:rFonts w:ascii="Arial" w:eastAsia="Arial" w:hAnsi="Arial" w:cs="Arial"/>
          <w:sz w:val="24"/>
          <w:szCs w:val="24"/>
        </w:rPr>
        <w:t xml:space="preserve"> </w:t>
      </w:r>
      <w:r w:rsidRPr="001E7C23">
        <w:rPr>
          <w:rFonts w:ascii="Arial" w:eastAsia="Arial" w:hAnsi="Arial" w:cs="Arial"/>
          <w:sz w:val="24"/>
          <w:szCs w:val="24"/>
          <w:lang w:val="mn-MN"/>
        </w:rPr>
        <w:t>н</w:t>
      </w:r>
      <w:r w:rsidR="00637593" w:rsidRPr="001E7C23">
        <w:rPr>
          <w:rFonts w:ascii="Arial" w:eastAsia="Arial" w:hAnsi="Arial" w:cs="Arial"/>
          <w:sz w:val="24"/>
          <w:szCs w:val="24"/>
          <w:lang w:val="mn-MN"/>
        </w:rPr>
        <w:t>ийт орлого ба тусламжий</w:t>
      </w:r>
      <w:r>
        <w:rPr>
          <w:rFonts w:ascii="Arial" w:eastAsia="Arial" w:hAnsi="Arial" w:cs="Arial"/>
          <w:sz w:val="24"/>
          <w:szCs w:val="24"/>
          <w:lang w:val="mn-MN"/>
        </w:rPr>
        <w:t>г</w:t>
      </w:r>
      <w:r w:rsidR="00637593" w:rsidRPr="001E7C23">
        <w:rPr>
          <w:rFonts w:ascii="Arial" w:eastAsia="Arial" w:hAnsi="Arial" w:cs="Arial"/>
          <w:sz w:val="24"/>
          <w:szCs w:val="24"/>
          <w:lang w:val="mn-MN"/>
        </w:rPr>
        <w:t xml:space="preserve"> 9,969.9 тэрбум төгрөг</w:t>
      </w:r>
      <w:r>
        <w:rPr>
          <w:rFonts w:ascii="Arial" w:eastAsia="Arial" w:hAnsi="Arial" w:cs="Arial"/>
          <w:sz w:val="24"/>
          <w:szCs w:val="24"/>
          <w:lang w:val="mn-MN"/>
        </w:rPr>
        <w:t>өөр</w:t>
      </w:r>
      <w:r w:rsidR="00637593" w:rsidRPr="001E7C23">
        <w:rPr>
          <w:rFonts w:ascii="Arial" w:eastAsia="Arial" w:hAnsi="Arial" w:cs="Arial"/>
          <w:sz w:val="24"/>
          <w:szCs w:val="24"/>
          <w:lang w:val="mn-MN"/>
        </w:rPr>
        <w:t xml:space="preserve"> тө</w:t>
      </w:r>
      <w:r>
        <w:rPr>
          <w:rFonts w:ascii="Arial" w:eastAsia="Arial" w:hAnsi="Arial" w:cs="Arial"/>
          <w:sz w:val="24"/>
          <w:szCs w:val="24"/>
          <w:lang w:val="mn-MN"/>
        </w:rPr>
        <w:t>лөвлөснөөс</w:t>
      </w:r>
      <w:r w:rsidR="00637593" w:rsidRPr="001E7C23">
        <w:rPr>
          <w:rFonts w:ascii="Arial" w:eastAsia="Arial" w:hAnsi="Arial" w:cs="Arial"/>
          <w:sz w:val="24"/>
          <w:szCs w:val="24"/>
          <w:lang w:val="mn-MN"/>
        </w:rPr>
        <w:t xml:space="preserve"> 11,629.7 тэрбум төгрөгийг төвлөрүүлж</w:t>
      </w:r>
      <w:r>
        <w:rPr>
          <w:rFonts w:ascii="Arial" w:eastAsia="Arial" w:hAnsi="Arial" w:cs="Arial"/>
          <w:sz w:val="24"/>
          <w:szCs w:val="24"/>
          <w:lang w:val="mn-MN"/>
        </w:rPr>
        <w:t>,</w:t>
      </w:r>
      <w:r w:rsidR="00637593" w:rsidRPr="001E7C23">
        <w:rPr>
          <w:rFonts w:ascii="Arial" w:eastAsia="Arial" w:hAnsi="Arial" w:cs="Arial"/>
          <w:sz w:val="24"/>
          <w:szCs w:val="24"/>
          <w:lang w:val="mn-MN"/>
        </w:rPr>
        <w:t xml:space="preserve"> 116.6 хувийн гүйцэтгэлтэй гарсан. </w:t>
      </w:r>
    </w:p>
    <w:p w14:paraId="675425AD" w14:textId="77777777" w:rsidR="001E7C23" w:rsidRPr="001E7C23" w:rsidRDefault="001E7C23" w:rsidP="00214492">
      <w:pPr>
        <w:spacing w:after="0" w:line="240" w:lineRule="auto"/>
        <w:ind w:firstLine="567"/>
        <w:jc w:val="both"/>
        <w:rPr>
          <w:rFonts w:ascii="Arial" w:eastAsia="Arial" w:hAnsi="Arial" w:cs="Arial"/>
          <w:sz w:val="24"/>
          <w:szCs w:val="24"/>
          <w:lang w:val="mn-MN"/>
        </w:rPr>
      </w:pPr>
    </w:p>
    <w:p w14:paraId="48A596F2" w14:textId="2CB11119" w:rsidR="00637593" w:rsidRDefault="00637593" w:rsidP="00214492">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 xml:space="preserve">Төсвийн тогтворжуулалтын санд 751.7 тэрбум төгрөгийн орлогыг төвлөрүүлэхээр </w:t>
      </w:r>
      <w:r w:rsidR="005D0354">
        <w:rPr>
          <w:rFonts w:ascii="Arial" w:eastAsia="Arial" w:hAnsi="Arial" w:cs="Arial"/>
          <w:sz w:val="24"/>
          <w:szCs w:val="24"/>
          <w:lang w:val="mn-MN"/>
        </w:rPr>
        <w:t>төлөвлөснөөс</w:t>
      </w:r>
      <w:r w:rsidR="005D0354" w:rsidRPr="001E7C23">
        <w:rPr>
          <w:rFonts w:ascii="Arial" w:eastAsia="Arial" w:hAnsi="Arial" w:cs="Arial"/>
          <w:sz w:val="24"/>
          <w:szCs w:val="24"/>
          <w:lang w:val="mn-MN"/>
        </w:rPr>
        <w:t xml:space="preserve"> </w:t>
      </w:r>
      <w:r w:rsidRPr="001E7C23">
        <w:rPr>
          <w:rFonts w:ascii="Arial" w:eastAsia="Arial" w:hAnsi="Arial" w:cs="Arial"/>
          <w:sz w:val="24"/>
          <w:szCs w:val="24"/>
          <w:lang w:val="mn-MN"/>
        </w:rPr>
        <w:t>гүйцэтгэлээр ААНОАТ-ын орлогоос 238.2 тэрбум төгрөг, АМНАТ-ийн орлогоос 1,156.4 тэрбум төгрөг, нийт 1,394.6 тэрбум төгрөгийг төвлөрүүлсэн</w:t>
      </w:r>
      <w:r w:rsidR="005D0354">
        <w:rPr>
          <w:rFonts w:ascii="Arial" w:eastAsia="Arial" w:hAnsi="Arial" w:cs="Arial"/>
          <w:sz w:val="24"/>
          <w:szCs w:val="24"/>
          <w:lang w:val="mn-MN"/>
        </w:rPr>
        <w:t>.</w:t>
      </w:r>
    </w:p>
    <w:p w14:paraId="1872C50A" w14:textId="77777777" w:rsidR="001E7C23" w:rsidRPr="001E7C23" w:rsidRDefault="001E7C23" w:rsidP="00214492">
      <w:pPr>
        <w:spacing w:after="0" w:line="240" w:lineRule="auto"/>
        <w:ind w:firstLine="567"/>
        <w:jc w:val="both"/>
        <w:rPr>
          <w:rFonts w:ascii="Arial" w:eastAsia="Arial" w:hAnsi="Arial" w:cs="Arial"/>
          <w:sz w:val="24"/>
          <w:szCs w:val="24"/>
          <w:lang w:val="mn-MN"/>
        </w:rPr>
      </w:pPr>
    </w:p>
    <w:p w14:paraId="139C9610" w14:textId="65A2C8AE" w:rsidR="00637593" w:rsidRDefault="00637593" w:rsidP="00214492">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 xml:space="preserve">Монгол Улсын </w:t>
      </w:r>
      <w:r w:rsidR="005D0354" w:rsidRPr="001E7C23">
        <w:rPr>
          <w:rFonts w:ascii="Arial" w:eastAsia="Arial" w:hAnsi="Arial" w:cs="Arial"/>
          <w:sz w:val="24"/>
          <w:szCs w:val="24"/>
          <w:lang w:val="mn-MN"/>
        </w:rPr>
        <w:t>2022 он</w:t>
      </w:r>
      <w:r w:rsidR="005D0354">
        <w:rPr>
          <w:rFonts w:ascii="Arial" w:eastAsia="Arial" w:hAnsi="Arial" w:cs="Arial"/>
          <w:sz w:val="24"/>
          <w:szCs w:val="24"/>
          <w:lang w:val="mn-MN"/>
        </w:rPr>
        <w:t>ы</w:t>
      </w:r>
      <w:r w:rsidR="005D0354" w:rsidRPr="001E7C23">
        <w:rPr>
          <w:rFonts w:ascii="Arial" w:eastAsia="Arial" w:hAnsi="Arial" w:cs="Arial"/>
          <w:sz w:val="24"/>
          <w:szCs w:val="24"/>
          <w:lang w:val="mn-MN"/>
        </w:rPr>
        <w:t xml:space="preserve"> </w:t>
      </w:r>
      <w:r w:rsidRPr="001E7C23">
        <w:rPr>
          <w:rFonts w:ascii="Arial" w:eastAsia="Arial" w:hAnsi="Arial" w:cs="Arial"/>
          <w:sz w:val="24"/>
          <w:szCs w:val="24"/>
          <w:lang w:val="mn-MN"/>
        </w:rPr>
        <w:t>төсвийн тэнцвэржүүлсэн орлого ба тусламжийн дүн 10,235.1 тэрбум төгрөгт хүрч, 111.0 хувийн гүйцэтгэлтэй буюу төлөвлөгөөнөөс 1,016.9 тэрбум төгрөг</w:t>
      </w:r>
      <w:r w:rsidR="005D0354">
        <w:rPr>
          <w:rFonts w:ascii="Arial" w:eastAsia="Arial" w:hAnsi="Arial" w:cs="Arial"/>
          <w:sz w:val="24"/>
          <w:szCs w:val="24"/>
          <w:lang w:val="mn-MN"/>
        </w:rPr>
        <w:t>өөр давсан</w:t>
      </w:r>
      <w:r w:rsidRPr="001E7C23">
        <w:rPr>
          <w:rFonts w:ascii="Arial" w:eastAsia="Arial" w:hAnsi="Arial" w:cs="Arial"/>
          <w:sz w:val="24"/>
          <w:szCs w:val="24"/>
          <w:lang w:val="mn-MN"/>
        </w:rPr>
        <w:t xml:space="preserve">, </w:t>
      </w:r>
      <w:r w:rsidR="005D0354">
        <w:rPr>
          <w:rFonts w:ascii="Arial" w:eastAsia="Arial" w:hAnsi="Arial" w:cs="Arial"/>
          <w:sz w:val="24"/>
          <w:szCs w:val="24"/>
          <w:lang w:val="mn-MN"/>
        </w:rPr>
        <w:t xml:space="preserve">мөн </w:t>
      </w:r>
      <w:r w:rsidRPr="001E7C23">
        <w:rPr>
          <w:rFonts w:ascii="Arial" w:eastAsia="Arial" w:hAnsi="Arial" w:cs="Arial"/>
          <w:sz w:val="24"/>
          <w:szCs w:val="24"/>
          <w:lang w:val="mn-MN"/>
        </w:rPr>
        <w:t>өмнөх оны гүйцэтгэлээс 1,181.9 тэрбум төгрөгөөр буюу 13.1 хувиар өссөн үзүүлэлттэй байна.</w:t>
      </w:r>
    </w:p>
    <w:p w14:paraId="7405B015" w14:textId="77777777" w:rsidR="001E7C23" w:rsidRPr="001E7C23" w:rsidRDefault="001E7C23" w:rsidP="00214492">
      <w:pPr>
        <w:spacing w:after="0" w:line="240" w:lineRule="auto"/>
        <w:ind w:firstLine="567"/>
        <w:jc w:val="both"/>
        <w:rPr>
          <w:rFonts w:ascii="Arial" w:eastAsia="Arial" w:hAnsi="Arial" w:cs="Arial"/>
          <w:sz w:val="24"/>
          <w:szCs w:val="24"/>
          <w:lang w:val="mn-MN"/>
        </w:rPr>
      </w:pPr>
    </w:p>
    <w:p w14:paraId="17DFE4B9" w14:textId="30F9B62B" w:rsidR="00637593" w:rsidRPr="00214492" w:rsidRDefault="00637593" w:rsidP="005D0354">
      <w:pPr>
        <w:spacing w:after="0" w:line="240" w:lineRule="auto"/>
        <w:textAlignment w:val="baseline"/>
        <w:rPr>
          <w:rFonts w:ascii="Arial" w:hAnsi="Arial" w:cs="Arial"/>
          <w:i/>
          <w:iCs/>
          <w:sz w:val="24"/>
          <w:szCs w:val="24"/>
          <w:lang w:val="mn-MN"/>
        </w:rPr>
      </w:pPr>
      <w:r w:rsidRPr="001E7C23">
        <w:rPr>
          <w:rFonts w:ascii="Arial" w:hAnsi="Arial" w:cs="Arial"/>
          <w:i/>
          <w:iCs/>
          <w:sz w:val="24"/>
          <w:szCs w:val="24"/>
          <w:lang w:val="mn-MN"/>
        </w:rPr>
        <w:t xml:space="preserve">Монгол Улсын </w:t>
      </w:r>
      <w:r w:rsidR="005D0354" w:rsidRPr="001E7C23">
        <w:rPr>
          <w:rFonts w:ascii="Arial" w:hAnsi="Arial" w:cs="Arial"/>
          <w:i/>
          <w:iCs/>
          <w:sz w:val="24"/>
          <w:szCs w:val="24"/>
          <w:lang w:val="mn-MN"/>
        </w:rPr>
        <w:t xml:space="preserve">2022 оны </w:t>
      </w:r>
      <w:r w:rsidRPr="001E7C23">
        <w:rPr>
          <w:rFonts w:ascii="Arial" w:hAnsi="Arial" w:cs="Arial"/>
          <w:i/>
          <w:iCs/>
          <w:sz w:val="24"/>
          <w:szCs w:val="24"/>
          <w:lang w:val="mn-MN"/>
        </w:rPr>
        <w:t>төсвийн нийт орлого ба тусламжийн дүн /тэрбум төгрөг/</w:t>
      </w:r>
    </w:p>
    <w:tbl>
      <w:tblPr>
        <w:tblW w:w="9479"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CellMar>
          <w:left w:w="0" w:type="dxa"/>
          <w:right w:w="0" w:type="dxa"/>
        </w:tblCellMar>
        <w:tblLook w:val="04A0" w:firstRow="1" w:lastRow="0" w:firstColumn="1" w:lastColumn="0" w:noHBand="0" w:noVBand="1"/>
      </w:tblPr>
      <w:tblGrid>
        <w:gridCol w:w="4390"/>
        <w:gridCol w:w="1134"/>
        <w:gridCol w:w="992"/>
        <w:gridCol w:w="992"/>
        <w:gridCol w:w="992"/>
        <w:gridCol w:w="979"/>
      </w:tblGrid>
      <w:tr w:rsidR="00637593" w:rsidRPr="001E7C23" w14:paraId="05135290" w14:textId="77777777" w:rsidTr="003D102E">
        <w:trPr>
          <w:trHeight w:val="15"/>
          <w:jc w:val="center"/>
        </w:trPr>
        <w:tc>
          <w:tcPr>
            <w:tcW w:w="4390" w:type="dxa"/>
            <w:vMerge w:val="restart"/>
            <w:shd w:val="clear" w:color="auto" w:fill="FFFFFF" w:themeFill="background1"/>
            <w:hideMark/>
          </w:tcPr>
          <w:p w14:paraId="03563F0A" w14:textId="7D827996" w:rsidR="00637593" w:rsidRPr="001E7C23" w:rsidRDefault="00637593" w:rsidP="003D102E">
            <w:pPr>
              <w:spacing w:after="0" w:line="240" w:lineRule="auto"/>
              <w:ind w:firstLine="567"/>
              <w:jc w:val="center"/>
              <w:textAlignment w:val="baseline"/>
              <w:rPr>
                <w:rFonts w:ascii="Arial" w:hAnsi="Arial" w:cs="Arial"/>
                <w:b/>
                <w:bCs/>
                <w:sz w:val="24"/>
                <w:szCs w:val="24"/>
                <w:lang w:val="mn-MN"/>
              </w:rPr>
            </w:pPr>
            <w:bookmarkStart w:id="4" w:name="_Hlk137486185"/>
            <w:r w:rsidRPr="001E7C23">
              <w:rPr>
                <w:rFonts w:ascii="Arial" w:hAnsi="Arial" w:cs="Arial"/>
                <w:b/>
                <w:bCs/>
                <w:sz w:val="24"/>
                <w:szCs w:val="24"/>
                <w:lang w:val="mn-MN"/>
              </w:rPr>
              <w:t>Үзүүлэлт </w:t>
            </w:r>
          </w:p>
        </w:tc>
        <w:tc>
          <w:tcPr>
            <w:tcW w:w="1134" w:type="dxa"/>
            <w:shd w:val="clear" w:color="auto" w:fill="FFFFFF" w:themeFill="background1"/>
            <w:hideMark/>
          </w:tcPr>
          <w:p w14:paraId="1EBD0E18" w14:textId="77777777" w:rsidR="00637593" w:rsidRPr="001E7C23" w:rsidRDefault="00637593" w:rsidP="003D102E">
            <w:pPr>
              <w:spacing w:after="0" w:line="240" w:lineRule="auto"/>
              <w:jc w:val="center"/>
              <w:textAlignment w:val="baseline"/>
              <w:rPr>
                <w:rFonts w:ascii="Arial" w:hAnsi="Arial" w:cs="Arial"/>
                <w:b/>
                <w:bCs/>
                <w:sz w:val="24"/>
                <w:szCs w:val="24"/>
                <w:lang w:val="mn-MN"/>
              </w:rPr>
            </w:pPr>
            <w:r w:rsidRPr="001E7C23">
              <w:rPr>
                <w:rFonts w:ascii="Arial" w:hAnsi="Arial" w:cs="Arial"/>
                <w:b/>
                <w:bCs/>
                <w:sz w:val="24"/>
                <w:szCs w:val="24"/>
                <w:lang w:val="mn-MN"/>
              </w:rPr>
              <w:t>2021 он </w:t>
            </w:r>
          </w:p>
        </w:tc>
        <w:tc>
          <w:tcPr>
            <w:tcW w:w="3955" w:type="dxa"/>
            <w:gridSpan w:val="4"/>
            <w:shd w:val="clear" w:color="auto" w:fill="FFFFFF" w:themeFill="background1"/>
            <w:hideMark/>
          </w:tcPr>
          <w:p w14:paraId="55D26FAE" w14:textId="77777777" w:rsidR="00637593" w:rsidRPr="001E7C23" w:rsidRDefault="00637593" w:rsidP="003D102E">
            <w:pPr>
              <w:spacing w:after="0" w:line="240" w:lineRule="auto"/>
              <w:jc w:val="center"/>
              <w:textAlignment w:val="baseline"/>
              <w:rPr>
                <w:rFonts w:ascii="Arial" w:hAnsi="Arial" w:cs="Arial"/>
                <w:b/>
                <w:bCs/>
                <w:sz w:val="24"/>
                <w:szCs w:val="24"/>
                <w:lang w:val="mn-MN"/>
              </w:rPr>
            </w:pPr>
            <w:r w:rsidRPr="001E7C23">
              <w:rPr>
                <w:rFonts w:ascii="Arial" w:hAnsi="Arial" w:cs="Arial"/>
                <w:b/>
                <w:bCs/>
                <w:sz w:val="24"/>
                <w:szCs w:val="24"/>
                <w:lang w:val="mn-MN"/>
              </w:rPr>
              <w:t>2022 он </w:t>
            </w:r>
          </w:p>
        </w:tc>
      </w:tr>
      <w:tr w:rsidR="005D0354" w:rsidRPr="001E7C23" w14:paraId="403499AF" w14:textId="77777777" w:rsidTr="003D102E">
        <w:trPr>
          <w:trHeight w:val="352"/>
          <w:jc w:val="center"/>
        </w:trPr>
        <w:tc>
          <w:tcPr>
            <w:tcW w:w="4390" w:type="dxa"/>
            <w:vMerge/>
            <w:shd w:val="clear" w:color="auto" w:fill="FFFFFF" w:themeFill="background1"/>
            <w:hideMark/>
          </w:tcPr>
          <w:p w14:paraId="51530473" w14:textId="77777777" w:rsidR="00637593" w:rsidRPr="001E7C23" w:rsidRDefault="00637593" w:rsidP="003D102E">
            <w:pPr>
              <w:spacing w:after="0" w:line="240" w:lineRule="auto"/>
              <w:ind w:firstLine="567"/>
              <w:jc w:val="center"/>
              <w:rPr>
                <w:rFonts w:ascii="Arial" w:hAnsi="Arial" w:cs="Arial"/>
                <w:sz w:val="24"/>
                <w:szCs w:val="24"/>
                <w:lang w:val="mn-MN"/>
              </w:rPr>
            </w:pPr>
          </w:p>
        </w:tc>
        <w:tc>
          <w:tcPr>
            <w:tcW w:w="1134" w:type="dxa"/>
            <w:shd w:val="clear" w:color="auto" w:fill="FFFFFF" w:themeFill="background1"/>
            <w:hideMark/>
          </w:tcPr>
          <w:p w14:paraId="78DE9B12" w14:textId="2B78D09F" w:rsidR="00637593" w:rsidRPr="001E7C23" w:rsidRDefault="00637593" w:rsidP="003D102E">
            <w:pPr>
              <w:spacing w:after="0" w:line="240" w:lineRule="auto"/>
              <w:ind w:right="76"/>
              <w:jc w:val="center"/>
              <w:textAlignment w:val="baseline"/>
              <w:rPr>
                <w:rFonts w:ascii="Arial" w:hAnsi="Arial" w:cs="Arial"/>
                <w:b/>
                <w:bCs/>
                <w:sz w:val="24"/>
                <w:szCs w:val="24"/>
                <w:lang w:val="mn-MN"/>
              </w:rPr>
            </w:pPr>
            <w:r w:rsidRPr="001E7C23">
              <w:rPr>
                <w:rFonts w:ascii="Arial" w:hAnsi="Arial" w:cs="Arial"/>
                <w:b/>
                <w:bCs/>
                <w:sz w:val="24"/>
                <w:szCs w:val="24"/>
                <w:lang w:val="mn-MN"/>
              </w:rPr>
              <w:t>Гүйц </w:t>
            </w:r>
          </w:p>
        </w:tc>
        <w:tc>
          <w:tcPr>
            <w:tcW w:w="992" w:type="dxa"/>
            <w:shd w:val="clear" w:color="auto" w:fill="FFFFFF" w:themeFill="background1"/>
            <w:hideMark/>
          </w:tcPr>
          <w:p w14:paraId="0EF005F1" w14:textId="501FE218" w:rsidR="00637593" w:rsidRPr="001E7C23" w:rsidRDefault="00637593" w:rsidP="003D102E">
            <w:pPr>
              <w:spacing w:after="0" w:line="240" w:lineRule="auto"/>
              <w:jc w:val="center"/>
              <w:textAlignment w:val="baseline"/>
              <w:rPr>
                <w:rFonts w:ascii="Arial" w:hAnsi="Arial" w:cs="Arial"/>
                <w:sz w:val="24"/>
                <w:szCs w:val="24"/>
                <w:lang w:val="mn-MN"/>
              </w:rPr>
            </w:pPr>
            <w:r w:rsidRPr="001E7C23">
              <w:rPr>
                <w:rFonts w:ascii="Arial" w:hAnsi="Arial" w:cs="Arial"/>
                <w:sz w:val="24"/>
                <w:szCs w:val="24"/>
                <w:lang w:val="mn-MN"/>
              </w:rPr>
              <w:t> Төлөв </w:t>
            </w:r>
          </w:p>
        </w:tc>
        <w:tc>
          <w:tcPr>
            <w:tcW w:w="992" w:type="dxa"/>
            <w:shd w:val="clear" w:color="auto" w:fill="FFFFFF" w:themeFill="background1"/>
            <w:hideMark/>
          </w:tcPr>
          <w:p w14:paraId="2920A088" w14:textId="782E6D77" w:rsidR="00637593" w:rsidRPr="001E7C23" w:rsidRDefault="00637593" w:rsidP="003D102E">
            <w:pPr>
              <w:spacing w:after="0" w:line="240" w:lineRule="auto"/>
              <w:jc w:val="center"/>
              <w:textAlignment w:val="baseline"/>
              <w:rPr>
                <w:rFonts w:ascii="Arial" w:hAnsi="Arial" w:cs="Arial"/>
                <w:sz w:val="24"/>
                <w:szCs w:val="24"/>
                <w:lang w:val="mn-MN"/>
              </w:rPr>
            </w:pPr>
            <w:r w:rsidRPr="001E7C23">
              <w:rPr>
                <w:rFonts w:ascii="Arial" w:hAnsi="Arial" w:cs="Arial"/>
                <w:sz w:val="24"/>
                <w:szCs w:val="24"/>
                <w:lang w:val="mn-MN"/>
              </w:rPr>
              <w:t> Гүйц </w:t>
            </w:r>
          </w:p>
        </w:tc>
        <w:tc>
          <w:tcPr>
            <w:tcW w:w="992" w:type="dxa"/>
            <w:shd w:val="clear" w:color="auto" w:fill="FFFFFF" w:themeFill="background1"/>
            <w:hideMark/>
          </w:tcPr>
          <w:p w14:paraId="63BB3ACD" w14:textId="282A6571" w:rsidR="00637593" w:rsidRPr="001E7C23" w:rsidRDefault="00637593" w:rsidP="003D102E">
            <w:pPr>
              <w:spacing w:after="0" w:line="240" w:lineRule="auto"/>
              <w:jc w:val="center"/>
              <w:textAlignment w:val="baseline"/>
              <w:rPr>
                <w:rFonts w:ascii="Arial" w:hAnsi="Arial" w:cs="Arial"/>
                <w:sz w:val="24"/>
                <w:szCs w:val="24"/>
                <w:lang w:val="mn-MN"/>
              </w:rPr>
            </w:pPr>
            <w:r w:rsidRPr="001E7C23">
              <w:rPr>
                <w:rFonts w:ascii="Arial" w:hAnsi="Arial" w:cs="Arial"/>
                <w:sz w:val="24"/>
                <w:szCs w:val="24"/>
                <w:lang w:val="mn-MN"/>
              </w:rPr>
              <w:t>Зөрүү </w:t>
            </w:r>
          </w:p>
        </w:tc>
        <w:tc>
          <w:tcPr>
            <w:tcW w:w="979" w:type="dxa"/>
            <w:shd w:val="clear" w:color="auto" w:fill="FFFFFF" w:themeFill="background1"/>
            <w:hideMark/>
          </w:tcPr>
          <w:p w14:paraId="20CBA98F" w14:textId="539D2EF9" w:rsidR="00637593" w:rsidRPr="001E7C23" w:rsidRDefault="00637593" w:rsidP="003D102E">
            <w:pPr>
              <w:spacing w:after="0" w:line="240" w:lineRule="auto"/>
              <w:jc w:val="center"/>
              <w:textAlignment w:val="baseline"/>
              <w:rPr>
                <w:rFonts w:ascii="Arial" w:hAnsi="Arial" w:cs="Arial"/>
                <w:sz w:val="24"/>
                <w:szCs w:val="24"/>
                <w:lang w:val="mn-MN"/>
              </w:rPr>
            </w:pPr>
            <w:r w:rsidRPr="001E7C23">
              <w:rPr>
                <w:rFonts w:ascii="Arial" w:hAnsi="Arial" w:cs="Arial"/>
                <w:sz w:val="24"/>
                <w:szCs w:val="24"/>
                <w:lang w:val="mn-MN"/>
              </w:rPr>
              <w:t>Хувь </w:t>
            </w:r>
          </w:p>
        </w:tc>
      </w:tr>
      <w:tr w:rsidR="005D0354" w:rsidRPr="001E7C23" w14:paraId="59F77095" w14:textId="77777777" w:rsidTr="003D102E">
        <w:trPr>
          <w:trHeight w:val="15"/>
          <w:jc w:val="center"/>
        </w:trPr>
        <w:tc>
          <w:tcPr>
            <w:tcW w:w="4390" w:type="dxa"/>
            <w:shd w:val="clear" w:color="auto" w:fill="FFFFFF" w:themeFill="background1"/>
            <w:hideMark/>
          </w:tcPr>
          <w:p w14:paraId="3CF89409" w14:textId="0E31A9B3" w:rsidR="00637593" w:rsidRPr="001E7C23" w:rsidRDefault="00637593" w:rsidP="003D102E">
            <w:pPr>
              <w:spacing w:after="0" w:line="240" w:lineRule="auto"/>
              <w:jc w:val="both"/>
              <w:textAlignment w:val="baseline"/>
              <w:rPr>
                <w:rFonts w:ascii="Arial" w:hAnsi="Arial" w:cs="Arial"/>
                <w:sz w:val="24"/>
                <w:szCs w:val="24"/>
                <w:lang w:val="mn-MN"/>
              </w:rPr>
            </w:pPr>
            <w:r w:rsidRPr="001E7C23">
              <w:rPr>
                <w:rFonts w:ascii="Arial" w:hAnsi="Arial" w:cs="Arial"/>
                <w:b/>
                <w:bCs/>
                <w:sz w:val="24"/>
                <w:szCs w:val="24"/>
                <w:lang w:val="mn-MN"/>
              </w:rPr>
              <w:t>Нийт орлого ба тусламжийн дүн</w:t>
            </w:r>
          </w:p>
        </w:tc>
        <w:tc>
          <w:tcPr>
            <w:tcW w:w="1134" w:type="dxa"/>
            <w:shd w:val="clear" w:color="auto" w:fill="FFFFFF" w:themeFill="background1"/>
            <w:hideMark/>
          </w:tcPr>
          <w:p w14:paraId="2753DF5C" w14:textId="77777777" w:rsidR="00637593" w:rsidRPr="001E7C23" w:rsidRDefault="00637593" w:rsidP="005D0354">
            <w:pPr>
              <w:spacing w:after="0" w:line="240" w:lineRule="auto"/>
              <w:ind w:right="76"/>
              <w:jc w:val="right"/>
              <w:textAlignment w:val="baseline"/>
              <w:rPr>
                <w:rFonts w:ascii="Arial" w:hAnsi="Arial" w:cs="Arial"/>
                <w:sz w:val="24"/>
                <w:szCs w:val="24"/>
                <w:lang w:val="mn-MN"/>
              </w:rPr>
            </w:pPr>
            <w:r w:rsidRPr="001E7C23">
              <w:rPr>
                <w:rFonts w:ascii="Arial" w:hAnsi="Arial" w:cs="Arial"/>
                <w:b/>
                <w:bCs/>
                <w:sz w:val="24"/>
                <w:szCs w:val="24"/>
                <w:lang w:val="mn-MN"/>
              </w:rPr>
              <w:t>10,648.1</w:t>
            </w:r>
            <w:r w:rsidRPr="001E7C23">
              <w:rPr>
                <w:rFonts w:ascii="Arial" w:hAnsi="Arial" w:cs="Arial"/>
                <w:sz w:val="24"/>
                <w:szCs w:val="24"/>
                <w:lang w:val="mn-MN"/>
              </w:rPr>
              <w:t> </w:t>
            </w:r>
          </w:p>
        </w:tc>
        <w:tc>
          <w:tcPr>
            <w:tcW w:w="992" w:type="dxa"/>
            <w:shd w:val="clear" w:color="auto" w:fill="FFFFFF" w:themeFill="background1"/>
            <w:hideMark/>
          </w:tcPr>
          <w:p w14:paraId="57AC87D7"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b/>
                <w:bCs/>
                <w:sz w:val="24"/>
                <w:szCs w:val="24"/>
                <w:lang w:val="mn-MN"/>
              </w:rPr>
              <w:t>9,969.9</w:t>
            </w:r>
            <w:r w:rsidRPr="001E7C23">
              <w:rPr>
                <w:rFonts w:ascii="Arial" w:hAnsi="Arial" w:cs="Arial"/>
                <w:sz w:val="24"/>
                <w:szCs w:val="24"/>
                <w:lang w:val="mn-MN"/>
              </w:rPr>
              <w:t> </w:t>
            </w:r>
          </w:p>
        </w:tc>
        <w:tc>
          <w:tcPr>
            <w:tcW w:w="992" w:type="dxa"/>
            <w:shd w:val="clear" w:color="auto" w:fill="FFFFFF" w:themeFill="background1"/>
            <w:hideMark/>
          </w:tcPr>
          <w:p w14:paraId="10E41E85"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b/>
                <w:bCs/>
                <w:sz w:val="24"/>
                <w:szCs w:val="24"/>
                <w:lang w:val="mn-MN"/>
              </w:rPr>
              <w:t>11,629.7</w:t>
            </w:r>
            <w:r w:rsidRPr="001E7C23">
              <w:rPr>
                <w:rFonts w:ascii="Arial" w:hAnsi="Arial" w:cs="Arial"/>
                <w:sz w:val="24"/>
                <w:szCs w:val="24"/>
                <w:lang w:val="mn-MN"/>
              </w:rPr>
              <w:t> </w:t>
            </w:r>
          </w:p>
        </w:tc>
        <w:tc>
          <w:tcPr>
            <w:tcW w:w="992" w:type="dxa"/>
            <w:shd w:val="clear" w:color="auto" w:fill="FFFFFF" w:themeFill="background1"/>
            <w:hideMark/>
          </w:tcPr>
          <w:p w14:paraId="1A739EDF"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b/>
                <w:bCs/>
                <w:sz w:val="24"/>
                <w:szCs w:val="24"/>
                <w:lang w:val="mn-MN"/>
              </w:rPr>
              <w:t>1,659.8</w:t>
            </w:r>
            <w:r w:rsidRPr="001E7C23">
              <w:rPr>
                <w:rFonts w:ascii="Arial" w:hAnsi="Arial" w:cs="Arial"/>
                <w:sz w:val="24"/>
                <w:szCs w:val="24"/>
                <w:lang w:val="mn-MN"/>
              </w:rPr>
              <w:t> </w:t>
            </w:r>
          </w:p>
        </w:tc>
        <w:tc>
          <w:tcPr>
            <w:tcW w:w="979" w:type="dxa"/>
            <w:shd w:val="clear" w:color="auto" w:fill="FFFFFF" w:themeFill="background1"/>
            <w:hideMark/>
          </w:tcPr>
          <w:p w14:paraId="60A2A095"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b/>
                <w:bCs/>
                <w:sz w:val="24"/>
                <w:szCs w:val="24"/>
                <w:lang w:val="mn-MN"/>
              </w:rPr>
              <w:t>116.6</w:t>
            </w:r>
            <w:r w:rsidRPr="001E7C23">
              <w:rPr>
                <w:rFonts w:ascii="Arial" w:hAnsi="Arial" w:cs="Arial"/>
                <w:sz w:val="24"/>
                <w:szCs w:val="24"/>
                <w:lang w:val="mn-MN"/>
              </w:rPr>
              <w:t> </w:t>
            </w:r>
          </w:p>
        </w:tc>
      </w:tr>
      <w:tr w:rsidR="005D0354" w:rsidRPr="001E7C23" w14:paraId="36932D39" w14:textId="77777777" w:rsidTr="003D102E">
        <w:trPr>
          <w:trHeight w:val="15"/>
          <w:jc w:val="center"/>
        </w:trPr>
        <w:tc>
          <w:tcPr>
            <w:tcW w:w="4390" w:type="dxa"/>
            <w:shd w:val="clear" w:color="auto" w:fill="FFFFFF" w:themeFill="background1"/>
            <w:hideMark/>
          </w:tcPr>
          <w:p w14:paraId="04A6F905" w14:textId="2578C297" w:rsidR="00637593" w:rsidRPr="001E7C23" w:rsidRDefault="00637593" w:rsidP="003D102E">
            <w:pPr>
              <w:spacing w:after="0" w:line="240" w:lineRule="auto"/>
              <w:jc w:val="both"/>
              <w:textAlignment w:val="baseline"/>
              <w:rPr>
                <w:rFonts w:ascii="Arial" w:hAnsi="Arial" w:cs="Arial"/>
                <w:sz w:val="24"/>
                <w:szCs w:val="24"/>
                <w:lang w:val="mn-MN"/>
              </w:rPr>
            </w:pPr>
            <w:r w:rsidRPr="001E7C23">
              <w:rPr>
                <w:rFonts w:ascii="Arial" w:hAnsi="Arial" w:cs="Arial"/>
                <w:sz w:val="24"/>
                <w:szCs w:val="24"/>
                <w:lang w:val="mn-MN"/>
              </w:rPr>
              <w:t>Тогтворжуулалтын сан</w:t>
            </w:r>
          </w:p>
        </w:tc>
        <w:tc>
          <w:tcPr>
            <w:tcW w:w="1134" w:type="dxa"/>
            <w:shd w:val="clear" w:color="auto" w:fill="FFFFFF" w:themeFill="background1"/>
            <w:hideMark/>
          </w:tcPr>
          <w:p w14:paraId="14ABF615" w14:textId="77777777" w:rsidR="00637593" w:rsidRPr="001E7C23" w:rsidRDefault="00637593" w:rsidP="005D0354">
            <w:pPr>
              <w:spacing w:after="0" w:line="240" w:lineRule="auto"/>
              <w:ind w:right="76"/>
              <w:jc w:val="right"/>
              <w:textAlignment w:val="baseline"/>
              <w:rPr>
                <w:rFonts w:ascii="Arial" w:hAnsi="Arial" w:cs="Arial"/>
                <w:sz w:val="24"/>
                <w:szCs w:val="24"/>
                <w:lang w:val="mn-MN"/>
              </w:rPr>
            </w:pPr>
            <w:r w:rsidRPr="001E7C23">
              <w:rPr>
                <w:rFonts w:ascii="Arial" w:hAnsi="Arial" w:cs="Arial"/>
                <w:sz w:val="24"/>
                <w:szCs w:val="24"/>
                <w:lang w:val="mn-MN"/>
              </w:rPr>
              <w:t>627.9 </w:t>
            </w:r>
          </w:p>
        </w:tc>
        <w:tc>
          <w:tcPr>
            <w:tcW w:w="992" w:type="dxa"/>
            <w:shd w:val="clear" w:color="auto" w:fill="FFFFFF" w:themeFill="background1"/>
            <w:hideMark/>
          </w:tcPr>
          <w:p w14:paraId="240C3F20"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751.7 </w:t>
            </w:r>
          </w:p>
        </w:tc>
        <w:tc>
          <w:tcPr>
            <w:tcW w:w="992" w:type="dxa"/>
            <w:shd w:val="clear" w:color="auto" w:fill="FFFFFF" w:themeFill="background1"/>
            <w:hideMark/>
          </w:tcPr>
          <w:p w14:paraId="04DE6AA6"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1,394.6 </w:t>
            </w:r>
          </w:p>
        </w:tc>
        <w:tc>
          <w:tcPr>
            <w:tcW w:w="992" w:type="dxa"/>
            <w:shd w:val="clear" w:color="auto" w:fill="FFFFFF" w:themeFill="background1"/>
            <w:hideMark/>
          </w:tcPr>
          <w:p w14:paraId="63AE025F"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642.9 </w:t>
            </w:r>
          </w:p>
        </w:tc>
        <w:tc>
          <w:tcPr>
            <w:tcW w:w="979" w:type="dxa"/>
            <w:shd w:val="clear" w:color="auto" w:fill="FFFFFF" w:themeFill="background1"/>
            <w:hideMark/>
          </w:tcPr>
          <w:p w14:paraId="259DECD3"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185.5 </w:t>
            </w:r>
          </w:p>
        </w:tc>
      </w:tr>
      <w:tr w:rsidR="005D0354" w:rsidRPr="001E7C23" w14:paraId="3D45D834" w14:textId="77777777" w:rsidTr="003D102E">
        <w:trPr>
          <w:trHeight w:val="15"/>
          <w:jc w:val="center"/>
        </w:trPr>
        <w:tc>
          <w:tcPr>
            <w:tcW w:w="4390" w:type="dxa"/>
            <w:shd w:val="clear" w:color="auto" w:fill="FFFFFF" w:themeFill="background1"/>
            <w:hideMark/>
          </w:tcPr>
          <w:p w14:paraId="473AC3FD" w14:textId="7E83E86E" w:rsidR="00637593" w:rsidRPr="001E7C23" w:rsidRDefault="00637593" w:rsidP="003D102E">
            <w:pPr>
              <w:spacing w:after="0" w:line="240" w:lineRule="auto"/>
              <w:jc w:val="both"/>
              <w:textAlignment w:val="baseline"/>
              <w:rPr>
                <w:rFonts w:ascii="Arial" w:hAnsi="Arial" w:cs="Arial"/>
                <w:sz w:val="24"/>
                <w:szCs w:val="24"/>
                <w:lang w:val="mn-MN"/>
              </w:rPr>
            </w:pPr>
            <w:r w:rsidRPr="001E7C23">
              <w:rPr>
                <w:rFonts w:ascii="Arial" w:hAnsi="Arial" w:cs="Arial"/>
                <w:sz w:val="24"/>
                <w:szCs w:val="24"/>
                <w:lang w:val="mn-MN"/>
              </w:rPr>
              <w:t>Ирээдүйн өв сан</w:t>
            </w:r>
          </w:p>
        </w:tc>
        <w:tc>
          <w:tcPr>
            <w:tcW w:w="1134" w:type="dxa"/>
            <w:shd w:val="clear" w:color="auto" w:fill="FFFFFF" w:themeFill="background1"/>
            <w:hideMark/>
          </w:tcPr>
          <w:p w14:paraId="347DAA69" w14:textId="77777777" w:rsidR="00637593" w:rsidRPr="001E7C23" w:rsidRDefault="00637593" w:rsidP="005D0354">
            <w:pPr>
              <w:spacing w:after="0" w:line="240" w:lineRule="auto"/>
              <w:ind w:right="76"/>
              <w:jc w:val="right"/>
              <w:textAlignment w:val="baseline"/>
              <w:rPr>
                <w:rFonts w:ascii="Arial" w:hAnsi="Arial" w:cs="Arial"/>
                <w:sz w:val="24"/>
                <w:szCs w:val="24"/>
                <w:lang w:val="mn-MN"/>
              </w:rPr>
            </w:pPr>
            <w:r w:rsidRPr="001E7C23">
              <w:rPr>
                <w:rFonts w:ascii="Arial" w:hAnsi="Arial" w:cs="Arial"/>
                <w:sz w:val="24"/>
                <w:szCs w:val="24"/>
                <w:lang w:val="mn-MN"/>
              </w:rPr>
              <w:t>967.0 </w:t>
            </w:r>
          </w:p>
        </w:tc>
        <w:tc>
          <w:tcPr>
            <w:tcW w:w="992" w:type="dxa"/>
            <w:shd w:val="clear" w:color="auto" w:fill="FFFFFF" w:themeFill="background1"/>
            <w:hideMark/>
          </w:tcPr>
          <w:p w14:paraId="53FF4E64"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 </w:t>
            </w:r>
          </w:p>
        </w:tc>
        <w:tc>
          <w:tcPr>
            <w:tcW w:w="992" w:type="dxa"/>
            <w:shd w:val="clear" w:color="auto" w:fill="FFFFFF" w:themeFill="background1"/>
            <w:hideMark/>
          </w:tcPr>
          <w:p w14:paraId="046F40C7"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 </w:t>
            </w:r>
          </w:p>
        </w:tc>
        <w:tc>
          <w:tcPr>
            <w:tcW w:w="992" w:type="dxa"/>
            <w:shd w:val="clear" w:color="auto" w:fill="FFFFFF" w:themeFill="background1"/>
            <w:hideMark/>
          </w:tcPr>
          <w:p w14:paraId="3B14BBBB"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 </w:t>
            </w:r>
          </w:p>
        </w:tc>
        <w:tc>
          <w:tcPr>
            <w:tcW w:w="979" w:type="dxa"/>
            <w:shd w:val="clear" w:color="auto" w:fill="FFFFFF" w:themeFill="background1"/>
            <w:hideMark/>
          </w:tcPr>
          <w:p w14:paraId="2572B992"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 </w:t>
            </w:r>
          </w:p>
        </w:tc>
      </w:tr>
      <w:tr w:rsidR="005D0354" w:rsidRPr="001E7C23" w14:paraId="47D9D629" w14:textId="77777777" w:rsidTr="003D102E">
        <w:trPr>
          <w:trHeight w:val="15"/>
          <w:jc w:val="center"/>
        </w:trPr>
        <w:tc>
          <w:tcPr>
            <w:tcW w:w="4390" w:type="dxa"/>
            <w:shd w:val="clear" w:color="auto" w:fill="FFFFFF" w:themeFill="background1"/>
            <w:hideMark/>
          </w:tcPr>
          <w:p w14:paraId="3B840547" w14:textId="2A8D019F" w:rsidR="00637593" w:rsidRPr="001E7C23" w:rsidRDefault="00637593" w:rsidP="003D102E">
            <w:pPr>
              <w:spacing w:after="0" w:line="240" w:lineRule="auto"/>
              <w:jc w:val="both"/>
              <w:textAlignment w:val="baseline"/>
              <w:rPr>
                <w:rFonts w:ascii="Arial" w:hAnsi="Arial" w:cs="Arial"/>
                <w:sz w:val="24"/>
                <w:szCs w:val="24"/>
                <w:lang w:val="mn-MN"/>
              </w:rPr>
            </w:pPr>
            <w:r w:rsidRPr="001E7C23">
              <w:rPr>
                <w:rFonts w:ascii="Arial" w:hAnsi="Arial" w:cs="Arial"/>
                <w:b/>
                <w:bCs/>
                <w:sz w:val="24"/>
                <w:szCs w:val="24"/>
                <w:lang w:val="mn-MN"/>
              </w:rPr>
              <w:t>Тэнцвэржүүлсэн орлого ба тусламж</w:t>
            </w:r>
          </w:p>
        </w:tc>
        <w:tc>
          <w:tcPr>
            <w:tcW w:w="1134" w:type="dxa"/>
            <w:shd w:val="clear" w:color="auto" w:fill="FFFFFF" w:themeFill="background1"/>
            <w:hideMark/>
          </w:tcPr>
          <w:p w14:paraId="52CB4C15" w14:textId="77777777" w:rsidR="00637593" w:rsidRPr="001E7C23" w:rsidRDefault="00637593" w:rsidP="005D0354">
            <w:pPr>
              <w:spacing w:after="0" w:line="240" w:lineRule="auto"/>
              <w:ind w:right="76"/>
              <w:jc w:val="right"/>
              <w:textAlignment w:val="baseline"/>
              <w:rPr>
                <w:rFonts w:ascii="Arial" w:hAnsi="Arial" w:cs="Arial"/>
                <w:sz w:val="24"/>
                <w:szCs w:val="24"/>
                <w:lang w:val="mn-MN"/>
              </w:rPr>
            </w:pPr>
            <w:r w:rsidRPr="001E7C23">
              <w:rPr>
                <w:rFonts w:ascii="Arial" w:hAnsi="Arial" w:cs="Arial"/>
                <w:b/>
                <w:bCs/>
                <w:sz w:val="24"/>
                <w:szCs w:val="24"/>
                <w:lang w:val="mn-MN"/>
              </w:rPr>
              <w:t>9,053.2</w:t>
            </w:r>
            <w:r w:rsidRPr="001E7C23">
              <w:rPr>
                <w:rFonts w:ascii="Arial" w:hAnsi="Arial" w:cs="Arial"/>
                <w:sz w:val="24"/>
                <w:szCs w:val="24"/>
                <w:lang w:val="mn-MN"/>
              </w:rPr>
              <w:t> </w:t>
            </w:r>
          </w:p>
        </w:tc>
        <w:tc>
          <w:tcPr>
            <w:tcW w:w="992" w:type="dxa"/>
            <w:shd w:val="clear" w:color="auto" w:fill="FFFFFF" w:themeFill="background1"/>
            <w:hideMark/>
          </w:tcPr>
          <w:p w14:paraId="5C32B2EB"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b/>
                <w:bCs/>
                <w:sz w:val="24"/>
                <w:szCs w:val="24"/>
                <w:lang w:val="mn-MN"/>
              </w:rPr>
              <w:t>9,218.2</w:t>
            </w:r>
            <w:r w:rsidRPr="001E7C23">
              <w:rPr>
                <w:rFonts w:ascii="Arial" w:hAnsi="Arial" w:cs="Arial"/>
                <w:sz w:val="24"/>
                <w:szCs w:val="24"/>
                <w:lang w:val="mn-MN"/>
              </w:rPr>
              <w:t> </w:t>
            </w:r>
          </w:p>
        </w:tc>
        <w:tc>
          <w:tcPr>
            <w:tcW w:w="992" w:type="dxa"/>
            <w:shd w:val="clear" w:color="auto" w:fill="FFFFFF" w:themeFill="background1"/>
            <w:hideMark/>
          </w:tcPr>
          <w:p w14:paraId="2006D3CA" w14:textId="1FAEB969"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b/>
                <w:bCs/>
                <w:sz w:val="24"/>
                <w:szCs w:val="24"/>
                <w:lang w:val="mn-MN"/>
              </w:rPr>
              <w:t>10,235.</w:t>
            </w:r>
            <w:r w:rsidRPr="001E7C23">
              <w:rPr>
                <w:rFonts w:ascii="Arial" w:hAnsi="Arial" w:cs="Arial"/>
                <w:sz w:val="24"/>
                <w:szCs w:val="24"/>
                <w:lang w:val="mn-MN"/>
              </w:rPr>
              <w:t> </w:t>
            </w:r>
          </w:p>
        </w:tc>
        <w:tc>
          <w:tcPr>
            <w:tcW w:w="992" w:type="dxa"/>
            <w:shd w:val="clear" w:color="auto" w:fill="FFFFFF" w:themeFill="background1"/>
            <w:hideMark/>
          </w:tcPr>
          <w:p w14:paraId="40F7ADDF"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b/>
                <w:bCs/>
                <w:sz w:val="24"/>
                <w:szCs w:val="24"/>
                <w:lang w:val="mn-MN"/>
              </w:rPr>
              <w:t>1,016.9</w:t>
            </w:r>
            <w:r w:rsidRPr="001E7C23">
              <w:rPr>
                <w:rFonts w:ascii="Arial" w:hAnsi="Arial" w:cs="Arial"/>
                <w:sz w:val="24"/>
                <w:szCs w:val="24"/>
                <w:lang w:val="mn-MN"/>
              </w:rPr>
              <w:t> </w:t>
            </w:r>
          </w:p>
        </w:tc>
        <w:tc>
          <w:tcPr>
            <w:tcW w:w="979" w:type="dxa"/>
            <w:shd w:val="clear" w:color="auto" w:fill="FFFFFF" w:themeFill="background1"/>
            <w:hideMark/>
          </w:tcPr>
          <w:p w14:paraId="78D61468"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b/>
                <w:bCs/>
                <w:sz w:val="24"/>
                <w:szCs w:val="24"/>
                <w:lang w:val="mn-MN"/>
              </w:rPr>
              <w:t>111.0</w:t>
            </w:r>
            <w:r w:rsidRPr="001E7C23">
              <w:rPr>
                <w:rFonts w:ascii="Arial" w:hAnsi="Arial" w:cs="Arial"/>
                <w:sz w:val="24"/>
                <w:szCs w:val="24"/>
                <w:lang w:val="mn-MN"/>
              </w:rPr>
              <w:t> </w:t>
            </w:r>
          </w:p>
        </w:tc>
      </w:tr>
      <w:tr w:rsidR="005D0354" w:rsidRPr="001E7C23" w14:paraId="5EF73FDE" w14:textId="77777777" w:rsidTr="003D102E">
        <w:trPr>
          <w:trHeight w:val="15"/>
          <w:jc w:val="center"/>
        </w:trPr>
        <w:tc>
          <w:tcPr>
            <w:tcW w:w="4390" w:type="dxa"/>
            <w:shd w:val="clear" w:color="auto" w:fill="FFFFFF" w:themeFill="background1"/>
            <w:hideMark/>
          </w:tcPr>
          <w:p w14:paraId="0AF9D0D1" w14:textId="1CEC267B" w:rsidR="00637593" w:rsidRPr="001E7C23" w:rsidRDefault="00637593" w:rsidP="003D102E">
            <w:pPr>
              <w:spacing w:after="0" w:line="240" w:lineRule="auto"/>
              <w:jc w:val="both"/>
              <w:textAlignment w:val="baseline"/>
              <w:rPr>
                <w:rFonts w:ascii="Arial" w:hAnsi="Arial" w:cs="Arial"/>
                <w:sz w:val="24"/>
                <w:szCs w:val="24"/>
                <w:lang w:val="mn-MN"/>
              </w:rPr>
            </w:pPr>
            <w:r w:rsidRPr="001E7C23">
              <w:rPr>
                <w:rFonts w:ascii="Arial" w:hAnsi="Arial" w:cs="Arial"/>
                <w:sz w:val="24"/>
                <w:szCs w:val="24"/>
                <w:lang w:val="mn-MN"/>
              </w:rPr>
              <w:t>Татварын орлого</w:t>
            </w:r>
          </w:p>
        </w:tc>
        <w:tc>
          <w:tcPr>
            <w:tcW w:w="1134" w:type="dxa"/>
            <w:shd w:val="clear" w:color="auto" w:fill="FFFFFF" w:themeFill="background1"/>
            <w:hideMark/>
          </w:tcPr>
          <w:p w14:paraId="2CCCA750" w14:textId="77777777" w:rsidR="00637593" w:rsidRPr="001E7C23" w:rsidRDefault="00637593" w:rsidP="005D0354">
            <w:pPr>
              <w:spacing w:after="0" w:line="240" w:lineRule="auto"/>
              <w:ind w:right="76"/>
              <w:jc w:val="right"/>
              <w:textAlignment w:val="baseline"/>
              <w:rPr>
                <w:rFonts w:ascii="Arial" w:hAnsi="Arial" w:cs="Arial"/>
                <w:sz w:val="24"/>
                <w:szCs w:val="24"/>
                <w:lang w:val="mn-MN"/>
              </w:rPr>
            </w:pPr>
            <w:r w:rsidRPr="001E7C23">
              <w:rPr>
                <w:rFonts w:ascii="Arial" w:hAnsi="Arial" w:cs="Arial"/>
                <w:sz w:val="24"/>
                <w:szCs w:val="24"/>
                <w:lang w:val="mn-MN"/>
              </w:rPr>
              <w:t>7,361.3 </w:t>
            </w:r>
          </w:p>
        </w:tc>
        <w:tc>
          <w:tcPr>
            <w:tcW w:w="992" w:type="dxa"/>
            <w:shd w:val="clear" w:color="auto" w:fill="FFFFFF" w:themeFill="background1"/>
            <w:hideMark/>
          </w:tcPr>
          <w:p w14:paraId="423B632E"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7,468.0 </w:t>
            </w:r>
          </w:p>
        </w:tc>
        <w:tc>
          <w:tcPr>
            <w:tcW w:w="992" w:type="dxa"/>
            <w:shd w:val="clear" w:color="auto" w:fill="FFFFFF" w:themeFill="background1"/>
            <w:hideMark/>
          </w:tcPr>
          <w:p w14:paraId="7B58C19C"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8,917.8 </w:t>
            </w:r>
          </w:p>
        </w:tc>
        <w:tc>
          <w:tcPr>
            <w:tcW w:w="992" w:type="dxa"/>
            <w:shd w:val="clear" w:color="auto" w:fill="FFFFFF" w:themeFill="background1"/>
            <w:hideMark/>
          </w:tcPr>
          <w:p w14:paraId="17087F13"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1,449.8 </w:t>
            </w:r>
          </w:p>
        </w:tc>
        <w:tc>
          <w:tcPr>
            <w:tcW w:w="979" w:type="dxa"/>
            <w:shd w:val="clear" w:color="auto" w:fill="FFFFFF" w:themeFill="background1"/>
            <w:hideMark/>
          </w:tcPr>
          <w:p w14:paraId="3BFFCA0E"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119.4 </w:t>
            </w:r>
          </w:p>
        </w:tc>
      </w:tr>
      <w:tr w:rsidR="005D0354" w:rsidRPr="001E7C23" w14:paraId="0206C8A9" w14:textId="77777777" w:rsidTr="003D102E">
        <w:trPr>
          <w:trHeight w:val="15"/>
          <w:jc w:val="center"/>
        </w:trPr>
        <w:tc>
          <w:tcPr>
            <w:tcW w:w="4390" w:type="dxa"/>
            <w:shd w:val="clear" w:color="auto" w:fill="FFFFFF" w:themeFill="background1"/>
            <w:hideMark/>
          </w:tcPr>
          <w:p w14:paraId="4E5A1E1C" w14:textId="3E27EE42" w:rsidR="00637593" w:rsidRPr="001E7C23" w:rsidRDefault="00637593" w:rsidP="003D102E">
            <w:pPr>
              <w:spacing w:after="0" w:line="240" w:lineRule="auto"/>
              <w:jc w:val="both"/>
              <w:textAlignment w:val="baseline"/>
              <w:rPr>
                <w:rFonts w:ascii="Arial" w:hAnsi="Arial" w:cs="Arial"/>
                <w:sz w:val="24"/>
                <w:szCs w:val="24"/>
                <w:lang w:val="mn-MN"/>
              </w:rPr>
            </w:pPr>
            <w:r w:rsidRPr="001E7C23">
              <w:rPr>
                <w:rFonts w:ascii="Arial" w:hAnsi="Arial" w:cs="Arial"/>
                <w:sz w:val="24"/>
                <w:szCs w:val="24"/>
                <w:lang w:val="mn-MN"/>
              </w:rPr>
              <w:t>Татварын бус орлого</w:t>
            </w:r>
          </w:p>
        </w:tc>
        <w:tc>
          <w:tcPr>
            <w:tcW w:w="1134" w:type="dxa"/>
            <w:shd w:val="clear" w:color="auto" w:fill="FFFFFF" w:themeFill="background1"/>
            <w:hideMark/>
          </w:tcPr>
          <w:p w14:paraId="7241F8AD" w14:textId="77777777" w:rsidR="00637593" w:rsidRPr="001E7C23" w:rsidRDefault="00637593" w:rsidP="005D0354">
            <w:pPr>
              <w:spacing w:after="0" w:line="240" w:lineRule="auto"/>
              <w:ind w:right="76"/>
              <w:jc w:val="right"/>
              <w:textAlignment w:val="baseline"/>
              <w:rPr>
                <w:rFonts w:ascii="Arial" w:hAnsi="Arial" w:cs="Arial"/>
                <w:sz w:val="24"/>
                <w:szCs w:val="24"/>
                <w:lang w:val="mn-MN"/>
              </w:rPr>
            </w:pPr>
            <w:r w:rsidRPr="001E7C23">
              <w:rPr>
                <w:rFonts w:ascii="Arial" w:hAnsi="Arial" w:cs="Arial"/>
                <w:sz w:val="24"/>
                <w:szCs w:val="24"/>
                <w:lang w:val="mn-MN"/>
              </w:rPr>
              <w:t>1,691.9 </w:t>
            </w:r>
          </w:p>
        </w:tc>
        <w:tc>
          <w:tcPr>
            <w:tcW w:w="992" w:type="dxa"/>
            <w:shd w:val="clear" w:color="auto" w:fill="FFFFFF" w:themeFill="background1"/>
            <w:hideMark/>
          </w:tcPr>
          <w:p w14:paraId="67EE0340"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1,750.2 </w:t>
            </w:r>
          </w:p>
        </w:tc>
        <w:tc>
          <w:tcPr>
            <w:tcW w:w="992" w:type="dxa"/>
            <w:shd w:val="clear" w:color="auto" w:fill="FFFFFF" w:themeFill="background1"/>
            <w:hideMark/>
          </w:tcPr>
          <w:p w14:paraId="30FF9893"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1,317.3 </w:t>
            </w:r>
          </w:p>
        </w:tc>
        <w:tc>
          <w:tcPr>
            <w:tcW w:w="992" w:type="dxa"/>
            <w:shd w:val="clear" w:color="auto" w:fill="FFFFFF" w:themeFill="background1"/>
            <w:hideMark/>
          </w:tcPr>
          <w:p w14:paraId="588D0F93" w14:textId="77777777"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(432.9) </w:t>
            </w:r>
          </w:p>
        </w:tc>
        <w:tc>
          <w:tcPr>
            <w:tcW w:w="979" w:type="dxa"/>
            <w:shd w:val="clear" w:color="auto" w:fill="FFFFFF" w:themeFill="background1"/>
            <w:hideMark/>
          </w:tcPr>
          <w:p w14:paraId="369B61E1" w14:textId="31A53F44" w:rsidR="00637593" w:rsidRPr="001E7C23" w:rsidRDefault="00637593" w:rsidP="005D0354">
            <w:pPr>
              <w:spacing w:after="0" w:line="240" w:lineRule="auto"/>
              <w:jc w:val="right"/>
              <w:textAlignment w:val="baseline"/>
              <w:rPr>
                <w:rFonts w:ascii="Arial" w:hAnsi="Arial" w:cs="Arial"/>
                <w:sz w:val="24"/>
                <w:szCs w:val="24"/>
                <w:lang w:val="mn-MN"/>
              </w:rPr>
            </w:pPr>
            <w:r w:rsidRPr="001E7C23">
              <w:rPr>
                <w:rFonts w:ascii="Arial" w:hAnsi="Arial" w:cs="Arial"/>
                <w:sz w:val="24"/>
                <w:szCs w:val="24"/>
                <w:lang w:val="mn-MN"/>
              </w:rPr>
              <w:t>75.3 </w:t>
            </w:r>
          </w:p>
        </w:tc>
      </w:tr>
      <w:bookmarkEnd w:id="4"/>
    </w:tbl>
    <w:p w14:paraId="594CBFA7" w14:textId="77777777" w:rsidR="00637593" w:rsidRPr="001E7C23" w:rsidRDefault="00637593" w:rsidP="00214492">
      <w:pPr>
        <w:spacing w:after="0" w:line="240" w:lineRule="auto"/>
        <w:ind w:firstLine="567"/>
        <w:jc w:val="both"/>
        <w:rPr>
          <w:rFonts w:ascii="Arial" w:eastAsia="Arial" w:hAnsi="Arial" w:cs="Arial"/>
          <w:sz w:val="24"/>
          <w:szCs w:val="24"/>
          <w:lang w:val="mn-MN"/>
        </w:rPr>
      </w:pPr>
    </w:p>
    <w:p w14:paraId="1A773AD6" w14:textId="53E641B6" w:rsidR="003D015A" w:rsidRPr="001E7C23" w:rsidRDefault="003D015A" w:rsidP="00214492">
      <w:pPr>
        <w:pStyle w:val="paragraph"/>
        <w:ind w:firstLine="567"/>
        <w:jc w:val="both"/>
        <w:textAlignment w:val="baseline"/>
        <w:rPr>
          <w:rFonts w:ascii="Arial" w:hAnsi="Arial" w:cs="Arial"/>
          <w:color w:val="000000" w:themeColor="text1"/>
          <w:lang w:val="mn-MN"/>
        </w:rPr>
      </w:pPr>
      <w:r w:rsidRPr="001E7C23">
        <w:rPr>
          <w:rFonts w:ascii="Arial" w:hAnsi="Arial" w:cs="Arial"/>
          <w:color w:val="000000" w:themeColor="text1"/>
          <w:lang w:val="mn-MN"/>
        </w:rPr>
        <w:t xml:space="preserve">2022 онд дэлхий нийтийг хамарсан </w:t>
      </w:r>
      <w:r w:rsidR="005D33E4">
        <w:rPr>
          <w:rFonts w:ascii="Arial" w:hAnsi="Arial" w:cs="Arial"/>
          <w:color w:val="000000" w:themeColor="text1"/>
          <w:lang w:val="mn-MN"/>
        </w:rPr>
        <w:t>К</w:t>
      </w:r>
      <w:r w:rsidR="003D102E">
        <w:rPr>
          <w:rFonts w:ascii="Arial" w:hAnsi="Arial" w:cs="Arial"/>
          <w:color w:val="000000" w:themeColor="text1"/>
          <w:lang w:val="mn-MN"/>
        </w:rPr>
        <w:t xml:space="preserve">овид-19 </w:t>
      </w:r>
      <w:r w:rsidRPr="001E7C23">
        <w:rPr>
          <w:rFonts w:ascii="Arial" w:hAnsi="Arial" w:cs="Arial"/>
          <w:color w:val="000000" w:themeColor="text1"/>
          <w:lang w:val="mn-MN"/>
        </w:rPr>
        <w:t>цар тахлын төгсгөлтэй залгаад геополитикийн хурцадмал нөхцөл байдлаас улбаатай сүүлийн 40 жил тохиолдоогүй инфляцын дарамт, урд хөршид тогтоосон хөл хорио, улс орнуудын төв банкнуудын хэрэгжүүлсэн</w:t>
      </w:r>
      <w:r w:rsidR="003D102E">
        <w:rPr>
          <w:rFonts w:ascii="Arial" w:hAnsi="Arial" w:cs="Arial"/>
          <w:color w:val="000000" w:themeColor="text1"/>
          <w:lang w:val="mn-MN"/>
        </w:rPr>
        <w:t xml:space="preserve"> </w:t>
      </w:r>
      <w:r w:rsidRPr="001E7C23">
        <w:rPr>
          <w:rFonts w:ascii="Arial" w:hAnsi="Arial" w:cs="Arial"/>
          <w:color w:val="000000" w:themeColor="text1"/>
          <w:lang w:val="mn-MN"/>
        </w:rPr>
        <w:t xml:space="preserve">мөнгөний эрс хатуу бодлого зэрэг нь манай улсын эдийн засагт томоохон сорилтыг бий болгосон хэдий ч Засгийн газар экспортыг эрчимжүүлж, гадаад валютын нөөцийг нэмэгдүүлэх, эдийн засгийг сэргээхэд чиглэсэн арга хэмжээг үе шаттай авсан. </w:t>
      </w:r>
    </w:p>
    <w:p w14:paraId="2D12216A" w14:textId="77777777" w:rsidR="003D015A" w:rsidRPr="001E7C23" w:rsidRDefault="003D015A" w:rsidP="00214492">
      <w:pPr>
        <w:spacing w:after="0" w:line="240" w:lineRule="auto"/>
        <w:ind w:firstLine="567"/>
        <w:jc w:val="both"/>
        <w:rPr>
          <w:rFonts w:ascii="Arial" w:hAnsi="Arial" w:cs="Arial"/>
          <w:color w:val="000000" w:themeColor="text1"/>
          <w:sz w:val="24"/>
          <w:szCs w:val="24"/>
          <w:lang w:val="mn-MN"/>
        </w:rPr>
      </w:pPr>
    </w:p>
    <w:p w14:paraId="6B18E142" w14:textId="2344F586" w:rsidR="003D015A" w:rsidRDefault="003D015A" w:rsidP="00214492">
      <w:pPr>
        <w:spacing w:after="0" w:line="240" w:lineRule="auto"/>
        <w:ind w:firstLine="567"/>
        <w:jc w:val="both"/>
        <w:rPr>
          <w:rFonts w:ascii="Arial" w:hAnsi="Arial" w:cs="Arial"/>
          <w:color w:val="000000" w:themeColor="text1"/>
          <w:sz w:val="24"/>
          <w:szCs w:val="24"/>
          <w:lang w:val="mn-MN"/>
        </w:rPr>
      </w:pPr>
      <w:r w:rsidRPr="001E7C23">
        <w:rPr>
          <w:rFonts w:ascii="Arial" w:hAnsi="Arial" w:cs="Arial"/>
          <w:color w:val="000000" w:themeColor="text1"/>
          <w:sz w:val="24"/>
          <w:szCs w:val="24"/>
          <w:lang w:val="mn-MN"/>
        </w:rPr>
        <w:t xml:space="preserve">Тухайлбал: Шатахуун, газрын тосны бүтээгдэхүүний үнийг хямдруулсан нөхцөлөөр худалдан авах хэлцлийг хийж, хилийн боомтуудын үйл ажиллагааг </w:t>
      </w:r>
      <w:r w:rsidRPr="001E7C23">
        <w:rPr>
          <w:rFonts w:ascii="Arial" w:hAnsi="Arial" w:cs="Arial"/>
          <w:color w:val="000000" w:themeColor="text1"/>
          <w:sz w:val="24"/>
          <w:szCs w:val="24"/>
          <w:lang w:val="mn-MN"/>
        </w:rPr>
        <w:lastRenderedPageBreak/>
        <w:t>сайжруулж, терминал, тээврийн асуудлыг нэгдсэн удирдлагаар хангах замаар нүүрсний экспортыг нэмэгдүүлсэн, мөн Засгийн газрын 2022 оны 362 дугаар тогтоолоор Гадаад валютын улсын нөөцийг нэмэгдүүлэх цогц арга хэмжээг үр дүнтэй авч хэрэгжүүлсэн.</w:t>
      </w:r>
    </w:p>
    <w:p w14:paraId="278BE734" w14:textId="77777777" w:rsidR="00214492" w:rsidRPr="001E7C23" w:rsidRDefault="00214492" w:rsidP="00214492">
      <w:pPr>
        <w:spacing w:after="0" w:line="240" w:lineRule="auto"/>
        <w:ind w:firstLine="567"/>
        <w:jc w:val="both"/>
        <w:rPr>
          <w:rFonts w:ascii="Arial" w:hAnsi="Arial" w:cs="Arial"/>
          <w:color w:val="000000" w:themeColor="text1"/>
          <w:sz w:val="24"/>
          <w:szCs w:val="24"/>
          <w:lang w:val="mn-MN"/>
        </w:rPr>
      </w:pPr>
    </w:p>
    <w:p w14:paraId="34867FB0" w14:textId="6EF8C68D" w:rsidR="003D015A" w:rsidRDefault="003D015A" w:rsidP="00214492">
      <w:pPr>
        <w:spacing w:after="0" w:line="240" w:lineRule="auto"/>
        <w:ind w:firstLine="567"/>
        <w:jc w:val="both"/>
        <w:rPr>
          <w:rFonts w:ascii="Arial" w:hAnsi="Arial" w:cs="Arial"/>
          <w:color w:val="000000" w:themeColor="text1"/>
          <w:sz w:val="24"/>
          <w:szCs w:val="24"/>
          <w:lang w:val="mn-MN"/>
        </w:rPr>
      </w:pPr>
      <w:r w:rsidRPr="001E7C23">
        <w:rPr>
          <w:rFonts w:ascii="Arial" w:hAnsi="Arial" w:cs="Arial"/>
          <w:color w:val="000000" w:themeColor="text1"/>
          <w:sz w:val="24"/>
          <w:szCs w:val="24"/>
          <w:lang w:val="mn-MN"/>
        </w:rPr>
        <w:t>Үүний үр дүнд 2022 оны 1 дүгээр улиралд 3.9 хувиар агшаад байсан эдийн засаг оны эцэст 4.8 хувиар өсөж, оны үнээр тооцсон ДНБ 52.9 их наяд төгрөгт</w:t>
      </w:r>
      <w:r w:rsidR="00191866">
        <w:rPr>
          <w:rFonts w:ascii="Arial" w:hAnsi="Arial" w:cs="Arial"/>
          <w:color w:val="000000" w:themeColor="text1"/>
          <w:sz w:val="24"/>
          <w:szCs w:val="24"/>
          <w:lang w:val="mn-MN"/>
        </w:rPr>
        <w:t xml:space="preserve"> хүрснээс гадна</w:t>
      </w:r>
      <w:r w:rsidRPr="001E7C23">
        <w:rPr>
          <w:rFonts w:ascii="Arial" w:hAnsi="Arial" w:cs="Arial"/>
          <w:color w:val="000000" w:themeColor="text1"/>
          <w:sz w:val="24"/>
          <w:szCs w:val="24"/>
          <w:lang w:val="mn-MN"/>
        </w:rPr>
        <w:t xml:space="preserve"> Монгол Улсын төлбөрийн тэнцэл 2022 оны 8 дугаар сард 1.5 тэрбум ам.долларын алдагдалтай, гадаад валютын албан нөөц 2.7 тэрбум ам.долларт хүрч буурс</w:t>
      </w:r>
      <w:r w:rsidR="00FE6F93">
        <w:rPr>
          <w:rFonts w:ascii="Arial" w:hAnsi="Arial" w:cs="Arial"/>
          <w:color w:val="000000" w:themeColor="text1"/>
          <w:sz w:val="24"/>
          <w:szCs w:val="24"/>
          <w:lang w:val="mn-MN"/>
        </w:rPr>
        <w:t>а</w:t>
      </w:r>
      <w:r w:rsidRPr="001E7C23">
        <w:rPr>
          <w:rFonts w:ascii="Arial" w:hAnsi="Arial" w:cs="Arial"/>
          <w:color w:val="000000" w:themeColor="text1"/>
          <w:sz w:val="24"/>
          <w:szCs w:val="24"/>
          <w:lang w:val="mn-MN"/>
        </w:rPr>
        <w:t>н</w:t>
      </w:r>
      <w:r w:rsidR="00FE6F93">
        <w:rPr>
          <w:rFonts w:ascii="Arial" w:hAnsi="Arial" w:cs="Arial"/>
          <w:color w:val="000000" w:themeColor="text1"/>
          <w:sz w:val="24"/>
          <w:szCs w:val="24"/>
          <w:lang w:val="mn-MN"/>
        </w:rPr>
        <w:t xml:space="preserve"> байсан бол </w:t>
      </w:r>
      <w:r w:rsidRPr="001E7C23">
        <w:rPr>
          <w:rFonts w:ascii="Arial" w:hAnsi="Arial" w:cs="Arial"/>
          <w:color w:val="000000" w:themeColor="text1"/>
          <w:sz w:val="24"/>
          <w:szCs w:val="24"/>
          <w:lang w:val="mn-MN"/>
        </w:rPr>
        <w:t xml:space="preserve">оны эцэст 26.1 хувиар нэмэгдэж, 3.4 тэрбум ам.долларт хүрсэн эерэг үзүүлэлт </w:t>
      </w:r>
      <w:r w:rsidR="00FE6F93">
        <w:rPr>
          <w:rFonts w:ascii="Arial" w:hAnsi="Arial" w:cs="Arial"/>
          <w:color w:val="000000" w:themeColor="text1"/>
          <w:sz w:val="24"/>
          <w:szCs w:val="24"/>
          <w:lang w:val="mn-MN"/>
        </w:rPr>
        <w:t>гарсан</w:t>
      </w:r>
      <w:r w:rsidRPr="001E7C23">
        <w:rPr>
          <w:rFonts w:ascii="Arial" w:hAnsi="Arial" w:cs="Arial"/>
          <w:color w:val="000000" w:themeColor="text1"/>
          <w:sz w:val="24"/>
          <w:szCs w:val="24"/>
          <w:lang w:val="mn-MN"/>
        </w:rPr>
        <w:t>.</w:t>
      </w:r>
    </w:p>
    <w:p w14:paraId="6E4EBC63" w14:textId="77777777" w:rsidR="001E7C23" w:rsidRPr="001E7C23" w:rsidRDefault="001E7C23" w:rsidP="00214492">
      <w:pPr>
        <w:spacing w:after="0" w:line="240" w:lineRule="auto"/>
        <w:ind w:firstLine="567"/>
        <w:jc w:val="both"/>
        <w:rPr>
          <w:rFonts w:ascii="Arial" w:hAnsi="Arial" w:cs="Arial"/>
          <w:color w:val="000000" w:themeColor="text1"/>
          <w:sz w:val="24"/>
          <w:szCs w:val="24"/>
          <w:lang w:val="mn-MN"/>
        </w:rPr>
      </w:pPr>
    </w:p>
    <w:p w14:paraId="094285CF" w14:textId="682ADF48" w:rsidR="003D015A" w:rsidRDefault="003D015A" w:rsidP="00214492">
      <w:pPr>
        <w:spacing w:after="0" w:line="240" w:lineRule="auto"/>
        <w:ind w:firstLine="567"/>
        <w:jc w:val="both"/>
        <w:rPr>
          <w:rStyle w:val="normaltextrun1"/>
          <w:rFonts w:ascii="Arial" w:eastAsia="Times New Roman" w:hAnsi="Arial" w:cs="Arial"/>
          <w:color w:val="000000" w:themeColor="text1"/>
          <w:sz w:val="24"/>
          <w:szCs w:val="24"/>
          <w:lang w:val="mn-MN"/>
        </w:rPr>
      </w:pPr>
      <w:r w:rsidRPr="001E7C23">
        <w:rPr>
          <w:rFonts w:ascii="Arial" w:hAnsi="Arial" w:cs="Arial"/>
          <w:color w:val="000000" w:themeColor="text1"/>
          <w:sz w:val="24"/>
          <w:szCs w:val="24"/>
          <w:lang w:val="mn-MN"/>
        </w:rPr>
        <w:t xml:space="preserve">Нүүрсний экспорт </w:t>
      </w:r>
      <w:r w:rsidR="003D102E">
        <w:rPr>
          <w:rFonts w:ascii="Arial" w:hAnsi="Arial" w:cs="Arial"/>
          <w:color w:val="000000" w:themeColor="text1"/>
          <w:sz w:val="24"/>
          <w:szCs w:val="24"/>
          <w:lang w:val="mn-MN"/>
        </w:rPr>
        <w:t xml:space="preserve">тайлант </w:t>
      </w:r>
      <w:r w:rsidRPr="001E7C23">
        <w:rPr>
          <w:rFonts w:ascii="Arial" w:hAnsi="Arial" w:cs="Arial"/>
          <w:color w:val="000000" w:themeColor="text1"/>
          <w:sz w:val="24"/>
          <w:szCs w:val="24"/>
          <w:lang w:val="mn-MN"/>
        </w:rPr>
        <w:t>оны эхний хагаст 8.1 сая тонн буюу өмнөх оны мөн үеэс 12.7 хувиар агшсан</w:t>
      </w:r>
      <w:r w:rsidR="00FE6F93">
        <w:rPr>
          <w:rFonts w:ascii="Arial" w:hAnsi="Arial" w:cs="Arial"/>
          <w:color w:val="000000" w:themeColor="text1"/>
          <w:sz w:val="24"/>
          <w:szCs w:val="24"/>
          <w:lang w:val="mn-MN"/>
        </w:rPr>
        <w:t xml:space="preserve"> байсн</w:t>
      </w:r>
      <w:r w:rsidRPr="001E7C23">
        <w:rPr>
          <w:rFonts w:ascii="Arial" w:hAnsi="Arial" w:cs="Arial"/>
          <w:color w:val="000000" w:themeColor="text1"/>
          <w:sz w:val="24"/>
          <w:szCs w:val="24"/>
          <w:lang w:val="mn-MN"/>
        </w:rPr>
        <w:t xml:space="preserve">ыг 2022 оны эцэст 31.8 сая тонн болгон өмнөх оноос 2 дахин нэмэгдүүлсэн, </w:t>
      </w:r>
      <w:r w:rsidR="00FE6F93">
        <w:rPr>
          <w:rFonts w:ascii="Arial" w:hAnsi="Arial" w:cs="Arial"/>
          <w:color w:val="000000" w:themeColor="text1"/>
          <w:sz w:val="24"/>
          <w:szCs w:val="24"/>
          <w:lang w:val="mn-MN"/>
        </w:rPr>
        <w:t xml:space="preserve">мөн </w:t>
      </w:r>
      <w:r w:rsidRPr="001E7C23">
        <w:rPr>
          <w:rFonts w:ascii="Arial" w:hAnsi="Arial" w:cs="Arial"/>
          <w:color w:val="000000" w:themeColor="text1"/>
          <w:sz w:val="24"/>
          <w:szCs w:val="24"/>
          <w:lang w:val="mn-MN"/>
        </w:rPr>
        <w:t xml:space="preserve">зэсийн баяжмалын экспорт 1,455.2 мянган тоннд хүрч өмнөх оноос 14.6 хувиар өссөн зэрэг нь </w:t>
      </w:r>
      <w:r w:rsidRPr="001E7C23">
        <w:rPr>
          <w:rStyle w:val="normaltextrun1"/>
          <w:rFonts w:ascii="Arial" w:eastAsia="Times New Roman" w:hAnsi="Arial" w:cs="Arial"/>
          <w:color w:val="000000" w:themeColor="text1"/>
          <w:sz w:val="24"/>
          <w:szCs w:val="24"/>
          <w:lang w:val="mn-MN"/>
        </w:rPr>
        <w:t>төсвийн орлогыг нэмэгдүүлэхэд гол нөлөөг үзүүллээ.</w:t>
      </w:r>
    </w:p>
    <w:p w14:paraId="12952B35" w14:textId="77777777" w:rsidR="001E7C23" w:rsidRPr="001E7C23" w:rsidRDefault="001E7C23" w:rsidP="00214492">
      <w:pPr>
        <w:spacing w:after="0" w:line="240" w:lineRule="auto"/>
        <w:ind w:firstLine="567"/>
        <w:jc w:val="both"/>
        <w:rPr>
          <w:rFonts w:ascii="Arial" w:eastAsia="Arial" w:hAnsi="Arial" w:cs="Arial"/>
          <w:sz w:val="24"/>
          <w:szCs w:val="24"/>
          <w:lang w:val="mn-MN"/>
        </w:rPr>
      </w:pPr>
    </w:p>
    <w:p w14:paraId="1F7DB2BA" w14:textId="58E5F247" w:rsidR="003D015A" w:rsidRDefault="00637593" w:rsidP="00214492">
      <w:pPr>
        <w:spacing w:after="0" w:line="240" w:lineRule="auto"/>
        <w:ind w:firstLine="567"/>
        <w:jc w:val="both"/>
        <w:rPr>
          <w:rFonts w:ascii="Arial" w:hAnsi="Arial" w:cs="Arial"/>
          <w:sz w:val="24"/>
          <w:szCs w:val="24"/>
          <w:lang w:val="mn-MN"/>
        </w:rPr>
      </w:pPr>
      <w:r w:rsidRPr="001E7C23">
        <w:rPr>
          <w:rFonts w:ascii="Arial" w:eastAsia="Arial" w:hAnsi="Arial" w:cs="Arial"/>
          <w:sz w:val="24"/>
          <w:szCs w:val="24"/>
          <w:lang w:val="mn-MN"/>
        </w:rPr>
        <w:t xml:space="preserve">Монгол Улсын </w:t>
      </w:r>
      <w:r w:rsidR="003D102E" w:rsidRPr="001E7C23">
        <w:rPr>
          <w:rFonts w:ascii="Arial" w:eastAsia="Arial" w:hAnsi="Arial" w:cs="Arial"/>
          <w:sz w:val="24"/>
          <w:szCs w:val="24"/>
          <w:lang w:val="mn-MN"/>
        </w:rPr>
        <w:t>2022 он</w:t>
      </w:r>
      <w:r w:rsidR="003D102E">
        <w:rPr>
          <w:rFonts w:ascii="Arial" w:eastAsia="Arial" w:hAnsi="Arial" w:cs="Arial"/>
          <w:sz w:val="24"/>
          <w:szCs w:val="24"/>
          <w:lang w:val="mn-MN"/>
        </w:rPr>
        <w:t>ы</w:t>
      </w:r>
      <w:r w:rsidR="003D102E" w:rsidRPr="001E7C23">
        <w:rPr>
          <w:rFonts w:ascii="Arial" w:eastAsia="Arial" w:hAnsi="Arial" w:cs="Arial"/>
          <w:sz w:val="24"/>
          <w:szCs w:val="24"/>
          <w:lang w:val="mn-MN"/>
        </w:rPr>
        <w:t xml:space="preserve"> </w:t>
      </w:r>
      <w:r w:rsidRPr="001E7C23">
        <w:rPr>
          <w:rFonts w:ascii="Arial" w:eastAsia="Arial" w:hAnsi="Arial" w:cs="Arial"/>
          <w:sz w:val="24"/>
          <w:szCs w:val="24"/>
          <w:lang w:val="mn-MN"/>
        </w:rPr>
        <w:t xml:space="preserve">төсвийн нийт зарлага ба цэвэр зээлийн дүн 11,359.9 тэрбум төгрөг буюу 98.2 хувийн гүйцэтгэлтэй гарсан байна. </w:t>
      </w:r>
      <w:r w:rsidR="009A67B7" w:rsidRPr="001E7C23">
        <w:rPr>
          <w:rFonts w:ascii="Arial" w:eastAsia="Arial" w:hAnsi="Arial" w:cs="Arial"/>
          <w:sz w:val="24"/>
          <w:szCs w:val="24"/>
          <w:lang w:val="mn-MN"/>
        </w:rPr>
        <w:t>Улсын төсвийн ний</w:t>
      </w:r>
      <w:r w:rsidR="00CF75DD" w:rsidRPr="001E7C23">
        <w:rPr>
          <w:rFonts w:ascii="Arial" w:eastAsia="Arial" w:hAnsi="Arial" w:cs="Arial"/>
          <w:sz w:val="24"/>
          <w:szCs w:val="24"/>
          <w:lang w:val="mn-MN"/>
        </w:rPr>
        <w:t xml:space="preserve">т тэнцэл </w:t>
      </w:r>
      <w:r w:rsidR="00CF75DD" w:rsidRPr="001E7C23">
        <w:rPr>
          <w:rFonts w:ascii="Arial" w:hAnsi="Arial" w:cs="Arial"/>
          <w:sz w:val="24"/>
          <w:szCs w:val="24"/>
          <w:lang w:val="mn-MN"/>
        </w:rPr>
        <w:t>1,124.8 тэрбум төгрөгийн алдагдалтай гарсан.</w:t>
      </w:r>
    </w:p>
    <w:p w14:paraId="4F934675" w14:textId="77777777" w:rsidR="001E7C23" w:rsidRPr="001E7C23" w:rsidRDefault="001E7C23" w:rsidP="001E7C23">
      <w:pPr>
        <w:spacing w:after="0" w:line="240" w:lineRule="auto"/>
        <w:jc w:val="both"/>
        <w:rPr>
          <w:rFonts w:ascii="Arial" w:hAnsi="Arial" w:cs="Arial"/>
          <w:i/>
          <w:iCs/>
          <w:sz w:val="24"/>
          <w:szCs w:val="24"/>
          <w:lang w:val="mn-MN"/>
        </w:rPr>
      </w:pPr>
    </w:p>
    <w:p w14:paraId="40A0E170" w14:textId="2EDB1E59" w:rsidR="003D102E" w:rsidRPr="003D102E" w:rsidRDefault="00637593" w:rsidP="003D102E">
      <w:pPr>
        <w:spacing w:after="0" w:line="240" w:lineRule="auto"/>
        <w:jc w:val="both"/>
        <w:rPr>
          <w:rFonts w:ascii="Arial" w:hAnsi="Arial" w:cs="Arial"/>
          <w:i/>
          <w:iCs/>
          <w:sz w:val="24"/>
          <w:szCs w:val="24"/>
          <w:lang w:val="mn-MN"/>
        </w:rPr>
      </w:pPr>
      <w:r w:rsidRPr="001E7C23">
        <w:rPr>
          <w:rFonts w:ascii="Arial" w:hAnsi="Arial" w:cs="Arial"/>
          <w:i/>
          <w:iCs/>
          <w:sz w:val="24"/>
          <w:szCs w:val="24"/>
          <w:lang w:val="mn-MN"/>
        </w:rPr>
        <w:t>Монгол Улсын 2022 оны төсвийн нийт зарлага ба цэвэр зээлийн дүн</w:t>
      </w:r>
      <w:r w:rsidR="003D102E">
        <w:rPr>
          <w:rFonts w:ascii="Arial" w:hAnsi="Arial" w:cs="Arial"/>
          <w:i/>
          <w:iCs/>
          <w:sz w:val="24"/>
          <w:szCs w:val="24"/>
          <w:lang w:val="mn-MN"/>
        </w:rPr>
        <w:t xml:space="preserve"> </w:t>
      </w:r>
      <w:r w:rsidRPr="001E7C23">
        <w:rPr>
          <w:rFonts w:ascii="Arial" w:hAnsi="Arial" w:cs="Arial"/>
          <w:i/>
          <w:iCs/>
          <w:sz w:val="24"/>
          <w:szCs w:val="24"/>
          <w:lang w:val="mn-MN"/>
        </w:rPr>
        <w:t>/тэрбум</w:t>
      </w:r>
      <w:r w:rsidR="003D102E">
        <w:rPr>
          <w:rFonts w:ascii="Arial" w:hAnsi="Arial" w:cs="Arial"/>
          <w:i/>
          <w:iCs/>
          <w:sz w:val="24"/>
          <w:szCs w:val="24"/>
          <w:lang w:val="mn-MN"/>
        </w:rPr>
        <w:t xml:space="preserve"> </w:t>
      </w:r>
      <w:r w:rsidRPr="001E7C23">
        <w:rPr>
          <w:rFonts w:ascii="Arial" w:hAnsi="Arial" w:cs="Arial"/>
          <w:i/>
          <w:iCs/>
          <w:sz w:val="24"/>
          <w:szCs w:val="24"/>
          <w:lang w:val="mn-MN"/>
        </w:rPr>
        <w:t>төгрөг/</w:t>
      </w:r>
    </w:p>
    <w:tbl>
      <w:tblPr>
        <w:tblStyle w:val="GridTable4-Accent5"/>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5"/>
        <w:gridCol w:w="3261"/>
        <w:gridCol w:w="1276"/>
        <w:gridCol w:w="1275"/>
        <w:gridCol w:w="1276"/>
        <w:gridCol w:w="1134"/>
        <w:gridCol w:w="1134"/>
      </w:tblGrid>
      <w:tr w:rsidR="00637593" w:rsidRPr="001E7C23" w14:paraId="199EAC6D" w14:textId="77777777" w:rsidTr="003D102E">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68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A97B588" w14:textId="77777777" w:rsidR="00637593" w:rsidRPr="001E7C23" w:rsidRDefault="00637593" w:rsidP="003D102E">
            <w:pPr>
              <w:spacing w:after="0" w:line="240" w:lineRule="auto"/>
              <w:jc w:val="center"/>
              <w:rPr>
                <w:rFonts w:ascii="Arial" w:eastAsia="Arial" w:hAnsi="Arial" w:cs="Arial"/>
                <w:color w:val="auto"/>
                <w:sz w:val="24"/>
                <w:szCs w:val="24"/>
                <w:lang w:val="mn-MN"/>
              </w:rPr>
            </w:pPr>
            <w:r w:rsidRPr="001E7C23">
              <w:rPr>
                <w:rFonts w:ascii="Arial" w:eastAsia="Arial" w:hAnsi="Arial" w:cs="Arial"/>
                <w:color w:val="auto"/>
                <w:sz w:val="24"/>
                <w:szCs w:val="24"/>
                <w:lang w:val="mn-MN"/>
              </w:rPr>
              <w:t>Үзүүлэлт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091C0936" w14:textId="77777777" w:rsidR="00637593" w:rsidRPr="001E7C23" w:rsidRDefault="00637593" w:rsidP="003D102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mn-MN"/>
              </w:rPr>
            </w:pPr>
            <w:r w:rsidRPr="001E7C23">
              <w:rPr>
                <w:rFonts w:ascii="Arial" w:eastAsia="Arial" w:hAnsi="Arial" w:cs="Arial"/>
                <w:color w:val="auto"/>
                <w:sz w:val="24"/>
                <w:szCs w:val="24"/>
                <w:lang w:val="mn-MN"/>
              </w:rPr>
              <w:t>2021 он гүйц</w:t>
            </w:r>
          </w:p>
        </w:tc>
        <w:tc>
          <w:tcPr>
            <w:tcW w:w="4819" w:type="dxa"/>
            <w:gridSpan w:val="4"/>
            <w:tcBorders>
              <w:top w:val="single" w:sz="4" w:space="0" w:color="auto"/>
              <w:left w:val="single" w:sz="4" w:space="0" w:color="auto"/>
              <w:bottom w:val="single" w:sz="4" w:space="0" w:color="auto"/>
              <w:right w:val="single" w:sz="4" w:space="0" w:color="auto"/>
            </w:tcBorders>
            <w:shd w:val="clear" w:color="auto" w:fill="auto"/>
          </w:tcPr>
          <w:p w14:paraId="139A1830" w14:textId="77777777" w:rsidR="00637593" w:rsidRPr="001E7C23" w:rsidRDefault="00637593" w:rsidP="003D102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mn-MN"/>
              </w:rPr>
            </w:pPr>
            <w:r w:rsidRPr="001E7C23">
              <w:rPr>
                <w:rFonts w:ascii="Arial" w:eastAsia="Arial" w:hAnsi="Arial" w:cs="Arial"/>
                <w:color w:val="auto"/>
                <w:sz w:val="24"/>
                <w:szCs w:val="24"/>
                <w:lang w:val="mn-MN"/>
              </w:rPr>
              <w:t>2022 он</w:t>
            </w:r>
          </w:p>
        </w:tc>
      </w:tr>
      <w:tr w:rsidR="00637593" w:rsidRPr="001E7C23" w14:paraId="070C15B0" w14:textId="77777777" w:rsidTr="003D102E">
        <w:trPr>
          <w:trHeight w:val="170"/>
        </w:trPr>
        <w:tc>
          <w:tcPr>
            <w:cnfStyle w:val="001000000000" w:firstRow="0" w:lastRow="0" w:firstColumn="1" w:lastColumn="0" w:oddVBand="0" w:evenVBand="0" w:oddHBand="0" w:evenHBand="0" w:firstRowFirstColumn="0" w:firstRowLastColumn="0" w:lastRowFirstColumn="0" w:lastRowLastColumn="0"/>
            <w:tcW w:w="3686" w:type="dxa"/>
            <w:gridSpan w:val="2"/>
            <w:vMerge/>
            <w:shd w:val="clear" w:color="auto" w:fill="auto"/>
          </w:tcPr>
          <w:p w14:paraId="774993E8" w14:textId="77777777" w:rsidR="00637593" w:rsidRPr="001E7C23" w:rsidRDefault="00637593" w:rsidP="003D102E">
            <w:pPr>
              <w:spacing w:after="0" w:line="240" w:lineRule="auto"/>
              <w:jc w:val="center"/>
              <w:rPr>
                <w:rFonts w:ascii="Arial" w:eastAsia="Arial" w:hAnsi="Arial" w:cs="Arial"/>
                <w:b w:val="0"/>
                <w:bCs w:val="0"/>
                <w:sz w:val="24"/>
                <w:szCs w:val="24"/>
                <w:lang w:val="mn-MN"/>
              </w:rPr>
            </w:pPr>
          </w:p>
        </w:tc>
        <w:tc>
          <w:tcPr>
            <w:tcW w:w="1276" w:type="dxa"/>
            <w:vMerge/>
            <w:shd w:val="clear" w:color="auto" w:fill="auto"/>
          </w:tcPr>
          <w:p w14:paraId="5CBC21F7" w14:textId="77777777" w:rsidR="00637593" w:rsidRPr="001E7C23" w:rsidRDefault="00637593" w:rsidP="003D10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val="mn-MN"/>
              </w:rPr>
            </w:pPr>
          </w:p>
        </w:tc>
        <w:tc>
          <w:tcPr>
            <w:tcW w:w="1275" w:type="dxa"/>
            <w:shd w:val="clear" w:color="auto" w:fill="auto"/>
          </w:tcPr>
          <w:p w14:paraId="386FF625" w14:textId="46E15AE3" w:rsidR="00637593" w:rsidRPr="001E7C23" w:rsidRDefault="00637593" w:rsidP="003D10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val="mn-MN"/>
              </w:rPr>
            </w:pPr>
            <w:r w:rsidRPr="001E7C23">
              <w:rPr>
                <w:rFonts w:ascii="Arial" w:eastAsia="Arial" w:hAnsi="Arial" w:cs="Arial"/>
                <w:sz w:val="24"/>
                <w:szCs w:val="24"/>
                <w:lang w:val="mn-MN"/>
              </w:rPr>
              <w:t>Төлөв</w:t>
            </w:r>
          </w:p>
        </w:tc>
        <w:tc>
          <w:tcPr>
            <w:tcW w:w="1276" w:type="dxa"/>
            <w:shd w:val="clear" w:color="auto" w:fill="auto"/>
          </w:tcPr>
          <w:p w14:paraId="3A42B51F" w14:textId="4E6881B1" w:rsidR="00637593" w:rsidRPr="001E7C23" w:rsidRDefault="00637593" w:rsidP="003D10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val="mn-MN"/>
              </w:rPr>
            </w:pPr>
            <w:r w:rsidRPr="001E7C23">
              <w:rPr>
                <w:rFonts w:ascii="Arial" w:eastAsia="Arial" w:hAnsi="Arial" w:cs="Arial"/>
                <w:sz w:val="24"/>
                <w:szCs w:val="24"/>
                <w:lang w:val="mn-MN"/>
              </w:rPr>
              <w:t>Гүйц</w:t>
            </w:r>
          </w:p>
        </w:tc>
        <w:tc>
          <w:tcPr>
            <w:tcW w:w="1134" w:type="dxa"/>
            <w:shd w:val="clear" w:color="auto" w:fill="auto"/>
          </w:tcPr>
          <w:p w14:paraId="2C2B2B46" w14:textId="1A444B3B" w:rsidR="00637593" w:rsidRPr="001E7C23" w:rsidRDefault="00637593" w:rsidP="003D10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val="mn-MN"/>
              </w:rPr>
            </w:pPr>
            <w:r w:rsidRPr="001E7C23">
              <w:rPr>
                <w:rFonts w:ascii="Arial" w:eastAsia="Arial" w:hAnsi="Arial" w:cs="Arial"/>
                <w:sz w:val="24"/>
                <w:szCs w:val="24"/>
                <w:lang w:val="mn-MN"/>
              </w:rPr>
              <w:t>Хувь</w:t>
            </w:r>
          </w:p>
        </w:tc>
        <w:tc>
          <w:tcPr>
            <w:tcW w:w="1134" w:type="dxa"/>
            <w:shd w:val="clear" w:color="auto" w:fill="auto"/>
          </w:tcPr>
          <w:p w14:paraId="0F27DB13" w14:textId="4906C770" w:rsidR="00637593" w:rsidRPr="001E7C23" w:rsidRDefault="00637593" w:rsidP="003D10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val="mn-MN"/>
              </w:rPr>
            </w:pPr>
            <w:r w:rsidRPr="001E7C23">
              <w:rPr>
                <w:rFonts w:ascii="Arial" w:eastAsia="Arial" w:hAnsi="Arial" w:cs="Arial"/>
                <w:sz w:val="24"/>
                <w:szCs w:val="24"/>
                <w:lang w:val="mn-MN"/>
              </w:rPr>
              <w:t>Зөрүү</w:t>
            </w:r>
          </w:p>
        </w:tc>
      </w:tr>
      <w:tr w:rsidR="00637593" w:rsidRPr="001E7C23" w14:paraId="21DDBC86" w14:textId="77777777" w:rsidTr="003D102E">
        <w:trPr>
          <w:trHeight w:val="170"/>
        </w:trPr>
        <w:tc>
          <w:tcPr>
            <w:cnfStyle w:val="001000000000" w:firstRow="0" w:lastRow="0" w:firstColumn="1" w:lastColumn="0" w:oddVBand="0" w:evenVBand="0" w:oddHBand="0" w:evenHBand="0" w:firstRowFirstColumn="0" w:firstRowLastColumn="0" w:lastRowFirstColumn="0" w:lastRowLastColumn="0"/>
            <w:tcW w:w="3686" w:type="dxa"/>
            <w:gridSpan w:val="2"/>
            <w:shd w:val="clear" w:color="auto" w:fill="auto"/>
          </w:tcPr>
          <w:p w14:paraId="75A8B3BC" w14:textId="241DE596" w:rsidR="00637593" w:rsidRPr="001E7C23" w:rsidRDefault="00637593" w:rsidP="003D102E">
            <w:pPr>
              <w:spacing w:after="0" w:line="240" w:lineRule="auto"/>
              <w:jc w:val="center"/>
              <w:rPr>
                <w:rFonts w:ascii="Arial" w:hAnsi="Arial" w:cs="Arial"/>
                <w:sz w:val="24"/>
                <w:szCs w:val="24"/>
                <w:lang w:val="mn-MN"/>
              </w:rPr>
            </w:pPr>
            <w:r w:rsidRPr="001E7C23">
              <w:rPr>
                <w:rFonts w:ascii="Arial" w:eastAsia="Arial" w:hAnsi="Arial" w:cs="Arial"/>
                <w:sz w:val="24"/>
                <w:szCs w:val="24"/>
                <w:lang w:val="mn-MN"/>
              </w:rPr>
              <w:t>Нийт зарлага ба цэвэр зээлийн дүн</w:t>
            </w:r>
          </w:p>
        </w:tc>
        <w:tc>
          <w:tcPr>
            <w:tcW w:w="1276" w:type="dxa"/>
            <w:shd w:val="clear" w:color="auto" w:fill="auto"/>
          </w:tcPr>
          <w:p w14:paraId="64043957" w14:textId="29FD736D" w:rsidR="00637593" w:rsidRPr="001E7C23" w:rsidRDefault="00637593" w:rsidP="003D10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mn-MN"/>
              </w:rPr>
            </w:pPr>
            <w:r w:rsidRPr="001E7C23">
              <w:rPr>
                <w:rFonts w:ascii="Arial" w:eastAsia="Arial" w:hAnsi="Arial" w:cs="Arial"/>
                <w:b/>
                <w:bCs/>
                <w:sz w:val="24"/>
                <w:szCs w:val="24"/>
                <w:lang w:val="mn-MN"/>
              </w:rPr>
              <w:t>12,160.8</w:t>
            </w:r>
          </w:p>
        </w:tc>
        <w:tc>
          <w:tcPr>
            <w:tcW w:w="1275" w:type="dxa"/>
            <w:shd w:val="clear" w:color="auto" w:fill="auto"/>
          </w:tcPr>
          <w:p w14:paraId="1118BD2A" w14:textId="532D705A" w:rsidR="00637593" w:rsidRPr="001E7C23" w:rsidRDefault="00637593" w:rsidP="003D10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mn-MN"/>
              </w:rPr>
            </w:pPr>
            <w:r w:rsidRPr="001E7C23">
              <w:rPr>
                <w:rFonts w:ascii="Arial" w:eastAsia="Arial" w:hAnsi="Arial" w:cs="Arial"/>
                <w:b/>
                <w:bCs/>
                <w:sz w:val="24"/>
                <w:szCs w:val="24"/>
                <w:lang w:val="mn-MN"/>
              </w:rPr>
              <w:t>11,572.8</w:t>
            </w:r>
          </w:p>
        </w:tc>
        <w:tc>
          <w:tcPr>
            <w:tcW w:w="1276" w:type="dxa"/>
            <w:shd w:val="clear" w:color="auto" w:fill="auto"/>
          </w:tcPr>
          <w:p w14:paraId="7D1D9FB6" w14:textId="7B41DE75" w:rsidR="00637593" w:rsidRPr="001E7C23" w:rsidRDefault="00637593" w:rsidP="003D10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mn-MN"/>
              </w:rPr>
            </w:pPr>
            <w:r w:rsidRPr="001E7C23">
              <w:rPr>
                <w:rFonts w:ascii="Arial" w:eastAsia="Arial" w:hAnsi="Arial" w:cs="Arial"/>
                <w:b/>
                <w:bCs/>
                <w:sz w:val="24"/>
                <w:szCs w:val="24"/>
                <w:lang w:val="mn-MN"/>
              </w:rPr>
              <w:t>11,359.9</w:t>
            </w:r>
          </w:p>
        </w:tc>
        <w:tc>
          <w:tcPr>
            <w:tcW w:w="1134" w:type="dxa"/>
            <w:shd w:val="clear" w:color="auto" w:fill="auto"/>
          </w:tcPr>
          <w:p w14:paraId="748516CE" w14:textId="77777777" w:rsidR="00637593" w:rsidRPr="001E7C23" w:rsidRDefault="00637593" w:rsidP="003D10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mn-MN"/>
              </w:rPr>
            </w:pPr>
            <w:r w:rsidRPr="001E7C23">
              <w:rPr>
                <w:rFonts w:ascii="Arial" w:eastAsia="Arial" w:hAnsi="Arial" w:cs="Arial"/>
                <w:b/>
                <w:bCs/>
                <w:sz w:val="24"/>
                <w:szCs w:val="24"/>
                <w:lang w:val="mn-MN"/>
              </w:rPr>
              <w:t>98.2</w:t>
            </w:r>
          </w:p>
        </w:tc>
        <w:tc>
          <w:tcPr>
            <w:tcW w:w="1134" w:type="dxa"/>
            <w:shd w:val="clear" w:color="auto" w:fill="auto"/>
          </w:tcPr>
          <w:p w14:paraId="30C8C942" w14:textId="77777777" w:rsidR="00637593" w:rsidRPr="001E7C23" w:rsidRDefault="00637593" w:rsidP="003D10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mn-MN"/>
              </w:rPr>
            </w:pPr>
            <w:r w:rsidRPr="001E7C23">
              <w:rPr>
                <w:rFonts w:ascii="Arial" w:eastAsia="Arial" w:hAnsi="Arial" w:cs="Arial"/>
                <w:b/>
                <w:bCs/>
                <w:sz w:val="24"/>
                <w:szCs w:val="24"/>
                <w:lang w:val="mn-MN"/>
              </w:rPr>
              <w:t>212.9</w:t>
            </w:r>
          </w:p>
        </w:tc>
      </w:tr>
      <w:tr w:rsidR="00637593" w:rsidRPr="001E7C23" w14:paraId="62103AD9" w14:textId="77777777" w:rsidTr="003D102E">
        <w:trPr>
          <w:trHeight w:val="170"/>
        </w:trPr>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14:paraId="52962876" w14:textId="77777777" w:rsidR="00637593" w:rsidRPr="001E7C23" w:rsidRDefault="00637593" w:rsidP="003D102E">
            <w:pPr>
              <w:spacing w:after="0" w:line="240" w:lineRule="auto"/>
              <w:jc w:val="right"/>
              <w:rPr>
                <w:rFonts w:ascii="Arial" w:hAnsi="Arial" w:cs="Arial"/>
                <w:sz w:val="24"/>
                <w:szCs w:val="24"/>
                <w:lang w:val="mn-MN"/>
              </w:rPr>
            </w:pPr>
            <w:r w:rsidRPr="001E7C23">
              <w:rPr>
                <w:rFonts w:ascii="Arial" w:eastAsia="Arial" w:hAnsi="Arial" w:cs="Arial"/>
                <w:sz w:val="24"/>
                <w:szCs w:val="24"/>
                <w:lang w:val="mn-MN"/>
              </w:rPr>
              <w:t>А</w:t>
            </w:r>
          </w:p>
        </w:tc>
        <w:tc>
          <w:tcPr>
            <w:tcW w:w="3261" w:type="dxa"/>
            <w:shd w:val="clear" w:color="auto" w:fill="auto"/>
          </w:tcPr>
          <w:p w14:paraId="659B1127" w14:textId="77777777" w:rsidR="00637593" w:rsidRPr="001E7C23" w:rsidRDefault="00637593" w:rsidP="003D10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Урсгал зарлага </w:t>
            </w:r>
          </w:p>
        </w:tc>
        <w:tc>
          <w:tcPr>
            <w:tcW w:w="1276" w:type="dxa"/>
            <w:shd w:val="clear" w:color="auto" w:fill="auto"/>
          </w:tcPr>
          <w:p w14:paraId="08EE00A7"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9,753.8 </w:t>
            </w:r>
          </w:p>
        </w:tc>
        <w:tc>
          <w:tcPr>
            <w:tcW w:w="1275" w:type="dxa"/>
            <w:shd w:val="clear" w:color="auto" w:fill="auto"/>
          </w:tcPr>
          <w:p w14:paraId="2D9BC755" w14:textId="40AF9C9F"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8,848.9 </w:t>
            </w:r>
          </w:p>
        </w:tc>
        <w:tc>
          <w:tcPr>
            <w:tcW w:w="1276" w:type="dxa"/>
            <w:shd w:val="clear" w:color="auto" w:fill="auto"/>
          </w:tcPr>
          <w:p w14:paraId="4C3AD85A" w14:textId="515426EF"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8,483.3 </w:t>
            </w:r>
          </w:p>
        </w:tc>
        <w:tc>
          <w:tcPr>
            <w:tcW w:w="1134" w:type="dxa"/>
            <w:shd w:val="clear" w:color="auto" w:fill="auto"/>
          </w:tcPr>
          <w:p w14:paraId="088AD1AF"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95.9</w:t>
            </w:r>
          </w:p>
        </w:tc>
        <w:tc>
          <w:tcPr>
            <w:tcW w:w="1134" w:type="dxa"/>
            <w:shd w:val="clear" w:color="auto" w:fill="auto"/>
          </w:tcPr>
          <w:p w14:paraId="509AEA02"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365.6</w:t>
            </w:r>
          </w:p>
        </w:tc>
      </w:tr>
      <w:tr w:rsidR="00637593" w:rsidRPr="001E7C23" w14:paraId="7AEF7A10" w14:textId="77777777" w:rsidTr="003D102E">
        <w:trPr>
          <w:trHeight w:val="170"/>
        </w:trPr>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14:paraId="23AE74CB" w14:textId="77777777" w:rsidR="00637593" w:rsidRPr="001E7C23" w:rsidRDefault="00637593" w:rsidP="003D102E">
            <w:pPr>
              <w:spacing w:after="0" w:line="240" w:lineRule="auto"/>
              <w:jc w:val="right"/>
              <w:rPr>
                <w:rFonts w:ascii="Arial" w:hAnsi="Arial" w:cs="Arial"/>
                <w:sz w:val="24"/>
                <w:szCs w:val="24"/>
                <w:lang w:val="mn-MN"/>
              </w:rPr>
            </w:pPr>
            <w:r w:rsidRPr="001E7C23">
              <w:rPr>
                <w:rFonts w:ascii="Arial" w:eastAsia="Arial" w:hAnsi="Arial" w:cs="Arial"/>
                <w:b w:val="0"/>
                <w:bCs w:val="0"/>
                <w:sz w:val="24"/>
                <w:szCs w:val="24"/>
                <w:lang w:val="mn-MN"/>
              </w:rPr>
              <w:t xml:space="preserve"> </w:t>
            </w:r>
          </w:p>
        </w:tc>
        <w:tc>
          <w:tcPr>
            <w:tcW w:w="3261" w:type="dxa"/>
            <w:shd w:val="clear" w:color="auto" w:fill="auto"/>
          </w:tcPr>
          <w:p w14:paraId="76C3610A" w14:textId="77777777" w:rsidR="00637593" w:rsidRPr="001E7C23" w:rsidRDefault="00637593" w:rsidP="003D10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Бараа, ажил үйлчилгээний зардал</w:t>
            </w:r>
            <w:r w:rsidRPr="001E7C23">
              <w:rPr>
                <w:rFonts w:ascii="Arial" w:eastAsia="Arial" w:hAnsi="Arial" w:cs="Arial"/>
                <w:b/>
                <w:bCs/>
                <w:sz w:val="24"/>
                <w:szCs w:val="24"/>
                <w:lang w:val="mn-MN"/>
              </w:rPr>
              <w:t xml:space="preserve"> </w:t>
            </w:r>
          </w:p>
        </w:tc>
        <w:tc>
          <w:tcPr>
            <w:tcW w:w="1276" w:type="dxa"/>
            <w:shd w:val="clear" w:color="auto" w:fill="auto"/>
          </w:tcPr>
          <w:p w14:paraId="406EBFE8"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2,639.3 </w:t>
            </w:r>
          </w:p>
        </w:tc>
        <w:tc>
          <w:tcPr>
            <w:tcW w:w="1275" w:type="dxa"/>
            <w:shd w:val="clear" w:color="auto" w:fill="auto"/>
          </w:tcPr>
          <w:p w14:paraId="73C50A1C" w14:textId="29EFC510"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2,867.4 </w:t>
            </w:r>
          </w:p>
        </w:tc>
        <w:tc>
          <w:tcPr>
            <w:tcW w:w="1276" w:type="dxa"/>
            <w:shd w:val="clear" w:color="auto" w:fill="auto"/>
          </w:tcPr>
          <w:p w14:paraId="6921C46A" w14:textId="49448200"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2,688.8 </w:t>
            </w:r>
          </w:p>
        </w:tc>
        <w:tc>
          <w:tcPr>
            <w:tcW w:w="1134" w:type="dxa"/>
            <w:shd w:val="clear" w:color="auto" w:fill="auto"/>
          </w:tcPr>
          <w:p w14:paraId="4F78F43E"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93.8</w:t>
            </w:r>
          </w:p>
        </w:tc>
        <w:tc>
          <w:tcPr>
            <w:tcW w:w="1134" w:type="dxa"/>
            <w:shd w:val="clear" w:color="auto" w:fill="auto"/>
          </w:tcPr>
          <w:p w14:paraId="6E3ED147"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178.6</w:t>
            </w:r>
          </w:p>
        </w:tc>
      </w:tr>
      <w:tr w:rsidR="00637593" w:rsidRPr="001E7C23" w14:paraId="2E59AF85" w14:textId="77777777" w:rsidTr="003D102E">
        <w:trPr>
          <w:trHeight w:val="170"/>
        </w:trPr>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14:paraId="502ABFF5" w14:textId="77777777" w:rsidR="00637593" w:rsidRPr="001E7C23" w:rsidRDefault="00637593" w:rsidP="003D102E">
            <w:pPr>
              <w:spacing w:after="0" w:line="240" w:lineRule="auto"/>
              <w:jc w:val="right"/>
              <w:rPr>
                <w:rFonts w:ascii="Arial" w:hAnsi="Arial" w:cs="Arial"/>
                <w:sz w:val="24"/>
                <w:szCs w:val="24"/>
                <w:lang w:val="mn-MN"/>
              </w:rPr>
            </w:pPr>
            <w:r w:rsidRPr="001E7C23">
              <w:rPr>
                <w:rFonts w:ascii="Arial" w:eastAsia="Arial" w:hAnsi="Arial" w:cs="Arial"/>
                <w:b w:val="0"/>
                <w:bCs w:val="0"/>
                <w:sz w:val="24"/>
                <w:szCs w:val="24"/>
                <w:lang w:val="mn-MN"/>
              </w:rPr>
              <w:t xml:space="preserve"> </w:t>
            </w:r>
          </w:p>
        </w:tc>
        <w:tc>
          <w:tcPr>
            <w:tcW w:w="3261" w:type="dxa"/>
            <w:shd w:val="clear" w:color="auto" w:fill="auto"/>
          </w:tcPr>
          <w:p w14:paraId="1312F57F" w14:textId="77777777" w:rsidR="00637593" w:rsidRPr="001E7C23" w:rsidRDefault="00637593" w:rsidP="003D10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Хүү</w:t>
            </w:r>
            <w:r w:rsidRPr="001E7C23">
              <w:rPr>
                <w:rFonts w:ascii="Arial" w:eastAsia="Arial" w:hAnsi="Arial" w:cs="Arial"/>
                <w:b/>
                <w:bCs/>
                <w:sz w:val="24"/>
                <w:szCs w:val="24"/>
                <w:lang w:val="mn-MN"/>
              </w:rPr>
              <w:t xml:space="preserve"> </w:t>
            </w:r>
          </w:p>
        </w:tc>
        <w:tc>
          <w:tcPr>
            <w:tcW w:w="1276" w:type="dxa"/>
            <w:shd w:val="clear" w:color="auto" w:fill="auto"/>
          </w:tcPr>
          <w:p w14:paraId="5960B44B"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829.6 </w:t>
            </w:r>
          </w:p>
        </w:tc>
        <w:tc>
          <w:tcPr>
            <w:tcW w:w="1275" w:type="dxa"/>
            <w:shd w:val="clear" w:color="auto" w:fill="auto"/>
          </w:tcPr>
          <w:p w14:paraId="6DF1930F" w14:textId="72CD5BF2"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880.2 </w:t>
            </w:r>
          </w:p>
        </w:tc>
        <w:tc>
          <w:tcPr>
            <w:tcW w:w="1276" w:type="dxa"/>
            <w:shd w:val="clear" w:color="auto" w:fill="auto"/>
          </w:tcPr>
          <w:p w14:paraId="67A3A347" w14:textId="3F5DE66E"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808.0 </w:t>
            </w:r>
          </w:p>
        </w:tc>
        <w:tc>
          <w:tcPr>
            <w:tcW w:w="1134" w:type="dxa"/>
            <w:shd w:val="clear" w:color="auto" w:fill="auto"/>
          </w:tcPr>
          <w:p w14:paraId="0BBBCC50"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91.8</w:t>
            </w:r>
          </w:p>
        </w:tc>
        <w:tc>
          <w:tcPr>
            <w:tcW w:w="1134" w:type="dxa"/>
            <w:shd w:val="clear" w:color="auto" w:fill="auto"/>
          </w:tcPr>
          <w:p w14:paraId="3E99D3A8"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72.2</w:t>
            </w:r>
          </w:p>
        </w:tc>
      </w:tr>
      <w:tr w:rsidR="00637593" w:rsidRPr="001E7C23" w14:paraId="57E9B3F6" w14:textId="77777777" w:rsidTr="003D102E">
        <w:trPr>
          <w:trHeight w:val="170"/>
        </w:trPr>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14:paraId="41AF52D7" w14:textId="77777777" w:rsidR="00637593" w:rsidRPr="001E7C23" w:rsidRDefault="00637593" w:rsidP="003D102E">
            <w:pPr>
              <w:spacing w:after="0" w:line="240" w:lineRule="auto"/>
              <w:jc w:val="right"/>
              <w:rPr>
                <w:rFonts w:ascii="Arial" w:hAnsi="Arial" w:cs="Arial"/>
                <w:sz w:val="24"/>
                <w:szCs w:val="24"/>
                <w:lang w:val="mn-MN"/>
              </w:rPr>
            </w:pPr>
            <w:r w:rsidRPr="001E7C23">
              <w:rPr>
                <w:rFonts w:ascii="Arial" w:eastAsia="Arial" w:hAnsi="Arial" w:cs="Arial"/>
                <w:b w:val="0"/>
                <w:bCs w:val="0"/>
                <w:sz w:val="24"/>
                <w:szCs w:val="24"/>
                <w:lang w:val="mn-MN"/>
              </w:rPr>
              <w:t xml:space="preserve"> </w:t>
            </w:r>
          </w:p>
        </w:tc>
        <w:tc>
          <w:tcPr>
            <w:tcW w:w="3261" w:type="dxa"/>
            <w:shd w:val="clear" w:color="auto" w:fill="auto"/>
          </w:tcPr>
          <w:p w14:paraId="7E09CD8E" w14:textId="77777777" w:rsidR="00637593" w:rsidRPr="001E7C23" w:rsidRDefault="00637593" w:rsidP="003D10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Татаас ба урсгал шилжүүлэг</w:t>
            </w:r>
            <w:r w:rsidRPr="001E7C23">
              <w:rPr>
                <w:rFonts w:ascii="Arial" w:eastAsia="Arial" w:hAnsi="Arial" w:cs="Arial"/>
                <w:b/>
                <w:bCs/>
                <w:sz w:val="24"/>
                <w:szCs w:val="24"/>
                <w:lang w:val="mn-MN"/>
              </w:rPr>
              <w:t xml:space="preserve"> </w:t>
            </w:r>
          </w:p>
        </w:tc>
        <w:tc>
          <w:tcPr>
            <w:tcW w:w="1276" w:type="dxa"/>
            <w:shd w:val="clear" w:color="auto" w:fill="auto"/>
          </w:tcPr>
          <w:p w14:paraId="591FBD6A"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6,284.9 </w:t>
            </w:r>
          </w:p>
        </w:tc>
        <w:tc>
          <w:tcPr>
            <w:tcW w:w="1275" w:type="dxa"/>
            <w:shd w:val="clear" w:color="auto" w:fill="auto"/>
          </w:tcPr>
          <w:p w14:paraId="31B27D06" w14:textId="744B326B"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5,101.3 </w:t>
            </w:r>
          </w:p>
        </w:tc>
        <w:tc>
          <w:tcPr>
            <w:tcW w:w="1276" w:type="dxa"/>
            <w:shd w:val="clear" w:color="auto" w:fill="auto"/>
          </w:tcPr>
          <w:p w14:paraId="27733024" w14:textId="1D37F144"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4,986.5 </w:t>
            </w:r>
          </w:p>
        </w:tc>
        <w:tc>
          <w:tcPr>
            <w:tcW w:w="1134" w:type="dxa"/>
            <w:shd w:val="clear" w:color="auto" w:fill="auto"/>
          </w:tcPr>
          <w:p w14:paraId="090A8A35"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97.7</w:t>
            </w:r>
          </w:p>
        </w:tc>
        <w:tc>
          <w:tcPr>
            <w:tcW w:w="1134" w:type="dxa"/>
            <w:shd w:val="clear" w:color="auto" w:fill="auto"/>
          </w:tcPr>
          <w:p w14:paraId="7464BE69"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114.8</w:t>
            </w:r>
          </w:p>
        </w:tc>
      </w:tr>
      <w:tr w:rsidR="00637593" w:rsidRPr="001E7C23" w14:paraId="5B4A91C8" w14:textId="77777777" w:rsidTr="003D102E">
        <w:trPr>
          <w:trHeight w:val="170"/>
        </w:trPr>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14:paraId="3BA9BAE9" w14:textId="77777777" w:rsidR="00637593" w:rsidRPr="001E7C23" w:rsidRDefault="00637593" w:rsidP="003D102E">
            <w:pPr>
              <w:spacing w:after="0" w:line="240" w:lineRule="auto"/>
              <w:jc w:val="right"/>
              <w:rPr>
                <w:rFonts w:ascii="Arial" w:hAnsi="Arial" w:cs="Arial"/>
                <w:sz w:val="24"/>
                <w:szCs w:val="24"/>
                <w:lang w:val="mn-MN"/>
              </w:rPr>
            </w:pPr>
            <w:r w:rsidRPr="001E7C23">
              <w:rPr>
                <w:rFonts w:ascii="Arial" w:eastAsia="Arial" w:hAnsi="Arial" w:cs="Arial"/>
                <w:sz w:val="24"/>
                <w:szCs w:val="24"/>
                <w:lang w:val="mn-MN"/>
              </w:rPr>
              <w:t>Б</w:t>
            </w:r>
            <w:r w:rsidRPr="001E7C23">
              <w:rPr>
                <w:rFonts w:ascii="Arial" w:eastAsia="Arial" w:hAnsi="Arial" w:cs="Arial"/>
                <w:b w:val="0"/>
                <w:bCs w:val="0"/>
                <w:sz w:val="24"/>
                <w:szCs w:val="24"/>
                <w:lang w:val="mn-MN"/>
              </w:rPr>
              <w:t xml:space="preserve"> </w:t>
            </w:r>
          </w:p>
        </w:tc>
        <w:tc>
          <w:tcPr>
            <w:tcW w:w="3261" w:type="dxa"/>
            <w:shd w:val="clear" w:color="auto" w:fill="auto"/>
          </w:tcPr>
          <w:p w14:paraId="79744E9D" w14:textId="77777777" w:rsidR="00637593" w:rsidRPr="001E7C23" w:rsidRDefault="00637593" w:rsidP="003D10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Хөрөнгийн зардал</w:t>
            </w:r>
            <w:r w:rsidRPr="001E7C23">
              <w:rPr>
                <w:rFonts w:ascii="Arial" w:eastAsia="Arial" w:hAnsi="Arial" w:cs="Arial"/>
                <w:b/>
                <w:bCs/>
                <w:sz w:val="24"/>
                <w:szCs w:val="24"/>
                <w:lang w:val="mn-MN"/>
              </w:rPr>
              <w:t xml:space="preserve"> </w:t>
            </w:r>
          </w:p>
        </w:tc>
        <w:tc>
          <w:tcPr>
            <w:tcW w:w="1276" w:type="dxa"/>
            <w:shd w:val="clear" w:color="auto" w:fill="auto"/>
          </w:tcPr>
          <w:p w14:paraId="7DF8D24B"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2,543.7 </w:t>
            </w:r>
          </w:p>
        </w:tc>
        <w:tc>
          <w:tcPr>
            <w:tcW w:w="1275" w:type="dxa"/>
            <w:shd w:val="clear" w:color="auto" w:fill="auto"/>
          </w:tcPr>
          <w:p w14:paraId="4DA891CA" w14:textId="452AE209"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2,791.5 </w:t>
            </w:r>
          </w:p>
        </w:tc>
        <w:tc>
          <w:tcPr>
            <w:tcW w:w="1276" w:type="dxa"/>
            <w:shd w:val="clear" w:color="auto" w:fill="auto"/>
          </w:tcPr>
          <w:p w14:paraId="56EDC6AD" w14:textId="4A4D204E"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2,764.2 </w:t>
            </w:r>
          </w:p>
        </w:tc>
        <w:tc>
          <w:tcPr>
            <w:tcW w:w="1134" w:type="dxa"/>
            <w:shd w:val="clear" w:color="auto" w:fill="auto"/>
          </w:tcPr>
          <w:p w14:paraId="7AEBC1F2"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99.0</w:t>
            </w:r>
          </w:p>
        </w:tc>
        <w:tc>
          <w:tcPr>
            <w:tcW w:w="1134" w:type="dxa"/>
            <w:shd w:val="clear" w:color="auto" w:fill="auto"/>
          </w:tcPr>
          <w:p w14:paraId="417C5EB8"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27.3</w:t>
            </w:r>
          </w:p>
        </w:tc>
      </w:tr>
      <w:tr w:rsidR="003D102E" w:rsidRPr="001E7C23" w14:paraId="2BBDBAB1" w14:textId="77777777" w:rsidTr="003D102E">
        <w:trPr>
          <w:trHeight w:val="170"/>
        </w:trPr>
        <w:tc>
          <w:tcPr>
            <w:cnfStyle w:val="001000000000" w:firstRow="0" w:lastRow="0" w:firstColumn="1" w:lastColumn="0" w:oddVBand="0" w:evenVBand="0" w:oddHBand="0" w:evenHBand="0" w:firstRowFirstColumn="0" w:firstRowLastColumn="0" w:lastRowFirstColumn="0" w:lastRowLastColumn="0"/>
            <w:tcW w:w="425" w:type="dxa"/>
            <w:shd w:val="clear" w:color="auto" w:fill="auto"/>
          </w:tcPr>
          <w:p w14:paraId="56C796CC" w14:textId="77777777" w:rsidR="00637593" w:rsidRPr="001E7C23" w:rsidRDefault="00637593" w:rsidP="003D102E">
            <w:pPr>
              <w:spacing w:after="0" w:line="240" w:lineRule="auto"/>
              <w:jc w:val="right"/>
              <w:rPr>
                <w:rFonts w:ascii="Arial" w:hAnsi="Arial" w:cs="Arial"/>
                <w:sz w:val="24"/>
                <w:szCs w:val="24"/>
                <w:lang w:val="mn-MN"/>
              </w:rPr>
            </w:pPr>
            <w:r w:rsidRPr="001E7C23">
              <w:rPr>
                <w:rFonts w:ascii="Arial" w:eastAsia="Arial" w:hAnsi="Arial" w:cs="Arial"/>
                <w:sz w:val="24"/>
                <w:szCs w:val="24"/>
                <w:lang w:val="mn-MN"/>
              </w:rPr>
              <w:t>В</w:t>
            </w:r>
            <w:r w:rsidRPr="001E7C23">
              <w:rPr>
                <w:rFonts w:ascii="Arial" w:eastAsia="Arial" w:hAnsi="Arial" w:cs="Arial"/>
                <w:b w:val="0"/>
                <w:bCs w:val="0"/>
                <w:sz w:val="24"/>
                <w:szCs w:val="24"/>
                <w:lang w:val="mn-MN"/>
              </w:rPr>
              <w:t xml:space="preserve"> </w:t>
            </w:r>
          </w:p>
        </w:tc>
        <w:tc>
          <w:tcPr>
            <w:tcW w:w="3261" w:type="dxa"/>
            <w:shd w:val="clear" w:color="auto" w:fill="auto"/>
          </w:tcPr>
          <w:p w14:paraId="41F0F497" w14:textId="77777777" w:rsidR="00637593" w:rsidRPr="001E7C23" w:rsidRDefault="00637593" w:rsidP="003D102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Эргэж төлөгдөх цэвэр зээл</w:t>
            </w:r>
            <w:r w:rsidRPr="001E7C23">
              <w:rPr>
                <w:rFonts w:ascii="Arial" w:eastAsia="Arial" w:hAnsi="Arial" w:cs="Arial"/>
                <w:b/>
                <w:bCs/>
                <w:sz w:val="24"/>
                <w:szCs w:val="24"/>
                <w:lang w:val="mn-MN"/>
              </w:rPr>
              <w:t xml:space="preserve"> </w:t>
            </w:r>
          </w:p>
        </w:tc>
        <w:tc>
          <w:tcPr>
            <w:tcW w:w="1276" w:type="dxa"/>
            <w:shd w:val="clear" w:color="auto" w:fill="auto"/>
          </w:tcPr>
          <w:p w14:paraId="53E40E96"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(136.7) </w:t>
            </w:r>
          </w:p>
        </w:tc>
        <w:tc>
          <w:tcPr>
            <w:tcW w:w="1275" w:type="dxa"/>
            <w:shd w:val="clear" w:color="auto" w:fill="auto"/>
          </w:tcPr>
          <w:p w14:paraId="6F106023" w14:textId="50BBCE6F"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(67.6)</w:t>
            </w:r>
          </w:p>
        </w:tc>
        <w:tc>
          <w:tcPr>
            <w:tcW w:w="1276" w:type="dxa"/>
            <w:shd w:val="clear" w:color="auto" w:fill="auto"/>
          </w:tcPr>
          <w:p w14:paraId="62452223" w14:textId="140A3A4C"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 xml:space="preserve">112.4 </w:t>
            </w:r>
          </w:p>
        </w:tc>
        <w:tc>
          <w:tcPr>
            <w:tcW w:w="1134" w:type="dxa"/>
            <w:shd w:val="clear" w:color="auto" w:fill="auto"/>
          </w:tcPr>
          <w:p w14:paraId="113B89A3"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(166.3)</w:t>
            </w:r>
          </w:p>
        </w:tc>
        <w:tc>
          <w:tcPr>
            <w:tcW w:w="1134" w:type="dxa"/>
            <w:shd w:val="clear" w:color="auto" w:fill="auto"/>
          </w:tcPr>
          <w:p w14:paraId="341BDB6D" w14:textId="77777777" w:rsidR="00637593" w:rsidRPr="001E7C23" w:rsidRDefault="00637593" w:rsidP="003D10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mn-MN"/>
              </w:rPr>
            </w:pPr>
            <w:r w:rsidRPr="001E7C23">
              <w:rPr>
                <w:rFonts w:ascii="Arial" w:eastAsia="Arial" w:hAnsi="Arial" w:cs="Arial"/>
                <w:sz w:val="24"/>
                <w:szCs w:val="24"/>
                <w:lang w:val="mn-MN"/>
              </w:rPr>
              <w:t>(180.0)</w:t>
            </w:r>
          </w:p>
        </w:tc>
      </w:tr>
    </w:tbl>
    <w:p w14:paraId="28AFE6D4" w14:textId="77777777" w:rsidR="00637593" w:rsidRPr="001E7C23" w:rsidRDefault="00637593" w:rsidP="001E7C23">
      <w:pPr>
        <w:spacing w:after="0" w:line="240" w:lineRule="auto"/>
        <w:ind w:firstLine="720"/>
        <w:jc w:val="both"/>
        <w:rPr>
          <w:rFonts w:ascii="Arial" w:eastAsia="Arial" w:hAnsi="Arial" w:cs="Arial"/>
          <w:sz w:val="24"/>
          <w:szCs w:val="24"/>
          <w:lang w:val="mn-MN"/>
        </w:rPr>
      </w:pPr>
    </w:p>
    <w:p w14:paraId="591757BD" w14:textId="6002D8E2" w:rsidR="00BF69AB" w:rsidRDefault="00BF69AB" w:rsidP="003D102E">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Нийт зарлага ба цэвэр зээлийн 74.7 хувийг урсгал зарлага, 24.3 хувийг хөрөнгийн зардал, 1.0 хувийг эргэн төлөгдөх цэвэр зээл эзэлж байна.</w:t>
      </w:r>
    </w:p>
    <w:p w14:paraId="684742E5" w14:textId="77777777" w:rsidR="001E7C23" w:rsidRPr="001E7C23" w:rsidRDefault="001E7C23" w:rsidP="003D102E">
      <w:pPr>
        <w:spacing w:after="0" w:line="240" w:lineRule="auto"/>
        <w:ind w:firstLine="567"/>
        <w:jc w:val="both"/>
        <w:rPr>
          <w:rFonts w:ascii="Arial" w:eastAsia="Arial" w:hAnsi="Arial" w:cs="Arial"/>
          <w:sz w:val="24"/>
          <w:szCs w:val="24"/>
          <w:lang w:val="mn-MN"/>
        </w:rPr>
      </w:pPr>
    </w:p>
    <w:p w14:paraId="38EA839A" w14:textId="374C9AD6" w:rsidR="00BF69AB" w:rsidRDefault="00FE6F93" w:rsidP="003D102E">
      <w:pPr>
        <w:pStyle w:val="Normal1"/>
        <w:spacing w:before="0" w:after="0" w:line="240" w:lineRule="auto"/>
        <w:ind w:firstLine="567"/>
        <w:jc w:val="both"/>
        <w:rPr>
          <w:rFonts w:ascii="Arial" w:hAnsi="Arial" w:cs="Arial"/>
          <w:sz w:val="24"/>
          <w:szCs w:val="24"/>
          <w:lang w:val="mn-MN"/>
        </w:rPr>
      </w:pPr>
      <w:r>
        <w:rPr>
          <w:rFonts w:ascii="Arial" w:hAnsi="Arial" w:cs="Arial"/>
          <w:sz w:val="24"/>
          <w:szCs w:val="24"/>
          <w:lang w:val="mn-MN"/>
        </w:rPr>
        <w:t xml:space="preserve">Түүнчлэн, </w:t>
      </w:r>
      <w:r w:rsidR="00BF69AB" w:rsidRPr="001E7C23">
        <w:rPr>
          <w:rFonts w:ascii="Arial" w:hAnsi="Arial" w:cs="Arial"/>
          <w:sz w:val="24"/>
          <w:szCs w:val="24"/>
          <w:lang w:val="mn-MN"/>
        </w:rPr>
        <w:t>Нийгмийн даатгалын сангаас олгож байгаа доод тэтгэвэр 350 мянган төгрөг байсныг 500 мянган төгрөгт хүргэж нэмэгдүүлэхэд шаардлагатай эх үүсвэрийг шийдвэрлэснээр тэтгэвэр авагч ахмадуудын орлогын баталгаа сайжирч, бараа бүтээгдэхүүний үнийн өсөлтөөс үүдэлтэй эрсдэлийг бууруулав.</w:t>
      </w:r>
    </w:p>
    <w:p w14:paraId="3983C46F" w14:textId="77777777" w:rsidR="001E7C23" w:rsidRPr="001E7C23" w:rsidRDefault="001E7C23" w:rsidP="003D102E">
      <w:pPr>
        <w:pStyle w:val="Normal1"/>
        <w:spacing w:before="0" w:after="0" w:line="240" w:lineRule="auto"/>
        <w:ind w:firstLine="567"/>
        <w:jc w:val="both"/>
        <w:rPr>
          <w:rFonts w:ascii="Arial" w:hAnsi="Arial" w:cs="Arial"/>
          <w:sz w:val="24"/>
          <w:szCs w:val="24"/>
          <w:lang w:val="mn-MN"/>
        </w:rPr>
      </w:pPr>
    </w:p>
    <w:p w14:paraId="76267566" w14:textId="758DE744" w:rsidR="006D5524" w:rsidRDefault="006D5524" w:rsidP="003D102E">
      <w:pPr>
        <w:pStyle w:val="Normal1"/>
        <w:spacing w:before="0" w:after="0" w:line="240" w:lineRule="auto"/>
        <w:ind w:firstLine="567"/>
        <w:jc w:val="both"/>
        <w:rPr>
          <w:rFonts w:ascii="Arial" w:hAnsi="Arial" w:cs="Arial"/>
          <w:sz w:val="24"/>
          <w:szCs w:val="24"/>
          <w:lang w:val="mn-MN"/>
        </w:rPr>
      </w:pPr>
      <w:r w:rsidRPr="001E7C23">
        <w:rPr>
          <w:rFonts w:ascii="Arial" w:hAnsi="Arial" w:cs="Arial"/>
          <w:sz w:val="24"/>
          <w:szCs w:val="24"/>
          <w:lang w:val="mn-MN"/>
        </w:rPr>
        <w:t>Шимтгэлээ өөрөө хариуцан төлсөн 650593 даатгуулагчийн 50.0 хувийн шимтгэлийн буцаан олголтод 72.7 тэрбум төгрөг</w:t>
      </w:r>
      <w:r w:rsidR="00FE6F93">
        <w:rPr>
          <w:rFonts w:ascii="Arial" w:hAnsi="Arial" w:cs="Arial"/>
          <w:sz w:val="24"/>
          <w:szCs w:val="24"/>
          <w:lang w:val="mn-MN"/>
        </w:rPr>
        <w:t>өөр</w:t>
      </w:r>
      <w:r w:rsidRPr="001E7C23">
        <w:rPr>
          <w:rFonts w:ascii="Arial" w:hAnsi="Arial" w:cs="Arial"/>
          <w:sz w:val="24"/>
          <w:szCs w:val="24"/>
          <w:lang w:val="mn-MN"/>
        </w:rPr>
        <w:t xml:space="preserve"> </w:t>
      </w:r>
      <w:r w:rsidR="003E03A0" w:rsidRPr="001E7C23">
        <w:rPr>
          <w:rFonts w:ascii="Arial" w:hAnsi="Arial" w:cs="Arial"/>
          <w:sz w:val="24"/>
          <w:szCs w:val="24"/>
          <w:lang w:val="mn-MN"/>
        </w:rPr>
        <w:t>санхүүжүүлсэн</w:t>
      </w:r>
      <w:r w:rsidR="00777065" w:rsidRPr="001E7C23">
        <w:rPr>
          <w:rFonts w:ascii="Arial" w:hAnsi="Arial" w:cs="Arial"/>
          <w:sz w:val="24"/>
          <w:szCs w:val="24"/>
          <w:lang w:val="mn-MN"/>
        </w:rPr>
        <w:t>.</w:t>
      </w:r>
    </w:p>
    <w:p w14:paraId="025141D0" w14:textId="77777777" w:rsidR="001E7C23" w:rsidRPr="001E7C23" w:rsidRDefault="001E7C23" w:rsidP="003D102E">
      <w:pPr>
        <w:pStyle w:val="Normal1"/>
        <w:spacing w:before="0" w:after="0" w:line="240" w:lineRule="auto"/>
        <w:ind w:firstLine="567"/>
        <w:jc w:val="both"/>
        <w:rPr>
          <w:rFonts w:ascii="Arial" w:hAnsi="Arial" w:cs="Arial"/>
          <w:sz w:val="24"/>
          <w:szCs w:val="24"/>
          <w:lang w:val="mn-MN"/>
        </w:rPr>
      </w:pPr>
    </w:p>
    <w:p w14:paraId="7A416737" w14:textId="69BAB139" w:rsidR="006D5524" w:rsidRPr="001E7C23" w:rsidRDefault="006D5524" w:rsidP="003D102E">
      <w:pPr>
        <w:pStyle w:val="Normal1"/>
        <w:spacing w:before="0" w:after="0" w:line="240" w:lineRule="auto"/>
        <w:ind w:firstLine="567"/>
        <w:jc w:val="both"/>
        <w:rPr>
          <w:rFonts w:ascii="Arial" w:hAnsi="Arial" w:cs="Arial"/>
          <w:sz w:val="24"/>
          <w:szCs w:val="24"/>
          <w:lang w:val="mn-MN"/>
        </w:rPr>
      </w:pPr>
      <w:r w:rsidRPr="001E7C23">
        <w:rPr>
          <w:rFonts w:ascii="Arial" w:hAnsi="Arial" w:cs="Arial"/>
          <w:sz w:val="24"/>
          <w:szCs w:val="24"/>
          <w:lang w:val="mn-MN"/>
        </w:rPr>
        <w:lastRenderedPageBreak/>
        <w:t>“Эрүүл мэндээ хамгаалж, эдийн засгаа сэргээх 10 их наядын цогц төлөвлөгөө"-</w:t>
      </w:r>
      <w:r w:rsidR="003E0A30">
        <w:rPr>
          <w:rFonts w:ascii="Arial" w:hAnsi="Arial" w:cs="Arial"/>
          <w:sz w:val="24"/>
          <w:szCs w:val="24"/>
        </w:rPr>
        <w:t>н</w:t>
      </w:r>
      <w:r w:rsidRPr="001E7C23">
        <w:rPr>
          <w:rFonts w:ascii="Arial" w:hAnsi="Arial" w:cs="Arial"/>
          <w:sz w:val="24"/>
          <w:szCs w:val="24"/>
          <w:lang w:val="mn-MN"/>
        </w:rPr>
        <w:t>д тусгасан ажлын байрыг дэмжих зээлийн хүрээнд олгосон зээлийн хүүгийн дэмжлэгт Монголбанкаар дамжуулан арилжааны 9 банканд 87.1 тэрбум төгрөгийг олго</w:t>
      </w:r>
      <w:r w:rsidR="003E03A0" w:rsidRPr="001E7C23">
        <w:rPr>
          <w:rFonts w:ascii="Arial" w:hAnsi="Arial" w:cs="Arial"/>
          <w:sz w:val="24"/>
          <w:szCs w:val="24"/>
          <w:lang w:val="mn-MN"/>
        </w:rPr>
        <w:t>сон</w:t>
      </w:r>
      <w:r w:rsidR="00777065" w:rsidRPr="001E7C23">
        <w:rPr>
          <w:rFonts w:ascii="Arial" w:hAnsi="Arial" w:cs="Arial"/>
          <w:sz w:val="24"/>
          <w:szCs w:val="24"/>
          <w:lang w:val="mn-MN"/>
        </w:rPr>
        <w:t>.</w:t>
      </w:r>
    </w:p>
    <w:p w14:paraId="2786B6FB" w14:textId="77777777" w:rsidR="006D5524" w:rsidRPr="001E7C23" w:rsidRDefault="006D5524" w:rsidP="003D102E">
      <w:pPr>
        <w:pStyle w:val="Normal1"/>
        <w:spacing w:before="0" w:after="0" w:line="240" w:lineRule="auto"/>
        <w:ind w:firstLine="567"/>
        <w:jc w:val="both"/>
        <w:rPr>
          <w:rFonts w:ascii="Arial" w:hAnsi="Arial" w:cs="Arial"/>
          <w:sz w:val="24"/>
          <w:szCs w:val="24"/>
          <w:lang w:val="mn-MN"/>
        </w:rPr>
      </w:pPr>
    </w:p>
    <w:p w14:paraId="17C76FA8" w14:textId="02567274" w:rsidR="00BF69AB" w:rsidRPr="001A386D" w:rsidRDefault="00BF69AB" w:rsidP="003D102E">
      <w:pPr>
        <w:pStyle w:val="Normal1"/>
        <w:spacing w:before="0" w:after="0" w:line="240" w:lineRule="auto"/>
        <w:ind w:firstLine="567"/>
        <w:jc w:val="both"/>
        <w:rPr>
          <w:rFonts w:ascii="Arial" w:hAnsi="Arial" w:cs="Arial"/>
          <w:color w:val="000000" w:themeColor="text1"/>
          <w:sz w:val="24"/>
          <w:szCs w:val="24"/>
          <w:lang w:val="mn-MN"/>
        </w:rPr>
      </w:pPr>
      <w:r w:rsidRPr="001E7C23">
        <w:rPr>
          <w:rFonts w:ascii="Arial" w:hAnsi="Arial" w:cs="Arial"/>
          <w:sz w:val="24"/>
          <w:szCs w:val="24"/>
          <w:lang w:val="mn-MN"/>
        </w:rPr>
        <w:t xml:space="preserve">Ковид-19 цар тахлын эрүүл мэнд, эдийн засагт үзүүлэх сөрөг нөлөөллийг бууруулах зорилгоор эрүүл мэндийн салбарт он дамжсан 264.0 тэрбум төгрөгийн өрийг </w:t>
      </w:r>
      <w:r w:rsidRPr="001A386D">
        <w:rPr>
          <w:rFonts w:ascii="Arial" w:hAnsi="Arial" w:cs="Arial"/>
          <w:color w:val="000000" w:themeColor="text1"/>
          <w:sz w:val="24"/>
          <w:szCs w:val="24"/>
          <w:lang w:val="mn-MN"/>
        </w:rPr>
        <w:t>Төрийн хэмнэлтийн тухай хуулийн хүрээнд үүссэн хэмнэлтээс шийдвэрлэсэн.</w:t>
      </w:r>
    </w:p>
    <w:p w14:paraId="49716DDC" w14:textId="77777777" w:rsidR="001E7C23" w:rsidRPr="001A386D" w:rsidRDefault="001E7C23" w:rsidP="003D102E">
      <w:pPr>
        <w:pStyle w:val="Normal1"/>
        <w:spacing w:before="0" w:after="0" w:line="240" w:lineRule="auto"/>
        <w:ind w:firstLine="567"/>
        <w:jc w:val="both"/>
        <w:rPr>
          <w:rFonts w:ascii="Arial" w:hAnsi="Arial" w:cs="Arial"/>
          <w:color w:val="000000" w:themeColor="text1"/>
          <w:sz w:val="24"/>
          <w:szCs w:val="24"/>
          <w:lang w:val="mn-MN"/>
        </w:rPr>
      </w:pPr>
    </w:p>
    <w:p w14:paraId="077B1630" w14:textId="77777777" w:rsidR="00191866" w:rsidRPr="001A386D" w:rsidRDefault="00BF69AB" w:rsidP="003D102E">
      <w:pPr>
        <w:spacing w:after="0" w:line="240" w:lineRule="auto"/>
        <w:ind w:firstLine="567"/>
        <w:jc w:val="both"/>
        <w:rPr>
          <w:rFonts w:ascii="Arial" w:hAnsi="Arial" w:cs="Arial"/>
          <w:color w:val="000000" w:themeColor="text1"/>
          <w:sz w:val="24"/>
          <w:szCs w:val="24"/>
          <w:lang w:val="mn-MN"/>
        </w:rPr>
      </w:pPr>
      <w:r w:rsidRPr="001A386D">
        <w:rPr>
          <w:rStyle w:val="SubtleReference"/>
          <w:rFonts w:ascii="Arial" w:hAnsi="Arial" w:cs="Arial"/>
          <w:color w:val="000000" w:themeColor="text1"/>
          <w:sz w:val="24"/>
          <w:szCs w:val="24"/>
          <w:lang w:val="mn-MN"/>
        </w:rPr>
        <w:t>Улсын төсвийн хөрөнгө оруулалт</w:t>
      </w:r>
      <w:r w:rsidR="00191866" w:rsidRPr="001A386D">
        <w:rPr>
          <w:rStyle w:val="SubtleReference"/>
          <w:rFonts w:ascii="Arial" w:hAnsi="Arial" w:cs="Arial"/>
          <w:color w:val="000000" w:themeColor="text1"/>
          <w:sz w:val="24"/>
          <w:szCs w:val="24"/>
          <w:lang w:val="mn-MN"/>
        </w:rPr>
        <w:t>ын талаар</w:t>
      </w:r>
      <w:r w:rsidRPr="001A386D">
        <w:rPr>
          <w:rFonts w:ascii="Arial" w:hAnsi="Arial" w:cs="Arial"/>
          <w:color w:val="000000" w:themeColor="text1"/>
          <w:sz w:val="24"/>
          <w:szCs w:val="24"/>
          <w:lang w:val="mn-MN"/>
        </w:rPr>
        <w:t xml:space="preserve">: </w:t>
      </w:r>
    </w:p>
    <w:p w14:paraId="0DCAE0B1" w14:textId="77777777" w:rsidR="00191866" w:rsidRPr="001A386D" w:rsidRDefault="00191866" w:rsidP="003D102E">
      <w:pPr>
        <w:spacing w:after="0" w:line="240" w:lineRule="auto"/>
        <w:ind w:firstLine="567"/>
        <w:jc w:val="both"/>
        <w:rPr>
          <w:rFonts w:ascii="Arial" w:hAnsi="Arial" w:cs="Arial"/>
          <w:color w:val="000000" w:themeColor="text1"/>
          <w:sz w:val="24"/>
          <w:szCs w:val="24"/>
          <w:lang w:val="mn-MN"/>
        </w:rPr>
      </w:pPr>
    </w:p>
    <w:p w14:paraId="4B6754E3" w14:textId="14999A78" w:rsidR="00993EE3" w:rsidRDefault="00993EE3" w:rsidP="003D102E">
      <w:pPr>
        <w:spacing w:after="0" w:line="240" w:lineRule="auto"/>
        <w:ind w:firstLine="567"/>
        <w:jc w:val="both"/>
        <w:rPr>
          <w:rFonts w:ascii="Arial" w:eastAsia="Arial" w:hAnsi="Arial" w:cs="Arial"/>
          <w:sz w:val="24"/>
          <w:szCs w:val="24"/>
          <w:lang w:val="mn-MN"/>
        </w:rPr>
      </w:pPr>
      <w:r w:rsidRPr="001A386D">
        <w:rPr>
          <w:rFonts w:ascii="Arial" w:eastAsia="Arial" w:hAnsi="Arial" w:cs="Arial"/>
          <w:color w:val="000000" w:themeColor="text1"/>
          <w:sz w:val="24"/>
          <w:szCs w:val="24"/>
          <w:lang w:val="mn-MN"/>
        </w:rPr>
        <w:t>Монгол Улсын 2022 оны төсвийн</w:t>
      </w:r>
      <w:r w:rsidR="00CC4028" w:rsidRPr="001A386D">
        <w:rPr>
          <w:rFonts w:ascii="Arial" w:eastAsia="Arial" w:hAnsi="Arial" w:cs="Arial"/>
          <w:color w:val="000000" w:themeColor="text1"/>
          <w:sz w:val="24"/>
          <w:szCs w:val="24"/>
          <w:lang w:val="mn-MN"/>
        </w:rPr>
        <w:t xml:space="preserve"> хөрөнгөөр 2022 онд </w:t>
      </w:r>
      <w:r w:rsidRPr="001A386D">
        <w:rPr>
          <w:rFonts w:ascii="Arial" w:eastAsia="Arial" w:hAnsi="Arial" w:cs="Arial"/>
          <w:color w:val="000000" w:themeColor="text1"/>
          <w:sz w:val="24"/>
          <w:szCs w:val="24"/>
          <w:lang w:val="mn-MN"/>
        </w:rPr>
        <w:t xml:space="preserve">нийт 1376 </w:t>
      </w:r>
      <w:r w:rsidR="00CC4028" w:rsidRPr="001A386D">
        <w:rPr>
          <w:rFonts w:ascii="Arial" w:eastAsia="Arial" w:hAnsi="Arial" w:cs="Arial"/>
          <w:color w:val="000000" w:themeColor="text1"/>
          <w:sz w:val="24"/>
          <w:szCs w:val="24"/>
          <w:lang w:val="mn-MN"/>
        </w:rPr>
        <w:t xml:space="preserve">хөрөнгө оруулалтын </w:t>
      </w:r>
      <w:r w:rsidRPr="001A386D">
        <w:rPr>
          <w:rFonts w:ascii="Arial" w:eastAsia="Arial" w:hAnsi="Arial" w:cs="Arial"/>
          <w:color w:val="000000" w:themeColor="text1"/>
          <w:sz w:val="24"/>
          <w:szCs w:val="24"/>
          <w:lang w:val="mn-MN"/>
        </w:rPr>
        <w:t>төсөл, арга хэмжээ</w:t>
      </w:r>
      <w:r w:rsidR="00CC4028" w:rsidRPr="001A386D">
        <w:rPr>
          <w:rFonts w:ascii="Arial" w:eastAsia="Arial" w:hAnsi="Arial" w:cs="Arial"/>
          <w:color w:val="000000" w:themeColor="text1"/>
          <w:sz w:val="24"/>
          <w:szCs w:val="24"/>
          <w:lang w:val="mn-MN"/>
        </w:rPr>
        <w:t>г санхүүжүүлэхээр</w:t>
      </w:r>
      <w:r w:rsidRPr="001A386D">
        <w:rPr>
          <w:rFonts w:ascii="Arial" w:eastAsia="Arial" w:hAnsi="Arial" w:cs="Arial"/>
          <w:color w:val="000000" w:themeColor="text1"/>
          <w:sz w:val="24"/>
          <w:szCs w:val="24"/>
          <w:lang w:val="mn-MN"/>
        </w:rPr>
        <w:t xml:space="preserve"> 1,544.5 тэрбум төгрөг батлагдсан</w:t>
      </w:r>
      <w:r w:rsidR="00CC4028" w:rsidRPr="001A386D">
        <w:rPr>
          <w:rFonts w:ascii="Arial" w:eastAsia="Arial" w:hAnsi="Arial" w:cs="Arial"/>
          <w:color w:val="000000" w:themeColor="text1"/>
          <w:sz w:val="24"/>
          <w:szCs w:val="24"/>
          <w:lang w:val="mn-MN"/>
        </w:rPr>
        <w:t>.</w:t>
      </w:r>
      <w:r w:rsidR="005D33E4" w:rsidRPr="001A386D">
        <w:rPr>
          <w:rFonts w:ascii="Arial" w:eastAsia="Arial" w:hAnsi="Arial" w:cs="Arial"/>
          <w:color w:val="000000" w:themeColor="text1"/>
          <w:sz w:val="24"/>
          <w:szCs w:val="24"/>
          <w:lang w:val="mn-MN"/>
        </w:rPr>
        <w:t xml:space="preserve"> Үүнээс</w:t>
      </w:r>
      <w:r w:rsidRPr="001A386D">
        <w:rPr>
          <w:rFonts w:ascii="Arial" w:eastAsia="Arial" w:hAnsi="Arial" w:cs="Arial"/>
          <w:color w:val="000000" w:themeColor="text1"/>
          <w:sz w:val="24"/>
          <w:szCs w:val="24"/>
          <w:lang w:val="mn-MN"/>
        </w:rPr>
        <w:t xml:space="preserve"> </w:t>
      </w:r>
      <w:r w:rsidR="005D33E4" w:rsidRPr="001A386D">
        <w:rPr>
          <w:rFonts w:ascii="Arial" w:eastAsia="Arial" w:hAnsi="Arial" w:cs="Arial"/>
          <w:color w:val="000000" w:themeColor="text1"/>
          <w:sz w:val="24"/>
          <w:szCs w:val="24"/>
          <w:lang w:val="mn-MN"/>
        </w:rPr>
        <w:t>у</w:t>
      </w:r>
      <w:r w:rsidRPr="001A386D">
        <w:rPr>
          <w:rFonts w:ascii="Arial" w:eastAsia="Arial" w:hAnsi="Arial" w:cs="Arial"/>
          <w:color w:val="000000" w:themeColor="text1"/>
          <w:sz w:val="24"/>
          <w:szCs w:val="24"/>
          <w:lang w:val="mn-MN"/>
        </w:rPr>
        <w:t>лсын төсвийн хөрөнгө оруулалт</w:t>
      </w:r>
      <w:r w:rsidR="005D33E4" w:rsidRPr="001A386D">
        <w:rPr>
          <w:rFonts w:ascii="Arial" w:eastAsia="Arial" w:hAnsi="Arial" w:cs="Arial"/>
          <w:color w:val="000000" w:themeColor="text1"/>
          <w:sz w:val="24"/>
          <w:szCs w:val="24"/>
          <w:lang w:val="mn-MN"/>
        </w:rPr>
        <w:t>ын</w:t>
      </w:r>
      <w:r w:rsidRPr="001A386D">
        <w:rPr>
          <w:rFonts w:ascii="Arial" w:eastAsia="Arial" w:hAnsi="Arial" w:cs="Arial"/>
          <w:color w:val="000000" w:themeColor="text1"/>
          <w:sz w:val="24"/>
          <w:szCs w:val="24"/>
          <w:lang w:val="mn-MN"/>
        </w:rPr>
        <w:t xml:space="preserve"> 1369 төсөл, арга хэмжээ</w:t>
      </w:r>
      <w:r w:rsidR="005D33E4" w:rsidRPr="001A386D">
        <w:rPr>
          <w:rFonts w:ascii="Arial" w:eastAsia="Arial" w:hAnsi="Arial" w:cs="Arial"/>
          <w:color w:val="000000" w:themeColor="text1"/>
          <w:sz w:val="24"/>
          <w:szCs w:val="24"/>
          <w:lang w:val="mn-MN"/>
        </w:rPr>
        <w:t xml:space="preserve">г хэрэгжүүлэхэд </w:t>
      </w:r>
      <w:r w:rsidRPr="001A386D">
        <w:rPr>
          <w:rFonts w:ascii="Arial" w:eastAsia="Arial" w:hAnsi="Arial" w:cs="Arial"/>
          <w:color w:val="000000" w:themeColor="text1"/>
          <w:sz w:val="24"/>
          <w:szCs w:val="24"/>
          <w:lang w:val="mn-MN"/>
        </w:rPr>
        <w:t xml:space="preserve">1,240.9 тэрбум төгрөг, “Барих-шилжүүлэх” нөхцөлтэй </w:t>
      </w:r>
      <w:r w:rsidRPr="001E7C23">
        <w:rPr>
          <w:rFonts w:ascii="Arial" w:eastAsia="Arial" w:hAnsi="Arial" w:cs="Arial"/>
          <w:sz w:val="24"/>
          <w:szCs w:val="24"/>
          <w:lang w:val="mn-MN"/>
        </w:rPr>
        <w:t xml:space="preserve">концессын гэрээ байгуулсан </w:t>
      </w:r>
      <w:r w:rsidR="003E0A30" w:rsidRPr="001E7C23">
        <w:rPr>
          <w:rFonts w:ascii="Arial" w:eastAsia="Arial" w:hAnsi="Arial" w:cs="Arial"/>
          <w:sz w:val="24"/>
          <w:szCs w:val="24"/>
          <w:lang w:val="mn-MN"/>
        </w:rPr>
        <w:t xml:space="preserve">7 төсөл, арга хэмжээний </w:t>
      </w:r>
      <w:r w:rsidRPr="001E7C23">
        <w:rPr>
          <w:rFonts w:ascii="Arial" w:eastAsia="Arial" w:hAnsi="Arial" w:cs="Arial"/>
          <w:sz w:val="24"/>
          <w:szCs w:val="24"/>
          <w:lang w:val="mn-MN"/>
        </w:rPr>
        <w:t xml:space="preserve">эргэн төлөлтөд 303.6 тэрбум төгрөг тус тус батлагдсан. </w:t>
      </w:r>
    </w:p>
    <w:p w14:paraId="044DA823" w14:textId="77777777" w:rsidR="001E7C23" w:rsidRPr="001E7C23" w:rsidRDefault="001E7C23" w:rsidP="003D102E">
      <w:pPr>
        <w:spacing w:after="0" w:line="240" w:lineRule="auto"/>
        <w:ind w:firstLine="567"/>
        <w:jc w:val="both"/>
        <w:rPr>
          <w:rFonts w:ascii="Arial" w:eastAsia="Arial" w:hAnsi="Arial" w:cs="Arial"/>
          <w:sz w:val="24"/>
          <w:szCs w:val="24"/>
          <w:lang w:val="mn-MN"/>
        </w:rPr>
      </w:pPr>
    </w:p>
    <w:p w14:paraId="267FB563" w14:textId="7E0D6F1A" w:rsidR="00993EE3" w:rsidRDefault="00993EE3" w:rsidP="003D102E">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Улсын төсвийн хөрөнгө</w:t>
      </w:r>
      <w:r w:rsidR="005D33E4">
        <w:rPr>
          <w:rFonts w:ascii="Arial" w:eastAsia="Arial" w:hAnsi="Arial" w:cs="Arial"/>
          <w:sz w:val="24"/>
          <w:szCs w:val="24"/>
          <w:lang w:val="mn-MN"/>
        </w:rPr>
        <w:t>өр</w:t>
      </w:r>
      <w:r w:rsidRPr="001E7C23">
        <w:rPr>
          <w:rFonts w:ascii="Arial" w:eastAsia="Arial" w:hAnsi="Arial" w:cs="Arial"/>
          <w:sz w:val="24"/>
          <w:szCs w:val="24"/>
          <w:lang w:val="mn-MN"/>
        </w:rPr>
        <w:t xml:space="preserve"> 2022 онд </w:t>
      </w:r>
      <w:r w:rsidR="005D33E4">
        <w:rPr>
          <w:rFonts w:ascii="Arial" w:eastAsia="Arial" w:hAnsi="Arial" w:cs="Arial"/>
          <w:sz w:val="24"/>
          <w:szCs w:val="24"/>
          <w:lang w:val="mn-MN"/>
        </w:rPr>
        <w:t xml:space="preserve">санхүүжүүлэх дээрх </w:t>
      </w:r>
      <w:r w:rsidRPr="001E7C23">
        <w:rPr>
          <w:rFonts w:ascii="Arial" w:eastAsia="Arial" w:hAnsi="Arial" w:cs="Arial"/>
          <w:sz w:val="24"/>
          <w:szCs w:val="24"/>
          <w:lang w:val="mn-MN"/>
        </w:rPr>
        <w:t>1376 төсөл, арга хэмжээн</w:t>
      </w:r>
      <w:r w:rsidR="005D33E4">
        <w:rPr>
          <w:rFonts w:ascii="Arial" w:eastAsia="Arial" w:hAnsi="Arial" w:cs="Arial"/>
          <w:sz w:val="24"/>
          <w:szCs w:val="24"/>
          <w:lang w:val="mn-MN"/>
        </w:rPr>
        <w:t>ий</w:t>
      </w:r>
      <w:r w:rsidRPr="001E7C23">
        <w:rPr>
          <w:rFonts w:ascii="Arial" w:eastAsia="Arial" w:hAnsi="Arial" w:cs="Arial"/>
          <w:sz w:val="24"/>
          <w:szCs w:val="24"/>
          <w:lang w:val="mn-MN"/>
        </w:rPr>
        <w:t xml:space="preserve"> 667 төсөл, арга хэмжээ </w:t>
      </w:r>
      <w:r w:rsidR="005D33E4">
        <w:rPr>
          <w:rFonts w:ascii="Arial" w:eastAsia="Arial" w:hAnsi="Arial" w:cs="Arial"/>
          <w:sz w:val="24"/>
          <w:szCs w:val="24"/>
          <w:lang w:val="mn-MN"/>
        </w:rPr>
        <w:t xml:space="preserve">нь </w:t>
      </w:r>
      <w:r w:rsidRPr="001E7C23">
        <w:rPr>
          <w:rFonts w:ascii="Arial" w:eastAsia="Arial" w:hAnsi="Arial" w:cs="Arial"/>
          <w:sz w:val="24"/>
          <w:szCs w:val="24"/>
          <w:lang w:val="mn-MN"/>
        </w:rPr>
        <w:t>шинээр, 709 төсөл, арга хэмжээ нь он дамжин шилжин хэрэгжсэн бөгөөд санхүүжилтийн гүйцэтгэл 1,539.7 тэрбум төгрөг буюу 99.7 хувийн биелэлттэй байна.</w:t>
      </w:r>
    </w:p>
    <w:p w14:paraId="3F56A9C9" w14:textId="77777777" w:rsidR="001E7C23" w:rsidRPr="001E7C23" w:rsidRDefault="001E7C23" w:rsidP="003D102E">
      <w:pPr>
        <w:spacing w:after="0" w:line="240" w:lineRule="auto"/>
        <w:ind w:firstLine="567"/>
        <w:jc w:val="both"/>
        <w:rPr>
          <w:rFonts w:ascii="Arial" w:eastAsia="Arial" w:hAnsi="Arial" w:cs="Arial"/>
          <w:sz w:val="24"/>
          <w:szCs w:val="24"/>
          <w:lang w:val="mn-MN"/>
        </w:rPr>
      </w:pPr>
    </w:p>
    <w:p w14:paraId="1C65742B" w14:textId="646C36B3" w:rsidR="00993EE3" w:rsidRDefault="00993EE3" w:rsidP="003D102E">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Засгийн газраас төсвийн хөрөнгө оруулалтын хэрэгжилтийг сайжруулах, эдийн засгийн үр өгөөжийг нэмэгдүүлэх зорилгоор төсвийн ерөнхийлөн захирагч өөрийн батлагдсан төсвийн багцынхаа дүнд багтаан зохицуулалт хийх, барьцаа хөрөнгийн дансанд байршуулан гүйцэтгэлээр санхүүжүүлэх арга хэмжээнүүдийг авч хэрэгжүүлснээр төсвийн хөрөнгө оруулалтын бодит гүйцэтгэл сайжирсан байна. Мөн эдгээр төслүүдийг хэрэгжүүлсэн 1580 гаруй аж ахуй</w:t>
      </w:r>
      <w:r w:rsidR="003E0A30">
        <w:rPr>
          <w:rFonts w:ascii="Arial" w:eastAsia="Arial" w:hAnsi="Arial" w:cs="Arial"/>
          <w:sz w:val="24"/>
          <w:szCs w:val="24"/>
          <w:lang w:val="mn-MN"/>
        </w:rPr>
        <w:t>н</w:t>
      </w:r>
      <w:r w:rsidRPr="001E7C23">
        <w:rPr>
          <w:rFonts w:ascii="Arial" w:eastAsia="Arial" w:hAnsi="Arial" w:cs="Arial"/>
          <w:sz w:val="24"/>
          <w:szCs w:val="24"/>
          <w:lang w:val="mn-MN"/>
        </w:rPr>
        <w:t xml:space="preserve"> нэгжийн үйл ажиллагаа тогтвортой үргэлжилж, 37.9 мянган ажлын байрыг хадгалж, 1,539.7 тэрбум төгрөгийн санхүүжилтээр эдийн засгийг дэмжсэн байна.</w:t>
      </w:r>
    </w:p>
    <w:p w14:paraId="27D0E39F" w14:textId="77777777" w:rsidR="001E7C23" w:rsidRPr="001E7C23" w:rsidRDefault="001E7C23" w:rsidP="003D102E">
      <w:pPr>
        <w:spacing w:after="0" w:line="240" w:lineRule="auto"/>
        <w:ind w:firstLine="567"/>
        <w:jc w:val="both"/>
        <w:rPr>
          <w:rFonts w:ascii="Arial" w:eastAsia="Arial" w:hAnsi="Arial" w:cs="Arial"/>
          <w:sz w:val="24"/>
          <w:szCs w:val="24"/>
          <w:lang w:val="mn-MN"/>
        </w:rPr>
      </w:pPr>
    </w:p>
    <w:p w14:paraId="6738F417" w14:textId="135AC61B" w:rsidR="00993EE3" w:rsidRDefault="00993EE3" w:rsidP="003D102E">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“Шинэ сэргэлтийн бодлого”-ын хүрээнд төсвийн хөрөнгө оруулалтаар 22 төсөл, арга хэмжээнд 93.6 тэрбум төгрөгийн санхүүжилт олгосон байна</w:t>
      </w:r>
      <w:r w:rsidR="002420ED" w:rsidRPr="001E7C23">
        <w:rPr>
          <w:rFonts w:ascii="Arial" w:eastAsia="Arial" w:hAnsi="Arial" w:cs="Arial"/>
          <w:sz w:val="24"/>
          <w:szCs w:val="24"/>
          <w:lang w:val="mn-MN"/>
        </w:rPr>
        <w:t>.</w:t>
      </w:r>
    </w:p>
    <w:p w14:paraId="1C6EA319" w14:textId="77777777" w:rsidR="00191866" w:rsidRPr="001E7C23" w:rsidRDefault="00191866" w:rsidP="003D102E">
      <w:pPr>
        <w:spacing w:after="0" w:line="240" w:lineRule="auto"/>
        <w:ind w:firstLine="567"/>
        <w:jc w:val="both"/>
        <w:rPr>
          <w:rFonts w:ascii="Arial" w:eastAsia="Arial" w:hAnsi="Arial" w:cs="Arial"/>
          <w:sz w:val="24"/>
          <w:szCs w:val="24"/>
          <w:lang w:val="mn-MN"/>
        </w:rPr>
      </w:pPr>
    </w:p>
    <w:p w14:paraId="7F371446" w14:textId="762FC8D4" w:rsidR="00637593" w:rsidRDefault="00637593" w:rsidP="00191866">
      <w:pPr>
        <w:spacing w:after="0" w:line="240" w:lineRule="auto"/>
        <w:ind w:firstLine="567"/>
        <w:jc w:val="both"/>
        <w:rPr>
          <w:rFonts w:ascii="Arial" w:eastAsia="Arial" w:hAnsi="Arial" w:cs="Arial"/>
          <w:sz w:val="24"/>
          <w:szCs w:val="24"/>
          <w:lang w:val="mn-MN"/>
        </w:rPr>
      </w:pPr>
      <w:r w:rsidRPr="001E7C23">
        <w:rPr>
          <w:rFonts w:ascii="Arial" w:eastAsia="Arial" w:hAnsi="Arial" w:cs="Arial"/>
          <w:sz w:val="24"/>
          <w:szCs w:val="24"/>
          <w:lang w:val="mn-MN"/>
        </w:rPr>
        <w:t xml:space="preserve">Төсвийн тухай хуулийн </w:t>
      </w:r>
      <w:r w:rsidR="00191866">
        <w:rPr>
          <w:rFonts w:ascii="Arial" w:eastAsia="Arial" w:hAnsi="Arial" w:cs="Arial"/>
          <w:sz w:val="24"/>
          <w:szCs w:val="24"/>
        </w:rPr>
        <w:t xml:space="preserve">8 </w:t>
      </w:r>
      <w:proofErr w:type="spellStart"/>
      <w:r w:rsidR="00191866">
        <w:rPr>
          <w:rFonts w:ascii="Arial" w:eastAsia="Arial" w:hAnsi="Arial" w:cs="Arial"/>
          <w:sz w:val="24"/>
          <w:szCs w:val="24"/>
        </w:rPr>
        <w:t>дугаар</w:t>
      </w:r>
      <w:proofErr w:type="spellEnd"/>
      <w:r w:rsidR="00191866">
        <w:rPr>
          <w:rFonts w:ascii="Arial" w:eastAsia="Arial" w:hAnsi="Arial" w:cs="Arial"/>
          <w:sz w:val="24"/>
          <w:szCs w:val="24"/>
        </w:rPr>
        <w:t xml:space="preserve"> </w:t>
      </w:r>
      <w:proofErr w:type="spellStart"/>
      <w:r w:rsidR="00191866">
        <w:rPr>
          <w:rFonts w:ascii="Arial" w:eastAsia="Arial" w:hAnsi="Arial" w:cs="Arial"/>
          <w:sz w:val="24"/>
          <w:szCs w:val="24"/>
        </w:rPr>
        <w:t>зүйлийн</w:t>
      </w:r>
      <w:proofErr w:type="spellEnd"/>
      <w:r w:rsidR="00191866">
        <w:rPr>
          <w:rFonts w:ascii="Arial" w:eastAsia="Arial" w:hAnsi="Arial" w:cs="Arial"/>
          <w:sz w:val="24"/>
          <w:szCs w:val="24"/>
        </w:rPr>
        <w:t xml:space="preserve"> </w:t>
      </w:r>
      <w:r w:rsidRPr="001E7C23">
        <w:rPr>
          <w:rFonts w:ascii="Arial" w:eastAsia="Arial" w:hAnsi="Arial" w:cs="Arial"/>
          <w:sz w:val="24"/>
          <w:szCs w:val="24"/>
          <w:lang w:val="mn-MN"/>
        </w:rPr>
        <w:t xml:space="preserve">8.10.1, 8.10.2 </w:t>
      </w:r>
      <w:proofErr w:type="spellStart"/>
      <w:r w:rsidR="00191866">
        <w:rPr>
          <w:rFonts w:ascii="Arial" w:eastAsia="Arial" w:hAnsi="Arial" w:cs="Arial"/>
          <w:sz w:val="24"/>
          <w:szCs w:val="24"/>
        </w:rPr>
        <w:t>дахь</w:t>
      </w:r>
      <w:proofErr w:type="spellEnd"/>
      <w:r w:rsidR="00191866">
        <w:rPr>
          <w:rFonts w:ascii="Arial" w:eastAsia="Arial" w:hAnsi="Arial" w:cs="Arial"/>
          <w:sz w:val="24"/>
          <w:szCs w:val="24"/>
        </w:rPr>
        <w:t xml:space="preserve"> </w:t>
      </w:r>
      <w:r w:rsidRPr="001E7C23">
        <w:rPr>
          <w:rFonts w:ascii="Arial" w:eastAsia="Arial" w:hAnsi="Arial" w:cs="Arial"/>
          <w:sz w:val="24"/>
          <w:szCs w:val="24"/>
          <w:lang w:val="mn-MN"/>
        </w:rPr>
        <w:t xml:space="preserve">заалтад </w:t>
      </w:r>
      <w:r w:rsidR="00191866">
        <w:rPr>
          <w:rFonts w:ascii="Arial" w:eastAsia="Arial" w:hAnsi="Arial" w:cs="Arial"/>
          <w:sz w:val="24"/>
          <w:szCs w:val="24"/>
          <w:lang w:val="mn-MN"/>
        </w:rPr>
        <w:t xml:space="preserve">тус тус </w:t>
      </w:r>
      <w:r w:rsidRPr="001E7C23">
        <w:rPr>
          <w:rFonts w:ascii="Arial" w:eastAsia="Arial" w:hAnsi="Arial" w:cs="Arial"/>
          <w:sz w:val="24"/>
          <w:szCs w:val="24"/>
          <w:lang w:val="mn-MN"/>
        </w:rPr>
        <w:t xml:space="preserve">заасны дагуу </w:t>
      </w:r>
      <w:r w:rsidR="00191866">
        <w:rPr>
          <w:rFonts w:ascii="Arial" w:eastAsia="Arial" w:hAnsi="Arial" w:cs="Arial"/>
          <w:sz w:val="24"/>
          <w:szCs w:val="24"/>
          <w:lang w:val="mn-MN"/>
        </w:rPr>
        <w:t xml:space="preserve">нэгдсэн төсвийн гүйцэтгэл, Засгийн газрын санхүүгийн нэгтгэсэн тайланг </w:t>
      </w:r>
      <w:r w:rsidRPr="001E7C23">
        <w:rPr>
          <w:rFonts w:ascii="Arial" w:eastAsia="Arial" w:hAnsi="Arial" w:cs="Arial"/>
          <w:sz w:val="24"/>
          <w:szCs w:val="24"/>
          <w:lang w:val="mn-MN"/>
        </w:rPr>
        <w:t>төрийн аудитын төв байгууллагад хүргүүлж</w:t>
      </w:r>
      <w:r w:rsidR="00191866">
        <w:rPr>
          <w:rFonts w:ascii="Arial" w:eastAsia="Arial" w:hAnsi="Arial" w:cs="Arial"/>
          <w:sz w:val="24"/>
          <w:szCs w:val="24"/>
        </w:rPr>
        <w:t>,</w:t>
      </w:r>
      <w:r w:rsidRPr="001E7C23">
        <w:rPr>
          <w:rFonts w:ascii="Arial" w:eastAsia="Arial" w:hAnsi="Arial" w:cs="Arial"/>
          <w:sz w:val="24"/>
          <w:szCs w:val="24"/>
          <w:lang w:val="mn-MN"/>
        </w:rPr>
        <w:t xml:space="preserve"> аудит хийлгэн улсын төсвийн </w:t>
      </w:r>
      <w:r w:rsidRPr="001E7C23">
        <w:rPr>
          <w:rFonts w:ascii="Arial" w:eastAsia="Arial" w:hAnsi="Arial" w:cs="Arial"/>
          <w:color w:val="000000" w:themeColor="text1"/>
          <w:sz w:val="24"/>
          <w:szCs w:val="24"/>
          <w:lang w:val="mn-MN"/>
        </w:rPr>
        <w:t>гүйцэтгэлийн</w:t>
      </w:r>
      <w:r w:rsidRPr="001E7C23">
        <w:rPr>
          <w:rFonts w:ascii="Arial" w:eastAsia="Arial" w:hAnsi="Arial" w:cs="Arial"/>
          <w:sz w:val="24"/>
          <w:szCs w:val="24"/>
          <w:lang w:val="mn-MN"/>
        </w:rPr>
        <w:t xml:space="preserve"> тэнцвэржүүлсэн орлого, зарлагын </w:t>
      </w:r>
      <w:proofErr w:type="spellStart"/>
      <w:r w:rsidR="00191866">
        <w:rPr>
          <w:rFonts w:ascii="Arial" w:eastAsia="Arial" w:hAnsi="Arial" w:cs="Arial"/>
          <w:sz w:val="24"/>
          <w:szCs w:val="24"/>
        </w:rPr>
        <w:t>хэмжээг</w:t>
      </w:r>
      <w:proofErr w:type="spellEnd"/>
      <w:r w:rsidR="00191866" w:rsidRPr="001E7C23">
        <w:rPr>
          <w:rFonts w:ascii="Arial" w:eastAsia="Arial" w:hAnsi="Arial" w:cs="Arial"/>
          <w:sz w:val="24"/>
          <w:szCs w:val="24"/>
          <w:lang w:val="mn-MN"/>
        </w:rPr>
        <w:t xml:space="preserve"> </w:t>
      </w:r>
      <w:r w:rsidRPr="001E7C23">
        <w:rPr>
          <w:rFonts w:ascii="Arial" w:eastAsia="Arial" w:hAnsi="Arial" w:cs="Arial"/>
          <w:sz w:val="24"/>
          <w:szCs w:val="24"/>
          <w:lang w:val="mn-MN"/>
        </w:rPr>
        <w:t>баталгаажуулсан</w:t>
      </w:r>
      <w:r w:rsidR="00191866">
        <w:rPr>
          <w:rFonts w:ascii="Arial" w:eastAsia="Arial" w:hAnsi="Arial" w:cs="Arial"/>
          <w:sz w:val="24"/>
          <w:szCs w:val="24"/>
          <w:lang w:val="mn-MN"/>
        </w:rPr>
        <w:t xml:space="preserve"> болно</w:t>
      </w:r>
      <w:r w:rsidRPr="001E7C23">
        <w:rPr>
          <w:rFonts w:ascii="Arial" w:eastAsia="Arial" w:hAnsi="Arial" w:cs="Arial"/>
          <w:sz w:val="24"/>
          <w:szCs w:val="24"/>
          <w:lang w:val="mn-MN"/>
        </w:rPr>
        <w:t>.</w:t>
      </w:r>
    </w:p>
    <w:p w14:paraId="72009671" w14:textId="1B9873A0" w:rsidR="00191866" w:rsidRDefault="00191866" w:rsidP="00191866">
      <w:pPr>
        <w:spacing w:after="0" w:line="240" w:lineRule="auto"/>
        <w:ind w:firstLine="567"/>
        <w:jc w:val="both"/>
        <w:rPr>
          <w:rFonts w:ascii="Arial" w:eastAsia="Arial" w:hAnsi="Arial" w:cs="Arial"/>
          <w:sz w:val="24"/>
          <w:szCs w:val="24"/>
          <w:lang w:val="mn-MN"/>
        </w:rPr>
      </w:pPr>
    </w:p>
    <w:p w14:paraId="42987D4B" w14:textId="3B1AA5FE" w:rsidR="00191866" w:rsidRDefault="00191866" w:rsidP="00191866">
      <w:pPr>
        <w:spacing w:after="0" w:line="240" w:lineRule="auto"/>
        <w:ind w:firstLine="567"/>
        <w:jc w:val="both"/>
        <w:rPr>
          <w:rFonts w:ascii="Arial" w:eastAsia="Arial" w:hAnsi="Arial" w:cs="Arial"/>
          <w:sz w:val="24"/>
          <w:szCs w:val="24"/>
          <w:lang w:val="mn-MN"/>
        </w:rPr>
      </w:pPr>
    </w:p>
    <w:p w14:paraId="085EC3E3" w14:textId="77777777" w:rsidR="00191866" w:rsidRDefault="00191866" w:rsidP="00191866">
      <w:pPr>
        <w:spacing w:after="0" w:line="240" w:lineRule="auto"/>
        <w:ind w:firstLine="567"/>
        <w:jc w:val="both"/>
        <w:rPr>
          <w:rFonts w:ascii="Arial" w:eastAsia="Arial" w:hAnsi="Arial" w:cs="Arial"/>
          <w:sz w:val="24"/>
          <w:szCs w:val="24"/>
          <w:lang w:val="mn-MN"/>
        </w:rPr>
      </w:pPr>
    </w:p>
    <w:p w14:paraId="55E59CEE" w14:textId="22385A7D" w:rsidR="0075520F" w:rsidRPr="00B259E2" w:rsidRDefault="0075520F" w:rsidP="00191866">
      <w:pPr>
        <w:spacing w:after="0" w:line="240" w:lineRule="auto"/>
        <w:jc w:val="center"/>
        <w:rPr>
          <w:rFonts w:ascii="Arial" w:eastAsia="Arial" w:hAnsi="Arial" w:cs="Arial"/>
          <w:sz w:val="24"/>
          <w:szCs w:val="24"/>
        </w:rPr>
      </w:pPr>
    </w:p>
    <w:sectPr w:rsidR="0075520F" w:rsidRPr="00B259E2" w:rsidSect="001E7C23">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DE72" w14:textId="77777777" w:rsidR="004A6FE2" w:rsidRDefault="004A6FE2" w:rsidP="0028030D">
      <w:pPr>
        <w:spacing w:after="0" w:line="240" w:lineRule="auto"/>
      </w:pPr>
      <w:r>
        <w:separator/>
      </w:r>
    </w:p>
  </w:endnote>
  <w:endnote w:type="continuationSeparator" w:id="0">
    <w:p w14:paraId="01C453FC" w14:textId="77777777" w:rsidR="004A6FE2" w:rsidRDefault="004A6FE2" w:rsidP="0028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ogul Arial">
    <w:altName w:val="Calibri"/>
    <w:panose1 w:val="020B0604020202020204"/>
    <w:charset w:val="CC"/>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2DBA2" w14:textId="77777777" w:rsidR="004A6FE2" w:rsidRDefault="004A6FE2" w:rsidP="0028030D">
      <w:pPr>
        <w:spacing w:after="0" w:line="240" w:lineRule="auto"/>
      </w:pPr>
      <w:r>
        <w:separator/>
      </w:r>
    </w:p>
  </w:footnote>
  <w:footnote w:type="continuationSeparator" w:id="0">
    <w:p w14:paraId="03744920" w14:textId="77777777" w:rsidR="004A6FE2" w:rsidRDefault="004A6FE2" w:rsidP="0028030D">
      <w:pPr>
        <w:spacing w:after="0" w:line="240" w:lineRule="auto"/>
      </w:pPr>
      <w:r>
        <w:continuationSeparator/>
      </w:r>
    </w:p>
  </w:footnote>
  <w:footnote w:id="1">
    <w:p w14:paraId="257D2EEB" w14:textId="77777777" w:rsidR="0028030D" w:rsidRPr="00E37821" w:rsidRDefault="0028030D" w:rsidP="0028030D">
      <w:pPr>
        <w:pStyle w:val="FootnoteText"/>
        <w:spacing w:before="0"/>
        <w:rPr>
          <w:rFonts w:ascii="Times New Roman" w:hAnsi="Times New Roman" w:cs="Times New Roman"/>
          <w:i/>
          <w:sz w:val="20"/>
          <w:lang w:val="mn-MN"/>
        </w:rPr>
      </w:pPr>
      <w:r>
        <w:rPr>
          <w:rStyle w:val="FootnoteReference"/>
        </w:rPr>
        <w:footnoteRef/>
      </w:r>
      <w:r>
        <w:t xml:space="preserve"> </w:t>
      </w:r>
      <w:bookmarkStart w:id="1" w:name="_Hlk103090966"/>
      <w:r w:rsidRPr="00E37821">
        <w:rPr>
          <w:rFonts w:ascii="Times New Roman" w:hAnsi="Times New Roman" w:cs="Times New Roman"/>
          <w:i/>
          <w:sz w:val="20"/>
          <w:lang w:val="mn-MN"/>
        </w:rPr>
        <w:t xml:space="preserve">ДНБ-ний гүйцэтгэл, оны үнээр – </w:t>
      </w:r>
      <w:r>
        <w:rPr>
          <w:rFonts w:ascii="Times New Roman" w:hAnsi="Times New Roman" w:cs="Times New Roman"/>
          <w:i/>
          <w:sz w:val="20"/>
          <w:lang w:val="mn-MN"/>
        </w:rPr>
        <w:t>52</w:t>
      </w:r>
      <w:r w:rsidRPr="00E37821">
        <w:rPr>
          <w:rFonts w:ascii="Times New Roman" w:hAnsi="Times New Roman" w:cs="Times New Roman"/>
          <w:i/>
          <w:sz w:val="20"/>
          <w:lang w:val="mn-MN"/>
        </w:rPr>
        <w:t>,</w:t>
      </w:r>
      <w:r>
        <w:rPr>
          <w:rFonts w:ascii="Times New Roman" w:hAnsi="Times New Roman" w:cs="Times New Roman"/>
          <w:i/>
          <w:sz w:val="20"/>
          <w:lang w:val="mn-MN"/>
        </w:rPr>
        <w:t>867,370</w:t>
      </w:r>
      <w:r w:rsidRPr="00E37821">
        <w:rPr>
          <w:rFonts w:ascii="Times New Roman" w:hAnsi="Times New Roman" w:cs="Times New Roman"/>
          <w:i/>
          <w:sz w:val="20"/>
        </w:rPr>
        <w:t>.</w:t>
      </w:r>
      <w:r>
        <w:rPr>
          <w:rFonts w:ascii="Times New Roman" w:hAnsi="Times New Roman" w:cs="Times New Roman"/>
          <w:i/>
          <w:sz w:val="20"/>
        </w:rPr>
        <w:t>3</w:t>
      </w:r>
      <w:r w:rsidRPr="00E37821">
        <w:rPr>
          <w:rFonts w:ascii="Times New Roman" w:hAnsi="Times New Roman" w:cs="Times New Roman"/>
          <w:i/>
          <w:sz w:val="20"/>
          <w:lang w:val="mn-MN"/>
        </w:rPr>
        <w:t xml:space="preserve"> сая төгрөг </w:t>
      </w:r>
    </w:p>
    <w:p w14:paraId="4E7DAD0F" w14:textId="77777777" w:rsidR="0028030D" w:rsidRPr="0082530B" w:rsidRDefault="0028030D" w:rsidP="0028030D">
      <w:pPr>
        <w:pStyle w:val="FootnoteText"/>
        <w:spacing w:before="0"/>
        <w:rPr>
          <w:rFonts w:ascii="Times New Roman" w:hAnsi="Times New Roman" w:cs="Times New Roman"/>
          <w:i/>
          <w:sz w:val="20"/>
          <w:lang w:val="mn-MN"/>
        </w:rPr>
      </w:pPr>
      <w:r w:rsidRPr="00E37821">
        <w:rPr>
          <w:rFonts w:ascii="Times New Roman" w:hAnsi="Times New Roman" w:cs="Times New Roman"/>
          <w:i/>
          <w:noProof/>
          <w:sz w:val="20"/>
          <w:lang w:val="mn-MN"/>
        </w:rPr>
        <w:t>Эх сурвалж Үндэсний статистикийн хороо</w:t>
      </w:r>
    </w:p>
    <w:bookmarkEnd w:id="1"/>
    <w:p w14:paraId="4665016C" w14:textId="77777777" w:rsidR="0028030D" w:rsidRPr="002D20E4" w:rsidRDefault="0028030D" w:rsidP="0028030D">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43653"/>
    <w:multiLevelType w:val="hybridMultilevel"/>
    <w:tmpl w:val="7B9A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93"/>
    <w:rsid w:val="00006E73"/>
    <w:rsid w:val="0001196C"/>
    <w:rsid w:val="00012FDE"/>
    <w:rsid w:val="00014658"/>
    <w:rsid w:val="00017600"/>
    <w:rsid w:val="0002212E"/>
    <w:rsid w:val="00024751"/>
    <w:rsid w:val="00024F3E"/>
    <w:rsid w:val="0002523A"/>
    <w:rsid w:val="000264D6"/>
    <w:rsid w:val="000305B4"/>
    <w:rsid w:val="000319AE"/>
    <w:rsid w:val="000354D7"/>
    <w:rsid w:val="00045BCD"/>
    <w:rsid w:val="00046E63"/>
    <w:rsid w:val="00051A9F"/>
    <w:rsid w:val="000560E4"/>
    <w:rsid w:val="00062E4E"/>
    <w:rsid w:val="0006386A"/>
    <w:rsid w:val="00064E25"/>
    <w:rsid w:val="00071F34"/>
    <w:rsid w:val="00072316"/>
    <w:rsid w:val="00074331"/>
    <w:rsid w:val="00074F8B"/>
    <w:rsid w:val="00080A73"/>
    <w:rsid w:val="0008124C"/>
    <w:rsid w:val="000830FB"/>
    <w:rsid w:val="0008773E"/>
    <w:rsid w:val="00093AD4"/>
    <w:rsid w:val="00094164"/>
    <w:rsid w:val="000A27BE"/>
    <w:rsid w:val="000A498A"/>
    <w:rsid w:val="000A4DE0"/>
    <w:rsid w:val="000A710B"/>
    <w:rsid w:val="000B1774"/>
    <w:rsid w:val="000B76BC"/>
    <w:rsid w:val="000C071A"/>
    <w:rsid w:val="000C45E2"/>
    <w:rsid w:val="000C73C5"/>
    <w:rsid w:val="000D22AF"/>
    <w:rsid w:val="000D385A"/>
    <w:rsid w:val="000D478D"/>
    <w:rsid w:val="000E3EA8"/>
    <w:rsid w:val="000F22BA"/>
    <w:rsid w:val="000F6389"/>
    <w:rsid w:val="00100428"/>
    <w:rsid w:val="00101E33"/>
    <w:rsid w:val="0010393D"/>
    <w:rsid w:val="00103CC6"/>
    <w:rsid w:val="00120726"/>
    <w:rsid w:val="00121388"/>
    <w:rsid w:val="001214E8"/>
    <w:rsid w:val="00124C20"/>
    <w:rsid w:val="00124FF3"/>
    <w:rsid w:val="00125431"/>
    <w:rsid w:val="00127F20"/>
    <w:rsid w:val="00130D96"/>
    <w:rsid w:val="00132DFB"/>
    <w:rsid w:val="00150873"/>
    <w:rsid w:val="001539E4"/>
    <w:rsid w:val="00154EAA"/>
    <w:rsid w:val="001558EC"/>
    <w:rsid w:val="00155E0D"/>
    <w:rsid w:val="00164749"/>
    <w:rsid w:val="001656B0"/>
    <w:rsid w:val="00171F4E"/>
    <w:rsid w:val="00172CE9"/>
    <w:rsid w:val="0018395D"/>
    <w:rsid w:val="001871A6"/>
    <w:rsid w:val="00187894"/>
    <w:rsid w:val="00191866"/>
    <w:rsid w:val="00194CE3"/>
    <w:rsid w:val="00196803"/>
    <w:rsid w:val="001A00EF"/>
    <w:rsid w:val="001A386D"/>
    <w:rsid w:val="001B0B5A"/>
    <w:rsid w:val="001B39FB"/>
    <w:rsid w:val="001B4A80"/>
    <w:rsid w:val="001B67B9"/>
    <w:rsid w:val="001C0882"/>
    <w:rsid w:val="001C61FD"/>
    <w:rsid w:val="001C69A3"/>
    <w:rsid w:val="001C7FAE"/>
    <w:rsid w:val="001D1997"/>
    <w:rsid w:val="001D319F"/>
    <w:rsid w:val="001E7C23"/>
    <w:rsid w:val="001F1174"/>
    <w:rsid w:val="001F18C4"/>
    <w:rsid w:val="001F609A"/>
    <w:rsid w:val="0020684E"/>
    <w:rsid w:val="00206FEE"/>
    <w:rsid w:val="00211D82"/>
    <w:rsid w:val="00214492"/>
    <w:rsid w:val="00214BA1"/>
    <w:rsid w:val="002166DA"/>
    <w:rsid w:val="00223968"/>
    <w:rsid w:val="002265EB"/>
    <w:rsid w:val="00231C2A"/>
    <w:rsid w:val="00234F30"/>
    <w:rsid w:val="002420ED"/>
    <w:rsid w:val="00253BF9"/>
    <w:rsid w:val="00255BBE"/>
    <w:rsid w:val="002568ED"/>
    <w:rsid w:val="00262682"/>
    <w:rsid w:val="00262B06"/>
    <w:rsid w:val="0027332A"/>
    <w:rsid w:val="00274190"/>
    <w:rsid w:val="002748E0"/>
    <w:rsid w:val="0028030D"/>
    <w:rsid w:val="00281BE2"/>
    <w:rsid w:val="00281D2C"/>
    <w:rsid w:val="00285AE5"/>
    <w:rsid w:val="00291A8B"/>
    <w:rsid w:val="00292B06"/>
    <w:rsid w:val="002A267F"/>
    <w:rsid w:val="002A5109"/>
    <w:rsid w:val="002B1947"/>
    <w:rsid w:val="002B2DF7"/>
    <w:rsid w:val="002B517C"/>
    <w:rsid w:val="002B7C3B"/>
    <w:rsid w:val="002C0DB5"/>
    <w:rsid w:val="002C34EC"/>
    <w:rsid w:val="002C3DCB"/>
    <w:rsid w:val="002C4AF6"/>
    <w:rsid w:val="002C6B82"/>
    <w:rsid w:val="002D464D"/>
    <w:rsid w:val="002D5CD0"/>
    <w:rsid w:val="002D64A3"/>
    <w:rsid w:val="002F35C2"/>
    <w:rsid w:val="002F4929"/>
    <w:rsid w:val="003000BD"/>
    <w:rsid w:val="0030094B"/>
    <w:rsid w:val="003032DF"/>
    <w:rsid w:val="00311F7D"/>
    <w:rsid w:val="003138BB"/>
    <w:rsid w:val="0032168B"/>
    <w:rsid w:val="00322612"/>
    <w:rsid w:val="003226C0"/>
    <w:rsid w:val="00326957"/>
    <w:rsid w:val="00331A4C"/>
    <w:rsid w:val="00331AC4"/>
    <w:rsid w:val="003332DC"/>
    <w:rsid w:val="00334ABA"/>
    <w:rsid w:val="00342755"/>
    <w:rsid w:val="003438CD"/>
    <w:rsid w:val="00346599"/>
    <w:rsid w:val="00354961"/>
    <w:rsid w:val="00360496"/>
    <w:rsid w:val="00363AC4"/>
    <w:rsid w:val="00364667"/>
    <w:rsid w:val="003660E5"/>
    <w:rsid w:val="00366CA5"/>
    <w:rsid w:val="003675AE"/>
    <w:rsid w:val="00372478"/>
    <w:rsid w:val="00376C7F"/>
    <w:rsid w:val="00376CF6"/>
    <w:rsid w:val="00382011"/>
    <w:rsid w:val="00382654"/>
    <w:rsid w:val="00385891"/>
    <w:rsid w:val="003858EC"/>
    <w:rsid w:val="00390BC9"/>
    <w:rsid w:val="00394B0E"/>
    <w:rsid w:val="003A5212"/>
    <w:rsid w:val="003B17AD"/>
    <w:rsid w:val="003B43C9"/>
    <w:rsid w:val="003B462D"/>
    <w:rsid w:val="003D015A"/>
    <w:rsid w:val="003D0B03"/>
    <w:rsid w:val="003D102E"/>
    <w:rsid w:val="003D6FC9"/>
    <w:rsid w:val="003E03A0"/>
    <w:rsid w:val="003E0A30"/>
    <w:rsid w:val="003E737D"/>
    <w:rsid w:val="003F2158"/>
    <w:rsid w:val="003F2598"/>
    <w:rsid w:val="00400001"/>
    <w:rsid w:val="004038BD"/>
    <w:rsid w:val="00404B13"/>
    <w:rsid w:val="00410328"/>
    <w:rsid w:val="00410CCD"/>
    <w:rsid w:val="00423735"/>
    <w:rsid w:val="00427E14"/>
    <w:rsid w:val="00431097"/>
    <w:rsid w:val="00435AD3"/>
    <w:rsid w:val="004373E6"/>
    <w:rsid w:val="0044310D"/>
    <w:rsid w:val="00444093"/>
    <w:rsid w:val="00445983"/>
    <w:rsid w:val="00447BBF"/>
    <w:rsid w:val="0045004B"/>
    <w:rsid w:val="00451833"/>
    <w:rsid w:val="00467A2F"/>
    <w:rsid w:val="00471A9C"/>
    <w:rsid w:val="0047475B"/>
    <w:rsid w:val="00476585"/>
    <w:rsid w:val="004810A2"/>
    <w:rsid w:val="004824F0"/>
    <w:rsid w:val="00482E7A"/>
    <w:rsid w:val="0048684C"/>
    <w:rsid w:val="00486F64"/>
    <w:rsid w:val="00495B2E"/>
    <w:rsid w:val="004A0AD2"/>
    <w:rsid w:val="004A6B41"/>
    <w:rsid w:val="004A6FE2"/>
    <w:rsid w:val="004A77AD"/>
    <w:rsid w:val="004B2B1B"/>
    <w:rsid w:val="004B3D19"/>
    <w:rsid w:val="004D1310"/>
    <w:rsid w:val="004D2841"/>
    <w:rsid w:val="004D4A9A"/>
    <w:rsid w:val="004D59D4"/>
    <w:rsid w:val="004D64A4"/>
    <w:rsid w:val="004E073C"/>
    <w:rsid w:val="004E0F95"/>
    <w:rsid w:val="004E1A2F"/>
    <w:rsid w:val="004E7E64"/>
    <w:rsid w:val="004F2658"/>
    <w:rsid w:val="004F65CC"/>
    <w:rsid w:val="00501E68"/>
    <w:rsid w:val="00502312"/>
    <w:rsid w:val="00505BB3"/>
    <w:rsid w:val="00506AEA"/>
    <w:rsid w:val="0051210E"/>
    <w:rsid w:val="00522300"/>
    <w:rsid w:val="005236C0"/>
    <w:rsid w:val="00523753"/>
    <w:rsid w:val="005279D9"/>
    <w:rsid w:val="00532F17"/>
    <w:rsid w:val="00537803"/>
    <w:rsid w:val="00542697"/>
    <w:rsid w:val="00544219"/>
    <w:rsid w:val="00544820"/>
    <w:rsid w:val="00545C0A"/>
    <w:rsid w:val="00550C48"/>
    <w:rsid w:val="005517D0"/>
    <w:rsid w:val="0055410D"/>
    <w:rsid w:val="00554EA3"/>
    <w:rsid w:val="00556345"/>
    <w:rsid w:val="00565E19"/>
    <w:rsid w:val="0056692C"/>
    <w:rsid w:val="005673F5"/>
    <w:rsid w:val="00567881"/>
    <w:rsid w:val="005736DB"/>
    <w:rsid w:val="00574A00"/>
    <w:rsid w:val="005813F4"/>
    <w:rsid w:val="005837EC"/>
    <w:rsid w:val="005845AA"/>
    <w:rsid w:val="005923D3"/>
    <w:rsid w:val="00597E03"/>
    <w:rsid w:val="005A5316"/>
    <w:rsid w:val="005A7FF5"/>
    <w:rsid w:val="005B0DC5"/>
    <w:rsid w:val="005C688F"/>
    <w:rsid w:val="005C71B3"/>
    <w:rsid w:val="005D0354"/>
    <w:rsid w:val="005D1D82"/>
    <w:rsid w:val="005D2BF0"/>
    <w:rsid w:val="005D33E4"/>
    <w:rsid w:val="005D584E"/>
    <w:rsid w:val="005D5CE9"/>
    <w:rsid w:val="005D613B"/>
    <w:rsid w:val="005E3178"/>
    <w:rsid w:val="005E46BA"/>
    <w:rsid w:val="005E4771"/>
    <w:rsid w:val="005E4B9B"/>
    <w:rsid w:val="005F01E3"/>
    <w:rsid w:val="005F1042"/>
    <w:rsid w:val="005F2F58"/>
    <w:rsid w:val="005F2F62"/>
    <w:rsid w:val="005F3501"/>
    <w:rsid w:val="005F7F8B"/>
    <w:rsid w:val="00601D09"/>
    <w:rsid w:val="00604F52"/>
    <w:rsid w:val="00605A6D"/>
    <w:rsid w:val="00613D32"/>
    <w:rsid w:val="00616DEA"/>
    <w:rsid w:val="0062306D"/>
    <w:rsid w:val="00627A19"/>
    <w:rsid w:val="00627BEC"/>
    <w:rsid w:val="00631B85"/>
    <w:rsid w:val="0063238E"/>
    <w:rsid w:val="006363E5"/>
    <w:rsid w:val="00637593"/>
    <w:rsid w:val="006427CF"/>
    <w:rsid w:val="00644242"/>
    <w:rsid w:val="00646C72"/>
    <w:rsid w:val="00660644"/>
    <w:rsid w:val="00661D0B"/>
    <w:rsid w:val="00662395"/>
    <w:rsid w:val="00662CDE"/>
    <w:rsid w:val="00664694"/>
    <w:rsid w:val="00666DBF"/>
    <w:rsid w:val="00667DE3"/>
    <w:rsid w:val="00670E87"/>
    <w:rsid w:val="00671A3B"/>
    <w:rsid w:val="0067421E"/>
    <w:rsid w:val="006774E3"/>
    <w:rsid w:val="00680B80"/>
    <w:rsid w:val="0068172E"/>
    <w:rsid w:val="00682AAF"/>
    <w:rsid w:val="00686B44"/>
    <w:rsid w:val="00686CA7"/>
    <w:rsid w:val="00687B1A"/>
    <w:rsid w:val="00690327"/>
    <w:rsid w:val="006953A3"/>
    <w:rsid w:val="006A586E"/>
    <w:rsid w:val="006A76F4"/>
    <w:rsid w:val="006B277A"/>
    <w:rsid w:val="006D1F5D"/>
    <w:rsid w:val="006D2D41"/>
    <w:rsid w:val="006D429D"/>
    <w:rsid w:val="006D5524"/>
    <w:rsid w:val="006D6FF8"/>
    <w:rsid w:val="006E1322"/>
    <w:rsid w:val="006E1662"/>
    <w:rsid w:val="006E31E7"/>
    <w:rsid w:val="006F2EC9"/>
    <w:rsid w:val="006F4ED3"/>
    <w:rsid w:val="007031A5"/>
    <w:rsid w:val="00703B80"/>
    <w:rsid w:val="00706D66"/>
    <w:rsid w:val="00707557"/>
    <w:rsid w:val="007076D7"/>
    <w:rsid w:val="00711620"/>
    <w:rsid w:val="00712E1A"/>
    <w:rsid w:val="00717A79"/>
    <w:rsid w:val="007237B7"/>
    <w:rsid w:val="007329A7"/>
    <w:rsid w:val="0073646D"/>
    <w:rsid w:val="0073791C"/>
    <w:rsid w:val="007429D7"/>
    <w:rsid w:val="00745E6E"/>
    <w:rsid w:val="00753756"/>
    <w:rsid w:val="007545E1"/>
    <w:rsid w:val="00754748"/>
    <w:rsid w:val="00754C72"/>
    <w:rsid w:val="0075520F"/>
    <w:rsid w:val="00756B22"/>
    <w:rsid w:val="007739BE"/>
    <w:rsid w:val="00774084"/>
    <w:rsid w:val="00777065"/>
    <w:rsid w:val="00783225"/>
    <w:rsid w:val="00786AD1"/>
    <w:rsid w:val="007909F8"/>
    <w:rsid w:val="007A10FA"/>
    <w:rsid w:val="007A1C90"/>
    <w:rsid w:val="007A27A9"/>
    <w:rsid w:val="007A3D0B"/>
    <w:rsid w:val="007A49D7"/>
    <w:rsid w:val="007A4A95"/>
    <w:rsid w:val="007A59F5"/>
    <w:rsid w:val="007B5111"/>
    <w:rsid w:val="007B77AD"/>
    <w:rsid w:val="007B7A01"/>
    <w:rsid w:val="007C1053"/>
    <w:rsid w:val="007D3E8F"/>
    <w:rsid w:val="007D4F31"/>
    <w:rsid w:val="007D5A99"/>
    <w:rsid w:val="007E02FF"/>
    <w:rsid w:val="007E0447"/>
    <w:rsid w:val="007E0E1D"/>
    <w:rsid w:val="007E44E3"/>
    <w:rsid w:val="007E6DDD"/>
    <w:rsid w:val="007F225F"/>
    <w:rsid w:val="007F22F8"/>
    <w:rsid w:val="007F5B1F"/>
    <w:rsid w:val="007F5E35"/>
    <w:rsid w:val="008022C6"/>
    <w:rsid w:val="008027E7"/>
    <w:rsid w:val="00803A1C"/>
    <w:rsid w:val="00804032"/>
    <w:rsid w:val="008073E4"/>
    <w:rsid w:val="0081718F"/>
    <w:rsid w:val="00825D8E"/>
    <w:rsid w:val="00834DD4"/>
    <w:rsid w:val="00835988"/>
    <w:rsid w:val="0083616F"/>
    <w:rsid w:val="008374FF"/>
    <w:rsid w:val="00854945"/>
    <w:rsid w:val="00854CE7"/>
    <w:rsid w:val="0085777B"/>
    <w:rsid w:val="00857D8B"/>
    <w:rsid w:val="008608B0"/>
    <w:rsid w:val="008631A0"/>
    <w:rsid w:val="00864558"/>
    <w:rsid w:val="00864B94"/>
    <w:rsid w:val="00865C57"/>
    <w:rsid w:val="0086609B"/>
    <w:rsid w:val="008711DB"/>
    <w:rsid w:val="00871A81"/>
    <w:rsid w:val="00872798"/>
    <w:rsid w:val="00881075"/>
    <w:rsid w:val="0089664E"/>
    <w:rsid w:val="008973BA"/>
    <w:rsid w:val="008A2172"/>
    <w:rsid w:val="008A3C70"/>
    <w:rsid w:val="008A5A0B"/>
    <w:rsid w:val="008A7B19"/>
    <w:rsid w:val="008A7F28"/>
    <w:rsid w:val="008B2B8C"/>
    <w:rsid w:val="008B2EB2"/>
    <w:rsid w:val="008B6170"/>
    <w:rsid w:val="008B69E7"/>
    <w:rsid w:val="008B7EFB"/>
    <w:rsid w:val="008C0138"/>
    <w:rsid w:val="008C08D2"/>
    <w:rsid w:val="008C0E19"/>
    <w:rsid w:val="008C1C34"/>
    <w:rsid w:val="008D0994"/>
    <w:rsid w:val="008D1132"/>
    <w:rsid w:val="008D3D8F"/>
    <w:rsid w:val="008D5DA7"/>
    <w:rsid w:val="008E47A9"/>
    <w:rsid w:val="008F0AF7"/>
    <w:rsid w:val="008F143E"/>
    <w:rsid w:val="008F1905"/>
    <w:rsid w:val="008F27E7"/>
    <w:rsid w:val="008F2F96"/>
    <w:rsid w:val="008F38A9"/>
    <w:rsid w:val="008F42F1"/>
    <w:rsid w:val="008F5566"/>
    <w:rsid w:val="009027C4"/>
    <w:rsid w:val="00911F8F"/>
    <w:rsid w:val="00913E9B"/>
    <w:rsid w:val="009141AF"/>
    <w:rsid w:val="009172E1"/>
    <w:rsid w:val="009304B6"/>
    <w:rsid w:val="00932DD7"/>
    <w:rsid w:val="009338BB"/>
    <w:rsid w:val="0094067C"/>
    <w:rsid w:val="00941164"/>
    <w:rsid w:val="009413D6"/>
    <w:rsid w:val="00950150"/>
    <w:rsid w:val="009514E5"/>
    <w:rsid w:val="00954A32"/>
    <w:rsid w:val="00954D0E"/>
    <w:rsid w:val="0095595E"/>
    <w:rsid w:val="00957C5F"/>
    <w:rsid w:val="00960B17"/>
    <w:rsid w:val="009615E3"/>
    <w:rsid w:val="009623C2"/>
    <w:rsid w:val="009641EF"/>
    <w:rsid w:val="00975DD4"/>
    <w:rsid w:val="00976CF7"/>
    <w:rsid w:val="009874F3"/>
    <w:rsid w:val="00993EE3"/>
    <w:rsid w:val="00995BE8"/>
    <w:rsid w:val="009A475B"/>
    <w:rsid w:val="009A67B7"/>
    <w:rsid w:val="009A7E0E"/>
    <w:rsid w:val="009C08E8"/>
    <w:rsid w:val="009C2CC6"/>
    <w:rsid w:val="009C601D"/>
    <w:rsid w:val="009C7C6F"/>
    <w:rsid w:val="009D1351"/>
    <w:rsid w:val="009D3DF4"/>
    <w:rsid w:val="009D4418"/>
    <w:rsid w:val="009D4C3F"/>
    <w:rsid w:val="009E63B0"/>
    <w:rsid w:val="009E67FC"/>
    <w:rsid w:val="009F2616"/>
    <w:rsid w:val="009F511A"/>
    <w:rsid w:val="00A00CCD"/>
    <w:rsid w:val="00A024F5"/>
    <w:rsid w:val="00A028A2"/>
    <w:rsid w:val="00A07D8F"/>
    <w:rsid w:val="00A11F4E"/>
    <w:rsid w:val="00A177C2"/>
    <w:rsid w:val="00A17853"/>
    <w:rsid w:val="00A17DC1"/>
    <w:rsid w:val="00A20879"/>
    <w:rsid w:val="00A231D8"/>
    <w:rsid w:val="00A265D9"/>
    <w:rsid w:val="00A276CF"/>
    <w:rsid w:val="00A31804"/>
    <w:rsid w:val="00A31F6A"/>
    <w:rsid w:val="00A35903"/>
    <w:rsid w:val="00A37D24"/>
    <w:rsid w:val="00A400DB"/>
    <w:rsid w:val="00A47E50"/>
    <w:rsid w:val="00A526D9"/>
    <w:rsid w:val="00A5794D"/>
    <w:rsid w:val="00A63F41"/>
    <w:rsid w:val="00A66870"/>
    <w:rsid w:val="00A70E2B"/>
    <w:rsid w:val="00A72BC6"/>
    <w:rsid w:val="00A7301C"/>
    <w:rsid w:val="00A76993"/>
    <w:rsid w:val="00A807AA"/>
    <w:rsid w:val="00A84035"/>
    <w:rsid w:val="00A8476F"/>
    <w:rsid w:val="00A872C6"/>
    <w:rsid w:val="00AA7C84"/>
    <w:rsid w:val="00AB060B"/>
    <w:rsid w:val="00AB0EC4"/>
    <w:rsid w:val="00AB13F1"/>
    <w:rsid w:val="00AB2028"/>
    <w:rsid w:val="00AB2AFC"/>
    <w:rsid w:val="00AB455E"/>
    <w:rsid w:val="00AB6F49"/>
    <w:rsid w:val="00AC4FCB"/>
    <w:rsid w:val="00AC65AF"/>
    <w:rsid w:val="00AC7A85"/>
    <w:rsid w:val="00AC7DD6"/>
    <w:rsid w:val="00AD12F2"/>
    <w:rsid w:val="00AD434D"/>
    <w:rsid w:val="00AD5B97"/>
    <w:rsid w:val="00AD6685"/>
    <w:rsid w:val="00AE02B2"/>
    <w:rsid w:val="00AF0437"/>
    <w:rsid w:val="00AF0765"/>
    <w:rsid w:val="00AF2536"/>
    <w:rsid w:val="00AF330B"/>
    <w:rsid w:val="00AF5B3A"/>
    <w:rsid w:val="00B018AD"/>
    <w:rsid w:val="00B021C4"/>
    <w:rsid w:val="00B03DBF"/>
    <w:rsid w:val="00B0422E"/>
    <w:rsid w:val="00B0708F"/>
    <w:rsid w:val="00B07AD1"/>
    <w:rsid w:val="00B10361"/>
    <w:rsid w:val="00B10AE0"/>
    <w:rsid w:val="00B15A32"/>
    <w:rsid w:val="00B235C8"/>
    <w:rsid w:val="00B259E2"/>
    <w:rsid w:val="00B26299"/>
    <w:rsid w:val="00B27132"/>
    <w:rsid w:val="00B36164"/>
    <w:rsid w:val="00B40FD4"/>
    <w:rsid w:val="00B47331"/>
    <w:rsid w:val="00B5240F"/>
    <w:rsid w:val="00B52B82"/>
    <w:rsid w:val="00B55855"/>
    <w:rsid w:val="00B651E0"/>
    <w:rsid w:val="00B66ED3"/>
    <w:rsid w:val="00B747FD"/>
    <w:rsid w:val="00B9039B"/>
    <w:rsid w:val="00B92209"/>
    <w:rsid w:val="00B95591"/>
    <w:rsid w:val="00BA1555"/>
    <w:rsid w:val="00BA2B01"/>
    <w:rsid w:val="00BA3FD5"/>
    <w:rsid w:val="00BA41C1"/>
    <w:rsid w:val="00BA5188"/>
    <w:rsid w:val="00BB3E8A"/>
    <w:rsid w:val="00BB5113"/>
    <w:rsid w:val="00BB5659"/>
    <w:rsid w:val="00BB6E09"/>
    <w:rsid w:val="00BC02C2"/>
    <w:rsid w:val="00BC150B"/>
    <w:rsid w:val="00BC298F"/>
    <w:rsid w:val="00BC30EA"/>
    <w:rsid w:val="00BC31AD"/>
    <w:rsid w:val="00BC6BC1"/>
    <w:rsid w:val="00BC7979"/>
    <w:rsid w:val="00BC7A6E"/>
    <w:rsid w:val="00BD0D30"/>
    <w:rsid w:val="00BD0E67"/>
    <w:rsid w:val="00BD75BF"/>
    <w:rsid w:val="00BE0109"/>
    <w:rsid w:val="00BE056F"/>
    <w:rsid w:val="00BE2BDC"/>
    <w:rsid w:val="00BF2677"/>
    <w:rsid w:val="00BF2C4F"/>
    <w:rsid w:val="00BF5D85"/>
    <w:rsid w:val="00BF6302"/>
    <w:rsid w:val="00BF69AB"/>
    <w:rsid w:val="00C01D68"/>
    <w:rsid w:val="00C02CE1"/>
    <w:rsid w:val="00C04896"/>
    <w:rsid w:val="00C05312"/>
    <w:rsid w:val="00C10F83"/>
    <w:rsid w:val="00C1348D"/>
    <w:rsid w:val="00C143E5"/>
    <w:rsid w:val="00C17EE4"/>
    <w:rsid w:val="00C22A79"/>
    <w:rsid w:val="00C22FC2"/>
    <w:rsid w:val="00C25723"/>
    <w:rsid w:val="00C26939"/>
    <w:rsid w:val="00C26DCE"/>
    <w:rsid w:val="00C279CE"/>
    <w:rsid w:val="00C43C4D"/>
    <w:rsid w:val="00C44B56"/>
    <w:rsid w:val="00C5168A"/>
    <w:rsid w:val="00C52593"/>
    <w:rsid w:val="00C54FC0"/>
    <w:rsid w:val="00C55D3E"/>
    <w:rsid w:val="00C60D8F"/>
    <w:rsid w:val="00C615EB"/>
    <w:rsid w:val="00C62D00"/>
    <w:rsid w:val="00C67E78"/>
    <w:rsid w:val="00C67F0A"/>
    <w:rsid w:val="00C83169"/>
    <w:rsid w:val="00C86281"/>
    <w:rsid w:val="00CA1CAD"/>
    <w:rsid w:val="00CA6CF8"/>
    <w:rsid w:val="00CA78DD"/>
    <w:rsid w:val="00CB1296"/>
    <w:rsid w:val="00CB6979"/>
    <w:rsid w:val="00CB7E81"/>
    <w:rsid w:val="00CC0E00"/>
    <w:rsid w:val="00CC4028"/>
    <w:rsid w:val="00CC51AA"/>
    <w:rsid w:val="00CC51C7"/>
    <w:rsid w:val="00CD20D1"/>
    <w:rsid w:val="00CD4F85"/>
    <w:rsid w:val="00CE0A91"/>
    <w:rsid w:val="00CE2CFC"/>
    <w:rsid w:val="00CF2D96"/>
    <w:rsid w:val="00CF3BAE"/>
    <w:rsid w:val="00CF50C0"/>
    <w:rsid w:val="00CF6B9D"/>
    <w:rsid w:val="00CF75DD"/>
    <w:rsid w:val="00D0443B"/>
    <w:rsid w:val="00D05B0F"/>
    <w:rsid w:val="00D13948"/>
    <w:rsid w:val="00D15C79"/>
    <w:rsid w:val="00D168EA"/>
    <w:rsid w:val="00D24518"/>
    <w:rsid w:val="00D24A1D"/>
    <w:rsid w:val="00D26B78"/>
    <w:rsid w:val="00D4310C"/>
    <w:rsid w:val="00D45D7C"/>
    <w:rsid w:val="00D60483"/>
    <w:rsid w:val="00D606A0"/>
    <w:rsid w:val="00D60A9F"/>
    <w:rsid w:val="00D64CE9"/>
    <w:rsid w:val="00D64E9B"/>
    <w:rsid w:val="00D70F0E"/>
    <w:rsid w:val="00D73486"/>
    <w:rsid w:val="00D745C0"/>
    <w:rsid w:val="00D751BD"/>
    <w:rsid w:val="00D77799"/>
    <w:rsid w:val="00D7792B"/>
    <w:rsid w:val="00D80A80"/>
    <w:rsid w:val="00D81234"/>
    <w:rsid w:val="00D91C32"/>
    <w:rsid w:val="00D93BFE"/>
    <w:rsid w:val="00D93E08"/>
    <w:rsid w:val="00D94D98"/>
    <w:rsid w:val="00DA2CBF"/>
    <w:rsid w:val="00DA55ED"/>
    <w:rsid w:val="00DA68B9"/>
    <w:rsid w:val="00DB6158"/>
    <w:rsid w:val="00DB6B21"/>
    <w:rsid w:val="00DC0B62"/>
    <w:rsid w:val="00DC2131"/>
    <w:rsid w:val="00DC4552"/>
    <w:rsid w:val="00DC73E2"/>
    <w:rsid w:val="00DC7BD3"/>
    <w:rsid w:val="00DD176B"/>
    <w:rsid w:val="00DD57B0"/>
    <w:rsid w:val="00DE012A"/>
    <w:rsid w:val="00DE3C06"/>
    <w:rsid w:val="00DE4483"/>
    <w:rsid w:val="00DF70D6"/>
    <w:rsid w:val="00E01994"/>
    <w:rsid w:val="00E12457"/>
    <w:rsid w:val="00E23DFF"/>
    <w:rsid w:val="00E26CFF"/>
    <w:rsid w:val="00E27D59"/>
    <w:rsid w:val="00E33840"/>
    <w:rsid w:val="00E3491D"/>
    <w:rsid w:val="00E35B1E"/>
    <w:rsid w:val="00E35F81"/>
    <w:rsid w:val="00E44010"/>
    <w:rsid w:val="00E45A6B"/>
    <w:rsid w:val="00E52547"/>
    <w:rsid w:val="00E52BCF"/>
    <w:rsid w:val="00E54ED7"/>
    <w:rsid w:val="00E648F1"/>
    <w:rsid w:val="00E65AC8"/>
    <w:rsid w:val="00E746B5"/>
    <w:rsid w:val="00E80342"/>
    <w:rsid w:val="00E84F0C"/>
    <w:rsid w:val="00E8708C"/>
    <w:rsid w:val="00E878B0"/>
    <w:rsid w:val="00E91E67"/>
    <w:rsid w:val="00E957B1"/>
    <w:rsid w:val="00E96C4D"/>
    <w:rsid w:val="00EA0E87"/>
    <w:rsid w:val="00EA120F"/>
    <w:rsid w:val="00EA574C"/>
    <w:rsid w:val="00EA5992"/>
    <w:rsid w:val="00EB24E6"/>
    <w:rsid w:val="00EB3E20"/>
    <w:rsid w:val="00EC2FE8"/>
    <w:rsid w:val="00EC4185"/>
    <w:rsid w:val="00ED37AD"/>
    <w:rsid w:val="00EE54D7"/>
    <w:rsid w:val="00EE5CE1"/>
    <w:rsid w:val="00EE7784"/>
    <w:rsid w:val="00EF0C42"/>
    <w:rsid w:val="00EF74E7"/>
    <w:rsid w:val="00F00524"/>
    <w:rsid w:val="00F02597"/>
    <w:rsid w:val="00F03D67"/>
    <w:rsid w:val="00F05159"/>
    <w:rsid w:val="00F05DE4"/>
    <w:rsid w:val="00F215B7"/>
    <w:rsid w:val="00F2327A"/>
    <w:rsid w:val="00F252BF"/>
    <w:rsid w:val="00F30190"/>
    <w:rsid w:val="00F3252D"/>
    <w:rsid w:val="00F35F07"/>
    <w:rsid w:val="00F3793E"/>
    <w:rsid w:val="00F52D75"/>
    <w:rsid w:val="00F535DF"/>
    <w:rsid w:val="00F53733"/>
    <w:rsid w:val="00F55EFC"/>
    <w:rsid w:val="00F6496C"/>
    <w:rsid w:val="00F656AE"/>
    <w:rsid w:val="00F678BF"/>
    <w:rsid w:val="00F71C1B"/>
    <w:rsid w:val="00F7386B"/>
    <w:rsid w:val="00F75561"/>
    <w:rsid w:val="00F7696E"/>
    <w:rsid w:val="00F76E3D"/>
    <w:rsid w:val="00F779CA"/>
    <w:rsid w:val="00F77A9F"/>
    <w:rsid w:val="00F81F21"/>
    <w:rsid w:val="00F848B9"/>
    <w:rsid w:val="00F9003E"/>
    <w:rsid w:val="00F9022E"/>
    <w:rsid w:val="00F90EE3"/>
    <w:rsid w:val="00F9278B"/>
    <w:rsid w:val="00F96D4B"/>
    <w:rsid w:val="00F97416"/>
    <w:rsid w:val="00F97894"/>
    <w:rsid w:val="00FA355B"/>
    <w:rsid w:val="00FA381C"/>
    <w:rsid w:val="00FA3E00"/>
    <w:rsid w:val="00FA58F1"/>
    <w:rsid w:val="00FA796A"/>
    <w:rsid w:val="00FB5438"/>
    <w:rsid w:val="00FC545C"/>
    <w:rsid w:val="00FC5A02"/>
    <w:rsid w:val="00FD2C1B"/>
    <w:rsid w:val="00FD515F"/>
    <w:rsid w:val="00FD572B"/>
    <w:rsid w:val="00FD7264"/>
    <w:rsid w:val="00FE20C1"/>
    <w:rsid w:val="00FE2571"/>
    <w:rsid w:val="00FE6F93"/>
    <w:rsid w:val="00FF1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A455"/>
  <w15:chartTrackingRefBased/>
  <w15:docId w15:val="{B01297BE-FFE5-4C08-8527-45DE8F8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93"/>
    <w:pPr>
      <w:spacing w:after="200" w:line="276" w:lineRule="auto"/>
    </w:pPr>
    <w:rPr>
      <w:rFonts w:eastAsiaTheme="minorHAnsi"/>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637593"/>
    <w:pPr>
      <w:spacing w:after="0" w:line="240" w:lineRule="auto"/>
    </w:pPr>
    <w:rPr>
      <w:kern w:val="0"/>
      <w:sz w:val="21"/>
      <w:szCs w:val="21"/>
      <w:lang w:eastAsia="zh-C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ubtleReference">
    <w:name w:val="Subtle Reference"/>
    <w:qFormat/>
    <w:rsid w:val="002420ED"/>
    <w:rPr>
      <w:b/>
      <w:bCs/>
      <w:color w:val="4472C4" w:themeColor="accent1"/>
    </w:rPr>
  </w:style>
  <w:style w:type="paragraph" w:styleId="NormalWeb">
    <w:name w:val="Normal (Web)"/>
    <w:basedOn w:val="Normal"/>
    <w:uiPriority w:val="99"/>
    <w:unhideWhenUsed/>
    <w:rsid w:val="002420ED"/>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Caption">
    <w:name w:val="caption"/>
    <w:aliases w:val="Хавсралт,Хүснэгт,хүснэгт,Зураг"/>
    <w:basedOn w:val="Normal"/>
    <w:next w:val="Normal"/>
    <w:link w:val="CaptionChar"/>
    <w:uiPriority w:val="35"/>
    <w:unhideWhenUsed/>
    <w:qFormat/>
    <w:rsid w:val="002420ED"/>
    <w:pPr>
      <w:spacing w:before="200"/>
    </w:pPr>
    <w:rPr>
      <w:rFonts w:ascii="Mogul Arial" w:eastAsiaTheme="minorEastAsia" w:hAnsi="Mogul Arial"/>
      <w:b/>
      <w:bCs/>
      <w:color w:val="2F5496" w:themeColor="accent1" w:themeShade="BF"/>
      <w:sz w:val="20"/>
      <w:szCs w:val="16"/>
      <w14:ligatures w14:val="none"/>
    </w:rPr>
  </w:style>
  <w:style w:type="table" w:customStyle="1" w:styleId="TableGrid1">
    <w:name w:val="Table Grid1"/>
    <w:basedOn w:val="TableNormal"/>
    <w:next w:val="TableGrid"/>
    <w:uiPriority w:val="59"/>
    <w:rsid w:val="002420ED"/>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Хавсралт Char,Хүснэгт Char,хүснэгт Char,Зураг Char"/>
    <w:basedOn w:val="DefaultParagraphFont"/>
    <w:link w:val="Caption"/>
    <w:uiPriority w:val="35"/>
    <w:rsid w:val="002420ED"/>
    <w:rPr>
      <w:rFonts w:ascii="Mogul Arial" w:hAnsi="Mogul Arial"/>
      <w:b/>
      <w:bCs/>
      <w:color w:val="2F5496" w:themeColor="accent1" w:themeShade="BF"/>
      <w:kern w:val="0"/>
      <w:sz w:val="20"/>
      <w:szCs w:val="16"/>
      <w:lang w:eastAsia="en-US"/>
      <w14:ligatures w14:val="none"/>
    </w:rPr>
  </w:style>
  <w:style w:type="table" w:styleId="TableGrid">
    <w:name w:val="Table Grid"/>
    <w:basedOn w:val="TableNormal"/>
    <w:uiPriority w:val="39"/>
    <w:rsid w:val="00242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f"/>
    <w:basedOn w:val="Normal"/>
    <w:link w:val="FootnoteTextChar"/>
    <w:uiPriority w:val="99"/>
    <w:unhideWhenUsed/>
    <w:qFormat/>
    <w:rsid w:val="0028030D"/>
    <w:pPr>
      <w:spacing w:before="200" w:after="0" w:line="240" w:lineRule="auto"/>
    </w:pPr>
    <w:rPr>
      <w:rFonts w:ascii="Mogul Arial" w:eastAsiaTheme="minorEastAsia" w:hAnsi="Mogul Arial"/>
      <w:sz w:val="24"/>
      <w:szCs w:val="20"/>
      <w14:ligatures w14:val="none"/>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f Char"/>
    <w:basedOn w:val="DefaultParagraphFont"/>
    <w:link w:val="FootnoteText"/>
    <w:uiPriority w:val="99"/>
    <w:qFormat/>
    <w:rsid w:val="0028030D"/>
    <w:rPr>
      <w:rFonts w:ascii="Mogul Arial" w:hAnsi="Mogul Arial"/>
      <w:kern w:val="0"/>
      <w:sz w:val="24"/>
      <w:szCs w:val="20"/>
      <w:lang w:eastAsia="en-US"/>
      <w14:ligatures w14:val="none"/>
    </w:rPr>
  </w:style>
  <w:style w:type="character" w:styleId="FootnoteReference">
    <w:name w:val="footnote reference"/>
    <w:aliases w:val="de nota al pie,Ref,Знак сноски 1,Знак сноски-FN,Ciae niinee-FN,Referencia nota al pie,BVI fnr,ftref,Error-Fußnotenzeichen5,Error-Fußnotenzeichen6,Error-Fußnotenzeichen3,Times 10 Point,Exposant 3 Point,Footnote symbol, BVI fnr Char,fr"/>
    <w:basedOn w:val="DefaultParagraphFont"/>
    <w:link w:val="BVIfnrCarCar"/>
    <w:uiPriority w:val="99"/>
    <w:unhideWhenUsed/>
    <w:qFormat/>
    <w:rsid w:val="0028030D"/>
    <w:rPr>
      <w:vertAlign w:val="superscript"/>
    </w:rPr>
  </w:style>
  <w:style w:type="paragraph" w:customStyle="1" w:styleId="BVIfnrCarCar">
    <w:name w:val="BVI fnr Car Car"/>
    <w:aliases w:val="BVI fnr Car, BVI fnr Car Car Car Car,BVI fnr Car Car Char,BVI fnr Car Car Car Car Char,BVI fnr Car Car Car Car"/>
    <w:basedOn w:val="Normal"/>
    <w:link w:val="FootnoteReference"/>
    <w:uiPriority w:val="99"/>
    <w:rsid w:val="0028030D"/>
    <w:pPr>
      <w:spacing w:after="120" w:line="240" w:lineRule="exact"/>
      <w:jc w:val="both"/>
    </w:pPr>
    <w:rPr>
      <w:rFonts w:eastAsiaTheme="minorEastAsia"/>
      <w:kern w:val="2"/>
      <w:vertAlign w:val="superscript"/>
      <w:lang w:eastAsia="ja-JP"/>
    </w:rPr>
  </w:style>
  <w:style w:type="paragraph" w:customStyle="1" w:styleId="paragraph">
    <w:name w:val="paragraph"/>
    <w:basedOn w:val="Normal"/>
    <w:rsid w:val="003D015A"/>
    <w:pPr>
      <w:spacing w:after="0" w:line="240" w:lineRule="auto"/>
    </w:pPr>
    <w:rPr>
      <w:rFonts w:ascii="Times New Roman" w:eastAsia="Times New Roman" w:hAnsi="Times New Roman" w:cs="Times New Roman"/>
      <w:sz w:val="24"/>
      <w:szCs w:val="24"/>
      <w14:ligatures w14:val="none"/>
    </w:rPr>
  </w:style>
  <w:style w:type="character" w:customStyle="1" w:styleId="normaltextrun1">
    <w:name w:val="normaltextrun1"/>
    <w:basedOn w:val="DefaultParagraphFont"/>
    <w:rsid w:val="003D015A"/>
  </w:style>
  <w:style w:type="paragraph" w:customStyle="1" w:styleId="Normal1">
    <w:name w:val="Normal1"/>
    <w:rsid w:val="00BF69AB"/>
    <w:pPr>
      <w:spacing w:before="200" w:after="200" w:line="276" w:lineRule="auto"/>
    </w:pPr>
    <w:rPr>
      <w:kern w:val="0"/>
      <w:lang w:eastAsia="en-US"/>
      <w14:ligatures w14:val="none"/>
    </w:rPr>
  </w:style>
  <w:style w:type="paragraph" w:styleId="ListParagraph">
    <w:name w:val="List Paragraph"/>
    <w:aliases w:val="IBL List Paragraph,Дэд гарчиг,Bullets,List Paragraph1,Paragraph,Heading Number,List Paragraph Num,Colorful List - Accent 11,Subtitle1,Subtitle11,Subtitle111,Subtitle1111,Subtitle11111,Subtitle2,Unordered List,List Paragraph 2,References,3"/>
    <w:basedOn w:val="Normal"/>
    <w:link w:val="ListParagraphChar"/>
    <w:uiPriority w:val="34"/>
    <w:qFormat/>
    <w:rsid w:val="006D5524"/>
    <w:pPr>
      <w:spacing w:after="160" w:line="259" w:lineRule="auto"/>
      <w:ind w:left="720"/>
      <w:contextualSpacing/>
    </w:pPr>
    <w:rPr>
      <w:rFonts w:ascii="Arial" w:hAnsi="Arial"/>
      <w:sz w:val="24"/>
      <w14:ligatures w14:val="none"/>
    </w:rPr>
  </w:style>
  <w:style w:type="character" w:customStyle="1" w:styleId="ListParagraphChar">
    <w:name w:val="List Paragraph Char"/>
    <w:aliases w:val="IBL List Paragraph Char,Дэд гарчиг Char,Bullets Char,List Paragraph1 Char,Paragraph Char,Heading Number Char,List Paragraph Num Char,Colorful List - Accent 11 Char,Subtitle1 Char,Subtitle11 Char,Subtitle111 Char,Subtitle1111 Char"/>
    <w:basedOn w:val="DefaultParagraphFont"/>
    <w:link w:val="ListParagraph"/>
    <w:uiPriority w:val="34"/>
    <w:qFormat/>
    <w:locked/>
    <w:rsid w:val="006D5524"/>
    <w:rPr>
      <w:rFonts w:ascii="Arial" w:eastAsiaTheme="minorHAnsi" w:hAnsi="Arial"/>
      <w:kern w:val="0"/>
      <w:sz w:val="24"/>
      <w:lang w:eastAsia="en-US"/>
      <w14:ligatures w14:val="none"/>
    </w:rPr>
  </w:style>
  <w:style w:type="character" w:customStyle="1" w:styleId="normaltextrun">
    <w:name w:val="normaltextrun"/>
    <w:basedOn w:val="DefaultParagraphFont"/>
    <w:rsid w:val="006D5524"/>
  </w:style>
  <w:style w:type="paragraph" w:styleId="CommentText">
    <w:name w:val="annotation text"/>
    <w:basedOn w:val="Normal"/>
    <w:link w:val="CommentTextChar"/>
    <w:uiPriority w:val="99"/>
    <w:unhideWhenUsed/>
    <w:rsid w:val="006D5524"/>
    <w:pPr>
      <w:spacing w:after="160" w:line="240" w:lineRule="auto"/>
    </w:pPr>
    <w:rPr>
      <w:sz w:val="20"/>
      <w:szCs w:val="20"/>
      <w14:ligatures w14:val="none"/>
    </w:rPr>
  </w:style>
  <w:style w:type="character" w:customStyle="1" w:styleId="CommentTextChar">
    <w:name w:val="Comment Text Char"/>
    <w:basedOn w:val="DefaultParagraphFont"/>
    <w:link w:val="CommentText"/>
    <w:uiPriority w:val="99"/>
    <w:rsid w:val="006D5524"/>
    <w:rPr>
      <w:rFonts w:eastAsiaTheme="minorHAnsi"/>
      <w:kern w:val="0"/>
      <w:sz w:val="20"/>
      <w:szCs w:val="20"/>
      <w:lang w:eastAsia="en-US"/>
      <w14:ligatures w14:val="none"/>
    </w:rPr>
  </w:style>
  <w:style w:type="character" w:styleId="CommentReference">
    <w:name w:val="annotation reference"/>
    <w:basedOn w:val="DefaultParagraphFont"/>
    <w:uiPriority w:val="99"/>
    <w:unhideWhenUsed/>
    <w:rsid w:val="006D55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60345">
      <w:bodyDiv w:val="1"/>
      <w:marLeft w:val="0"/>
      <w:marRight w:val="0"/>
      <w:marTop w:val="0"/>
      <w:marBottom w:val="0"/>
      <w:divBdr>
        <w:top w:val="none" w:sz="0" w:space="0" w:color="auto"/>
        <w:left w:val="none" w:sz="0" w:space="0" w:color="auto"/>
        <w:bottom w:val="none" w:sz="0" w:space="0" w:color="auto"/>
        <w:right w:val="none" w:sz="0" w:space="0" w:color="auto"/>
      </w:divBdr>
    </w:div>
    <w:div w:id="149988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Мөнгөнцэцэг Төмөрбаатар</dc:creator>
  <cp:keywords/>
  <dc:description/>
  <cp:lastModifiedBy>Microsoft Office User</cp:lastModifiedBy>
  <cp:revision>17</cp:revision>
  <cp:lastPrinted>2023-06-15T00:45:00Z</cp:lastPrinted>
  <dcterms:created xsi:type="dcterms:W3CDTF">2023-06-12T10:56:00Z</dcterms:created>
  <dcterms:modified xsi:type="dcterms:W3CDTF">2023-06-15T00:45:00Z</dcterms:modified>
</cp:coreProperties>
</file>