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26DF1" w14:textId="5F68008D" w:rsidR="00211300" w:rsidRPr="00027182" w:rsidRDefault="00535ADD" w:rsidP="00E92821">
      <w:pPr>
        <w:jc w:val="center"/>
      </w:pPr>
      <w:r w:rsidRPr="00027182">
        <w:t>ХУУЛИЙН ТӨСЛИЙН ДЭЛГЭРЭНГҮЙ ТАНИЛЦУУЛГА</w:t>
      </w:r>
    </w:p>
    <w:p w14:paraId="23D29F6B" w14:textId="77777777" w:rsidR="00E92821" w:rsidRPr="00027182" w:rsidRDefault="00E92821"/>
    <w:p w14:paraId="0DD65836" w14:textId="30D0272C" w:rsidR="00DB1DF5" w:rsidRPr="00027182" w:rsidRDefault="00DB1DF5" w:rsidP="00E92821">
      <w:pPr>
        <w:ind w:firstLine="720"/>
      </w:pPr>
      <w:r w:rsidRPr="00027182">
        <w:t>Хуулийн төс</w:t>
      </w:r>
      <w:r w:rsidR="00051751" w:rsidRPr="00027182">
        <w:t>л</w:t>
      </w:r>
      <w:r w:rsidR="00E359D3" w:rsidRPr="00027182">
        <w:t xml:space="preserve">ийг </w:t>
      </w:r>
      <w:r w:rsidR="006817CC" w:rsidRPr="00027182">
        <w:t>Хөрөнгө оруулалтын тухай хуулийн шинэчилсэн най</w:t>
      </w:r>
      <w:r w:rsidR="005D40D8" w:rsidRPr="00027182">
        <w:t>руулгын төслийн үзэл баримтлал</w:t>
      </w:r>
      <w:r w:rsidR="00996891" w:rsidRPr="00027182">
        <w:t>, Хуулийн тогтоомжийн тухай хуулийн шаардлага</w:t>
      </w:r>
      <w:r w:rsidR="005D40D8" w:rsidRPr="00027182">
        <w:t xml:space="preserve">д нийцүүлсэн боловсруулж, </w:t>
      </w:r>
      <w:r w:rsidR="00051751" w:rsidRPr="00027182">
        <w:t>олон нийт</w:t>
      </w:r>
      <w:r w:rsidR="00071D58" w:rsidRPr="00027182">
        <w:t>ээс ирүүлсэн сана</w:t>
      </w:r>
      <w:r w:rsidR="00E359D3" w:rsidRPr="00027182">
        <w:t xml:space="preserve">л, </w:t>
      </w:r>
      <w:r w:rsidR="00966610" w:rsidRPr="00027182">
        <w:t xml:space="preserve">Засгийн газрын </w:t>
      </w:r>
      <w:r w:rsidR="00E359D3" w:rsidRPr="00027182">
        <w:t xml:space="preserve">гишүүдийн саналыг тусган </w:t>
      </w:r>
      <w:r w:rsidR="00BC7333" w:rsidRPr="00027182">
        <w:t>7</w:t>
      </w:r>
      <w:r w:rsidR="00F01310" w:rsidRPr="00027182">
        <w:t xml:space="preserve"> бүлэг 3</w:t>
      </w:r>
      <w:r w:rsidR="00BC7333" w:rsidRPr="00027182">
        <w:t>3</w:t>
      </w:r>
      <w:r w:rsidR="00F01310" w:rsidRPr="00027182">
        <w:t xml:space="preserve"> зүйлтэйгээр боловсруулсан.</w:t>
      </w:r>
    </w:p>
    <w:p w14:paraId="5D39A46B" w14:textId="77777777" w:rsidR="00E92821" w:rsidRPr="00027182" w:rsidRDefault="00E92821" w:rsidP="00E92821"/>
    <w:tbl>
      <w:tblPr>
        <w:tblStyle w:val="TableGrid"/>
        <w:tblW w:w="9428" w:type="dxa"/>
        <w:tblLook w:val="04A0" w:firstRow="1" w:lastRow="0" w:firstColumn="1" w:lastColumn="0" w:noHBand="0" w:noVBand="1"/>
      </w:tblPr>
      <w:tblGrid>
        <w:gridCol w:w="528"/>
        <w:gridCol w:w="1627"/>
        <w:gridCol w:w="2915"/>
        <w:gridCol w:w="4358"/>
      </w:tblGrid>
      <w:tr w:rsidR="003D7CB5" w:rsidRPr="00027182" w14:paraId="7413A4B0" w14:textId="77777777">
        <w:trPr>
          <w:trHeight w:val="495"/>
        </w:trPr>
        <w:tc>
          <w:tcPr>
            <w:tcW w:w="528" w:type="dxa"/>
            <w:shd w:val="clear" w:color="auto" w:fill="DEEAF6" w:themeFill="accent5" w:themeFillTint="33"/>
            <w:vAlign w:val="center"/>
          </w:tcPr>
          <w:p w14:paraId="586C91DA" w14:textId="77777777" w:rsidR="003D7CB5" w:rsidRPr="00027182" w:rsidRDefault="003D7CB5">
            <w:pPr>
              <w:jc w:val="center"/>
              <w:rPr>
                <w:rFonts w:cs="Arial"/>
                <w:b/>
                <w:bCs/>
                <w:sz w:val="22"/>
              </w:rPr>
            </w:pPr>
            <w:r w:rsidRPr="00027182">
              <w:rPr>
                <w:rFonts w:cs="Arial"/>
                <w:b/>
                <w:bCs/>
                <w:sz w:val="22"/>
              </w:rPr>
              <w:t>№</w:t>
            </w:r>
          </w:p>
        </w:tc>
        <w:tc>
          <w:tcPr>
            <w:tcW w:w="1627" w:type="dxa"/>
            <w:shd w:val="clear" w:color="auto" w:fill="DEEAF6" w:themeFill="accent5" w:themeFillTint="33"/>
            <w:vAlign w:val="center"/>
          </w:tcPr>
          <w:p w14:paraId="58243A80" w14:textId="77777777" w:rsidR="003D7CB5" w:rsidRPr="00027182" w:rsidRDefault="003D7CB5">
            <w:pPr>
              <w:jc w:val="center"/>
              <w:rPr>
                <w:rFonts w:cs="Arial"/>
                <w:b/>
                <w:bCs/>
                <w:sz w:val="22"/>
              </w:rPr>
            </w:pPr>
            <w:r w:rsidRPr="00027182">
              <w:rPr>
                <w:rFonts w:cs="Arial"/>
                <w:b/>
                <w:bCs/>
                <w:sz w:val="22"/>
              </w:rPr>
              <w:t>Бүлэг</w:t>
            </w:r>
          </w:p>
        </w:tc>
        <w:tc>
          <w:tcPr>
            <w:tcW w:w="2915" w:type="dxa"/>
            <w:shd w:val="clear" w:color="auto" w:fill="DEEAF6" w:themeFill="accent5" w:themeFillTint="33"/>
            <w:vAlign w:val="center"/>
          </w:tcPr>
          <w:p w14:paraId="00E52655" w14:textId="77777777" w:rsidR="003D7CB5" w:rsidRPr="00027182" w:rsidRDefault="003D7CB5">
            <w:pPr>
              <w:jc w:val="center"/>
              <w:rPr>
                <w:rFonts w:cs="Arial"/>
                <w:b/>
                <w:bCs/>
                <w:sz w:val="22"/>
              </w:rPr>
            </w:pPr>
            <w:r w:rsidRPr="00027182">
              <w:rPr>
                <w:rFonts w:cs="Arial"/>
                <w:b/>
                <w:bCs/>
                <w:sz w:val="22"/>
              </w:rPr>
              <w:t>Зүйл</w:t>
            </w:r>
          </w:p>
        </w:tc>
        <w:tc>
          <w:tcPr>
            <w:tcW w:w="4358" w:type="dxa"/>
            <w:shd w:val="clear" w:color="auto" w:fill="DEEAF6" w:themeFill="accent5" w:themeFillTint="33"/>
            <w:vAlign w:val="center"/>
          </w:tcPr>
          <w:p w14:paraId="71FC3895" w14:textId="77777777" w:rsidR="003D7CB5" w:rsidRPr="00027182" w:rsidRDefault="003D7CB5">
            <w:pPr>
              <w:jc w:val="center"/>
              <w:rPr>
                <w:rFonts w:cs="Arial"/>
                <w:b/>
                <w:bCs/>
                <w:sz w:val="22"/>
              </w:rPr>
            </w:pPr>
            <w:r w:rsidRPr="00027182">
              <w:rPr>
                <w:rFonts w:cs="Arial"/>
                <w:b/>
                <w:bCs/>
                <w:sz w:val="22"/>
              </w:rPr>
              <w:t>Танилцуулга</w:t>
            </w:r>
          </w:p>
        </w:tc>
      </w:tr>
      <w:tr w:rsidR="003D7CB5" w:rsidRPr="00027182" w14:paraId="28B3D259" w14:textId="77777777">
        <w:trPr>
          <w:trHeight w:val="495"/>
        </w:trPr>
        <w:tc>
          <w:tcPr>
            <w:tcW w:w="528" w:type="dxa"/>
            <w:shd w:val="clear" w:color="auto" w:fill="auto"/>
            <w:vAlign w:val="center"/>
          </w:tcPr>
          <w:p w14:paraId="30A1E35B" w14:textId="77777777" w:rsidR="003D7CB5" w:rsidRPr="00027182" w:rsidRDefault="003D7CB5" w:rsidP="003D7CB5">
            <w:pPr>
              <w:jc w:val="center"/>
              <w:rPr>
                <w:rFonts w:cs="Arial"/>
                <w:b/>
                <w:bCs/>
                <w:sz w:val="22"/>
              </w:rPr>
            </w:pPr>
            <w:r w:rsidRPr="00027182">
              <w:rPr>
                <w:rFonts w:cs="Arial"/>
                <w:sz w:val="22"/>
              </w:rPr>
              <w:t>1</w:t>
            </w:r>
          </w:p>
        </w:tc>
        <w:tc>
          <w:tcPr>
            <w:tcW w:w="1627" w:type="dxa"/>
            <w:shd w:val="clear" w:color="auto" w:fill="auto"/>
            <w:vAlign w:val="center"/>
          </w:tcPr>
          <w:p w14:paraId="4D9BF7CB" w14:textId="4588B4D1" w:rsidR="003D7CB5" w:rsidRPr="00027182" w:rsidRDefault="003D7CB5" w:rsidP="003D7CB5">
            <w:pPr>
              <w:jc w:val="center"/>
              <w:rPr>
                <w:rFonts w:cs="Arial"/>
                <w:b/>
                <w:bCs/>
                <w:sz w:val="22"/>
              </w:rPr>
            </w:pPr>
            <w:r w:rsidRPr="00027182">
              <w:rPr>
                <w:rFonts w:cs="Arial"/>
                <w:sz w:val="20"/>
                <w:szCs w:val="20"/>
              </w:rPr>
              <w:t>Нийтлэг үндэслэл</w:t>
            </w:r>
          </w:p>
        </w:tc>
        <w:tc>
          <w:tcPr>
            <w:tcW w:w="2915" w:type="dxa"/>
            <w:shd w:val="clear" w:color="auto" w:fill="auto"/>
            <w:vAlign w:val="center"/>
          </w:tcPr>
          <w:p w14:paraId="5A977AF3" w14:textId="77777777" w:rsidR="003D7CB5" w:rsidRPr="00027182" w:rsidRDefault="003D7CB5" w:rsidP="003D7CB5">
            <w:pPr>
              <w:rPr>
                <w:rFonts w:cs="Arial"/>
                <w:sz w:val="20"/>
                <w:szCs w:val="20"/>
              </w:rPr>
            </w:pPr>
            <w:r w:rsidRPr="00027182">
              <w:rPr>
                <w:rFonts w:cs="Arial"/>
                <w:sz w:val="20"/>
                <w:szCs w:val="20"/>
              </w:rPr>
              <w:t>1 дүгээр зүйл.Хуулийн зорилт</w:t>
            </w:r>
          </w:p>
          <w:p w14:paraId="0054AC39" w14:textId="77777777" w:rsidR="003D7CB5" w:rsidRPr="00027182" w:rsidRDefault="003D7CB5" w:rsidP="003D7CB5">
            <w:pPr>
              <w:rPr>
                <w:rFonts w:cs="Arial"/>
                <w:sz w:val="20"/>
                <w:szCs w:val="20"/>
              </w:rPr>
            </w:pPr>
            <w:r w:rsidRPr="00027182">
              <w:rPr>
                <w:rFonts w:cs="Arial"/>
                <w:sz w:val="20"/>
                <w:szCs w:val="20"/>
              </w:rPr>
              <w:t>2 дугаар зүйл.Хөрөнгө оруулалтын хууль тогтоомж</w:t>
            </w:r>
          </w:p>
          <w:p w14:paraId="4B5FC86B" w14:textId="77777777" w:rsidR="003D7CB5" w:rsidRPr="00027182" w:rsidRDefault="003D7CB5" w:rsidP="003D7CB5">
            <w:pPr>
              <w:rPr>
                <w:rFonts w:cs="Arial"/>
                <w:sz w:val="20"/>
                <w:szCs w:val="20"/>
              </w:rPr>
            </w:pPr>
            <w:r w:rsidRPr="00027182">
              <w:rPr>
                <w:rFonts w:cs="Arial"/>
                <w:sz w:val="20"/>
                <w:szCs w:val="20"/>
              </w:rPr>
              <w:t>3 дугаар зүйл.Хуулийн үйлчлэх хүрээ</w:t>
            </w:r>
          </w:p>
          <w:p w14:paraId="3498962D" w14:textId="77777777" w:rsidR="003D7CB5" w:rsidRPr="00027182" w:rsidRDefault="003D7CB5" w:rsidP="003D7CB5">
            <w:pPr>
              <w:rPr>
                <w:rFonts w:cs="Arial"/>
                <w:sz w:val="20"/>
                <w:szCs w:val="20"/>
              </w:rPr>
            </w:pPr>
            <w:r w:rsidRPr="00027182">
              <w:rPr>
                <w:rFonts w:cs="Arial"/>
                <w:sz w:val="20"/>
                <w:szCs w:val="20"/>
              </w:rPr>
              <w:t>4 дүгээр зүйл.Хуулийн нэр томьёоны тодорхойлолт</w:t>
            </w:r>
          </w:p>
          <w:p w14:paraId="0D39A9F7" w14:textId="5CC61463" w:rsidR="003D7CB5" w:rsidRPr="00027182" w:rsidRDefault="003D7CB5" w:rsidP="003D7CB5">
            <w:pPr>
              <w:rPr>
                <w:rFonts w:cs="Arial"/>
                <w:b/>
                <w:bCs/>
                <w:sz w:val="22"/>
              </w:rPr>
            </w:pPr>
            <w:r w:rsidRPr="00027182">
              <w:rPr>
                <w:rFonts w:cs="Arial"/>
                <w:sz w:val="20"/>
                <w:szCs w:val="20"/>
              </w:rPr>
              <w:t>5 дугаар зүйл.Хөрөнгө оруулалтын хэлбэр, хөрөнгө оруулалтын                       үйл ажиллагаа</w:t>
            </w:r>
          </w:p>
        </w:tc>
        <w:tc>
          <w:tcPr>
            <w:tcW w:w="4358" w:type="dxa"/>
            <w:shd w:val="clear" w:color="auto" w:fill="auto"/>
            <w:vAlign w:val="center"/>
          </w:tcPr>
          <w:p w14:paraId="12F37B30" w14:textId="05C05CED" w:rsidR="003D7CB5" w:rsidRPr="00027182" w:rsidRDefault="003D7CB5" w:rsidP="003D7CB5">
            <w:pPr>
              <w:rPr>
                <w:rFonts w:cs="Arial"/>
                <w:sz w:val="20"/>
                <w:szCs w:val="20"/>
              </w:rPr>
            </w:pPr>
            <w:r w:rsidRPr="00027182">
              <w:rPr>
                <w:rFonts w:cs="Arial"/>
                <w:sz w:val="20"/>
                <w:szCs w:val="20"/>
              </w:rPr>
              <w:t xml:space="preserve">1.Хуулийн төслийн зорилтыг НҮБ-ын Худалдаа, хөгжлийн бага хурлын хөрөнгө оруулалтын орчны мэдээллийн санд буй 124 оны хөрөнгө оруулалтын хуулийн зорилго, олон улсын байгууллагуудаас өгсөн зөвлөмж, хуулийн төсөлд ирүүлсэн саналд үндэслэн хөрөнгө оруулалтыг дэмжих, хөрөнгө оруулагчийн эрх, хууль ёсны ашиг, сонирхлыг хамгаалах, хөрөнгө оруулагчийн эрх үүргийг тодорхойлж өөрчлөн найруулсан. </w:t>
            </w:r>
          </w:p>
          <w:p w14:paraId="21C9A5AC" w14:textId="77777777" w:rsidR="003D7CB5" w:rsidRPr="00027182" w:rsidRDefault="003D7CB5" w:rsidP="003D7CB5">
            <w:pPr>
              <w:rPr>
                <w:rFonts w:cs="Arial"/>
                <w:sz w:val="20"/>
                <w:szCs w:val="20"/>
              </w:rPr>
            </w:pPr>
          </w:p>
          <w:p w14:paraId="4FE58B07" w14:textId="48F3D956" w:rsidR="003D7CB5" w:rsidRPr="00027182" w:rsidRDefault="003D7CB5" w:rsidP="003D7CB5">
            <w:pPr>
              <w:rPr>
                <w:rFonts w:cs="Arial"/>
                <w:sz w:val="20"/>
                <w:szCs w:val="20"/>
              </w:rPr>
            </w:pPr>
            <w:r w:rsidRPr="00027182">
              <w:rPr>
                <w:rFonts w:cs="Arial"/>
                <w:sz w:val="20"/>
                <w:szCs w:val="20"/>
              </w:rPr>
              <w:t xml:space="preserve">2.Хөрөнгө оруулалтын үйл ажиллагаа нь бүх төрлийн салбарт хамаарах тул хуулийн нэрийг тоочих нь орхигдуулах эрсдэлтэй. Иймд, хууль тогтоомж хэсгийг Монгол Улсын Үндсэн хууль, энэ хууль болон эдгээр хуульд нийцүүлсэн бусад хууль тогтоомж гэж тодорхойлсон. </w:t>
            </w:r>
          </w:p>
          <w:p w14:paraId="341379B0" w14:textId="77777777" w:rsidR="003D7CB5" w:rsidRPr="00027182" w:rsidRDefault="003D7CB5" w:rsidP="003D7CB5">
            <w:pPr>
              <w:rPr>
                <w:rFonts w:cs="Arial"/>
                <w:sz w:val="20"/>
                <w:szCs w:val="20"/>
              </w:rPr>
            </w:pPr>
          </w:p>
          <w:p w14:paraId="6A302F39" w14:textId="4D63AB7E" w:rsidR="003D7CB5" w:rsidRPr="00027182" w:rsidRDefault="003D7CB5" w:rsidP="003D7CB5">
            <w:pPr>
              <w:rPr>
                <w:rFonts w:cs="Arial"/>
                <w:sz w:val="20"/>
                <w:szCs w:val="20"/>
              </w:rPr>
            </w:pPr>
            <w:r w:rsidRPr="00027182">
              <w:rPr>
                <w:rFonts w:cs="Arial"/>
                <w:sz w:val="20"/>
                <w:szCs w:val="20"/>
              </w:rPr>
              <w:t xml:space="preserve">3.Хуулийн төслийн үйлчлэх хүрээг Хууль тогтоомжийн тухай хуульд заасан шаардлагад нийцүүлэн хамааралгүй зохицуулалтыг хасаж, хуулийн төсөлд тусгасан зохицуулалтуудтай уялдуулсан. </w:t>
            </w:r>
          </w:p>
          <w:p w14:paraId="55909930" w14:textId="77777777" w:rsidR="003D7CB5" w:rsidRPr="00027182" w:rsidRDefault="003D7CB5" w:rsidP="003D7CB5">
            <w:pPr>
              <w:rPr>
                <w:rFonts w:cs="Arial"/>
                <w:sz w:val="20"/>
                <w:szCs w:val="20"/>
              </w:rPr>
            </w:pPr>
          </w:p>
          <w:p w14:paraId="2751AD77" w14:textId="03B6D17A" w:rsidR="003D7CB5" w:rsidRPr="00027182" w:rsidRDefault="003D7CB5" w:rsidP="003D7CB5">
            <w:pPr>
              <w:spacing w:line="276" w:lineRule="auto"/>
              <w:rPr>
                <w:rFonts w:cs="Arial"/>
                <w:sz w:val="20"/>
                <w:szCs w:val="20"/>
              </w:rPr>
            </w:pPr>
            <w:r w:rsidRPr="00027182">
              <w:rPr>
                <w:rFonts w:cs="Arial"/>
                <w:sz w:val="20"/>
                <w:szCs w:val="20"/>
              </w:rPr>
              <w:t>4.Хуулийн төслийн нэр томьёонд дараах зарчмын нэмэлт, өөрчлөлтийг бий болгосон. Үүнд:</w:t>
            </w:r>
          </w:p>
          <w:p w14:paraId="03787EB5" w14:textId="5FAE76C9" w:rsidR="003D7CB5" w:rsidRPr="00027182" w:rsidRDefault="003D7CB5" w:rsidP="003D7CB5">
            <w:pPr>
              <w:rPr>
                <w:rFonts w:cs="Arial"/>
                <w:sz w:val="20"/>
                <w:szCs w:val="20"/>
              </w:rPr>
            </w:pPr>
            <w:r w:rsidRPr="00027182">
              <w:rPr>
                <w:rFonts w:cs="Arial"/>
                <w:sz w:val="20"/>
                <w:szCs w:val="20"/>
              </w:rPr>
              <w:t xml:space="preserve">-Гадаадын хөрөнгө оруулагч хуулийн этгээдэд тавигдах шаардлага болох 100 мянган </w:t>
            </w:r>
            <w:r w:rsidR="00966E86" w:rsidRPr="00027182">
              <w:rPr>
                <w:rFonts w:cs="Arial"/>
                <w:sz w:val="20"/>
                <w:szCs w:val="20"/>
              </w:rPr>
              <w:t>ам.</w:t>
            </w:r>
            <w:r w:rsidRPr="00027182">
              <w:rPr>
                <w:rFonts w:cs="Arial"/>
                <w:sz w:val="20"/>
                <w:szCs w:val="20"/>
              </w:rPr>
              <w:t xml:space="preserve">долларын шаардлагыг хүчингүй болгосон. </w:t>
            </w:r>
          </w:p>
          <w:p w14:paraId="40A19C60" w14:textId="77777777" w:rsidR="003D7CB5" w:rsidRPr="00027182" w:rsidRDefault="003D7CB5" w:rsidP="003D7CB5">
            <w:pPr>
              <w:rPr>
                <w:rFonts w:cs="Arial"/>
                <w:sz w:val="20"/>
                <w:szCs w:val="20"/>
              </w:rPr>
            </w:pPr>
            <w:r w:rsidRPr="00027182">
              <w:rPr>
                <w:rFonts w:cs="Arial"/>
                <w:sz w:val="20"/>
                <w:szCs w:val="20"/>
              </w:rPr>
              <w:t xml:space="preserve">-“Хөрөнгө оруулалтын дэмжлэг” гэсэн нэр томъёог олон улсын жишигт нийцүүлж, “хөрөнгө оруулалтын урамшуулал” (investment incentive) гэж өөрчилсөн. </w:t>
            </w:r>
          </w:p>
          <w:p w14:paraId="12F8F8AD" w14:textId="77777777" w:rsidR="003D7CB5" w:rsidRPr="00027182" w:rsidRDefault="003D7CB5" w:rsidP="003D7CB5">
            <w:pPr>
              <w:rPr>
                <w:rFonts w:cs="Arial"/>
                <w:sz w:val="20"/>
                <w:szCs w:val="20"/>
              </w:rPr>
            </w:pPr>
            <w:r w:rsidRPr="00027182">
              <w:rPr>
                <w:rFonts w:cs="Arial"/>
                <w:sz w:val="20"/>
                <w:szCs w:val="20"/>
              </w:rPr>
              <w:t xml:space="preserve">-Хөрөнгө оруулалтыг дэмжих (investment promote) гэсэн томьёоллыг олон улсад хэрэглэгддэг агуулгын дагуу тодорхойлж хуулийн төсөлд тусгасан. Энэ хүрээнд хөрөнгө оруулалтыг дэмжих бодлого нь хөрөнгө оруулалтыг татахын тулд хөрөнгө оруулагчид үйлчлэх, мэдээлэх зэрэг чиг үүргийг тодорхойлсон байна. </w:t>
            </w:r>
          </w:p>
          <w:p w14:paraId="0007024F" w14:textId="715DAF04" w:rsidR="00544E8C" w:rsidRPr="00027182" w:rsidRDefault="003D7CB5" w:rsidP="003D7CB5">
            <w:pPr>
              <w:rPr>
                <w:rFonts w:cs="Arial"/>
                <w:sz w:val="20"/>
                <w:szCs w:val="20"/>
              </w:rPr>
            </w:pPr>
            <w:r w:rsidRPr="00027182">
              <w:rPr>
                <w:rFonts w:cs="Arial"/>
                <w:sz w:val="20"/>
                <w:szCs w:val="20"/>
              </w:rPr>
              <w:t>-</w:t>
            </w:r>
            <w:r w:rsidR="004C6F42" w:rsidRPr="00027182">
              <w:rPr>
                <w:rFonts w:cs="Arial"/>
                <w:sz w:val="20"/>
                <w:szCs w:val="20"/>
              </w:rPr>
              <w:t>шууд бус хөрөнгө оруулалт буюу портфолио хөрөнгө оруулалтыг тодорхойлолтыг тусгасан.</w:t>
            </w:r>
          </w:p>
          <w:p w14:paraId="7468CA9A" w14:textId="69839F03" w:rsidR="003D7CB5" w:rsidRPr="00027182" w:rsidRDefault="004C6F42" w:rsidP="003D7CB5">
            <w:pPr>
              <w:rPr>
                <w:rFonts w:cs="Arial"/>
                <w:sz w:val="20"/>
                <w:szCs w:val="20"/>
              </w:rPr>
            </w:pPr>
            <w:r w:rsidRPr="00027182">
              <w:rPr>
                <w:rFonts w:cs="Arial"/>
                <w:sz w:val="20"/>
                <w:szCs w:val="20"/>
              </w:rPr>
              <w:t>-</w:t>
            </w:r>
            <w:r w:rsidR="003D7CB5" w:rsidRPr="00027182">
              <w:rPr>
                <w:rFonts w:cs="Arial"/>
                <w:sz w:val="20"/>
                <w:szCs w:val="20"/>
              </w:rPr>
              <w:t>хөрөнгө оруулалтын гомдол</w:t>
            </w:r>
            <w:r w:rsidR="00CC5F40" w:rsidRPr="00027182">
              <w:rPr>
                <w:rFonts w:cs="Arial"/>
                <w:sz w:val="20"/>
                <w:szCs w:val="20"/>
              </w:rPr>
              <w:t xml:space="preserve"> </w:t>
            </w:r>
            <w:r w:rsidR="003D7CB5" w:rsidRPr="00027182">
              <w:rPr>
                <w:rFonts w:cs="Arial"/>
                <w:sz w:val="20"/>
                <w:szCs w:val="20"/>
              </w:rPr>
              <w:t xml:space="preserve">гэсэн </w:t>
            </w:r>
            <w:r w:rsidR="00E45419" w:rsidRPr="00027182">
              <w:rPr>
                <w:rFonts w:cs="Arial"/>
                <w:sz w:val="20"/>
                <w:szCs w:val="20"/>
              </w:rPr>
              <w:t xml:space="preserve">нэр томьёог </w:t>
            </w:r>
            <w:r w:rsidR="003D7CB5" w:rsidRPr="00027182">
              <w:rPr>
                <w:rFonts w:cs="Arial"/>
                <w:sz w:val="20"/>
                <w:szCs w:val="20"/>
              </w:rPr>
              <w:t>томъёолсон.</w:t>
            </w:r>
          </w:p>
          <w:p w14:paraId="7FAFDD32" w14:textId="664A7D97" w:rsidR="00E413DC" w:rsidRPr="00027182" w:rsidRDefault="00C90310" w:rsidP="003D7CB5">
            <w:pPr>
              <w:rPr>
                <w:rFonts w:cs="Arial"/>
                <w:sz w:val="20"/>
                <w:szCs w:val="20"/>
              </w:rPr>
            </w:pPr>
            <w:r w:rsidRPr="00027182">
              <w:rPr>
                <w:rFonts w:cs="Arial"/>
                <w:sz w:val="20"/>
                <w:szCs w:val="20"/>
              </w:rPr>
              <w:lastRenderedPageBreak/>
              <w:t>-гадаадын төрийн өмчит хуулийн этгээдэд зөвшөөрөл олгох зохицуулалтыг хассан тул нэр томьёо</w:t>
            </w:r>
            <w:r w:rsidR="00E329AA" w:rsidRPr="00027182">
              <w:rPr>
                <w:rFonts w:cs="Arial"/>
                <w:sz w:val="20"/>
                <w:szCs w:val="20"/>
              </w:rPr>
              <w:t>г хассан.</w:t>
            </w:r>
          </w:p>
          <w:p w14:paraId="73317A44" w14:textId="77777777" w:rsidR="003D7CB5" w:rsidRPr="00027182" w:rsidRDefault="003D7CB5" w:rsidP="003D7CB5">
            <w:pPr>
              <w:rPr>
                <w:rFonts w:cs="Arial"/>
                <w:sz w:val="20"/>
                <w:szCs w:val="20"/>
              </w:rPr>
            </w:pPr>
            <w:r w:rsidRPr="00027182">
              <w:rPr>
                <w:rFonts w:cs="Arial"/>
                <w:sz w:val="20"/>
                <w:szCs w:val="20"/>
              </w:rPr>
              <w:t xml:space="preserve">5. Хөрөнгө оруулалт гэсэн агуулгыг өмнөх хуулийн дагуу тодорхойлсныг хэвээр үлдээсэн. Харин хөрөнгө оруулалт хийх хэлбэрийн хүрээг илүү өргөжүүлсэн. Энэ хүрээнд техник хэрэгсэл, үйл ажиллагаагаар хөрөнгө оруулах боломжийг тодорхойлсон. </w:t>
            </w:r>
          </w:p>
          <w:p w14:paraId="3D2DFF9C" w14:textId="6ECC3562" w:rsidR="003D7CB5" w:rsidRPr="00027182" w:rsidRDefault="003D7CB5" w:rsidP="003D7CB5">
            <w:pPr>
              <w:rPr>
                <w:rFonts w:cs="Arial"/>
                <w:b/>
                <w:bCs/>
                <w:sz w:val="22"/>
              </w:rPr>
            </w:pPr>
            <w:r w:rsidRPr="00027182">
              <w:rPr>
                <w:rFonts w:cs="Arial"/>
                <w:sz w:val="20"/>
                <w:szCs w:val="20"/>
              </w:rPr>
              <w:t xml:space="preserve">Мөн хөрөнгө оруулалтад хамаарахгүй хэлбэрүүдийг нарийвчлан тусгасан. </w:t>
            </w:r>
          </w:p>
        </w:tc>
      </w:tr>
      <w:tr w:rsidR="003D7CB5" w:rsidRPr="00027182" w14:paraId="345E3678" w14:textId="77777777">
        <w:trPr>
          <w:trHeight w:val="495"/>
        </w:trPr>
        <w:tc>
          <w:tcPr>
            <w:tcW w:w="528" w:type="dxa"/>
            <w:shd w:val="clear" w:color="auto" w:fill="auto"/>
            <w:vAlign w:val="center"/>
          </w:tcPr>
          <w:p w14:paraId="15996F89" w14:textId="77777777" w:rsidR="003D7CB5" w:rsidRPr="00027182" w:rsidRDefault="003D7CB5" w:rsidP="003D7CB5">
            <w:pPr>
              <w:jc w:val="center"/>
              <w:rPr>
                <w:rFonts w:cs="Arial"/>
                <w:b/>
                <w:bCs/>
                <w:sz w:val="22"/>
              </w:rPr>
            </w:pPr>
            <w:r w:rsidRPr="00027182">
              <w:rPr>
                <w:rFonts w:cs="Arial"/>
                <w:sz w:val="22"/>
              </w:rPr>
              <w:lastRenderedPageBreak/>
              <w:t>2</w:t>
            </w:r>
          </w:p>
        </w:tc>
        <w:tc>
          <w:tcPr>
            <w:tcW w:w="1627" w:type="dxa"/>
            <w:shd w:val="clear" w:color="auto" w:fill="auto"/>
            <w:vAlign w:val="center"/>
          </w:tcPr>
          <w:p w14:paraId="3A588E05" w14:textId="7204661A" w:rsidR="003D7CB5" w:rsidRPr="00027182" w:rsidRDefault="003D7CB5" w:rsidP="003D7CB5">
            <w:pPr>
              <w:jc w:val="center"/>
              <w:rPr>
                <w:rFonts w:cs="Arial"/>
                <w:b/>
                <w:bCs/>
                <w:sz w:val="22"/>
              </w:rPr>
            </w:pPr>
            <w:r w:rsidRPr="00027182">
              <w:rPr>
                <w:rFonts w:cs="Arial"/>
                <w:sz w:val="20"/>
                <w:szCs w:val="20"/>
              </w:rPr>
              <w:t>Хөрөнгө оруулалтын баталгаа, хөрөнгө оруулагчийн эрх, үүрэг</w:t>
            </w:r>
          </w:p>
        </w:tc>
        <w:tc>
          <w:tcPr>
            <w:tcW w:w="2915" w:type="dxa"/>
            <w:shd w:val="clear" w:color="auto" w:fill="auto"/>
            <w:vAlign w:val="center"/>
          </w:tcPr>
          <w:p w14:paraId="2DCDEEEE" w14:textId="77777777" w:rsidR="003D7CB5" w:rsidRPr="00027182" w:rsidRDefault="003D7CB5" w:rsidP="003D7CB5">
            <w:pPr>
              <w:rPr>
                <w:rFonts w:cs="Arial"/>
                <w:sz w:val="20"/>
                <w:szCs w:val="20"/>
              </w:rPr>
            </w:pPr>
            <w:r w:rsidRPr="00027182">
              <w:rPr>
                <w:rFonts w:cs="Arial"/>
                <w:sz w:val="20"/>
                <w:szCs w:val="20"/>
              </w:rPr>
              <w:t>6 дугаар зүйл.Хөрөнгө оруулалтын нийтлэг баталгаа</w:t>
            </w:r>
          </w:p>
          <w:p w14:paraId="5053E120" w14:textId="77777777" w:rsidR="003D7CB5" w:rsidRPr="00027182" w:rsidRDefault="003D7CB5" w:rsidP="003D7CB5">
            <w:pPr>
              <w:rPr>
                <w:rFonts w:cs="Arial"/>
                <w:sz w:val="20"/>
                <w:szCs w:val="20"/>
              </w:rPr>
            </w:pPr>
            <w:r w:rsidRPr="00027182">
              <w:rPr>
                <w:rFonts w:cs="Arial"/>
                <w:sz w:val="20"/>
                <w:szCs w:val="20"/>
              </w:rPr>
              <w:t>7 дугаар зүйл.Хөрөнгө оруулагчийн эрх</w:t>
            </w:r>
          </w:p>
          <w:p w14:paraId="51114A5F" w14:textId="3CF05919" w:rsidR="003D7CB5" w:rsidRPr="00027182" w:rsidRDefault="003D7CB5" w:rsidP="003D7CB5">
            <w:pPr>
              <w:rPr>
                <w:rFonts w:cs="Arial"/>
                <w:b/>
                <w:bCs/>
                <w:sz w:val="22"/>
              </w:rPr>
            </w:pPr>
            <w:r w:rsidRPr="00027182">
              <w:rPr>
                <w:rFonts w:cs="Arial"/>
                <w:sz w:val="20"/>
                <w:szCs w:val="20"/>
              </w:rPr>
              <w:t>8 дугаар зүйл.Хөрөнгө оруулагчийн үүрэг</w:t>
            </w:r>
          </w:p>
        </w:tc>
        <w:tc>
          <w:tcPr>
            <w:tcW w:w="4358" w:type="dxa"/>
            <w:shd w:val="clear" w:color="auto" w:fill="auto"/>
            <w:vAlign w:val="center"/>
          </w:tcPr>
          <w:p w14:paraId="547B3CAF" w14:textId="3F106B5F" w:rsidR="00893B3D" w:rsidRPr="00027182" w:rsidRDefault="003D7CB5" w:rsidP="003D7CB5">
            <w:pPr>
              <w:rPr>
                <w:rFonts w:cs="Arial"/>
                <w:sz w:val="20"/>
                <w:szCs w:val="20"/>
              </w:rPr>
            </w:pPr>
            <w:r w:rsidRPr="00027182">
              <w:rPr>
                <w:rFonts w:cs="Arial"/>
                <w:sz w:val="20"/>
                <w:szCs w:val="20"/>
              </w:rPr>
              <w:t>6.</w:t>
            </w:r>
            <w:r w:rsidR="00FA642E" w:rsidRPr="00027182">
              <w:rPr>
                <w:rFonts w:cs="Arial"/>
                <w:sz w:val="20"/>
                <w:szCs w:val="20"/>
              </w:rPr>
              <w:t>Х</w:t>
            </w:r>
            <w:r w:rsidR="000D0643" w:rsidRPr="00027182">
              <w:rPr>
                <w:rFonts w:cs="Arial"/>
                <w:sz w:val="20"/>
                <w:szCs w:val="20"/>
              </w:rPr>
              <w:t>өрөнгө оруулагчийн эрх, хууль ёсны</w:t>
            </w:r>
            <w:r w:rsidR="00C110A8" w:rsidRPr="00027182">
              <w:rPr>
                <w:rFonts w:cs="Arial"/>
                <w:sz w:val="20"/>
                <w:szCs w:val="20"/>
              </w:rPr>
              <w:t xml:space="preserve"> ашиг сонирхлыг хөндсөн аливаа шийдвэрийн талаар урьдчилан мэдээлэх, хэлэлцүүлэх, саналаа</w:t>
            </w:r>
            <w:r w:rsidR="00F01677" w:rsidRPr="00027182">
              <w:rPr>
                <w:rFonts w:cs="Arial"/>
                <w:sz w:val="20"/>
                <w:szCs w:val="20"/>
              </w:rPr>
              <w:t xml:space="preserve"> илэрхийлэх боломж олгох, албан ёсоор хэ</w:t>
            </w:r>
            <w:r w:rsidR="001E538D" w:rsidRPr="00027182">
              <w:rPr>
                <w:rFonts w:cs="Arial"/>
                <w:sz w:val="20"/>
                <w:szCs w:val="20"/>
              </w:rPr>
              <w:t>влэн нийтэлж нээлттэй б</w:t>
            </w:r>
            <w:r w:rsidR="00FA642E" w:rsidRPr="00027182">
              <w:rPr>
                <w:rFonts w:cs="Arial"/>
                <w:sz w:val="20"/>
                <w:szCs w:val="20"/>
              </w:rPr>
              <w:t>айлгах баталгааг тусгасан.</w:t>
            </w:r>
          </w:p>
          <w:p w14:paraId="6B96F111" w14:textId="230555B4" w:rsidR="003D7CB5" w:rsidRPr="00027182" w:rsidRDefault="00FA642E" w:rsidP="003D7CB5">
            <w:pPr>
              <w:rPr>
                <w:rFonts w:cs="Arial"/>
                <w:sz w:val="20"/>
                <w:szCs w:val="20"/>
              </w:rPr>
            </w:pPr>
            <w:r w:rsidRPr="00027182">
              <w:rPr>
                <w:rFonts w:cs="Arial"/>
                <w:sz w:val="20"/>
                <w:szCs w:val="20"/>
              </w:rPr>
              <w:t>Х</w:t>
            </w:r>
            <w:r w:rsidR="003D7CB5" w:rsidRPr="00027182">
              <w:rPr>
                <w:rFonts w:cs="Arial"/>
                <w:sz w:val="20"/>
                <w:szCs w:val="20"/>
              </w:rPr>
              <w:t>өрөнгийг зөвхөн гагцхүү нийтлэг ашиг сонирхлын үүднээс үл ялгаварлах зарчмаар, зөвхөн хуульд заасан үндэслэл, журмын дагуу, нөхөн төлөх нөхцөлөөр дайчлан авч болно. Хөрөнгийг дайчлан авах бол бүрэн хэмжээгээр тооцож, зохих ёсоор шуурхай олгох бөгөөд энэхүү нөхөх олговорт ирээдүйд олон ашиг, орлогыг тооцохгүй гэсэн олон улсын зарчмыг тусгасан.</w:t>
            </w:r>
          </w:p>
          <w:p w14:paraId="18AB02FA" w14:textId="77777777" w:rsidR="003D7CB5" w:rsidRPr="00027182" w:rsidRDefault="003D7CB5" w:rsidP="003D7CB5">
            <w:pPr>
              <w:rPr>
                <w:rFonts w:cs="Arial"/>
                <w:sz w:val="20"/>
                <w:szCs w:val="20"/>
              </w:rPr>
            </w:pPr>
            <w:r w:rsidRPr="00027182">
              <w:rPr>
                <w:rFonts w:cs="Arial"/>
                <w:sz w:val="20"/>
                <w:szCs w:val="20"/>
              </w:rPr>
              <w:t>Үнэлгээний шалгуур тогтоох журмыг мөн хуулийн төсөлд тусгасан бөгөөд үүнд: хөрөнгийн өнөөгийн үнэ цэн, хөрөнгийн татвар төлсөн үнэлгээг оролцуулсан хөрөнгийн үнэлгээ болон зохистой гэж үзвэл бодит зах зээлийн үнэлгээг тооцож, үнийн хамт төлөхөөр тусгасан.</w:t>
            </w:r>
          </w:p>
          <w:p w14:paraId="739DF693" w14:textId="3C8BE434" w:rsidR="003D7CB5" w:rsidRPr="00027182" w:rsidRDefault="003D7CB5" w:rsidP="003D7CB5">
            <w:pPr>
              <w:rPr>
                <w:rFonts w:cs="Arial"/>
                <w:sz w:val="20"/>
                <w:szCs w:val="20"/>
              </w:rPr>
            </w:pPr>
            <w:r w:rsidRPr="00027182">
              <w:rPr>
                <w:rFonts w:cs="Arial"/>
                <w:sz w:val="20"/>
                <w:szCs w:val="20"/>
              </w:rPr>
              <w:t xml:space="preserve">7.Хөрөнгө оруулагч нь хөрөнгө оруулалт хийх эрх нээлттэй гэж тодорхойлсон. Хөрөнгө оруулалт хийх хязгаарласан салбарыг зөвхөн хуулиар тогтоох бөгөөд энэ хүү мэдээлийг хөрөнгө оруулалтын асуудал эрхэлсэн төрийн захиргааны байгууллага хөрөнгө оруулагч, олон нийтэд шийдвэр гаргах тухай бүр байнга мэдээлж байхыг төсөлд тусгасан. </w:t>
            </w:r>
          </w:p>
          <w:p w14:paraId="59ABF18B" w14:textId="31D3D22B" w:rsidR="0068351F" w:rsidRPr="00027182" w:rsidRDefault="003D7CB5" w:rsidP="003D7CB5">
            <w:pPr>
              <w:rPr>
                <w:rFonts w:cs="Arial"/>
                <w:sz w:val="20"/>
                <w:szCs w:val="20"/>
              </w:rPr>
            </w:pPr>
            <w:r w:rsidRPr="00027182">
              <w:rPr>
                <w:rFonts w:cs="Arial"/>
                <w:sz w:val="20"/>
                <w:szCs w:val="20"/>
              </w:rPr>
              <w:t>8.Хөрөнгө оруулагчийн үүргийг тодорхойлохдоо Монгол Улсын хууль тогтоомжийг дагаж мөрдөхийг заасан бөгөөд  хөрөнгө оруулалтыг бодитой гүйцэтгэх ёстой ба бодитой хийсэн хөрөнгө оруулалт гэснийг хуулийн төсөлд тодорхойлсон.</w:t>
            </w:r>
          </w:p>
        </w:tc>
      </w:tr>
      <w:tr w:rsidR="003D7CB5" w:rsidRPr="00027182" w14:paraId="610CA354" w14:textId="77777777">
        <w:trPr>
          <w:trHeight w:val="495"/>
        </w:trPr>
        <w:tc>
          <w:tcPr>
            <w:tcW w:w="528" w:type="dxa"/>
            <w:shd w:val="clear" w:color="auto" w:fill="auto"/>
            <w:vAlign w:val="center"/>
          </w:tcPr>
          <w:p w14:paraId="1D5C6353" w14:textId="77777777" w:rsidR="003D7CB5" w:rsidRPr="00027182" w:rsidRDefault="003D7CB5" w:rsidP="003D7CB5">
            <w:pPr>
              <w:jc w:val="center"/>
              <w:rPr>
                <w:rFonts w:cs="Arial"/>
                <w:b/>
                <w:bCs/>
                <w:sz w:val="22"/>
              </w:rPr>
            </w:pPr>
            <w:r w:rsidRPr="00027182">
              <w:rPr>
                <w:rFonts w:cs="Arial"/>
                <w:sz w:val="22"/>
              </w:rPr>
              <w:t>3</w:t>
            </w:r>
          </w:p>
        </w:tc>
        <w:tc>
          <w:tcPr>
            <w:tcW w:w="1627" w:type="dxa"/>
            <w:shd w:val="clear" w:color="auto" w:fill="auto"/>
            <w:vAlign w:val="center"/>
          </w:tcPr>
          <w:p w14:paraId="7C5B36CC" w14:textId="67A9673C" w:rsidR="003D7CB5" w:rsidRPr="00027182" w:rsidRDefault="003D7CB5" w:rsidP="003D7CB5">
            <w:pPr>
              <w:jc w:val="center"/>
              <w:rPr>
                <w:rFonts w:cs="Arial"/>
                <w:b/>
                <w:bCs/>
                <w:sz w:val="22"/>
              </w:rPr>
            </w:pPr>
            <w:r w:rsidRPr="00027182">
              <w:rPr>
                <w:rFonts w:cs="Arial"/>
                <w:sz w:val="20"/>
                <w:szCs w:val="20"/>
              </w:rPr>
              <w:t>Хөрөнгө оруулалтын талаарх төрийн байгууллагын чиг үүрэг</w:t>
            </w:r>
          </w:p>
        </w:tc>
        <w:tc>
          <w:tcPr>
            <w:tcW w:w="2915" w:type="dxa"/>
            <w:shd w:val="clear" w:color="auto" w:fill="auto"/>
            <w:vAlign w:val="center"/>
          </w:tcPr>
          <w:p w14:paraId="68EA47E1" w14:textId="77777777" w:rsidR="003D7CB5" w:rsidRPr="00027182" w:rsidRDefault="003D7CB5" w:rsidP="003D7CB5">
            <w:pPr>
              <w:rPr>
                <w:rFonts w:cs="Arial"/>
                <w:sz w:val="20"/>
                <w:szCs w:val="20"/>
              </w:rPr>
            </w:pPr>
            <w:r w:rsidRPr="00027182">
              <w:rPr>
                <w:rFonts w:cs="Arial"/>
                <w:sz w:val="20"/>
                <w:szCs w:val="20"/>
              </w:rPr>
              <w:t>9 дүгээр зүйл.Засгийн газрын чиг үүрэг</w:t>
            </w:r>
          </w:p>
          <w:p w14:paraId="7ED46FD5" w14:textId="77777777" w:rsidR="003D7CB5" w:rsidRPr="00027182" w:rsidRDefault="003D7CB5" w:rsidP="003D7CB5">
            <w:pPr>
              <w:rPr>
                <w:rFonts w:cs="Arial"/>
                <w:sz w:val="20"/>
                <w:szCs w:val="20"/>
              </w:rPr>
            </w:pPr>
            <w:r w:rsidRPr="00027182">
              <w:rPr>
                <w:rFonts w:cs="Arial"/>
                <w:sz w:val="20"/>
                <w:szCs w:val="20"/>
              </w:rPr>
              <w:t>10 дугаар зүйл.Хөрөнгө оруулалтын асуудал эрхэлсэн төрийн захиргааны төв байгууллагын чиг үүрэг</w:t>
            </w:r>
          </w:p>
          <w:p w14:paraId="36D32A34" w14:textId="77777777" w:rsidR="003D7CB5" w:rsidRPr="00027182" w:rsidRDefault="003D7CB5" w:rsidP="003D7CB5">
            <w:pPr>
              <w:rPr>
                <w:rFonts w:cs="Arial"/>
                <w:sz w:val="20"/>
                <w:szCs w:val="20"/>
              </w:rPr>
            </w:pPr>
            <w:r w:rsidRPr="00027182">
              <w:rPr>
                <w:rFonts w:cs="Arial"/>
                <w:sz w:val="20"/>
                <w:szCs w:val="20"/>
              </w:rPr>
              <w:t>11 дүгээр зүйл.Хөрөнгө оруулалтын асуудал эрхэлсэн төрийн захиргааны байгууллагын чиг үүрэг</w:t>
            </w:r>
          </w:p>
          <w:p w14:paraId="5E06CF0D" w14:textId="77777777" w:rsidR="003D7CB5" w:rsidRPr="00027182" w:rsidRDefault="003D7CB5" w:rsidP="003D7CB5">
            <w:pPr>
              <w:rPr>
                <w:rFonts w:cs="Arial"/>
                <w:sz w:val="20"/>
                <w:szCs w:val="20"/>
              </w:rPr>
            </w:pPr>
            <w:r w:rsidRPr="00027182">
              <w:rPr>
                <w:rFonts w:cs="Arial"/>
                <w:sz w:val="20"/>
                <w:szCs w:val="20"/>
              </w:rPr>
              <w:t xml:space="preserve">12 дугаар зүйл.Хөрөнгө </w:t>
            </w:r>
            <w:r w:rsidRPr="00027182">
              <w:rPr>
                <w:rFonts w:cs="Arial"/>
                <w:sz w:val="20"/>
                <w:szCs w:val="20"/>
              </w:rPr>
              <w:lastRenderedPageBreak/>
              <w:t>оруулалтын талаар төрийн бусад байгууллагын чиг үүрэг</w:t>
            </w:r>
          </w:p>
          <w:p w14:paraId="46420E79" w14:textId="77777777" w:rsidR="003D7CB5" w:rsidRPr="00027182" w:rsidRDefault="003D7CB5" w:rsidP="003D7CB5">
            <w:pPr>
              <w:rPr>
                <w:rFonts w:cs="Arial"/>
                <w:sz w:val="20"/>
                <w:szCs w:val="20"/>
              </w:rPr>
            </w:pPr>
            <w:r w:rsidRPr="00027182">
              <w:rPr>
                <w:rFonts w:cs="Arial"/>
                <w:sz w:val="20"/>
                <w:szCs w:val="20"/>
              </w:rPr>
              <w:t>13 дугаар зүйл.Хөрөнгө оруулалтын талаар нутгийн захиргааны болон нутгийн өөрөө удирдах байгууллагын чиг үүрэг</w:t>
            </w:r>
          </w:p>
          <w:p w14:paraId="4BBC5AC8" w14:textId="6F320F3F" w:rsidR="003D7CB5" w:rsidRPr="00027182" w:rsidRDefault="003D7CB5" w:rsidP="003D7CB5">
            <w:pPr>
              <w:rPr>
                <w:rFonts w:cs="Arial"/>
                <w:b/>
                <w:bCs/>
                <w:sz w:val="22"/>
              </w:rPr>
            </w:pPr>
            <w:r w:rsidRPr="00027182">
              <w:rPr>
                <w:rFonts w:cs="Arial"/>
                <w:sz w:val="20"/>
                <w:szCs w:val="20"/>
              </w:rPr>
              <w:t>14 дүгээр зүйл.Хөрөнгө оруулалтыг дэмжих талаар Дипломат төлөөлөгчийн газрын бүрэн эрх</w:t>
            </w:r>
          </w:p>
        </w:tc>
        <w:tc>
          <w:tcPr>
            <w:tcW w:w="4358" w:type="dxa"/>
            <w:shd w:val="clear" w:color="auto" w:fill="auto"/>
            <w:vAlign w:val="center"/>
          </w:tcPr>
          <w:p w14:paraId="6E7FD52D" w14:textId="20EBB1A6" w:rsidR="003D7CB5" w:rsidRPr="00027182" w:rsidRDefault="003D7CB5" w:rsidP="003D7CB5">
            <w:pPr>
              <w:rPr>
                <w:rFonts w:cs="Arial"/>
                <w:sz w:val="20"/>
                <w:szCs w:val="20"/>
              </w:rPr>
            </w:pPr>
            <w:r w:rsidRPr="00027182">
              <w:rPr>
                <w:rFonts w:cs="Arial"/>
                <w:sz w:val="20"/>
                <w:szCs w:val="20"/>
              </w:rPr>
              <w:lastRenderedPageBreak/>
              <w:t xml:space="preserve">9.Хөрөнгө оруулалтын тухай хууль тогтоомжийн хэрэгжилтийг хангах чиг үүрэгтэй. Хөрөнгө оруулалтын гомдлыг хүлээн авч, эцэслэн шийдвэрлэх, төрийн байгууллагуудад чиглэл өгөх чиг үүргийг шинээр бий болгосон. </w:t>
            </w:r>
          </w:p>
          <w:p w14:paraId="392211C4" w14:textId="0D0AE02F" w:rsidR="003D7CB5" w:rsidRPr="00027182" w:rsidRDefault="003D7CB5" w:rsidP="003D7CB5">
            <w:pPr>
              <w:rPr>
                <w:rFonts w:cs="Arial"/>
                <w:sz w:val="20"/>
                <w:szCs w:val="20"/>
              </w:rPr>
            </w:pPr>
            <w:r w:rsidRPr="00027182">
              <w:rPr>
                <w:rFonts w:cs="Arial"/>
                <w:sz w:val="20"/>
                <w:szCs w:val="20"/>
              </w:rPr>
              <w:t xml:space="preserve">10.Хөрөнгө оруулалтын тухай хуульд хөрөнгө оруулалтыг татах, хөрөнгө оруулалтын орчныг сурталчлах, хөрөнгө оруулагчид үйлчилгээ үзүүлэх чиг үүргийг хөрөнгө оруулалтын асуудал эрхэлсэн </w:t>
            </w:r>
            <w:r w:rsidRPr="00027182">
              <w:rPr>
                <w:rFonts w:cs="Arial"/>
                <w:sz w:val="20"/>
                <w:szCs w:val="20"/>
              </w:rPr>
              <w:lastRenderedPageBreak/>
              <w:t>төрийн захиргааны төв байгууллага буюу Эдийн засаг, хөгжлийн яам дангаараа хэрэгжүүлэхээр заасан.</w:t>
            </w:r>
          </w:p>
          <w:p w14:paraId="60A46007" w14:textId="7595238B" w:rsidR="00553291" w:rsidRPr="00027182" w:rsidRDefault="003258BC" w:rsidP="003D7CB5">
            <w:pPr>
              <w:rPr>
                <w:rFonts w:cs="Arial"/>
                <w:sz w:val="20"/>
                <w:szCs w:val="20"/>
              </w:rPr>
            </w:pPr>
            <w:r w:rsidRPr="00027182">
              <w:rPr>
                <w:rFonts w:cs="Arial"/>
                <w:sz w:val="20"/>
                <w:szCs w:val="20"/>
              </w:rPr>
              <w:t>Хөрөнгө оруулалтын асуудал эрхэлсэн төрийн захиргааны байгууллага</w:t>
            </w:r>
            <w:r w:rsidR="008A7B7D" w:rsidRPr="00027182">
              <w:rPr>
                <w:rFonts w:cs="Arial"/>
                <w:sz w:val="20"/>
                <w:szCs w:val="20"/>
              </w:rPr>
              <w:t xml:space="preserve"> нь</w:t>
            </w:r>
            <w:r w:rsidRPr="00027182">
              <w:rPr>
                <w:rFonts w:cs="Arial"/>
                <w:sz w:val="20"/>
                <w:szCs w:val="20"/>
              </w:rPr>
              <w:t xml:space="preserve"> т</w:t>
            </w:r>
            <w:r w:rsidR="00553291" w:rsidRPr="00027182">
              <w:rPr>
                <w:rFonts w:cs="Arial"/>
                <w:sz w:val="20"/>
                <w:szCs w:val="20"/>
              </w:rPr>
              <w:t>огтвор</w:t>
            </w:r>
            <w:r w:rsidR="00A86B4F" w:rsidRPr="00027182">
              <w:rPr>
                <w:rFonts w:cs="Arial"/>
                <w:sz w:val="20"/>
                <w:szCs w:val="20"/>
              </w:rPr>
              <w:t>жуулах</w:t>
            </w:r>
            <w:r w:rsidR="00553291" w:rsidRPr="00027182">
              <w:rPr>
                <w:rFonts w:cs="Arial"/>
                <w:sz w:val="20"/>
                <w:szCs w:val="20"/>
              </w:rPr>
              <w:t xml:space="preserve"> гэрчилгээ олгох</w:t>
            </w:r>
            <w:r w:rsidR="008A7B7D" w:rsidRPr="00027182">
              <w:rPr>
                <w:rFonts w:cs="Arial"/>
                <w:sz w:val="20"/>
                <w:szCs w:val="20"/>
              </w:rPr>
              <w:t xml:space="preserve"> чиг үүргийг хэрэгжүүлэх бөгөөд</w:t>
            </w:r>
            <w:r w:rsidRPr="00027182">
              <w:rPr>
                <w:rFonts w:cs="Arial"/>
                <w:sz w:val="20"/>
                <w:szCs w:val="20"/>
              </w:rPr>
              <w:t xml:space="preserve"> эрх бүхий бусад төрийн байгууллагатай хамтран хэрэгжилтэд</w:t>
            </w:r>
            <w:r w:rsidR="00A86B4F" w:rsidRPr="00027182">
              <w:rPr>
                <w:rFonts w:cs="Arial"/>
                <w:sz w:val="20"/>
                <w:szCs w:val="20"/>
              </w:rPr>
              <w:t xml:space="preserve"> хяналт тавих зохицуулалтыг тусгасан.</w:t>
            </w:r>
          </w:p>
          <w:p w14:paraId="6B104DC3" w14:textId="7637AA14" w:rsidR="003D7CB5" w:rsidRPr="00027182" w:rsidRDefault="003D7CB5" w:rsidP="003D7CB5">
            <w:pPr>
              <w:rPr>
                <w:rFonts w:cs="Arial"/>
                <w:sz w:val="20"/>
                <w:szCs w:val="20"/>
              </w:rPr>
            </w:pPr>
            <w:r w:rsidRPr="00027182">
              <w:rPr>
                <w:rFonts w:cs="Arial"/>
                <w:sz w:val="20"/>
                <w:szCs w:val="20"/>
              </w:rPr>
              <w:t>11.Хөрөнгө оруулалтын асуудал эрхэлсэн төрийн захиргааны байгууллага хөрөнгө оруулалтыг татах, хадгалах, өргөжүүлэх зэрэг хөрөнгө оруулалтыг дэмжихэд чиглэсэн цогц үйл ажиллагааны төлөвлөгөө боловсруулах, хөрөнгө оруулагчид мэдээлэл, зөвлөгөө өгөх, хөрөнгө оруулагчийн хууль ёсны эрх, ашгийг хамгаалахад дэмжлэг үзүүлэх, хөрөнгө оруулалтын орчны чиглэлээр нэгдсэн статистик мэдээллийг гаргах, мэдээллийн санг хөтлөх чиг үүрэгтэй ажиллахаа</w:t>
            </w:r>
            <w:r w:rsidR="00A6613D" w:rsidRPr="00027182">
              <w:rPr>
                <w:rFonts w:cs="Arial"/>
                <w:sz w:val="20"/>
                <w:szCs w:val="20"/>
              </w:rPr>
              <w:t>р</w:t>
            </w:r>
            <w:r w:rsidRPr="00027182">
              <w:rPr>
                <w:rFonts w:cs="Arial"/>
                <w:sz w:val="20"/>
                <w:szCs w:val="20"/>
              </w:rPr>
              <w:t xml:space="preserve"> тусгасан.</w:t>
            </w:r>
          </w:p>
          <w:p w14:paraId="6B842F91" w14:textId="77777777" w:rsidR="003D7CB5" w:rsidRPr="00027182" w:rsidRDefault="003D7CB5" w:rsidP="003D7CB5">
            <w:pPr>
              <w:rPr>
                <w:rFonts w:cs="Arial"/>
                <w:sz w:val="20"/>
                <w:szCs w:val="20"/>
              </w:rPr>
            </w:pPr>
            <w:r w:rsidRPr="00027182">
              <w:rPr>
                <w:rFonts w:cs="Arial"/>
                <w:sz w:val="20"/>
                <w:szCs w:val="20"/>
              </w:rPr>
              <w:t>12.Төрийн бусад байгууллага нь хөрөнгө оруулагчийн үйл ажиллагаанд хийх төлөвлөгөөт хяналт, шалгалтыг жилд 2-оос илүүгүй хийх, хөрөнгө оруулагчийн үйл ажиллагааг хууль бус үндэслэлээр зогсоох, түдгэлзүүлэх, саад учруулахыг хориглоно. Энэ тохиолдолд хууль бусаад хөрөнгө дайчлан авсанд тооцох талаар тусгасан. Мөн хүчин төгөлдөр шүүх, арбитрын шийдвэрээр төрөөс хохирлыг нөхөн төлөх шийдвэр гарсан бол учруулсан хохирлыг буруутай этгээдээр гаргуулах үндэслэл болно.</w:t>
            </w:r>
          </w:p>
          <w:p w14:paraId="4921C616" w14:textId="77777777" w:rsidR="003D7CB5" w:rsidRPr="00027182" w:rsidRDefault="003D7CB5" w:rsidP="003D7CB5">
            <w:pPr>
              <w:rPr>
                <w:rFonts w:cs="Arial"/>
                <w:sz w:val="20"/>
                <w:szCs w:val="20"/>
              </w:rPr>
            </w:pPr>
            <w:r w:rsidRPr="00027182">
              <w:rPr>
                <w:rFonts w:cs="Arial"/>
                <w:sz w:val="20"/>
                <w:szCs w:val="20"/>
              </w:rPr>
              <w:t xml:space="preserve">13.Орон нутгийн захиргаааны болон нутгийн удирдлагын байгууллага нь мөн төрийн бусад байгууллагын чиг үүргийг гүйцэтгэж, хуульд заасан хариуцлагыг хүлээнэ. Ингэснээр хөрөнгө оруулагч нарын үйл ажиллагаанд хууль бусаар  саад учруулж буй төрийн хүнд суртал, нэмэлт шаардлагыг бууруулах ач холбогдолтой.  </w:t>
            </w:r>
          </w:p>
          <w:p w14:paraId="03048FC8" w14:textId="2FB90FF0" w:rsidR="003D7CB5" w:rsidRPr="00027182" w:rsidRDefault="003D7CB5" w:rsidP="003D7CB5">
            <w:pPr>
              <w:rPr>
                <w:rFonts w:cs="Arial"/>
                <w:b/>
                <w:bCs/>
                <w:sz w:val="22"/>
              </w:rPr>
            </w:pPr>
            <w:r w:rsidRPr="00027182">
              <w:rPr>
                <w:rFonts w:cs="Arial"/>
                <w:sz w:val="20"/>
                <w:szCs w:val="20"/>
              </w:rPr>
              <w:t>14.Дипломат төлөөлөгчийн газар нь хөрөнгө оруулалт шаардлагатай төсөл, хөтөлбөрийг сурталчлах, холбох, дэмжлэг үзүүлэх зэрэг чиглэлээр хөрөнгө оруулалтын асуудал эрхэлсэн төрийн захиргааны төв байгууллагатай хамтран ажиллахаар тусгасан. Энэ харилцааг зохицуулах журмыг гадаад харилцааны болон хөрөнгө оруулалтын асуудал эрхэлсэн Засгийн газрын гишүүн батлахаар тусгасан.</w:t>
            </w:r>
          </w:p>
        </w:tc>
      </w:tr>
      <w:tr w:rsidR="003D7CB5" w:rsidRPr="00027182" w14:paraId="1FF15D96" w14:textId="77777777">
        <w:trPr>
          <w:trHeight w:val="495"/>
        </w:trPr>
        <w:tc>
          <w:tcPr>
            <w:tcW w:w="528" w:type="dxa"/>
            <w:shd w:val="clear" w:color="auto" w:fill="auto"/>
            <w:vAlign w:val="center"/>
          </w:tcPr>
          <w:p w14:paraId="3CE2A5C9" w14:textId="77777777" w:rsidR="003D7CB5" w:rsidRPr="00027182" w:rsidRDefault="003D7CB5" w:rsidP="003D7CB5">
            <w:pPr>
              <w:jc w:val="center"/>
              <w:rPr>
                <w:rFonts w:cs="Arial"/>
                <w:b/>
                <w:bCs/>
                <w:sz w:val="22"/>
              </w:rPr>
            </w:pPr>
            <w:r w:rsidRPr="00027182">
              <w:rPr>
                <w:rFonts w:cs="Arial"/>
                <w:sz w:val="22"/>
              </w:rPr>
              <w:lastRenderedPageBreak/>
              <w:t>4</w:t>
            </w:r>
          </w:p>
        </w:tc>
        <w:tc>
          <w:tcPr>
            <w:tcW w:w="1627" w:type="dxa"/>
            <w:shd w:val="clear" w:color="auto" w:fill="auto"/>
            <w:vAlign w:val="center"/>
          </w:tcPr>
          <w:p w14:paraId="5DFED973" w14:textId="5E0ACBE3" w:rsidR="003D7CB5" w:rsidRPr="00027182" w:rsidRDefault="003D7CB5" w:rsidP="003D7CB5">
            <w:pPr>
              <w:jc w:val="center"/>
              <w:rPr>
                <w:rFonts w:cs="Arial"/>
                <w:b/>
                <w:bCs/>
                <w:sz w:val="22"/>
              </w:rPr>
            </w:pPr>
            <w:r w:rsidRPr="00027182">
              <w:rPr>
                <w:rFonts w:cs="Arial"/>
                <w:sz w:val="20"/>
                <w:szCs w:val="20"/>
              </w:rPr>
              <w:t>Хөрөнгө оруулалтын урамшуулал</w:t>
            </w:r>
          </w:p>
        </w:tc>
        <w:tc>
          <w:tcPr>
            <w:tcW w:w="2915" w:type="dxa"/>
            <w:shd w:val="clear" w:color="auto" w:fill="auto"/>
            <w:vAlign w:val="center"/>
          </w:tcPr>
          <w:p w14:paraId="5F3CBAF9" w14:textId="77777777" w:rsidR="003D7CB5" w:rsidRPr="00027182" w:rsidRDefault="003D7CB5" w:rsidP="003D7CB5">
            <w:pPr>
              <w:rPr>
                <w:rFonts w:cs="Arial"/>
                <w:sz w:val="20"/>
                <w:szCs w:val="20"/>
              </w:rPr>
            </w:pPr>
            <w:r w:rsidRPr="00027182">
              <w:rPr>
                <w:rFonts w:cs="Arial"/>
                <w:sz w:val="20"/>
                <w:szCs w:val="20"/>
              </w:rPr>
              <w:t>15 дугаар зүйл.Хөрөнгө оруулалтын урамшуулал</w:t>
            </w:r>
          </w:p>
          <w:p w14:paraId="37DDD7CC" w14:textId="77777777" w:rsidR="003D7CB5" w:rsidRPr="00027182" w:rsidRDefault="003D7CB5" w:rsidP="003D7CB5">
            <w:pPr>
              <w:rPr>
                <w:rFonts w:cs="Arial"/>
                <w:sz w:val="20"/>
                <w:szCs w:val="20"/>
              </w:rPr>
            </w:pPr>
            <w:r w:rsidRPr="00027182">
              <w:rPr>
                <w:rFonts w:cs="Arial"/>
                <w:sz w:val="20"/>
                <w:szCs w:val="20"/>
              </w:rPr>
              <w:t>16 дугаар зүйл.Хөрөнгө оруулалтын татварын бус урамшуулал</w:t>
            </w:r>
          </w:p>
          <w:p w14:paraId="54AC71D1" w14:textId="77777777" w:rsidR="003D7CB5" w:rsidRPr="00027182" w:rsidRDefault="003D7CB5" w:rsidP="003D7CB5">
            <w:pPr>
              <w:rPr>
                <w:rFonts w:cs="Arial"/>
                <w:sz w:val="20"/>
                <w:szCs w:val="20"/>
              </w:rPr>
            </w:pPr>
            <w:r w:rsidRPr="00027182">
              <w:rPr>
                <w:rFonts w:cs="Arial"/>
                <w:sz w:val="20"/>
                <w:szCs w:val="20"/>
              </w:rPr>
              <w:t xml:space="preserve">17 дугаар зүйл.Хөрөнгө оруулалтын татварын хувь хэмжээг тогтворжуулах урамшуулал </w:t>
            </w:r>
          </w:p>
          <w:p w14:paraId="76974E6B" w14:textId="77777777" w:rsidR="003D7CB5" w:rsidRPr="00027182" w:rsidRDefault="003D7CB5" w:rsidP="003D7CB5">
            <w:pPr>
              <w:rPr>
                <w:rFonts w:cs="Arial"/>
                <w:sz w:val="20"/>
                <w:szCs w:val="20"/>
              </w:rPr>
            </w:pPr>
            <w:r w:rsidRPr="00027182">
              <w:rPr>
                <w:rFonts w:cs="Arial"/>
                <w:sz w:val="20"/>
                <w:szCs w:val="20"/>
              </w:rPr>
              <w:lastRenderedPageBreak/>
              <w:t>18 дугаар зүйл.Тогтворжуулах гэрчилгээ олгох нөхцөл, тавигдах шаардлага</w:t>
            </w:r>
          </w:p>
          <w:p w14:paraId="25A84380" w14:textId="77777777" w:rsidR="003D7CB5" w:rsidRPr="00027182" w:rsidRDefault="003D7CB5" w:rsidP="003D7CB5">
            <w:pPr>
              <w:rPr>
                <w:rFonts w:cs="Arial"/>
                <w:sz w:val="20"/>
                <w:szCs w:val="20"/>
              </w:rPr>
            </w:pPr>
            <w:r w:rsidRPr="00027182">
              <w:rPr>
                <w:rFonts w:cs="Arial"/>
                <w:sz w:val="20"/>
                <w:szCs w:val="20"/>
              </w:rPr>
              <w:t>19 дүгээр зүйл.Тогтворжуулах гэрчилгээ авах тухай хүсэлт гаргах</w:t>
            </w:r>
          </w:p>
          <w:p w14:paraId="43325D3E" w14:textId="77777777" w:rsidR="003D7CB5" w:rsidRPr="00027182" w:rsidRDefault="003D7CB5" w:rsidP="003D7CB5">
            <w:pPr>
              <w:rPr>
                <w:rFonts w:cs="Arial"/>
                <w:sz w:val="20"/>
                <w:szCs w:val="20"/>
              </w:rPr>
            </w:pPr>
            <w:r w:rsidRPr="00027182">
              <w:rPr>
                <w:rFonts w:cs="Arial"/>
                <w:sz w:val="20"/>
                <w:szCs w:val="20"/>
              </w:rPr>
              <w:t>20 дугаар зүйл.Тогтворжуулах гэрчилгээ олгох</w:t>
            </w:r>
          </w:p>
          <w:p w14:paraId="7E2FE1E5" w14:textId="77777777" w:rsidR="003D7CB5" w:rsidRPr="00027182" w:rsidRDefault="003D7CB5" w:rsidP="003D7CB5">
            <w:pPr>
              <w:rPr>
                <w:rFonts w:cs="Arial"/>
                <w:sz w:val="20"/>
                <w:szCs w:val="20"/>
              </w:rPr>
            </w:pPr>
            <w:r w:rsidRPr="00027182">
              <w:rPr>
                <w:rFonts w:cs="Arial"/>
                <w:sz w:val="20"/>
                <w:szCs w:val="20"/>
              </w:rPr>
              <w:t>21 дүгээр зүйл.Тогтворжуулах гэрчилгээг хүчингүй болгох</w:t>
            </w:r>
          </w:p>
          <w:p w14:paraId="0DFA0E3F" w14:textId="77777777" w:rsidR="003D7CB5" w:rsidRPr="00027182" w:rsidRDefault="003D7CB5" w:rsidP="003D7CB5">
            <w:pPr>
              <w:rPr>
                <w:rFonts w:cs="Arial"/>
                <w:sz w:val="20"/>
                <w:szCs w:val="20"/>
              </w:rPr>
            </w:pPr>
            <w:r w:rsidRPr="00027182">
              <w:rPr>
                <w:rFonts w:cs="Arial"/>
                <w:sz w:val="20"/>
                <w:szCs w:val="20"/>
              </w:rPr>
              <w:t xml:space="preserve">22 дугаар зүйл.Хөрөнгө оруулалтын гэрээ </w:t>
            </w:r>
          </w:p>
          <w:p w14:paraId="4D014AB2" w14:textId="77777777" w:rsidR="003D7CB5" w:rsidRPr="00027182" w:rsidRDefault="003D7CB5" w:rsidP="003D7CB5">
            <w:pPr>
              <w:rPr>
                <w:rFonts w:cs="Arial"/>
                <w:sz w:val="20"/>
                <w:szCs w:val="20"/>
              </w:rPr>
            </w:pPr>
            <w:r w:rsidRPr="00027182">
              <w:rPr>
                <w:rFonts w:cs="Arial"/>
                <w:sz w:val="20"/>
                <w:szCs w:val="20"/>
              </w:rPr>
              <w:t xml:space="preserve">23 дугаар зүйл.Хөрөнгө оруулалтын гэрээ байгуулах хүсэлт гаргах </w:t>
            </w:r>
          </w:p>
          <w:p w14:paraId="459B7744" w14:textId="77777777" w:rsidR="003D7CB5" w:rsidRPr="00027182" w:rsidRDefault="003D7CB5" w:rsidP="003D7CB5">
            <w:pPr>
              <w:rPr>
                <w:rFonts w:cs="Arial"/>
                <w:sz w:val="20"/>
                <w:szCs w:val="20"/>
              </w:rPr>
            </w:pPr>
            <w:r w:rsidRPr="00027182">
              <w:rPr>
                <w:rFonts w:cs="Arial"/>
                <w:sz w:val="20"/>
                <w:szCs w:val="20"/>
              </w:rPr>
              <w:t xml:space="preserve">24 дүгээр зүйл.Хөрөнгө оруулалтын гэрээ байгуулах </w:t>
            </w:r>
          </w:p>
          <w:p w14:paraId="740AE29B" w14:textId="783B350E" w:rsidR="003D7CB5" w:rsidRPr="00027182" w:rsidRDefault="003D7CB5" w:rsidP="003D7CB5">
            <w:pPr>
              <w:rPr>
                <w:rFonts w:cs="Arial"/>
                <w:b/>
                <w:bCs/>
                <w:sz w:val="22"/>
              </w:rPr>
            </w:pPr>
            <w:r w:rsidRPr="00027182">
              <w:rPr>
                <w:rFonts w:cs="Arial"/>
                <w:sz w:val="20"/>
                <w:szCs w:val="20"/>
              </w:rPr>
              <w:t>25 дугаар зүйл.Хөрөнгө оруулалтын гэрээ, тогтворжуулах гэрчилгээний хэрэгжилтэд хяналт тавих</w:t>
            </w:r>
          </w:p>
        </w:tc>
        <w:tc>
          <w:tcPr>
            <w:tcW w:w="4358" w:type="dxa"/>
            <w:shd w:val="clear" w:color="auto" w:fill="auto"/>
            <w:vAlign w:val="center"/>
          </w:tcPr>
          <w:p w14:paraId="126F539F" w14:textId="4D2B8AB7" w:rsidR="003D7CB5" w:rsidRPr="00027182" w:rsidRDefault="003D7CB5" w:rsidP="003D7CB5">
            <w:pPr>
              <w:rPr>
                <w:rFonts w:cs="Arial"/>
                <w:sz w:val="20"/>
                <w:szCs w:val="20"/>
              </w:rPr>
            </w:pPr>
            <w:r w:rsidRPr="00027182">
              <w:rPr>
                <w:rFonts w:cs="Arial"/>
                <w:sz w:val="20"/>
                <w:szCs w:val="20"/>
              </w:rPr>
              <w:lastRenderedPageBreak/>
              <w:t xml:space="preserve">15.Хөрөнгө оруулалтын хуулиар татварын бус урамшуулал болон татварын хувь хэмжээ тогтворжуулах урамшууллыг үзүүлэх боломжтой. </w:t>
            </w:r>
          </w:p>
          <w:p w14:paraId="53E7C637" w14:textId="41442AE9" w:rsidR="003D7CB5" w:rsidRPr="00027182" w:rsidRDefault="003D7CB5" w:rsidP="003D7CB5">
            <w:pPr>
              <w:rPr>
                <w:rFonts w:cs="Arial"/>
                <w:sz w:val="20"/>
                <w:szCs w:val="20"/>
              </w:rPr>
            </w:pPr>
            <w:r w:rsidRPr="00027182">
              <w:rPr>
                <w:rFonts w:cs="Arial"/>
                <w:sz w:val="20"/>
                <w:szCs w:val="20"/>
              </w:rPr>
              <w:t xml:space="preserve">16.Татварын бус урамшуулал нь хөрөнгө оруулагч үйл ажиллагаа явуулахад шаардлагатай дэмжлэг болно. Үүнд, газрын асуудал, ажиллах хүчний зөвшөөрөл, улсын бүртгэлийн асуудал, оршин суух зөвшөөрөл </w:t>
            </w:r>
            <w:r w:rsidRPr="00027182">
              <w:rPr>
                <w:rFonts w:cs="Arial"/>
                <w:sz w:val="20"/>
                <w:szCs w:val="20"/>
              </w:rPr>
              <w:lastRenderedPageBreak/>
              <w:t>зэрэг үйл ажиллагаа явуулахад үзүүлэх урамшууллыг хамруулсан.</w:t>
            </w:r>
            <w:r w:rsidR="004C6C01" w:rsidRPr="00027182">
              <w:rPr>
                <w:rFonts w:cs="Arial"/>
                <w:sz w:val="20"/>
                <w:szCs w:val="20"/>
              </w:rPr>
              <w:t xml:space="preserve"> </w:t>
            </w:r>
            <w:r w:rsidRPr="00027182">
              <w:rPr>
                <w:rFonts w:cs="Arial"/>
                <w:sz w:val="20"/>
                <w:szCs w:val="20"/>
              </w:rPr>
              <w:t xml:space="preserve">Одоо байгаа хуулийн хүрээнд 60 хүртэл жилээр газар ашиглуулах талаар заасан бол үүнийг Газрын тухай хуульд заасан газар эзэмших эрхтэй холбоотойгоор 15-60 жил гэж хамгийн бага хугацааг тодорхой болгосон. Мөн газрын асуудлыг заавал Засгийн газар бус Газрын тухай хуульд заасны дагуу холбогдох орон нутаг өөрөө шийдэх эрхийг олгосон. </w:t>
            </w:r>
          </w:p>
          <w:p w14:paraId="7DAC0272" w14:textId="141096C1" w:rsidR="003D7CB5" w:rsidRPr="00027182" w:rsidRDefault="003D7CB5" w:rsidP="003D7CB5">
            <w:pPr>
              <w:rPr>
                <w:rFonts w:cs="Arial"/>
                <w:sz w:val="20"/>
                <w:szCs w:val="20"/>
              </w:rPr>
            </w:pPr>
            <w:r w:rsidRPr="00027182">
              <w:rPr>
                <w:rFonts w:cs="Arial"/>
                <w:sz w:val="20"/>
                <w:szCs w:val="20"/>
              </w:rPr>
              <w:t xml:space="preserve">17.Татвар тогтворжуулах гэрчилгээ олгох, хөрөнгө оруулалтын гэрээ байгуулах замаар  татварын хувь хэмжээ тогтворжуулах урамшууллыг олгохоор заасан. Энэ хүрээнд 4 төрлийн татварыг тогтворжуулах одоогийн хуулийн зохицуулалтыг хэвээр үлдээсэн. </w:t>
            </w:r>
          </w:p>
          <w:p w14:paraId="4AE6C0C8" w14:textId="2CEE9115" w:rsidR="003D7CB5" w:rsidRPr="00027182" w:rsidRDefault="003D7CB5" w:rsidP="003D7CB5">
            <w:pPr>
              <w:rPr>
                <w:rFonts w:cs="Arial"/>
                <w:sz w:val="20"/>
                <w:szCs w:val="20"/>
              </w:rPr>
            </w:pPr>
            <w:r w:rsidRPr="00027182">
              <w:rPr>
                <w:rFonts w:cs="Arial"/>
                <w:sz w:val="20"/>
                <w:szCs w:val="20"/>
              </w:rPr>
              <w:t>Мөн татварыг зөвхөн татварын хуулиар зохицуулах тухай Татварын ерөнхий хуулийн зарчмаар Хөрөнгө оруулалтын тухай хуульд заасан хэрэгжд</w:t>
            </w:r>
            <w:r w:rsidR="00021C00" w:rsidRPr="00027182">
              <w:rPr>
                <w:rFonts w:cs="Arial"/>
                <w:sz w:val="20"/>
                <w:szCs w:val="20"/>
              </w:rPr>
              <w:t>эг</w:t>
            </w:r>
            <w:r w:rsidRPr="00027182">
              <w:rPr>
                <w:rFonts w:cs="Arial"/>
                <w:sz w:val="20"/>
                <w:szCs w:val="20"/>
              </w:rPr>
              <w:t>гүй хуулийн зохицуулалтыг хүчингүй болгосон. Татварын дэмжлэгийг “урамшуулал” гэж нэрлэн,  урамшуулал үзүүлэх хугацаа нь гэрчилгээ олгогдсон өдрөөс эхлэн гэрчилгээний хүчинтэй хугацаанд үзүүлнэ гэж төсөлд тусгасан.</w:t>
            </w:r>
          </w:p>
          <w:p w14:paraId="6428ABAA" w14:textId="4B5C75CB" w:rsidR="00021C00" w:rsidRPr="00027182" w:rsidRDefault="00021C00" w:rsidP="003D7CB5">
            <w:pPr>
              <w:rPr>
                <w:rFonts w:cs="Arial"/>
                <w:sz w:val="20"/>
                <w:szCs w:val="20"/>
              </w:rPr>
            </w:pPr>
            <w:r w:rsidRPr="00027182">
              <w:rPr>
                <w:rFonts w:cs="Arial"/>
                <w:sz w:val="20"/>
                <w:szCs w:val="20"/>
              </w:rPr>
              <w:t>18. Тогтворжуулах гэрчилгээ авах журмыг хялбаршуулсан. Тогтворжуулах гэрчилгээг 5-аас доошгүй жилийн хугацаанд төсөл хэрэгжүүлэх хөрөнгө оруулагчид олгох бөгөөд нутаг дэвсгэрийг Улаанбаатар  хот болон бусад гэж ангилсан. Тогтворжуулах гэрчилгээний хугацааг доод тал нь 10 жил байх бөгөөд хөрөнгө оруулалтын хэмжээг Улаанбаатар хотод 20-50 тэрбум, орон нутагт 10-50 тэрбум төгрөг байхаар төсөлд тусгасан. 15 жил тогтворжуулах төслийн хувьд хөрөнгө оруулалтын хэмжээ 50 тэрбумээс дээш 100 тэрбум, 20 жил тогтворжуулах төслийн хувьд 100 тэмбум төгрөгөөс дээш хэмжээний хөрөнгө оруулалт хийхээр тусгасан.</w:t>
            </w:r>
          </w:p>
          <w:p w14:paraId="117E8BC1" w14:textId="244655E1" w:rsidR="003D7CB5" w:rsidRPr="00027182" w:rsidRDefault="003D7CB5" w:rsidP="003D7CB5">
            <w:pPr>
              <w:rPr>
                <w:rFonts w:cs="Arial"/>
                <w:sz w:val="20"/>
                <w:szCs w:val="20"/>
              </w:rPr>
            </w:pPr>
            <w:r w:rsidRPr="00027182">
              <w:rPr>
                <w:rFonts w:cs="Arial"/>
                <w:sz w:val="20"/>
                <w:szCs w:val="20"/>
              </w:rPr>
              <w:t>19.</w:t>
            </w:r>
            <w:r w:rsidR="00021C00" w:rsidRPr="00027182">
              <w:rPr>
                <w:rFonts w:cs="Arial"/>
                <w:sz w:val="20"/>
                <w:szCs w:val="20"/>
              </w:rPr>
              <w:t>Тогтворжуулах гэрчилгээ</w:t>
            </w:r>
            <w:r w:rsidR="00B65B37" w:rsidRPr="00027182">
              <w:rPr>
                <w:rFonts w:cs="Arial"/>
                <w:sz w:val="20"/>
                <w:szCs w:val="20"/>
              </w:rPr>
              <w:t xml:space="preserve"> авах хүсэлтийг цахим хэлбэрээр гаргах, хүсэлтэд</w:t>
            </w:r>
            <w:r w:rsidR="004E5B35" w:rsidRPr="00027182">
              <w:rPr>
                <w:rFonts w:cs="Arial"/>
                <w:sz w:val="20"/>
                <w:szCs w:val="20"/>
              </w:rPr>
              <w:t xml:space="preserve"> </w:t>
            </w:r>
            <w:r w:rsidR="00455564" w:rsidRPr="00027182">
              <w:rPr>
                <w:rFonts w:cs="Arial"/>
                <w:sz w:val="20"/>
                <w:szCs w:val="20"/>
              </w:rPr>
              <w:t xml:space="preserve">хуулийн этгээдийн баталгаа, </w:t>
            </w:r>
            <w:r w:rsidR="00784A47" w:rsidRPr="00027182">
              <w:rPr>
                <w:rFonts w:cs="Arial"/>
                <w:sz w:val="20"/>
                <w:szCs w:val="20"/>
              </w:rPr>
              <w:t xml:space="preserve">танилцуулга, улсын бүртгэлийн гэрчилгээ, </w:t>
            </w:r>
            <w:r w:rsidR="009B1BC4" w:rsidRPr="00027182">
              <w:rPr>
                <w:rFonts w:cs="Arial"/>
                <w:sz w:val="20"/>
                <w:szCs w:val="20"/>
              </w:rPr>
              <w:t>бизнес төлөвлөгөө, техник, эдийн засгийн үндэслэл, хуульд заасан бол байгаль орчинд нөлөөлөх байдлын ерөнхий үнэлгээ</w:t>
            </w:r>
            <w:r w:rsidR="00C727C7" w:rsidRPr="00027182">
              <w:rPr>
                <w:rFonts w:cs="Arial"/>
                <w:sz w:val="20"/>
                <w:szCs w:val="20"/>
              </w:rPr>
              <w:t>г хавсаргахаар тусгасан.</w:t>
            </w:r>
          </w:p>
          <w:p w14:paraId="3EC42F73" w14:textId="77777777" w:rsidR="003D7CB5" w:rsidRPr="00027182" w:rsidRDefault="003D7CB5" w:rsidP="003D7CB5">
            <w:pPr>
              <w:rPr>
                <w:rFonts w:cs="Arial"/>
                <w:sz w:val="20"/>
                <w:szCs w:val="20"/>
              </w:rPr>
            </w:pPr>
            <w:r w:rsidRPr="00027182">
              <w:rPr>
                <w:rFonts w:cs="Arial"/>
                <w:sz w:val="20"/>
                <w:szCs w:val="20"/>
              </w:rPr>
              <w:t>20.Тогтоворжуулах гэрчилгээг хөрөнгө оруулалтын асуудал эрхэлсэн төрийн захиргааны төв байгууллага олгоно.</w:t>
            </w:r>
          </w:p>
          <w:p w14:paraId="075D1B6F" w14:textId="77777777" w:rsidR="003D7CB5" w:rsidRPr="00027182" w:rsidRDefault="003D7CB5" w:rsidP="003D7CB5">
            <w:pPr>
              <w:rPr>
                <w:rFonts w:cs="Arial"/>
                <w:sz w:val="20"/>
                <w:szCs w:val="20"/>
              </w:rPr>
            </w:pPr>
            <w:r w:rsidRPr="00027182">
              <w:rPr>
                <w:rFonts w:cs="Arial"/>
                <w:sz w:val="20"/>
                <w:szCs w:val="20"/>
              </w:rPr>
              <w:t xml:space="preserve">21. Тогтворжуулах гэрчилгээг хүчингүй болгох үндэслэлийг тодорхойлсон. Үүнд хуульд заасан өмнөх нөхцөлүүдийг хэвээр үлдээв. </w:t>
            </w:r>
          </w:p>
          <w:p w14:paraId="0AC418A0" w14:textId="19F21DD6" w:rsidR="003D7CB5" w:rsidRPr="00027182" w:rsidRDefault="003D7CB5" w:rsidP="003D7CB5">
            <w:pPr>
              <w:rPr>
                <w:rFonts w:cs="Arial"/>
                <w:b/>
                <w:bCs/>
                <w:sz w:val="22"/>
              </w:rPr>
            </w:pPr>
            <w:r w:rsidRPr="00027182">
              <w:rPr>
                <w:rFonts w:cs="Arial"/>
                <w:sz w:val="20"/>
                <w:szCs w:val="20"/>
              </w:rPr>
              <w:t xml:space="preserve">22-25. 500 тэрбум төгрөг ба түүнээс дээш хэмжээний хөрөнгө оруулалт хийх этгээд нь хөрөнгө оруулалтын гэрээ байгуулах хүсэлтээ илэрхийлсний үндсэн дээр </w:t>
            </w:r>
            <w:r w:rsidRPr="00027182">
              <w:rPr>
                <w:rFonts w:cs="Arial"/>
                <w:sz w:val="20"/>
                <w:szCs w:val="20"/>
              </w:rPr>
              <w:lastRenderedPageBreak/>
              <w:t>асуудлыг Засгийн газрын хуралдаанд танилцуулж, эрх авсны үндсэн дээр уг гэрээг салбарын сайд, хөрөнгө оруулалтын асуудал эрхэлсэн сайд хамтран байгуулахаар тусгасан. Уг гэрээний хугацаа нь төслийн хугацаанаас хамаарах бөгөөд энэ нь 20 жилээс багагүй байхаар төсөлд тусгасан.</w:t>
            </w:r>
          </w:p>
        </w:tc>
      </w:tr>
      <w:tr w:rsidR="003D7CB5" w:rsidRPr="00027182" w14:paraId="0E8DA224" w14:textId="77777777">
        <w:trPr>
          <w:trHeight w:val="495"/>
        </w:trPr>
        <w:tc>
          <w:tcPr>
            <w:tcW w:w="528" w:type="dxa"/>
            <w:shd w:val="clear" w:color="auto" w:fill="auto"/>
            <w:vAlign w:val="center"/>
          </w:tcPr>
          <w:p w14:paraId="09A00475" w14:textId="77777777" w:rsidR="003D7CB5" w:rsidRPr="00027182" w:rsidRDefault="003D7CB5" w:rsidP="003D7CB5">
            <w:pPr>
              <w:jc w:val="center"/>
              <w:rPr>
                <w:rFonts w:cs="Arial"/>
                <w:b/>
                <w:bCs/>
                <w:sz w:val="22"/>
              </w:rPr>
            </w:pPr>
            <w:r w:rsidRPr="00027182">
              <w:rPr>
                <w:rFonts w:cs="Arial"/>
                <w:sz w:val="22"/>
              </w:rPr>
              <w:lastRenderedPageBreak/>
              <w:t>5</w:t>
            </w:r>
          </w:p>
        </w:tc>
        <w:tc>
          <w:tcPr>
            <w:tcW w:w="1627" w:type="dxa"/>
            <w:shd w:val="clear" w:color="auto" w:fill="auto"/>
            <w:vAlign w:val="center"/>
          </w:tcPr>
          <w:p w14:paraId="5AD7C27C" w14:textId="31FC1E13" w:rsidR="003D7CB5" w:rsidRPr="00027182" w:rsidRDefault="003D7CB5" w:rsidP="003D7CB5">
            <w:pPr>
              <w:jc w:val="center"/>
              <w:rPr>
                <w:rFonts w:cs="Arial"/>
                <w:b/>
                <w:bCs/>
                <w:sz w:val="22"/>
              </w:rPr>
            </w:pPr>
            <w:r w:rsidRPr="00027182">
              <w:rPr>
                <w:rFonts w:cs="Arial"/>
                <w:sz w:val="20"/>
                <w:szCs w:val="20"/>
              </w:rPr>
              <w:t>Хөрөнгө оруулагчийн гомдлыг шийдвэрлэх ажиллагаа</w:t>
            </w:r>
          </w:p>
        </w:tc>
        <w:tc>
          <w:tcPr>
            <w:tcW w:w="2915" w:type="dxa"/>
            <w:shd w:val="clear" w:color="auto" w:fill="auto"/>
            <w:vAlign w:val="center"/>
          </w:tcPr>
          <w:p w14:paraId="301A973E" w14:textId="77777777" w:rsidR="003D7CB5" w:rsidRPr="00027182" w:rsidRDefault="003D7CB5" w:rsidP="003D7CB5">
            <w:pPr>
              <w:rPr>
                <w:rFonts w:cs="Arial"/>
                <w:sz w:val="20"/>
                <w:szCs w:val="20"/>
              </w:rPr>
            </w:pPr>
            <w:r w:rsidRPr="00027182">
              <w:rPr>
                <w:rFonts w:cs="Arial"/>
                <w:sz w:val="20"/>
                <w:szCs w:val="20"/>
              </w:rPr>
              <w:t xml:space="preserve">26  дугаар зүйл.Хөрөнгө оруулагч гомдол гаргах, гомдлыг хүлээн авах </w:t>
            </w:r>
          </w:p>
          <w:p w14:paraId="07290549" w14:textId="77777777" w:rsidR="003D7CB5" w:rsidRPr="00027182" w:rsidRDefault="003D7CB5" w:rsidP="003D7CB5">
            <w:pPr>
              <w:rPr>
                <w:rFonts w:cs="Arial"/>
                <w:sz w:val="20"/>
                <w:szCs w:val="20"/>
              </w:rPr>
            </w:pPr>
            <w:r w:rsidRPr="00027182">
              <w:rPr>
                <w:rFonts w:cs="Arial"/>
                <w:sz w:val="20"/>
                <w:szCs w:val="20"/>
              </w:rPr>
              <w:t xml:space="preserve">27 дугаар зүйл.Хөрөнгө оруулагчийн эрх, ашгийг хамгаалах зөвлөл, түүний ажиллах журам </w:t>
            </w:r>
          </w:p>
          <w:p w14:paraId="4BBC7A3D" w14:textId="77777777" w:rsidR="003D7CB5" w:rsidRPr="00027182" w:rsidRDefault="003D7CB5" w:rsidP="003D7CB5">
            <w:pPr>
              <w:rPr>
                <w:rFonts w:cs="Arial"/>
                <w:sz w:val="20"/>
                <w:szCs w:val="20"/>
              </w:rPr>
            </w:pPr>
            <w:r w:rsidRPr="00027182">
              <w:rPr>
                <w:rFonts w:cs="Arial"/>
                <w:sz w:val="20"/>
                <w:szCs w:val="20"/>
              </w:rPr>
              <w:t xml:space="preserve">28 дугаар зүйл.Хөрөнгө оруулагчийн гомдлыг хянан магадлах </w:t>
            </w:r>
          </w:p>
          <w:p w14:paraId="7F4F32F0" w14:textId="18AA6342" w:rsidR="003D7CB5" w:rsidRPr="00027182" w:rsidRDefault="003D7CB5" w:rsidP="003D7CB5">
            <w:pPr>
              <w:rPr>
                <w:rFonts w:cs="Arial"/>
                <w:b/>
                <w:bCs/>
                <w:sz w:val="22"/>
              </w:rPr>
            </w:pPr>
            <w:r w:rsidRPr="00027182">
              <w:rPr>
                <w:rFonts w:cs="Arial"/>
                <w:sz w:val="20"/>
                <w:szCs w:val="20"/>
              </w:rPr>
              <w:t>29 дүгээр зүйл.Хөрөнгө оруулагчийн гомдлыг эцэслэн шийдвэрлэх</w:t>
            </w:r>
          </w:p>
        </w:tc>
        <w:tc>
          <w:tcPr>
            <w:tcW w:w="4358" w:type="dxa"/>
            <w:shd w:val="clear" w:color="auto" w:fill="auto"/>
            <w:vAlign w:val="center"/>
          </w:tcPr>
          <w:p w14:paraId="7C48C3D4" w14:textId="5BAEA06F" w:rsidR="003D7CB5" w:rsidRPr="00027182" w:rsidRDefault="003D7CB5" w:rsidP="003D7CB5">
            <w:pPr>
              <w:rPr>
                <w:rFonts w:cs="Arial"/>
                <w:b/>
                <w:bCs/>
                <w:sz w:val="22"/>
              </w:rPr>
            </w:pPr>
            <w:r w:rsidRPr="00027182">
              <w:rPr>
                <w:rFonts w:eastAsia="Arial" w:cs="Arial"/>
                <w:sz w:val="20"/>
                <w:szCs w:val="20"/>
              </w:rPr>
              <w:t xml:space="preserve">Хөрөнгө оруулагч нь төрийн байгууллага, албан хаагчийн хууль бус үйлдэл, эс үйлдэхүйн улмаас учирсан хохирол, эрх, хууль ёсны ашиг сонирхлоо хамгаалуулах зорилгоор хөрөнгө оруулагчийн эрх ашгийг хамгаалах зөвлөлд гомдол гаргах эрхийг бий болгосон. Уг зөвлөл нь хууль ёсны эрх ашгийг хамгаалах асуудлаар шийдвэр гаргах бус зөвлөн туслах, асуудлыг зуучлан шийдвэрлэх боломжийг бүрдүүлсэн. Уг зөвлөл нь учирсан нөхцөлийг байдлыг тодруулсны үндсэн дээр шийдвэрлэх саналыг боловсруулан Засгийн газарт танилцуулж, төрийн захиргааны эцсийн шийдвэрийг гаргах боломж бүрдэнэ. </w:t>
            </w:r>
          </w:p>
        </w:tc>
      </w:tr>
      <w:tr w:rsidR="003D7CB5" w:rsidRPr="00027182" w14:paraId="49CC5EE3" w14:textId="77777777">
        <w:trPr>
          <w:trHeight w:val="495"/>
        </w:trPr>
        <w:tc>
          <w:tcPr>
            <w:tcW w:w="528" w:type="dxa"/>
            <w:shd w:val="clear" w:color="auto" w:fill="auto"/>
            <w:vAlign w:val="center"/>
          </w:tcPr>
          <w:p w14:paraId="6A91F7F2" w14:textId="77777777" w:rsidR="003D7CB5" w:rsidRPr="00027182" w:rsidRDefault="003D7CB5" w:rsidP="003D7CB5">
            <w:pPr>
              <w:jc w:val="center"/>
              <w:rPr>
                <w:rFonts w:cs="Arial"/>
                <w:b/>
                <w:bCs/>
                <w:sz w:val="22"/>
              </w:rPr>
            </w:pPr>
            <w:r w:rsidRPr="00027182">
              <w:rPr>
                <w:rFonts w:cs="Arial"/>
                <w:sz w:val="22"/>
              </w:rPr>
              <w:t>6</w:t>
            </w:r>
          </w:p>
        </w:tc>
        <w:tc>
          <w:tcPr>
            <w:tcW w:w="1627" w:type="dxa"/>
            <w:shd w:val="clear" w:color="auto" w:fill="auto"/>
            <w:vAlign w:val="center"/>
          </w:tcPr>
          <w:p w14:paraId="7CE1F9F1" w14:textId="588AEF92" w:rsidR="003D7CB5" w:rsidRPr="00027182" w:rsidRDefault="003D7CB5" w:rsidP="003D7CB5">
            <w:pPr>
              <w:jc w:val="center"/>
              <w:rPr>
                <w:rFonts w:cs="Arial"/>
                <w:b/>
                <w:bCs/>
                <w:sz w:val="22"/>
              </w:rPr>
            </w:pPr>
            <w:r w:rsidRPr="00027182">
              <w:rPr>
                <w:rFonts w:cs="Arial"/>
                <w:sz w:val="20"/>
                <w:szCs w:val="20"/>
              </w:rPr>
              <w:t>Хөрөнгө оруулалтын маргаан</w:t>
            </w:r>
          </w:p>
        </w:tc>
        <w:tc>
          <w:tcPr>
            <w:tcW w:w="2915" w:type="dxa"/>
            <w:shd w:val="clear" w:color="auto" w:fill="auto"/>
            <w:vAlign w:val="center"/>
          </w:tcPr>
          <w:p w14:paraId="6A27059E" w14:textId="65159C7D" w:rsidR="003D7CB5" w:rsidRPr="00027182" w:rsidRDefault="003D7CB5" w:rsidP="003D7CB5">
            <w:pPr>
              <w:rPr>
                <w:rFonts w:cs="Arial"/>
                <w:b/>
                <w:bCs/>
                <w:sz w:val="22"/>
              </w:rPr>
            </w:pPr>
            <w:r w:rsidRPr="00027182">
              <w:rPr>
                <w:rFonts w:cs="Arial"/>
                <w:sz w:val="20"/>
                <w:szCs w:val="20"/>
              </w:rPr>
              <w:t>30 дугаар зүйл.Хөрөнгө оруулалтын маргаан</w:t>
            </w:r>
          </w:p>
        </w:tc>
        <w:tc>
          <w:tcPr>
            <w:tcW w:w="4358" w:type="dxa"/>
            <w:shd w:val="clear" w:color="auto" w:fill="auto"/>
            <w:vAlign w:val="center"/>
          </w:tcPr>
          <w:p w14:paraId="09214932" w14:textId="77777777" w:rsidR="003D7CB5" w:rsidRPr="00027182" w:rsidRDefault="003D7CB5" w:rsidP="003D7CB5">
            <w:pPr>
              <w:rPr>
                <w:rFonts w:eastAsia="Arial" w:cs="Arial"/>
                <w:color w:val="000000" w:themeColor="text1"/>
                <w:sz w:val="20"/>
                <w:szCs w:val="20"/>
              </w:rPr>
            </w:pPr>
            <w:r w:rsidRPr="00027182">
              <w:rPr>
                <w:rFonts w:eastAsia="Arial" w:cs="Arial"/>
                <w:color w:val="000000" w:themeColor="text1"/>
                <w:sz w:val="20"/>
                <w:szCs w:val="20"/>
              </w:rPr>
              <w:t>1.Хөрөнгө оруулагч-төр хооронд үүсэх хөрөнгө оруулалтын маргаан.</w:t>
            </w:r>
          </w:p>
          <w:p w14:paraId="5D01B836" w14:textId="77777777" w:rsidR="003D7CB5" w:rsidRPr="00027182" w:rsidRDefault="003D7CB5" w:rsidP="003D7CB5">
            <w:pPr>
              <w:rPr>
                <w:rFonts w:eastAsia="Arial" w:cs="Arial"/>
                <w:color w:val="000000" w:themeColor="text1"/>
                <w:sz w:val="20"/>
                <w:szCs w:val="20"/>
              </w:rPr>
            </w:pPr>
            <w:r w:rsidRPr="00027182">
              <w:rPr>
                <w:rFonts w:eastAsia="Arial" w:cs="Arial"/>
                <w:color w:val="000000" w:themeColor="text1"/>
                <w:sz w:val="20"/>
                <w:szCs w:val="20"/>
              </w:rPr>
              <w:t>Арбитрын хэлэлцээрийг талууд харилцан тохиролцож бичгээр үйлдсэн байхыг холбогдох Монгол Улсын олон улсын гэрээ, конвенцид заасан байдаг. Монгол Улс нь ICSID Convention буюу Улс болон гадаад улсын иргэн хооронд хөрөнгө оруулалтын маргааныг шийдвэрлэх тухай конвенцид нэгдэн орсон. Уг Конвенцид арбитрын хэлэлцээрийг бичгээр үйлдсэн байхыг мөн шаарддаг.</w:t>
            </w:r>
          </w:p>
          <w:p w14:paraId="2604E089" w14:textId="77777777" w:rsidR="003D7CB5" w:rsidRPr="00027182" w:rsidRDefault="003D7CB5" w:rsidP="003D7CB5">
            <w:pPr>
              <w:rPr>
                <w:rFonts w:eastAsia="Arial" w:cs="Arial"/>
                <w:color w:val="000000" w:themeColor="text1"/>
                <w:sz w:val="20"/>
                <w:szCs w:val="20"/>
              </w:rPr>
            </w:pPr>
            <w:r w:rsidRPr="00027182">
              <w:rPr>
                <w:rFonts w:eastAsia="Arial" w:cs="Arial"/>
                <w:color w:val="000000" w:themeColor="text1"/>
                <w:sz w:val="20"/>
                <w:szCs w:val="20"/>
              </w:rPr>
              <w:t>Хөрөнгө оруулагч, төр хооронд үүссэн хөрөнгө оруулалттай холбоотой маргаан нь дараах 3 арбитрын хэлэлцээрт үндэслэж арбитрт хандах эрх үүсдэг: (i) хөрөнгө оруулалтын гэрээ (ii) хоёр талт олон улсын гэрээ (iii) хөрөнгө оруулалтын хуульд төр нь хөрөнгө оруулалтын маргааныг олон улсын арбитраар шийдвэрлэх нэг талын зөвшөөрөл (arbitration consent)-ийг өгөх. Энэ тохиолдолд хөрөнгө оруулагч нь арбитрт нэхэмжлэл гаргаснаар нэг талын зөвшөөрлийг хүлээн авсанд тооцох бөгөөд арбитрын хэлэлцээр бичгээр үйлдэгдсэнд тооцох үндэслэл болно.</w:t>
            </w:r>
          </w:p>
          <w:p w14:paraId="2426B758" w14:textId="77777777" w:rsidR="003D7CB5" w:rsidRPr="00027182" w:rsidRDefault="003D7CB5" w:rsidP="003D7CB5">
            <w:pPr>
              <w:rPr>
                <w:rFonts w:eastAsia="Arial" w:cs="Arial"/>
                <w:color w:val="000000" w:themeColor="text1"/>
                <w:sz w:val="20"/>
                <w:szCs w:val="20"/>
              </w:rPr>
            </w:pPr>
            <w:r w:rsidRPr="00027182">
              <w:rPr>
                <w:rFonts w:eastAsia="Arial" w:cs="Arial"/>
                <w:color w:val="000000" w:themeColor="text1"/>
                <w:sz w:val="20"/>
                <w:szCs w:val="20"/>
              </w:rPr>
              <w:t>Хуулийн төсөлд (iii)-т дурдсан төрийн зөвшөөрлийг олгож байгаа нь онцлог зохицуулалт болсон. Энэ зарчим олон улсад хүлээн зөвшөөрөгдсөн, бөгөөд ийм зохицуулалтыг тусгасан олон улс орон үндэсний хууль тогтоомждоо тусгасан байдаг.</w:t>
            </w:r>
          </w:p>
          <w:p w14:paraId="7C54810F" w14:textId="77777777" w:rsidR="003D7CB5" w:rsidRPr="00027182" w:rsidRDefault="003D7CB5" w:rsidP="003D7CB5">
            <w:pPr>
              <w:rPr>
                <w:rFonts w:eastAsia="Arial" w:cs="Arial"/>
                <w:color w:val="000000" w:themeColor="text1"/>
                <w:sz w:val="20"/>
                <w:szCs w:val="20"/>
              </w:rPr>
            </w:pPr>
            <w:r w:rsidRPr="00027182">
              <w:rPr>
                <w:rFonts w:eastAsia="Arial" w:cs="Arial"/>
                <w:color w:val="000000" w:themeColor="text1"/>
                <w:sz w:val="20"/>
                <w:szCs w:val="20"/>
              </w:rPr>
              <w:t>2.Шүүхийн онцгой харьяалалд хамааруулсан маргаан.</w:t>
            </w:r>
          </w:p>
          <w:p w14:paraId="50E81156" w14:textId="77777777" w:rsidR="003D7CB5" w:rsidRPr="00027182" w:rsidRDefault="003D7CB5" w:rsidP="003D7CB5">
            <w:pPr>
              <w:rPr>
                <w:rFonts w:eastAsia="Arial" w:cs="Arial"/>
                <w:color w:val="000000" w:themeColor="text1"/>
                <w:sz w:val="20"/>
                <w:szCs w:val="20"/>
              </w:rPr>
            </w:pPr>
            <w:r w:rsidRPr="00027182">
              <w:rPr>
                <w:rFonts w:eastAsia="Arial" w:cs="Arial"/>
                <w:color w:val="000000" w:themeColor="text1"/>
                <w:sz w:val="20"/>
                <w:szCs w:val="20"/>
              </w:rPr>
              <w:t>Татвар, газар зэрэг шүүхийн онцгой харьяалалд хамааруулсан маргааныг Монгол Улсын шүүхээр шийдвэрлэхийг төслийн 32.3-т заасан.</w:t>
            </w:r>
          </w:p>
          <w:p w14:paraId="71EDF7DE" w14:textId="77777777" w:rsidR="003D7CB5" w:rsidRPr="00027182" w:rsidRDefault="003D7CB5" w:rsidP="003D7CB5">
            <w:pPr>
              <w:rPr>
                <w:rFonts w:eastAsia="Arial" w:cs="Arial"/>
                <w:color w:val="000000" w:themeColor="text1"/>
                <w:sz w:val="20"/>
                <w:szCs w:val="20"/>
              </w:rPr>
            </w:pPr>
            <w:r w:rsidRPr="00027182">
              <w:rPr>
                <w:rFonts w:eastAsia="Arial" w:cs="Arial"/>
                <w:color w:val="000000" w:themeColor="text1"/>
                <w:sz w:val="20"/>
                <w:szCs w:val="20"/>
              </w:rPr>
              <w:lastRenderedPageBreak/>
              <w:t>3.Иргэн, хуулийн этгээд хоорондын арилжааны маргаан.</w:t>
            </w:r>
          </w:p>
          <w:p w14:paraId="760F736F" w14:textId="514AE181" w:rsidR="003D7CB5" w:rsidRPr="00027182" w:rsidRDefault="003D7CB5" w:rsidP="003D7CB5">
            <w:pPr>
              <w:rPr>
                <w:rFonts w:cs="Arial"/>
                <w:b/>
                <w:bCs/>
                <w:sz w:val="22"/>
              </w:rPr>
            </w:pPr>
            <w:r w:rsidRPr="00027182">
              <w:rPr>
                <w:rFonts w:eastAsia="Arial" w:cs="Arial"/>
                <w:color w:val="000000" w:themeColor="text1"/>
                <w:sz w:val="20"/>
                <w:szCs w:val="20"/>
              </w:rPr>
              <w:t>Арбитрын хэлэлцээр нь талуудын тохиролцох зарчмын дагуу байгуулагддаг буюу маргаанаа шийдвэрлүүлэх арбитраа талууд хэлэцээрийн хүрээнд тохиролцдог. Арбитрын хэлэлцээртэй бол талууд арилжааны маргаанаа арбитрын дагуу шийдвэрлүүлэх, ийм тохиролцоогүй бол Монгол Улсын шүүхээр шийдвэрлүүлэх ерөнхий заалт оруулсан.</w:t>
            </w:r>
          </w:p>
        </w:tc>
      </w:tr>
      <w:tr w:rsidR="003D7CB5" w:rsidRPr="00027182" w14:paraId="490E39FD" w14:textId="77777777">
        <w:trPr>
          <w:trHeight w:val="495"/>
        </w:trPr>
        <w:tc>
          <w:tcPr>
            <w:tcW w:w="528" w:type="dxa"/>
            <w:shd w:val="clear" w:color="auto" w:fill="auto"/>
            <w:vAlign w:val="center"/>
          </w:tcPr>
          <w:p w14:paraId="40610428" w14:textId="77777777" w:rsidR="003D7CB5" w:rsidRPr="00027182" w:rsidRDefault="003D7CB5" w:rsidP="003D7CB5">
            <w:pPr>
              <w:jc w:val="center"/>
              <w:rPr>
                <w:rFonts w:cs="Arial"/>
                <w:b/>
                <w:bCs/>
                <w:sz w:val="22"/>
              </w:rPr>
            </w:pPr>
            <w:r w:rsidRPr="00027182">
              <w:rPr>
                <w:rFonts w:cs="Arial"/>
                <w:sz w:val="22"/>
              </w:rPr>
              <w:lastRenderedPageBreak/>
              <w:t>7</w:t>
            </w:r>
          </w:p>
        </w:tc>
        <w:tc>
          <w:tcPr>
            <w:tcW w:w="1627" w:type="dxa"/>
            <w:shd w:val="clear" w:color="auto" w:fill="auto"/>
            <w:vAlign w:val="center"/>
          </w:tcPr>
          <w:p w14:paraId="64E93644" w14:textId="09B2914F" w:rsidR="003D7CB5" w:rsidRPr="00027182" w:rsidRDefault="003D7CB5" w:rsidP="003D7CB5">
            <w:pPr>
              <w:jc w:val="center"/>
              <w:rPr>
                <w:rFonts w:cs="Arial"/>
                <w:b/>
                <w:bCs/>
                <w:sz w:val="22"/>
              </w:rPr>
            </w:pPr>
            <w:r w:rsidRPr="00027182">
              <w:rPr>
                <w:rFonts w:cs="Arial"/>
                <w:sz w:val="20"/>
                <w:szCs w:val="20"/>
              </w:rPr>
              <w:t>Бусад зүйл</w:t>
            </w:r>
          </w:p>
        </w:tc>
        <w:tc>
          <w:tcPr>
            <w:tcW w:w="2915" w:type="dxa"/>
            <w:shd w:val="clear" w:color="auto" w:fill="auto"/>
            <w:vAlign w:val="center"/>
          </w:tcPr>
          <w:p w14:paraId="227D377A" w14:textId="25D3D343" w:rsidR="003D7CB5" w:rsidRPr="00027182" w:rsidRDefault="003D7CB5" w:rsidP="003D7CB5">
            <w:pPr>
              <w:rPr>
                <w:rFonts w:cs="Arial"/>
                <w:sz w:val="20"/>
                <w:szCs w:val="20"/>
              </w:rPr>
            </w:pPr>
            <w:r w:rsidRPr="00027182">
              <w:rPr>
                <w:rFonts w:cs="Arial"/>
                <w:sz w:val="20"/>
                <w:szCs w:val="20"/>
              </w:rPr>
              <w:t>31 дүгээр зүйл.</w:t>
            </w:r>
            <w:r w:rsidR="002C6CCC" w:rsidRPr="00027182">
              <w:rPr>
                <w:rFonts w:cs="Arial"/>
                <w:sz w:val="20"/>
                <w:szCs w:val="20"/>
              </w:rPr>
              <w:t>Хууль зөрчигчид хүлээлгэх хариуцлага</w:t>
            </w:r>
          </w:p>
          <w:p w14:paraId="38C60A81" w14:textId="4A5C84E2" w:rsidR="003D7CB5" w:rsidRPr="00027182" w:rsidRDefault="003D7CB5" w:rsidP="003D7CB5">
            <w:pPr>
              <w:rPr>
                <w:rFonts w:cs="Arial"/>
                <w:sz w:val="20"/>
                <w:szCs w:val="20"/>
              </w:rPr>
            </w:pPr>
            <w:r w:rsidRPr="00027182">
              <w:rPr>
                <w:rFonts w:cs="Arial"/>
                <w:sz w:val="20"/>
                <w:szCs w:val="20"/>
              </w:rPr>
              <w:t>32 дугаар зүйл.</w:t>
            </w:r>
            <w:r w:rsidR="002C6CCC" w:rsidRPr="00027182">
              <w:rPr>
                <w:rFonts w:cs="Arial"/>
                <w:sz w:val="20"/>
                <w:szCs w:val="20"/>
              </w:rPr>
              <w:t>Шилжилтийн үеийн зохицуулалт</w:t>
            </w:r>
          </w:p>
          <w:p w14:paraId="61D3B055" w14:textId="208DBFC5" w:rsidR="003D7CB5" w:rsidRPr="00027182" w:rsidRDefault="003D7CB5" w:rsidP="003D7CB5">
            <w:pPr>
              <w:rPr>
                <w:rFonts w:cs="Arial"/>
                <w:b/>
                <w:bCs/>
                <w:sz w:val="22"/>
              </w:rPr>
            </w:pPr>
            <w:r w:rsidRPr="00027182">
              <w:rPr>
                <w:rFonts w:cs="Arial"/>
                <w:sz w:val="20"/>
                <w:szCs w:val="20"/>
              </w:rPr>
              <w:t>33 дугаар зүйл.Хууль хүчин төгөлдөр болох</w:t>
            </w:r>
          </w:p>
        </w:tc>
        <w:tc>
          <w:tcPr>
            <w:tcW w:w="4358" w:type="dxa"/>
            <w:shd w:val="clear" w:color="auto" w:fill="auto"/>
            <w:vAlign w:val="center"/>
          </w:tcPr>
          <w:p w14:paraId="5D6D66D1" w14:textId="7902B849" w:rsidR="003D7CB5" w:rsidRPr="00027182" w:rsidRDefault="003D7CB5" w:rsidP="003D7CB5">
            <w:pPr>
              <w:rPr>
                <w:rFonts w:cs="Arial"/>
                <w:b/>
                <w:bCs/>
                <w:sz w:val="22"/>
              </w:rPr>
            </w:pPr>
            <w:r w:rsidRPr="00027182">
              <w:rPr>
                <w:rFonts w:cs="Arial"/>
                <w:sz w:val="20"/>
                <w:szCs w:val="20"/>
              </w:rPr>
              <w:t>Хууль хүчин төгөлдөр болсноор өмнөх хуулийн дагуу гэрчилгээ авсан, гэрээ байгуулсан байгуулсан этгээдийн эрх ашгийг хэрхэн  шийдвэрлэх талаарх зохицуулалтыг тусгасан. Хууль зөрчсөн хүн, хуулийн этгээдэд хариуцлага хүлээлгэхт болон хууль хүчин төгөлдөр болох заалтыг тусгасан.</w:t>
            </w:r>
          </w:p>
        </w:tc>
      </w:tr>
    </w:tbl>
    <w:p w14:paraId="1077A11D" w14:textId="77777777" w:rsidR="00A949D3" w:rsidRPr="00027182" w:rsidRDefault="00A949D3" w:rsidP="00E92821"/>
    <w:p w14:paraId="5ADE31E8" w14:textId="77777777" w:rsidR="00A949D3" w:rsidRPr="00027182" w:rsidRDefault="00A949D3" w:rsidP="00E92821"/>
    <w:p w14:paraId="31DC1694" w14:textId="10F8D2E9" w:rsidR="00A949D3" w:rsidRPr="00027182" w:rsidRDefault="003D7CB5" w:rsidP="00C31D47">
      <w:pPr>
        <w:jc w:val="center"/>
      </w:pPr>
      <w:r w:rsidRPr="00027182">
        <w:t>МОНГОЛ УЛСЫН ЗАСГИЙН ГАЗАР</w:t>
      </w:r>
    </w:p>
    <w:sectPr w:rsidR="00A949D3" w:rsidRPr="00027182" w:rsidSect="008F624B">
      <w:pgSz w:w="11870" w:h="16787"/>
      <w:pgMar w:top="1134" w:right="851"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9798A"/>
    <w:multiLevelType w:val="hybridMultilevel"/>
    <w:tmpl w:val="10E21EB4"/>
    <w:lvl w:ilvl="0" w:tplc="F2E4D138">
      <w:start w:val="202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6C3CB3"/>
    <w:multiLevelType w:val="multilevel"/>
    <w:tmpl w:val="C314513E"/>
    <w:lvl w:ilvl="0">
      <w:start w:val="1"/>
      <w:numFmt w:val="decimal"/>
      <w:lvlText w:val="%1."/>
      <w:lvlJc w:val="left"/>
      <w:pPr>
        <w:ind w:left="720" w:hanging="360"/>
      </w:p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386536509">
    <w:abstractNumId w:val="0"/>
  </w:num>
  <w:num w:numId="2" w16cid:durableId="866989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92821"/>
    <w:rsid w:val="00001B88"/>
    <w:rsid w:val="00007F02"/>
    <w:rsid w:val="0001105B"/>
    <w:rsid w:val="00012534"/>
    <w:rsid w:val="00013C92"/>
    <w:rsid w:val="00013E5C"/>
    <w:rsid w:val="00014C3D"/>
    <w:rsid w:val="00014EF5"/>
    <w:rsid w:val="000216D3"/>
    <w:rsid w:val="00021C00"/>
    <w:rsid w:val="000224CD"/>
    <w:rsid w:val="000236FD"/>
    <w:rsid w:val="00027182"/>
    <w:rsid w:val="00034241"/>
    <w:rsid w:val="0004009A"/>
    <w:rsid w:val="00040B38"/>
    <w:rsid w:val="000411A0"/>
    <w:rsid w:val="0004266D"/>
    <w:rsid w:val="00043454"/>
    <w:rsid w:val="00046A60"/>
    <w:rsid w:val="000506DA"/>
    <w:rsid w:val="00051751"/>
    <w:rsid w:val="00052B30"/>
    <w:rsid w:val="0005543A"/>
    <w:rsid w:val="000566D3"/>
    <w:rsid w:val="00064007"/>
    <w:rsid w:val="00064651"/>
    <w:rsid w:val="00064DFF"/>
    <w:rsid w:val="000665F1"/>
    <w:rsid w:val="00071D58"/>
    <w:rsid w:val="00075D4F"/>
    <w:rsid w:val="000760F3"/>
    <w:rsid w:val="00082B51"/>
    <w:rsid w:val="00083924"/>
    <w:rsid w:val="00083B35"/>
    <w:rsid w:val="00085404"/>
    <w:rsid w:val="00091889"/>
    <w:rsid w:val="00091D67"/>
    <w:rsid w:val="00097B1A"/>
    <w:rsid w:val="000A44CD"/>
    <w:rsid w:val="000A4697"/>
    <w:rsid w:val="000A5666"/>
    <w:rsid w:val="000B105F"/>
    <w:rsid w:val="000B1576"/>
    <w:rsid w:val="000B1CE7"/>
    <w:rsid w:val="000B7B07"/>
    <w:rsid w:val="000C589D"/>
    <w:rsid w:val="000D0643"/>
    <w:rsid w:val="000D38E7"/>
    <w:rsid w:val="000D61EA"/>
    <w:rsid w:val="000E01F9"/>
    <w:rsid w:val="000E0D82"/>
    <w:rsid w:val="000F00DA"/>
    <w:rsid w:val="000F0D2F"/>
    <w:rsid w:val="000F5C1A"/>
    <w:rsid w:val="000F6416"/>
    <w:rsid w:val="000F6A51"/>
    <w:rsid w:val="00100D9D"/>
    <w:rsid w:val="00101E5E"/>
    <w:rsid w:val="001024AC"/>
    <w:rsid w:val="00103C98"/>
    <w:rsid w:val="00104C47"/>
    <w:rsid w:val="00122AE1"/>
    <w:rsid w:val="00123753"/>
    <w:rsid w:val="00123A90"/>
    <w:rsid w:val="00125583"/>
    <w:rsid w:val="0012574D"/>
    <w:rsid w:val="00126F93"/>
    <w:rsid w:val="00130FE8"/>
    <w:rsid w:val="00135458"/>
    <w:rsid w:val="0014600C"/>
    <w:rsid w:val="00147B7E"/>
    <w:rsid w:val="0015384E"/>
    <w:rsid w:val="00156BED"/>
    <w:rsid w:val="00160BEC"/>
    <w:rsid w:val="00161395"/>
    <w:rsid w:val="001619D6"/>
    <w:rsid w:val="00163AC2"/>
    <w:rsid w:val="00163FB2"/>
    <w:rsid w:val="001655BA"/>
    <w:rsid w:val="00167D30"/>
    <w:rsid w:val="00171FF9"/>
    <w:rsid w:val="00176823"/>
    <w:rsid w:val="00176D15"/>
    <w:rsid w:val="001828C0"/>
    <w:rsid w:val="00183572"/>
    <w:rsid w:val="00184DD0"/>
    <w:rsid w:val="00187A9A"/>
    <w:rsid w:val="001905C5"/>
    <w:rsid w:val="00193232"/>
    <w:rsid w:val="0019440F"/>
    <w:rsid w:val="001962DA"/>
    <w:rsid w:val="00196F1A"/>
    <w:rsid w:val="001A6194"/>
    <w:rsid w:val="001A7938"/>
    <w:rsid w:val="001B0866"/>
    <w:rsid w:val="001B2D71"/>
    <w:rsid w:val="001B3240"/>
    <w:rsid w:val="001B5B4E"/>
    <w:rsid w:val="001B7A81"/>
    <w:rsid w:val="001C1F7F"/>
    <w:rsid w:val="001C7436"/>
    <w:rsid w:val="001D0BC6"/>
    <w:rsid w:val="001D0D11"/>
    <w:rsid w:val="001D102F"/>
    <w:rsid w:val="001D3C82"/>
    <w:rsid w:val="001D451A"/>
    <w:rsid w:val="001D64B5"/>
    <w:rsid w:val="001E3F09"/>
    <w:rsid w:val="001E538D"/>
    <w:rsid w:val="001E71FC"/>
    <w:rsid w:val="001F151D"/>
    <w:rsid w:val="001F1F7D"/>
    <w:rsid w:val="001F2169"/>
    <w:rsid w:val="001F2802"/>
    <w:rsid w:val="00200A70"/>
    <w:rsid w:val="00200F39"/>
    <w:rsid w:val="00201050"/>
    <w:rsid w:val="002023E7"/>
    <w:rsid w:val="00204D55"/>
    <w:rsid w:val="00211300"/>
    <w:rsid w:val="00211707"/>
    <w:rsid w:val="002140A1"/>
    <w:rsid w:val="00215347"/>
    <w:rsid w:val="00221859"/>
    <w:rsid w:val="002237F3"/>
    <w:rsid w:val="002239EC"/>
    <w:rsid w:val="00227F6B"/>
    <w:rsid w:val="00230C05"/>
    <w:rsid w:val="00232E58"/>
    <w:rsid w:val="00232ECF"/>
    <w:rsid w:val="00237384"/>
    <w:rsid w:val="00237DBB"/>
    <w:rsid w:val="00240E1A"/>
    <w:rsid w:val="002442DD"/>
    <w:rsid w:val="002515E5"/>
    <w:rsid w:val="0025316A"/>
    <w:rsid w:val="00256EE3"/>
    <w:rsid w:val="00257966"/>
    <w:rsid w:val="00263DCC"/>
    <w:rsid w:val="00264E47"/>
    <w:rsid w:val="00267BBD"/>
    <w:rsid w:val="00267BE5"/>
    <w:rsid w:val="00270708"/>
    <w:rsid w:val="0027710C"/>
    <w:rsid w:val="00280D55"/>
    <w:rsid w:val="002853A8"/>
    <w:rsid w:val="00286C6B"/>
    <w:rsid w:val="00293D7B"/>
    <w:rsid w:val="002A32C9"/>
    <w:rsid w:val="002B444E"/>
    <w:rsid w:val="002C02AB"/>
    <w:rsid w:val="002C1287"/>
    <w:rsid w:val="002C408A"/>
    <w:rsid w:val="002C6896"/>
    <w:rsid w:val="002C6CCC"/>
    <w:rsid w:val="002C7174"/>
    <w:rsid w:val="002D51B1"/>
    <w:rsid w:val="002D51B2"/>
    <w:rsid w:val="002E0C1E"/>
    <w:rsid w:val="002E1C1C"/>
    <w:rsid w:val="002E3396"/>
    <w:rsid w:val="002E4FAD"/>
    <w:rsid w:val="002E7D8C"/>
    <w:rsid w:val="002F5ECE"/>
    <w:rsid w:val="002F60EF"/>
    <w:rsid w:val="0030130D"/>
    <w:rsid w:val="00307068"/>
    <w:rsid w:val="00311456"/>
    <w:rsid w:val="00313ECC"/>
    <w:rsid w:val="00314201"/>
    <w:rsid w:val="00315D1F"/>
    <w:rsid w:val="0031609F"/>
    <w:rsid w:val="003169AF"/>
    <w:rsid w:val="003250C4"/>
    <w:rsid w:val="003258BC"/>
    <w:rsid w:val="00326531"/>
    <w:rsid w:val="00333504"/>
    <w:rsid w:val="003344CA"/>
    <w:rsid w:val="00337628"/>
    <w:rsid w:val="0034054E"/>
    <w:rsid w:val="0034073F"/>
    <w:rsid w:val="00340FB7"/>
    <w:rsid w:val="00346F56"/>
    <w:rsid w:val="00353C87"/>
    <w:rsid w:val="003567B4"/>
    <w:rsid w:val="00361442"/>
    <w:rsid w:val="003615AE"/>
    <w:rsid w:val="003637D3"/>
    <w:rsid w:val="00364054"/>
    <w:rsid w:val="003642BD"/>
    <w:rsid w:val="00364F41"/>
    <w:rsid w:val="00367295"/>
    <w:rsid w:val="00370445"/>
    <w:rsid w:val="00370BBD"/>
    <w:rsid w:val="003755AD"/>
    <w:rsid w:val="00380EB9"/>
    <w:rsid w:val="003819E0"/>
    <w:rsid w:val="0038265D"/>
    <w:rsid w:val="00391646"/>
    <w:rsid w:val="003927B1"/>
    <w:rsid w:val="003A04DE"/>
    <w:rsid w:val="003A09AD"/>
    <w:rsid w:val="003A5423"/>
    <w:rsid w:val="003A6253"/>
    <w:rsid w:val="003C39EC"/>
    <w:rsid w:val="003D40B0"/>
    <w:rsid w:val="003D5D27"/>
    <w:rsid w:val="003D7CB5"/>
    <w:rsid w:val="003E29E5"/>
    <w:rsid w:val="003E645D"/>
    <w:rsid w:val="003F1174"/>
    <w:rsid w:val="003F2E93"/>
    <w:rsid w:val="003F5257"/>
    <w:rsid w:val="003F7C26"/>
    <w:rsid w:val="00404CC3"/>
    <w:rsid w:val="004055A1"/>
    <w:rsid w:val="00405C77"/>
    <w:rsid w:val="00406E35"/>
    <w:rsid w:val="004152CA"/>
    <w:rsid w:val="004157DB"/>
    <w:rsid w:val="00415888"/>
    <w:rsid w:val="00426C45"/>
    <w:rsid w:val="0043298F"/>
    <w:rsid w:val="004332E9"/>
    <w:rsid w:val="00435C0F"/>
    <w:rsid w:val="00435D4E"/>
    <w:rsid w:val="00440854"/>
    <w:rsid w:val="0044490F"/>
    <w:rsid w:val="00444F4B"/>
    <w:rsid w:val="0044B26A"/>
    <w:rsid w:val="00455564"/>
    <w:rsid w:val="0046121F"/>
    <w:rsid w:val="00461FB7"/>
    <w:rsid w:val="00462AC8"/>
    <w:rsid w:val="00467176"/>
    <w:rsid w:val="004739E3"/>
    <w:rsid w:val="004740A0"/>
    <w:rsid w:val="00474841"/>
    <w:rsid w:val="00476E09"/>
    <w:rsid w:val="00487DB3"/>
    <w:rsid w:val="00490364"/>
    <w:rsid w:val="0049134D"/>
    <w:rsid w:val="00497131"/>
    <w:rsid w:val="004A4E5E"/>
    <w:rsid w:val="004A6234"/>
    <w:rsid w:val="004B56A4"/>
    <w:rsid w:val="004B740F"/>
    <w:rsid w:val="004B7A2A"/>
    <w:rsid w:val="004C0F50"/>
    <w:rsid w:val="004C252A"/>
    <w:rsid w:val="004C25CE"/>
    <w:rsid w:val="004C3395"/>
    <w:rsid w:val="004C4367"/>
    <w:rsid w:val="004C6C01"/>
    <w:rsid w:val="004C6F42"/>
    <w:rsid w:val="004C7191"/>
    <w:rsid w:val="004D0F79"/>
    <w:rsid w:val="004D4A2C"/>
    <w:rsid w:val="004D6195"/>
    <w:rsid w:val="004D6DED"/>
    <w:rsid w:val="004D7489"/>
    <w:rsid w:val="004E20FE"/>
    <w:rsid w:val="004E468A"/>
    <w:rsid w:val="004E5B35"/>
    <w:rsid w:val="004E617B"/>
    <w:rsid w:val="004E6A4C"/>
    <w:rsid w:val="004F10F1"/>
    <w:rsid w:val="004F1613"/>
    <w:rsid w:val="004F2604"/>
    <w:rsid w:val="00503308"/>
    <w:rsid w:val="005075A2"/>
    <w:rsid w:val="00511DBB"/>
    <w:rsid w:val="00512F1C"/>
    <w:rsid w:val="00513E1A"/>
    <w:rsid w:val="00515D4F"/>
    <w:rsid w:val="00516698"/>
    <w:rsid w:val="005205C4"/>
    <w:rsid w:val="005307AE"/>
    <w:rsid w:val="00531B7C"/>
    <w:rsid w:val="005329EF"/>
    <w:rsid w:val="0053490E"/>
    <w:rsid w:val="00535ADD"/>
    <w:rsid w:val="00537582"/>
    <w:rsid w:val="00537E07"/>
    <w:rsid w:val="005420AD"/>
    <w:rsid w:val="00544E8C"/>
    <w:rsid w:val="00553291"/>
    <w:rsid w:val="00560304"/>
    <w:rsid w:val="005604E8"/>
    <w:rsid w:val="00565968"/>
    <w:rsid w:val="00570069"/>
    <w:rsid w:val="00573E3C"/>
    <w:rsid w:val="005804E9"/>
    <w:rsid w:val="00581C11"/>
    <w:rsid w:val="00582708"/>
    <w:rsid w:val="00585E24"/>
    <w:rsid w:val="005908E9"/>
    <w:rsid w:val="00592B0A"/>
    <w:rsid w:val="005956B7"/>
    <w:rsid w:val="005964AF"/>
    <w:rsid w:val="005A1FBF"/>
    <w:rsid w:val="005A2AAE"/>
    <w:rsid w:val="005A403C"/>
    <w:rsid w:val="005A4EB8"/>
    <w:rsid w:val="005B371F"/>
    <w:rsid w:val="005B75B7"/>
    <w:rsid w:val="005C4AEA"/>
    <w:rsid w:val="005C625D"/>
    <w:rsid w:val="005D055F"/>
    <w:rsid w:val="005D15E6"/>
    <w:rsid w:val="005D1D45"/>
    <w:rsid w:val="005D40D8"/>
    <w:rsid w:val="005D5130"/>
    <w:rsid w:val="005D55F1"/>
    <w:rsid w:val="005D73B5"/>
    <w:rsid w:val="005E3F68"/>
    <w:rsid w:val="005E6E70"/>
    <w:rsid w:val="005F5FE9"/>
    <w:rsid w:val="005F6B23"/>
    <w:rsid w:val="006022F6"/>
    <w:rsid w:val="0060433A"/>
    <w:rsid w:val="00605532"/>
    <w:rsid w:val="00606E88"/>
    <w:rsid w:val="00610832"/>
    <w:rsid w:val="0061207B"/>
    <w:rsid w:val="00612A1F"/>
    <w:rsid w:val="0061610B"/>
    <w:rsid w:val="00617304"/>
    <w:rsid w:val="00617D5A"/>
    <w:rsid w:val="0062109F"/>
    <w:rsid w:val="00624E44"/>
    <w:rsid w:val="006251B7"/>
    <w:rsid w:val="00626D62"/>
    <w:rsid w:val="00626FF4"/>
    <w:rsid w:val="006277FF"/>
    <w:rsid w:val="00632D86"/>
    <w:rsid w:val="006467EA"/>
    <w:rsid w:val="00646F3D"/>
    <w:rsid w:val="00650E0E"/>
    <w:rsid w:val="00651E5C"/>
    <w:rsid w:val="00653E11"/>
    <w:rsid w:val="006553E4"/>
    <w:rsid w:val="0066003F"/>
    <w:rsid w:val="00664DA6"/>
    <w:rsid w:val="0066509E"/>
    <w:rsid w:val="006674BB"/>
    <w:rsid w:val="00670232"/>
    <w:rsid w:val="00671EF1"/>
    <w:rsid w:val="00675371"/>
    <w:rsid w:val="006817CC"/>
    <w:rsid w:val="0068351F"/>
    <w:rsid w:val="00691750"/>
    <w:rsid w:val="00693221"/>
    <w:rsid w:val="00696EA4"/>
    <w:rsid w:val="0069778A"/>
    <w:rsid w:val="006A0F74"/>
    <w:rsid w:val="006A74AE"/>
    <w:rsid w:val="006A773D"/>
    <w:rsid w:val="006B3057"/>
    <w:rsid w:val="006C0EE9"/>
    <w:rsid w:val="006C52B8"/>
    <w:rsid w:val="006C55C3"/>
    <w:rsid w:val="006C5D5E"/>
    <w:rsid w:val="006C600B"/>
    <w:rsid w:val="006C68A6"/>
    <w:rsid w:val="006D0165"/>
    <w:rsid w:val="006D460A"/>
    <w:rsid w:val="006D73CD"/>
    <w:rsid w:val="006E4B07"/>
    <w:rsid w:val="006E6E21"/>
    <w:rsid w:val="006E79D6"/>
    <w:rsid w:val="006F11F8"/>
    <w:rsid w:val="006F25BB"/>
    <w:rsid w:val="006F2F5C"/>
    <w:rsid w:val="00701BCF"/>
    <w:rsid w:val="00705AE2"/>
    <w:rsid w:val="007073C2"/>
    <w:rsid w:val="00707965"/>
    <w:rsid w:val="007146B4"/>
    <w:rsid w:val="00717F28"/>
    <w:rsid w:val="0072560C"/>
    <w:rsid w:val="00730B2D"/>
    <w:rsid w:val="00732001"/>
    <w:rsid w:val="00732425"/>
    <w:rsid w:val="00735EC1"/>
    <w:rsid w:val="00736EAB"/>
    <w:rsid w:val="007417A2"/>
    <w:rsid w:val="00750B04"/>
    <w:rsid w:val="0075117E"/>
    <w:rsid w:val="007518D8"/>
    <w:rsid w:val="0075294C"/>
    <w:rsid w:val="00754771"/>
    <w:rsid w:val="007551E1"/>
    <w:rsid w:val="00755DA1"/>
    <w:rsid w:val="00756E6C"/>
    <w:rsid w:val="007604B6"/>
    <w:rsid w:val="00763BAA"/>
    <w:rsid w:val="00765D6E"/>
    <w:rsid w:val="0076630A"/>
    <w:rsid w:val="00772F92"/>
    <w:rsid w:val="0077781C"/>
    <w:rsid w:val="00780A96"/>
    <w:rsid w:val="00780E7B"/>
    <w:rsid w:val="00784A47"/>
    <w:rsid w:val="00787CA3"/>
    <w:rsid w:val="00790500"/>
    <w:rsid w:val="007940F4"/>
    <w:rsid w:val="007977A2"/>
    <w:rsid w:val="007A013E"/>
    <w:rsid w:val="007A211E"/>
    <w:rsid w:val="007A3762"/>
    <w:rsid w:val="007A3F76"/>
    <w:rsid w:val="007A7C37"/>
    <w:rsid w:val="007B29A0"/>
    <w:rsid w:val="007B415B"/>
    <w:rsid w:val="007C08C8"/>
    <w:rsid w:val="007C2C9D"/>
    <w:rsid w:val="007C5F3C"/>
    <w:rsid w:val="007D0964"/>
    <w:rsid w:val="007D0B6C"/>
    <w:rsid w:val="007D155E"/>
    <w:rsid w:val="007D2695"/>
    <w:rsid w:val="007E296F"/>
    <w:rsid w:val="007E2B2A"/>
    <w:rsid w:val="007E6C22"/>
    <w:rsid w:val="007F11C5"/>
    <w:rsid w:val="0080081A"/>
    <w:rsid w:val="00805172"/>
    <w:rsid w:val="0081097D"/>
    <w:rsid w:val="00810D84"/>
    <w:rsid w:val="0081674F"/>
    <w:rsid w:val="00823C07"/>
    <w:rsid w:val="00824C4A"/>
    <w:rsid w:val="00831A45"/>
    <w:rsid w:val="00837449"/>
    <w:rsid w:val="008375D4"/>
    <w:rsid w:val="00844CA9"/>
    <w:rsid w:val="00846AFB"/>
    <w:rsid w:val="008473A2"/>
    <w:rsid w:val="00850E54"/>
    <w:rsid w:val="00853598"/>
    <w:rsid w:val="00853872"/>
    <w:rsid w:val="008561AC"/>
    <w:rsid w:val="008568C8"/>
    <w:rsid w:val="008601A4"/>
    <w:rsid w:val="008621A1"/>
    <w:rsid w:val="008622F6"/>
    <w:rsid w:val="00862B46"/>
    <w:rsid w:val="00862D4C"/>
    <w:rsid w:val="00865A46"/>
    <w:rsid w:val="0086644C"/>
    <w:rsid w:val="0086687C"/>
    <w:rsid w:val="0087233D"/>
    <w:rsid w:val="008723EE"/>
    <w:rsid w:val="00873515"/>
    <w:rsid w:val="00874C7D"/>
    <w:rsid w:val="00880218"/>
    <w:rsid w:val="008826AD"/>
    <w:rsid w:val="00884217"/>
    <w:rsid w:val="008856D0"/>
    <w:rsid w:val="00890D1E"/>
    <w:rsid w:val="00891C2B"/>
    <w:rsid w:val="00893B3D"/>
    <w:rsid w:val="008A17A8"/>
    <w:rsid w:val="008A60FB"/>
    <w:rsid w:val="008A7B7D"/>
    <w:rsid w:val="008B1F3D"/>
    <w:rsid w:val="008B29F1"/>
    <w:rsid w:val="008B3E73"/>
    <w:rsid w:val="008B3ED0"/>
    <w:rsid w:val="008B4E18"/>
    <w:rsid w:val="008B5571"/>
    <w:rsid w:val="008C23C7"/>
    <w:rsid w:val="008C3044"/>
    <w:rsid w:val="008C62AA"/>
    <w:rsid w:val="008C65B5"/>
    <w:rsid w:val="008D0134"/>
    <w:rsid w:val="008D44CC"/>
    <w:rsid w:val="008D7134"/>
    <w:rsid w:val="008E06AF"/>
    <w:rsid w:val="008E06FE"/>
    <w:rsid w:val="008E3DDD"/>
    <w:rsid w:val="008E741C"/>
    <w:rsid w:val="008F4826"/>
    <w:rsid w:val="008F4E65"/>
    <w:rsid w:val="008F573A"/>
    <w:rsid w:val="008F624B"/>
    <w:rsid w:val="008F7F88"/>
    <w:rsid w:val="00900E67"/>
    <w:rsid w:val="009018E7"/>
    <w:rsid w:val="009020E6"/>
    <w:rsid w:val="009026A9"/>
    <w:rsid w:val="00906511"/>
    <w:rsid w:val="00907FA7"/>
    <w:rsid w:val="00910458"/>
    <w:rsid w:val="00914B90"/>
    <w:rsid w:val="00915675"/>
    <w:rsid w:val="00934B3F"/>
    <w:rsid w:val="00937E1C"/>
    <w:rsid w:val="00941E12"/>
    <w:rsid w:val="009437C2"/>
    <w:rsid w:val="00953432"/>
    <w:rsid w:val="009579B7"/>
    <w:rsid w:val="0096437E"/>
    <w:rsid w:val="009648A8"/>
    <w:rsid w:val="00964E02"/>
    <w:rsid w:val="00966610"/>
    <w:rsid w:val="00966E86"/>
    <w:rsid w:val="009677AE"/>
    <w:rsid w:val="00972A25"/>
    <w:rsid w:val="00972A71"/>
    <w:rsid w:val="00974879"/>
    <w:rsid w:val="00980AD0"/>
    <w:rsid w:val="009843C5"/>
    <w:rsid w:val="009852C0"/>
    <w:rsid w:val="009859CB"/>
    <w:rsid w:val="00986CD5"/>
    <w:rsid w:val="00986E31"/>
    <w:rsid w:val="009875DA"/>
    <w:rsid w:val="00990B7C"/>
    <w:rsid w:val="0099308B"/>
    <w:rsid w:val="00996891"/>
    <w:rsid w:val="009972EB"/>
    <w:rsid w:val="009A04F5"/>
    <w:rsid w:val="009A0D39"/>
    <w:rsid w:val="009A44B0"/>
    <w:rsid w:val="009A66B7"/>
    <w:rsid w:val="009A7287"/>
    <w:rsid w:val="009B1BC4"/>
    <w:rsid w:val="009B29F3"/>
    <w:rsid w:val="009B30B7"/>
    <w:rsid w:val="009B4D68"/>
    <w:rsid w:val="009B7EB7"/>
    <w:rsid w:val="009C1A67"/>
    <w:rsid w:val="009C5157"/>
    <w:rsid w:val="009C597B"/>
    <w:rsid w:val="009C6281"/>
    <w:rsid w:val="009C7F05"/>
    <w:rsid w:val="009D2FD8"/>
    <w:rsid w:val="009D3AD7"/>
    <w:rsid w:val="009D41E6"/>
    <w:rsid w:val="009D5590"/>
    <w:rsid w:val="009D7E4D"/>
    <w:rsid w:val="009D7E5F"/>
    <w:rsid w:val="009E02BA"/>
    <w:rsid w:val="009E110B"/>
    <w:rsid w:val="009E2CFC"/>
    <w:rsid w:val="009E31A2"/>
    <w:rsid w:val="009E3B6B"/>
    <w:rsid w:val="009E5369"/>
    <w:rsid w:val="009F13A2"/>
    <w:rsid w:val="009F1B5D"/>
    <w:rsid w:val="009F5E70"/>
    <w:rsid w:val="00A052E0"/>
    <w:rsid w:val="00A07D7A"/>
    <w:rsid w:val="00A20E55"/>
    <w:rsid w:val="00A2124B"/>
    <w:rsid w:val="00A2264F"/>
    <w:rsid w:val="00A233B5"/>
    <w:rsid w:val="00A26331"/>
    <w:rsid w:val="00A2711A"/>
    <w:rsid w:val="00A30266"/>
    <w:rsid w:val="00A3223E"/>
    <w:rsid w:val="00A3342F"/>
    <w:rsid w:val="00A35C54"/>
    <w:rsid w:val="00A377AD"/>
    <w:rsid w:val="00A41419"/>
    <w:rsid w:val="00A416F5"/>
    <w:rsid w:val="00A43534"/>
    <w:rsid w:val="00A438C9"/>
    <w:rsid w:val="00A44C93"/>
    <w:rsid w:val="00A450A7"/>
    <w:rsid w:val="00A4610C"/>
    <w:rsid w:val="00A462E9"/>
    <w:rsid w:val="00A47060"/>
    <w:rsid w:val="00A51B56"/>
    <w:rsid w:val="00A55F39"/>
    <w:rsid w:val="00A61E11"/>
    <w:rsid w:val="00A6613D"/>
    <w:rsid w:val="00A70B52"/>
    <w:rsid w:val="00A70F77"/>
    <w:rsid w:val="00A71291"/>
    <w:rsid w:val="00A741C4"/>
    <w:rsid w:val="00A86B4F"/>
    <w:rsid w:val="00A90C36"/>
    <w:rsid w:val="00A949D3"/>
    <w:rsid w:val="00A97CA9"/>
    <w:rsid w:val="00AB31A0"/>
    <w:rsid w:val="00AB5878"/>
    <w:rsid w:val="00AB6347"/>
    <w:rsid w:val="00AC0286"/>
    <w:rsid w:val="00AC0613"/>
    <w:rsid w:val="00AC2F57"/>
    <w:rsid w:val="00AC517F"/>
    <w:rsid w:val="00AC7639"/>
    <w:rsid w:val="00AD2B93"/>
    <w:rsid w:val="00AD3692"/>
    <w:rsid w:val="00AD74EA"/>
    <w:rsid w:val="00AE0DE6"/>
    <w:rsid w:val="00AE0FE2"/>
    <w:rsid w:val="00AE1DBE"/>
    <w:rsid w:val="00AE54D5"/>
    <w:rsid w:val="00AE72C7"/>
    <w:rsid w:val="00AE7C36"/>
    <w:rsid w:val="00AF3444"/>
    <w:rsid w:val="00AF4DCC"/>
    <w:rsid w:val="00AF5D1A"/>
    <w:rsid w:val="00AF6A9A"/>
    <w:rsid w:val="00B01C8C"/>
    <w:rsid w:val="00B052A0"/>
    <w:rsid w:val="00B06F1F"/>
    <w:rsid w:val="00B1028B"/>
    <w:rsid w:val="00B105D4"/>
    <w:rsid w:val="00B107B6"/>
    <w:rsid w:val="00B13383"/>
    <w:rsid w:val="00B135C2"/>
    <w:rsid w:val="00B13789"/>
    <w:rsid w:val="00B159AA"/>
    <w:rsid w:val="00B16620"/>
    <w:rsid w:val="00B178AD"/>
    <w:rsid w:val="00B20A71"/>
    <w:rsid w:val="00B2234A"/>
    <w:rsid w:val="00B30251"/>
    <w:rsid w:val="00B30507"/>
    <w:rsid w:val="00B35DC1"/>
    <w:rsid w:val="00B35F17"/>
    <w:rsid w:val="00B4024A"/>
    <w:rsid w:val="00B412C9"/>
    <w:rsid w:val="00B4305D"/>
    <w:rsid w:val="00B4331E"/>
    <w:rsid w:val="00B502DE"/>
    <w:rsid w:val="00B60986"/>
    <w:rsid w:val="00B61C57"/>
    <w:rsid w:val="00B63C1E"/>
    <w:rsid w:val="00B64E5F"/>
    <w:rsid w:val="00B65B37"/>
    <w:rsid w:val="00B73BC9"/>
    <w:rsid w:val="00B748E1"/>
    <w:rsid w:val="00B75A61"/>
    <w:rsid w:val="00B765ED"/>
    <w:rsid w:val="00B9032A"/>
    <w:rsid w:val="00BA2730"/>
    <w:rsid w:val="00BA6D45"/>
    <w:rsid w:val="00BB2070"/>
    <w:rsid w:val="00BB5855"/>
    <w:rsid w:val="00BB5F0F"/>
    <w:rsid w:val="00BB5F65"/>
    <w:rsid w:val="00BB62D6"/>
    <w:rsid w:val="00BB6E4D"/>
    <w:rsid w:val="00BC2A1F"/>
    <w:rsid w:val="00BC3AD1"/>
    <w:rsid w:val="00BC5D40"/>
    <w:rsid w:val="00BC7333"/>
    <w:rsid w:val="00BD12B0"/>
    <w:rsid w:val="00BD12FF"/>
    <w:rsid w:val="00BD1F88"/>
    <w:rsid w:val="00BD280E"/>
    <w:rsid w:val="00BD71C9"/>
    <w:rsid w:val="00BD7D74"/>
    <w:rsid w:val="00BE74D3"/>
    <w:rsid w:val="00BEC637"/>
    <w:rsid w:val="00BF0F90"/>
    <w:rsid w:val="00BF1976"/>
    <w:rsid w:val="00BF3528"/>
    <w:rsid w:val="00BF78AA"/>
    <w:rsid w:val="00C00263"/>
    <w:rsid w:val="00C0043A"/>
    <w:rsid w:val="00C005A3"/>
    <w:rsid w:val="00C02F96"/>
    <w:rsid w:val="00C03661"/>
    <w:rsid w:val="00C04FF0"/>
    <w:rsid w:val="00C110A8"/>
    <w:rsid w:val="00C20173"/>
    <w:rsid w:val="00C209DA"/>
    <w:rsid w:val="00C251CC"/>
    <w:rsid w:val="00C31D47"/>
    <w:rsid w:val="00C3391F"/>
    <w:rsid w:val="00C36890"/>
    <w:rsid w:val="00C36C31"/>
    <w:rsid w:val="00C470BE"/>
    <w:rsid w:val="00C630DC"/>
    <w:rsid w:val="00C6390D"/>
    <w:rsid w:val="00C727C7"/>
    <w:rsid w:val="00C72AAD"/>
    <w:rsid w:val="00C755B0"/>
    <w:rsid w:val="00C75CB2"/>
    <w:rsid w:val="00C80A64"/>
    <w:rsid w:val="00C82651"/>
    <w:rsid w:val="00C83F8A"/>
    <w:rsid w:val="00C90310"/>
    <w:rsid w:val="00C961E5"/>
    <w:rsid w:val="00C97B1A"/>
    <w:rsid w:val="00CA0769"/>
    <w:rsid w:val="00CA2079"/>
    <w:rsid w:val="00CA472C"/>
    <w:rsid w:val="00CA4D4F"/>
    <w:rsid w:val="00CB02EB"/>
    <w:rsid w:val="00CB1DF7"/>
    <w:rsid w:val="00CB3D11"/>
    <w:rsid w:val="00CB40E7"/>
    <w:rsid w:val="00CB6CCC"/>
    <w:rsid w:val="00CB7DD4"/>
    <w:rsid w:val="00CC427F"/>
    <w:rsid w:val="00CC5F40"/>
    <w:rsid w:val="00CC6AC1"/>
    <w:rsid w:val="00CD67C9"/>
    <w:rsid w:val="00CD712B"/>
    <w:rsid w:val="00CE1A1A"/>
    <w:rsid w:val="00CE354A"/>
    <w:rsid w:val="00CE5174"/>
    <w:rsid w:val="00CF1008"/>
    <w:rsid w:val="00CF4E6A"/>
    <w:rsid w:val="00CF5114"/>
    <w:rsid w:val="00CF5E34"/>
    <w:rsid w:val="00CF6259"/>
    <w:rsid w:val="00D0129C"/>
    <w:rsid w:val="00D01F3D"/>
    <w:rsid w:val="00D02D0D"/>
    <w:rsid w:val="00D03FE8"/>
    <w:rsid w:val="00D13B15"/>
    <w:rsid w:val="00D13EA3"/>
    <w:rsid w:val="00D142FF"/>
    <w:rsid w:val="00D15C9C"/>
    <w:rsid w:val="00D1666F"/>
    <w:rsid w:val="00D20310"/>
    <w:rsid w:val="00D22563"/>
    <w:rsid w:val="00D248AF"/>
    <w:rsid w:val="00D27FC2"/>
    <w:rsid w:val="00D31FF8"/>
    <w:rsid w:val="00D447FF"/>
    <w:rsid w:val="00D46106"/>
    <w:rsid w:val="00D46837"/>
    <w:rsid w:val="00D46941"/>
    <w:rsid w:val="00D47EF6"/>
    <w:rsid w:val="00D55AE8"/>
    <w:rsid w:val="00D603E0"/>
    <w:rsid w:val="00D60B5E"/>
    <w:rsid w:val="00D623D0"/>
    <w:rsid w:val="00D625C5"/>
    <w:rsid w:val="00D63718"/>
    <w:rsid w:val="00D74E3D"/>
    <w:rsid w:val="00D8159E"/>
    <w:rsid w:val="00D93EAA"/>
    <w:rsid w:val="00D96D00"/>
    <w:rsid w:val="00DA0618"/>
    <w:rsid w:val="00DA1740"/>
    <w:rsid w:val="00DB1DF5"/>
    <w:rsid w:val="00DB1E21"/>
    <w:rsid w:val="00DB23E6"/>
    <w:rsid w:val="00DB2AEE"/>
    <w:rsid w:val="00DB659B"/>
    <w:rsid w:val="00DC01B7"/>
    <w:rsid w:val="00DC0FFA"/>
    <w:rsid w:val="00DC18E9"/>
    <w:rsid w:val="00DC1C85"/>
    <w:rsid w:val="00DC6274"/>
    <w:rsid w:val="00DD05F5"/>
    <w:rsid w:val="00DE56CB"/>
    <w:rsid w:val="00DF1F7C"/>
    <w:rsid w:val="00DF5715"/>
    <w:rsid w:val="00E02D68"/>
    <w:rsid w:val="00E03BC8"/>
    <w:rsid w:val="00E04C86"/>
    <w:rsid w:val="00E05322"/>
    <w:rsid w:val="00E05DB8"/>
    <w:rsid w:val="00E101C3"/>
    <w:rsid w:val="00E16E4C"/>
    <w:rsid w:val="00E207DB"/>
    <w:rsid w:val="00E23E8E"/>
    <w:rsid w:val="00E258CE"/>
    <w:rsid w:val="00E278D4"/>
    <w:rsid w:val="00E27DBC"/>
    <w:rsid w:val="00E329AA"/>
    <w:rsid w:val="00E3302F"/>
    <w:rsid w:val="00E33518"/>
    <w:rsid w:val="00E34EEF"/>
    <w:rsid w:val="00E359D3"/>
    <w:rsid w:val="00E413DC"/>
    <w:rsid w:val="00E427FC"/>
    <w:rsid w:val="00E45419"/>
    <w:rsid w:val="00E46B78"/>
    <w:rsid w:val="00E50463"/>
    <w:rsid w:val="00E507D4"/>
    <w:rsid w:val="00E548B6"/>
    <w:rsid w:val="00E60A7A"/>
    <w:rsid w:val="00E617A2"/>
    <w:rsid w:val="00E64582"/>
    <w:rsid w:val="00E651A4"/>
    <w:rsid w:val="00E720E6"/>
    <w:rsid w:val="00E7671A"/>
    <w:rsid w:val="00E77124"/>
    <w:rsid w:val="00E80582"/>
    <w:rsid w:val="00E806D8"/>
    <w:rsid w:val="00E818EE"/>
    <w:rsid w:val="00E83C91"/>
    <w:rsid w:val="00E8778C"/>
    <w:rsid w:val="00E87BAD"/>
    <w:rsid w:val="00E92821"/>
    <w:rsid w:val="00E934F0"/>
    <w:rsid w:val="00E9433C"/>
    <w:rsid w:val="00E9533E"/>
    <w:rsid w:val="00EA0751"/>
    <w:rsid w:val="00EA1B13"/>
    <w:rsid w:val="00EA377C"/>
    <w:rsid w:val="00EA4127"/>
    <w:rsid w:val="00EA5061"/>
    <w:rsid w:val="00EA68C0"/>
    <w:rsid w:val="00EB3F22"/>
    <w:rsid w:val="00EB4459"/>
    <w:rsid w:val="00EC3B1F"/>
    <w:rsid w:val="00EC4A23"/>
    <w:rsid w:val="00EC521D"/>
    <w:rsid w:val="00ED040B"/>
    <w:rsid w:val="00ED0CCC"/>
    <w:rsid w:val="00ED2C21"/>
    <w:rsid w:val="00ED2CC9"/>
    <w:rsid w:val="00ED437C"/>
    <w:rsid w:val="00ED74AD"/>
    <w:rsid w:val="00EE11D1"/>
    <w:rsid w:val="00EE715E"/>
    <w:rsid w:val="00EF1323"/>
    <w:rsid w:val="00F01310"/>
    <w:rsid w:val="00F01677"/>
    <w:rsid w:val="00F0370E"/>
    <w:rsid w:val="00F044E7"/>
    <w:rsid w:val="00F125E4"/>
    <w:rsid w:val="00F2406B"/>
    <w:rsid w:val="00F25E28"/>
    <w:rsid w:val="00F266BC"/>
    <w:rsid w:val="00F312DF"/>
    <w:rsid w:val="00F44341"/>
    <w:rsid w:val="00F501EF"/>
    <w:rsid w:val="00F50DC3"/>
    <w:rsid w:val="00F50DEB"/>
    <w:rsid w:val="00F53539"/>
    <w:rsid w:val="00F55ACE"/>
    <w:rsid w:val="00F55E62"/>
    <w:rsid w:val="00F571B2"/>
    <w:rsid w:val="00F61EFA"/>
    <w:rsid w:val="00F62F2C"/>
    <w:rsid w:val="00F645ED"/>
    <w:rsid w:val="00F70B74"/>
    <w:rsid w:val="00F71AE2"/>
    <w:rsid w:val="00F767E5"/>
    <w:rsid w:val="00F81995"/>
    <w:rsid w:val="00F844CB"/>
    <w:rsid w:val="00F912BD"/>
    <w:rsid w:val="00F93765"/>
    <w:rsid w:val="00F967B5"/>
    <w:rsid w:val="00F96A97"/>
    <w:rsid w:val="00F96F42"/>
    <w:rsid w:val="00FA019E"/>
    <w:rsid w:val="00FA5B51"/>
    <w:rsid w:val="00FA642E"/>
    <w:rsid w:val="00FA7384"/>
    <w:rsid w:val="00FC1AEF"/>
    <w:rsid w:val="00FC7DD8"/>
    <w:rsid w:val="00FD0D7A"/>
    <w:rsid w:val="00FD35A3"/>
    <w:rsid w:val="00FE081B"/>
    <w:rsid w:val="00FE5634"/>
    <w:rsid w:val="00FE5BAA"/>
    <w:rsid w:val="016AA1FB"/>
    <w:rsid w:val="01744FD6"/>
    <w:rsid w:val="01C98BCE"/>
    <w:rsid w:val="038B0ABD"/>
    <w:rsid w:val="053B13CE"/>
    <w:rsid w:val="058171A5"/>
    <w:rsid w:val="060A583F"/>
    <w:rsid w:val="06285166"/>
    <w:rsid w:val="06402C1F"/>
    <w:rsid w:val="06A2FF08"/>
    <w:rsid w:val="07F306C4"/>
    <w:rsid w:val="0849FC6F"/>
    <w:rsid w:val="08D34DBB"/>
    <w:rsid w:val="090451CF"/>
    <w:rsid w:val="09B40D56"/>
    <w:rsid w:val="0A7BAA1A"/>
    <w:rsid w:val="0AA84D74"/>
    <w:rsid w:val="0B11EF84"/>
    <w:rsid w:val="0B150BF9"/>
    <w:rsid w:val="0C755536"/>
    <w:rsid w:val="0CD18C98"/>
    <w:rsid w:val="0CD82AA5"/>
    <w:rsid w:val="0DC888DE"/>
    <w:rsid w:val="0E8E21EC"/>
    <w:rsid w:val="0F64D189"/>
    <w:rsid w:val="0F9A7A82"/>
    <w:rsid w:val="1023154F"/>
    <w:rsid w:val="10414930"/>
    <w:rsid w:val="104A6AFC"/>
    <w:rsid w:val="10639EC1"/>
    <w:rsid w:val="130E7D65"/>
    <w:rsid w:val="136EDB62"/>
    <w:rsid w:val="14300D79"/>
    <w:rsid w:val="14EA59AB"/>
    <w:rsid w:val="15581DAB"/>
    <w:rsid w:val="161477DB"/>
    <w:rsid w:val="164C965F"/>
    <w:rsid w:val="16F6D6BA"/>
    <w:rsid w:val="17728CF6"/>
    <w:rsid w:val="178743EB"/>
    <w:rsid w:val="181E999B"/>
    <w:rsid w:val="1844BD60"/>
    <w:rsid w:val="187D3E7E"/>
    <w:rsid w:val="19E961BF"/>
    <w:rsid w:val="1A6637C6"/>
    <w:rsid w:val="1AB08756"/>
    <w:rsid w:val="1AB24254"/>
    <w:rsid w:val="1AEB0AA1"/>
    <w:rsid w:val="1AFC45F5"/>
    <w:rsid w:val="1B7D8E90"/>
    <w:rsid w:val="1C6D0812"/>
    <w:rsid w:val="1D6D0101"/>
    <w:rsid w:val="1E6EA4CC"/>
    <w:rsid w:val="1ECB4A2A"/>
    <w:rsid w:val="1F51C0E0"/>
    <w:rsid w:val="20C5BF87"/>
    <w:rsid w:val="21DAE860"/>
    <w:rsid w:val="21FBF8CB"/>
    <w:rsid w:val="22258E57"/>
    <w:rsid w:val="22C06B28"/>
    <w:rsid w:val="22F81BAB"/>
    <w:rsid w:val="23C31A28"/>
    <w:rsid w:val="25678930"/>
    <w:rsid w:val="263466A7"/>
    <w:rsid w:val="2644D897"/>
    <w:rsid w:val="26E819FE"/>
    <w:rsid w:val="2713E347"/>
    <w:rsid w:val="27FB89B2"/>
    <w:rsid w:val="282BD78F"/>
    <w:rsid w:val="2836CBE1"/>
    <w:rsid w:val="2842E93B"/>
    <w:rsid w:val="2A72EE23"/>
    <w:rsid w:val="2A752DCC"/>
    <w:rsid w:val="2A985A93"/>
    <w:rsid w:val="2B892233"/>
    <w:rsid w:val="2C02F3AA"/>
    <w:rsid w:val="2C7E2701"/>
    <w:rsid w:val="2CA936C2"/>
    <w:rsid w:val="2D65D575"/>
    <w:rsid w:val="2DDCBB28"/>
    <w:rsid w:val="30D34364"/>
    <w:rsid w:val="310E571E"/>
    <w:rsid w:val="315CB57F"/>
    <w:rsid w:val="31B95584"/>
    <w:rsid w:val="31CF0287"/>
    <w:rsid w:val="32183DF2"/>
    <w:rsid w:val="32191144"/>
    <w:rsid w:val="326AA190"/>
    <w:rsid w:val="32FD91F5"/>
    <w:rsid w:val="33D2943A"/>
    <w:rsid w:val="34514A29"/>
    <w:rsid w:val="34F93284"/>
    <w:rsid w:val="36437AD0"/>
    <w:rsid w:val="3696422B"/>
    <w:rsid w:val="36F0BB60"/>
    <w:rsid w:val="38E41F53"/>
    <w:rsid w:val="392D9B21"/>
    <w:rsid w:val="394D6030"/>
    <w:rsid w:val="3966329B"/>
    <w:rsid w:val="399B956F"/>
    <w:rsid w:val="3A7D1497"/>
    <w:rsid w:val="3C37783D"/>
    <w:rsid w:val="3CA02411"/>
    <w:rsid w:val="3D8ECC13"/>
    <w:rsid w:val="3DC245E0"/>
    <w:rsid w:val="3DC44D6A"/>
    <w:rsid w:val="3F5877D8"/>
    <w:rsid w:val="3FE9C11A"/>
    <w:rsid w:val="40B03370"/>
    <w:rsid w:val="416461EF"/>
    <w:rsid w:val="417B337C"/>
    <w:rsid w:val="41E0BA16"/>
    <w:rsid w:val="41ED02CB"/>
    <w:rsid w:val="420B152F"/>
    <w:rsid w:val="43A47F91"/>
    <w:rsid w:val="43C8D7D2"/>
    <w:rsid w:val="448DE84F"/>
    <w:rsid w:val="44E2C760"/>
    <w:rsid w:val="451C3D79"/>
    <w:rsid w:val="459FB95E"/>
    <w:rsid w:val="4780F070"/>
    <w:rsid w:val="4844987C"/>
    <w:rsid w:val="48D198A4"/>
    <w:rsid w:val="4910C8C4"/>
    <w:rsid w:val="4B7DE471"/>
    <w:rsid w:val="4BB30DBF"/>
    <w:rsid w:val="4BED2427"/>
    <w:rsid w:val="4C41B867"/>
    <w:rsid w:val="4DEAD5EA"/>
    <w:rsid w:val="4E172FAB"/>
    <w:rsid w:val="4E2487CD"/>
    <w:rsid w:val="4E533E53"/>
    <w:rsid w:val="4EA1DFA8"/>
    <w:rsid w:val="4EADA3D1"/>
    <w:rsid w:val="4EE1C041"/>
    <w:rsid w:val="50B5365C"/>
    <w:rsid w:val="50CD1604"/>
    <w:rsid w:val="51155ADB"/>
    <w:rsid w:val="518A479D"/>
    <w:rsid w:val="523D9720"/>
    <w:rsid w:val="52A88CC5"/>
    <w:rsid w:val="52F8D0EC"/>
    <w:rsid w:val="53B26FEC"/>
    <w:rsid w:val="5500E1F1"/>
    <w:rsid w:val="58BB7A39"/>
    <w:rsid w:val="58D37971"/>
    <w:rsid w:val="58F2DABF"/>
    <w:rsid w:val="58F4AFB0"/>
    <w:rsid w:val="58F97BB7"/>
    <w:rsid w:val="59536DDF"/>
    <w:rsid w:val="595C726B"/>
    <w:rsid w:val="59A4B984"/>
    <w:rsid w:val="5A1FDA42"/>
    <w:rsid w:val="5A490E75"/>
    <w:rsid w:val="5B129FC6"/>
    <w:rsid w:val="5B3487D8"/>
    <w:rsid w:val="5C6428A3"/>
    <w:rsid w:val="5C8F344F"/>
    <w:rsid w:val="5CF29C62"/>
    <w:rsid w:val="5D5A7076"/>
    <w:rsid w:val="5DED5298"/>
    <w:rsid w:val="5E7775C6"/>
    <w:rsid w:val="5EB2B3AB"/>
    <w:rsid w:val="5EB9E69D"/>
    <w:rsid w:val="5ECA4601"/>
    <w:rsid w:val="5F5A4883"/>
    <w:rsid w:val="6021D1D7"/>
    <w:rsid w:val="60C67FB4"/>
    <w:rsid w:val="61406C90"/>
    <w:rsid w:val="6166FAF9"/>
    <w:rsid w:val="61FA40D8"/>
    <w:rsid w:val="623EC5E2"/>
    <w:rsid w:val="624E1F10"/>
    <w:rsid w:val="629AB3CE"/>
    <w:rsid w:val="62FB6E69"/>
    <w:rsid w:val="64571313"/>
    <w:rsid w:val="645BF9CD"/>
    <w:rsid w:val="647B66CB"/>
    <w:rsid w:val="64D4D378"/>
    <w:rsid w:val="659C4853"/>
    <w:rsid w:val="65ED758C"/>
    <w:rsid w:val="65F687E0"/>
    <w:rsid w:val="669F1032"/>
    <w:rsid w:val="66E02841"/>
    <w:rsid w:val="67A1E65F"/>
    <w:rsid w:val="69106CC4"/>
    <w:rsid w:val="6993BEFC"/>
    <w:rsid w:val="6A96B52C"/>
    <w:rsid w:val="6C382D7E"/>
    <w:rsid w:val="6C9C5813"/>
    <w:rsid w:val="6D18DC9C"/>
    <w:rsid w:val="6E0567D0"/>
    <w:rsid w:val="6E44A872"/>
    <w:rsid w:val="6F223929"/>
    <w:rsid w:val="6F2A5A23"/>
    <w:rsid w:val="7018E765"/>
    <w:rsid w:val="70CA66CC"/>
    <w:rsid w:val="70D25F96"/>
    <w:rsid w:val="71011B49"/>
    <w:rsid w:val="7193EEC8"/>
    <w:rsid w:val="7330F381"/>
    <w:rsid w:val="734D2E33"/>
    <w:rsid w:val="739C3BE8"/>
    <w:rsid w:val="739CE627"/>
    <w:rsid w:val="758B0F36"/>
    <w:rsid w:val="75A4D7AF"/>
    <w:rsid w:val="760A39FC"/>
    <w:rsid w:val="768F1C67"/>
    <w:rsid w:val="78C95FAD"/>
    <w:rsid w:val="793146A0"/>
    <w:rsid w:val="79934209"/>
    <w:rsid w:val="7A263035"/>
    <w:rsid w:val="7BB623E2"/>
    <w:rsid w:val="7D5E8B26"/>
    <w:rsid w:val="7D9563B4"/>
    <w:rsid w:val="7E9BBA24"/>
    <w:rsid w:val="7F102684"/>
    <w:rsid w:val="7FCA72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4D350"/>
  <w15:chartTrackingRefBased/>
  <w15:docId w15:val="{27350642-2EDB-4DC3-B9F3-78E980CCE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49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0B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aa4d37-e894-458a-ad81-48c024469566" xsi:nil="true"/>
    <lcf76f155ced4ddcb4097134ff3c332f xmlns="f090b117-0ae9-47dc-b113-341c7fda522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FFA4AACA3C8448A9CC281924DB57A1" ma:contentTypeVersion="13" ma:contentTypeDescription="Create a new document." ma:contentTypeScope="" ma:versionID="d770fc1eef79d85ef4635e22f578b8c4">
  <xsd:schema xmlns:xsd="http://www.w3.org/2001/XMLSchema" xmlns:xs="http://www.w3.org/2001/XMLSchema" xmlns:p="http://schemas.microsoft.com/office/2006/metadata/properties" xmlns:ns2="f090b117-0ae9-47dc-b113-341c7fda5221" xmlns:ns3="70aa4d37-e894-458a-ad81-48c024469566" targetNamespace="http://schemas.microsoft.com/office/2006/metadata/properties" ma:root="true" ma:fieldsID="997be60a4cf55a784291a0eeca615a14" ns2:_="" ns3:_="">
    <xsd:import namespace="f090b117-0ae9-47dc-b113-341c7fda5221"/>
    <xsd:import namespace="70aa4d37-e894-458a-ad81-48c02446956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0b117-0ae9-47dc-b113-341c7fda5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aa4d37-e894-458a-ad81-48c02446956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e700509-071b-4f86-92d3-3993129350bf}" ma:internalName="TaxCatchAll" ma:showField="CatchAllData" ma:web="70aa4d37-e894-458a-ad81-48c02446956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B975BC-EF11-4019-B5FB-0E441D49C148}">
  <ds:schemaRefs>
    <ds:schemaRef ds:uri="http://purl.org/dc/elements/1.1/"/>
    <ds:schemaRef ds:uri="http://schemas.microsoft.com/office/2006/metadata/properties"/>
    <ds:schemaRef ds:uri="http://purl.org/dc/terms/"/>
    <ds:schemaRef ds:uri="http://schemas.openxmlformats.org/package/2006/metadata/core-properties"/>
    <ds:schemaRef ds:uri="70aa4d37-e894-458a-ad81-48c024469566"/>
    <ds:schemaRef ds:uri="http://schemas.microsoft.com/office/2006/documentManagement/types"/>
    <ds:schemaRef ds:uri="http://schemas.microsoft.com/office/infopath/2007/PartnerControls"/>
    <ds:schemaRef ds:uri="f090b117-0ae9-47dc-b113-341c7fda5221"/>
    <ds:schemaRef ds:uri="http://www.w3.org/XML/1998/namespace"/>
    <ds:schemaRef ds:uri="http://purl.org/dc/dcmitype/"/>
  </ds:schemaRefs>
</ds:datastoreItem>
</file>

<file path=customXml/itemProps2.xml><?xml version="1.0" encoding="utf-8"?>
<ds:datastoreItem xmlns:ds="http://schemas.openxmlformats.org/officeDocument/2006/customXml" ds:itemID="{AF7CB5AB-0865-4D8F-A0C0-94FB1D8ED333}">
  <ds:schemaRefs>
    <ds:schemaRef ds:uri="http://schemas.openxmlformats.org/officeDocument/2006/bibliography"/>
  </ds:schemaRefs>
</ds:datastoreItem>
</file>

<file path=customXml/itemProps3.xml><?xml version="1.0" encoding="utf-8"?>
<ds:datastoreItem xmlns:ds="http://schemas.openxmlformats.org/officeDocument/2006/customXml" ds:itemID="{63881240-0EDC-46BA-8EE2-9352925A9C24}">
  <ds:schemaRefs>
    <ds:schemaRef ds:uri="http://schemas.microsoft.com/sharepoint/v3/contenttype/forms"/>
  </ds:schemaRefs>
</ds:datastoreItem>
</file>

<file path=customXml/itemProps4.xml><?xml version="1.0" encoding="utf-8"?>
<ds:datastoreItem xmlns:ds="http://schemas.openxmlformats.org/officeDocument/2006/customXml" ds:itemID="{8F86426E-1D93-4704-95FA-7FD5616C6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0b117-0ae9-47dc-b113-341c7fda5221"/>
    <ds:schemaRef ds:uri="70aa4d37-e894-458a-ad81-48c024469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2056</Words>
  <Characters>11724</Characters>
  <Application>Microsoft Office Word</Application>
  <DocSecurity>0</DocSecurity>
  <Lines>97</Lines>
  <Paragraphs>27</Paragraphs>
  <ScaleCrop>false</ScaleCrop>
  <Company/>
  <LinksUpToDate>false</LinksUpToDate>
  <CharactersWithSpaces>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Пүрэвсүрэн Саруул</dc:creator>
  <cp:keywords/>
  <dc:description/>
  <cp:lastModifiedBy>Цацрал Эрдэнэбат</cp:lastModifiedBy>
  <cp:revision>318</cp:revision>
  <cp:lastPrinted>2023-06-21T16:47:00Z</cp:lastPrinted>
  <dcterms:created xsi:type="dcterms:W3CDTF">2023-06-20T22:14:00Z</dcterms:created>
  <dcterms:modified xsi:type="dcterms:W3CDTF">2023-06-21T16:47:00Z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0x010100CAFFA4AACA3C8448A9CC281924DB57A1</vt:lpwstr>
  </property>
  <property fmtid="{D5CDD505-2E9C-101B-9397-08002B2CF9AE}" pid="3" name="MediaServiceImageTags">
    <vt:lpwstr/>
  </property>
</Properties>
</file>