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349A50" w14:textId="77777777" w:rsidR="005F4FB3" w:rsidRDefault="004847D0" w:rsidP="00DE6F8A">
      <w:pPr>
        <w:spacing w:after="0" w:line="240" w:lineRule="auto"/>
        <w:ind w:right="-279" w:firstLine="72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  <w:bookmarkStart w:id="0" w:name="_GoBack"/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>ТОВЧ</w:t>
      </w:r>
      <w:r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5E449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>ТАНИЛЦУУЛГА</w:t>
      </w:r>
      <w:r w:rsidRPr="005E449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  <w:r w:rsidRPr="005E4494">
        <w:rPr>
          <w:rFonts w:ascii="Arial" w:hAnsi="Arial" w:cs="Arial"/>
          <w:b/>
          <w:color w:val="000000" w:themeColor="text1"/>
          <w:sz w:val="24"/>
          <w:szCs w:val="24"/>
          <w:lang w:val="mn-MN"/>
        </w:rPr>
        <w:tab/>
      </w:r>
    </w:p>
    <w:p w14:paraId="7C10B0C5" w14:textId="77777777" w:rsidR="00DE6F8A" w:rsidRPr="00DE6F8A" w:rsidRDefault="00DE6F8A" w:rsidP="00DE6F8A">
      <w:pPr>
        <w:spacing w:after="0" w:line="240" w:lineRule="auto"/>
        <w:ind w:right="-279" w:firstLine="720"/>
        <w:jc w:val="center"/>
        <w:rPr>
          <w:rFonts w:ascii="Arial" w:hAnsi="Arial" w:cs="Arial"/>
          <w:b/>
          <w:color w:val="000000" w:themeColor="text1"/>
          <w:sz w:val="24"/>
          <w:szCs w:val="24"/>
          <w:lang w:val="mn-MN"/>
        </w:rPr>
      </w:pPr>
    </w:p>
    <w:p w14:paraId="275A813C" w14:textId="77777777" w:rsidR="00A93C4F" w:rsidRDefault="00A93C4F" w:rsidP="00DE6F8A">
      <w:pPr>
        <w:spacing w:after="0" w:line="240" w:lineRule="auto"/>
        <w:ind w:left="4536" w:right="-279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A93C4F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Эрүүгийн хуульд нэмэлт, өөрчлөлт оруулах тухай хуулийн төслийн талаар</w:t>
      </w:r>
    </w:p>
    <w:p w14:paraId="561CA473" w14:textId="77777777" w:rsidR="00DE6F8A" w:rsidRPr="00DE6F8A" w:rsidRDefault="00DE6F8A" w:rsidP="00DE6F8A">
      <w:pPr>
        <w:spacing w:after="0" w:line="240" w:lineRule="auto"/>
        <w:ind w:left="4536" w:right="-279"/>
        <w:jc w:val="both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3DDBED3" w14:textId="77777777" w:rsidR="00A93C4F" w:rsidRDefault="00A93C4F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A93C4F">
        <w:rPr>
          <w:rFonts w:ascii="Arial" w:hAnsi="Arial" w:cs="Arial"/>
          <w:color w:val="000000" w:themeColor="text1"/>
          <w:sz w:val="24"/>
          <w:szCs w:val="24"/>
        </w:rPr>
        <w:t xml:space="preserve">Монгол Улсын Засгийн газрын 2020-2024 оны үйл ажиллагааны хөтөлбөр, </w:t>
      </w:r>
      <w:r w:rsidRPr="00A93C4F">
        <w:rPr>
          <w:rFonts w:ascii="Arial" w:hAnsi="Arial" w:cs="Arial"/>
          <w:color w:val="000000" w:themeColor="text1"/>
          <w:sz w:val="24"/>
          <w:szCs w:val="24"/>
          <w:lang w:val="mn-MN"/>
        </w:rPr>
        <w:t>Монгол Улсын Их Хурлын 2021 оны 12 дугаар тогтоолоор баталсан “Монгол Улсын хууль тогтоомжийг 2024 он хүртэл боловсронгуй болгох үндсэн чиглэл”</w:t>
      </w:r>
      <w:r w:rsidRPr="00A93C4F">
        <w:rPr>
          <w:rFonts w:ascii="Arial" w:hAnsi="Arial" w:cs="Arial"/>
          <w:color w:val="000000" w:themeColor="text1"/>
          <w:sz w:val="24"/>
          <w:szCs w:val="24"/>
        </w:rPr>
        <w:t xml:space="preserve">-д тусгасан зорилтыг хэрэгжүүлэх, практикт тулгарсан хэрэгцээ, шаардлагыг үндэслэн  </w:t>
      </w:r>
      <w:r w:rsidRPr="00A93C4F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Эрүүгийн хуульд нэмэлт, өөрчлөлт оруулах тухай хуулийн төслийн үзэл баримтлалыг тодорхойлж, түүнд нийцүүлж хуулийн төслийг боловсрууллаа.</w:t>
      </w:r>
    </w:p>
    <w:p w14:paraId="0CEE5F79" w14:textId="77777777" w:rsidR="00A93C4F" w:rsidRPr="00A93C4F" w:rsidRDefault="00A93C4F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2FD16EFD" w14:textId="77777777" w:rsidR="00F60112" w:rsidRDefault="00A93C4F" w:rsidP="00DE6F8A">
      <w:pPr>
        <w:pStyle w:val="NormalWeb"/>
        <w:spacing w:before="0" w:beforeAutospacing="0" w:after="0" w:afterAutospacing="0"/>
        <w:ind w:right="-279" w:firstLine="720"/>
        <w:jc w:val="both"/>
        <w:rPr>
          <w:rFonts w:ascii="Arial" w:hAnsi="Arial" w:cs="Arial"/>
          <w:color w:val="000000" w:themeColor="text1"/>
        </w:rPr>
      </w:pPr>
      <w:r w:rsidRPr="00C73169">
        <w:rPr>
          <w:rFonts w:ascii="Arial" w:hAnsi="Arial" w:cs="Arial"/>
          <w:color w:val="000000" w:themeColor="text1"/>
        </w:rPr>
        <w:t xml:space="preserve">Хуулийн төсөлд </w:t>
      </w:r>
      <w:r w:rsidR="00F60112">
        <w:rPr>
          <w:rFonts w:ascii="Arial" w:hAnsi="Arial" w:cs="Arial"/>
          <w:color w:val="000000" w:themeColor="text1"/>
        </w:rPr>
        <w:t xml:space="preserve">дараах гэмт хэргийн ялын бодлогыг чангатгах өөрчлөлтийг тусгав. </w:t>
      </w:r>
    </w:p>
    <w:p w14:paraId="109BA512" w14:textId="77777777" w:rsidR="00DE6F8A" w:rsidRPr="00F60112" w:rsidRDefault="00DE6F8A" w:rsidP="00DE6F8A">
      <w:pPr>
        <w:pStyle w:val="NormalWeb"/>
        <w:spacing w:before="0" w:beforeAutospacing="0" w:after="0" w:afterAutospacing="0"/>
        <w:ind w:right="-279" w:firstLine="720"/>
        <w:jc w:val="both"/>
        <w:rPr>
          <w:rFonts w:ascii="Arial" w:hAnsi="Arial" w:cs="Arial"/>
          <w:color w:val="000000" w:themeColor="text1"/>
          <w:lang w:val="mn-MN"/>
        </w:rPr>
      </w:pPr>
    </w:p>
    <w:p w14:paraId="3E18701E" w14:textId="77777777" w:rsidR="00F60112" w:rsidRDefault="00F60112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3EE">
        <w:rPr>
          <w:rFonts w:ascii="Arial" w:hAnsi="Arial" w:cs="Arial"/>
          <w:color w:val="000000" w:themeColor="text1"/>
          <w:sz w:val="24"/>
          <w:szCs w:val="24"/>
        </w:rPr>
        <w:t>-</w:t>
      </w:r>
      <w:r w:rsidR="00A718A4" w:rsidRPr="00FB53EE">
        <w:rPr>
          <w:rFonts w:ascii="Arial" w:hAnsi="Arial" w:cs="Arial"/>
          <w:color w:val="000000" w:themeColor="text1"/>
          <w:sz w:val="24"/>
          <w:szCs w:val="24"/>
        </w:rPr>
        <w:t>Бага насны хүүхдийг хүчиндэх, бага насны хүүхдийн эсрэг бэлгийн мөлжлөг, хүүхдийн эсрэг хүн худалдаалах гэмт хэр</w:t>
      </w:r>
      <w:r w:rsidR="00A44F74">
        <w:rPr>
          <w:rFonts w:ascii="Arial" w:hAnsi="Arial" w:cs="Arial"/>
          <w:color w:val="000000" w:themeColor="text1"/>
          <w:sz w:val="24"/>
          <w:szCs w:val="24"/>
        </w:rPr>
        <w:t xml:space="preserve">эгт оногдуулах ялын </w:t>
      </w:r>
      <w:r w:rsidRPr="00FB53EE">
        <w:rPr>
          <w:rFonts w:ascii="Arial" w:hAnsi="Arial" w:cs="Arial"/>
          <w:color w:val="000000" w:themeColor="text1"/>
          <w:sz w:val="24"/>
          <w:szCs w:val="24"/>
        </w:rPr>
        <w:t xml:space="preserve">бодлогыг чангатгахаар; </w:t>
      </w:r>
    </w:p>
    <w:p w14:paraId="4A91FACD" w14:textId="77777777" w:rsidR="00DE6F8A" w:rsidRPr="00FB53EE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D4F6463" w14:textId="77777777" w:rsidR="00F60112" w:rsidRDefault="00F60112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B53EE">
        <w:rPr>
          <w:rFonts w:ascii="Arial" w:hAnsi="Arial" w:cs="Arial"/>
          <w:color w:val="000000" w:themeColor="text1"/>
          <w:sz w:val="24"/>
          <w:szCs w:val="24"/>
        </w:rPr>
        <w:t>-</w:t>
      </w:r>
      <w:r w:rsidRPr="00FB53E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Сүүлийн жилүүдэд мөрдөн шалгах ажиллагааны нууцыг задруулах явдал нэмэгдэж, энэ нь хүний эрх, эрх чөлөөнд халдах, хэрэг хянан шийдвэрлэх ажиллагаанд сөргөөр нөлөөлөх нөхцөл байдаг үүсэж байгаатай холбогдуулан </w:t>
      </w:r>
      <w:r w:rsidRPr="00FB53EE">
        <w:rPr>
          <w:rFonts w:ascii="Arial" w:hAnsi="Arial" w:cs="Arial"/>
          <w:color w:val="000000" w:themeColor="text1"/>
          <w:sz w:val="24"/>
          <w:szCs w:val="24"/>
        </w:rPr>
        <w:t xml:space="preserve"> мөрдөн шалгах ажиллагааны нууц задруулах гэмт хэргийг үйлдсэн </w:t>
      </w:r>
      <w:r w:rsidRPr="00FB53EE">
        <w:rPr>
          <w:rFonts w:ascii="Arial" w:eastAsia="Times New Roman" w:hAnsi="Arial" w:cs="Arial"/>
          <w:color w:val="000000" w:themeColor="text1"/>
          <w:sz w:val="24"/>
          <w:szCs w:val="24"/>
          <w:lang w:val="mn-MN" w:eastAsia="ko-KR"/>
        </w:rPr>
        <w:t xml:space="preserve">шүүгч, прокурор, хууль сахиулагч, өмгөөлөгч нарт </w:t>
      </w:r>
      <w:r w:rsidRPr="00FB53EE">
        <w:rPr>
          <w:rFonts w:ascii="Arial" w:hAnsi="Arial" w:cs="Arial"/>
          <w:color w:val="000000" w:themeColor="text1"/>
          <w:sz w:val="24"/>
          <w:szCs w:val="24"/>
        </w:rPr>
        <w:t xml:space="preserve">ялын бодлогыг чангатгахаар; </w:t>
      </w:r>
    </w:p>
    <w:p w14:paraId="49CB029B" w14:textId="77777777" w:rsidR="00DE6F8A" w:rsidRPr="00FB53EE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C2FC995" w14:textId="77777777" w:rsidR="007273B2" w:rsidRDefault="00F60112" w:rsidP="00DE6F8A">
      <w:pPr>
        <w:spacing w:after="0" w:line="240" w:lineRule="auto"/>
        <w:ind w:right="-279" w:firstLine="720"/>
        <w:jc w:val="both"/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</w:pPr>
      <w:r w:rsidRPr="00FB53EE">
        <w:rPr>
          <w:rFonts w:ascii="Arial" w:hAnsi="Arial" w:cs="Arial"/>
          <w:color w:val="000000" w:themeColor="text1"/>
          <w:sz w:val="24"/>
          <w:szCs w:val="24"/>
        </w:rPr>
        <w:t>-</w:t>
      </w:r>
      <w:r w:rsidRPr="00FB53EE"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  <w:t>Согтуугаар тээврийн хэрэгсэл жолоодох</w:t>
      </w:r>
      <w:r w:rsidR="00A44F74"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  <w:t>той холбоотой зөрчил,</w:t>
      </w:r>
      <w:r w:rsidRPr="00FB53EE"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  <w:t xml:space="preserve"> </w:t>
      </w:r>
      <w:r w:rsidR="00A44F74"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  <w:t xml:space="preserve">гэмт хэргийн </w:t>
      </w:r>
      <w:r w:rsidR="00FB53EE" w:rsidRPr="00FB53EE">
        <w:rPr>
          <w:rFonts w:ascii="Arial" w:hAnsi="Arial" w:cs="Arial"/>
          <w:bCs/>
          <w:color w:val="000000" w:themeColor="text1"/>
          <w:kern w:val="24"/>
          <w:sz w:val="24"/>
          <w:szCs w:val="24"/>
          <w:lang w:val="mn-MN" w:eastAsia="mn-MN"/>
        </w:rPr>
        <w:t xml:space="preserve"> ялын бодлогыг чангатгах. </w:t>
      </w:r>
    </w:p>
    <w:p w14:paraId="2055015E" w14:textId="77777777" w:rsidR="00DE6F8A" w:rsidRPr="00DE6F8A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8223B60" w14:textId="77777777" w:rsidR="00FB53EE" w:rsidRDefault="00FB53EE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Хуулийн төслийн талаарх мэдээлэл, танилцуулгыг Улсын Их Хурал дахь МАН-ын бүлэг, АН-ын бүлэгт тус тус танилцуулж, хэвлэл мэдээллийн байгууллага, олон нийтэд холбогдох мэдээлэл, танилцуулга хийсэн. </w:t>
      </w:r>
    </w:p>
    <w:p w14:paraId="544CD5F9" w14:textId="77777777" w:rsidR="005F4FB3" w:rsidRDefault="005F4FB3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22B9944A" w14:textId="77777777" w:rsidR="00FB53EE" w:rsidRDefault="00FB53EE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FB5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Хуулийн төсөл нь иргэдийн эрх, эрх чөлөөний аюулгүй байдлыг хангахад чиглэсэн</w:t>
      </w:r>
      <w:r w:rsidR="00A44F74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, түүнчлэн нэн яаралтай горимоор хэлэлцэх шаардлагатай байгаа</w:t>
      </w:r>
      <w:r w:rsidRPr="00FB5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тул Хууль тогтоомжийн тухай хуулийн 12 дугаар зүйлийн 12.2.18-д</w:t>
      </w:r>
      <w:r w:rsidR="005F4F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заасны дагуу </w:t>
      </w:r>
      <w:r w:rsidRPr="00FB53EE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судалгаа, үнэлгээ хийх шаардлагагүй </w:t>
      </w:r>
      <w:r w:rsidR="005F4FB3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хуулийн төсөлд хамаарч байгаа болно. </w:t>
      </w:r>
    </w:p>
    <w:p w14:paraId="447AA4C3" w14:textId="77777777" w:rsidR="00DE6F8A" w:rsidRPr="00FB53EE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</w:p>
    <w:p w14:paraId="300FAA6D" w14:textId="77777777" w:rsidR="007273B2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Хуулийн төсөлтэй холбогдуулан судалсан, ашигласан материал:</w:t>
      </w:r>
    </w:p>
    <w:p w14:paraId="6409EC6A" w14:textId="77777777" w:rsidR="00DE6F8A" w:rsidRPr="00DE6F8A" w:rsidRDefault="00DE6F8A" w:rsidP="00DE6F8A">
      <w:pPr>
        <w:spacing w:after="0" w:line="240" w:lineRule="auto"/>
        <w:ind w:right="-279" w:firstLine="720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6BBF9006" w14:textId="77777777" w:rsidR="005F4FB3" w:rsidRDefault="005F4FB3" w:rsidP="00DE6F8A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>Хууль зүй</w:t>
      </w:r>
      <w:r w:rsidR="00DE6F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н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үндэсний хүрээлэнгээс хийсэн</w:t>
      </w:r>
      <w:r w:rsidR="00DE6F8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“</w:t>
      </w:r>
      <w:r w:rsidRPr="00DE6F8A">
        <w:rPr>
          <w:rFonts w:ascii="Arial" w:hAnsi="Arial" w:cs="Arial"/>
          <w:sz w:val="24"/>
          <w:szCs w:val="24"/>
          <w:lang w:val="mn-MN"/>
        </w:rPr>
        <w:t>Өсвөр насны хүнд холбогдох эрүүгийн хэрэг хянан шийдвэрлэх ажиллагаа</w:t>
      </w:r>
      <w:r w:rsidR="00DE6F8A" w:rsidRPr="00DE6F8A">
        <w:rPr>
          <w:rFonts w:ascii="Arial" w:hAnsi="Arial" w:cs="Arial"/>
          <w:sz w:val="24"/>
          <w:szCs w:val="24"/>
        </w:rPr>
        <w:t xml:space="preserve"> харьцуулсан с</w:t>
      </w:r>
      <w:r w:rsidR="00DE6F8A">
        <w:rPr>
          <w:rFonts w:ascii="Arial" w:hAnsi="Arial" w:cs="Arial"/>
          <w:sz w:val="24"/>
          <w:szCs w:val="24"/>
        </w:rPr>
        <w:t>у</w:t>
      </w:r>
      <w:r w:rsidR="00DE6F8A" w:rsidRPr="00DE6F8A">
        <w:rPr>
          <w:rFonts w:ascii="Arial" w:hAnsi="Arial" w:cs="Arial"/>
          <w:sz w:val="24"/>
          <w:szCs w:val="24"/>
        </w:rPr>
        <w:t>далгаа</w:t>
      </w:r>
      <w:r w:rsidR="00DE6F8A">
        <w:rPr>
          <w:rFonts w:ascii="Arial" w:hAnsi="Arial" w:cs="Arial"/>
          <w:sz w:val="24"/>
          <w:szCs w:val="24"/>
        </w:rPr>
        <w:t>”;</w:t>
      </w:r>
    </w:p>
    <w:p w14:paraId="2F051723" w14:textId="77777777" w:rsidR="00A44F74" w:rsidRPr="00DE6F8A" w:rsidRDefault="00A44F74" w:rsidP="00DE6F8A">
      <w:p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1557559" w14:textId="77777777" w:rsidR="00DE6F8A" w:rsidRDefault="005F4FB3" w:rsidP="00DE6F8A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</w:rPr>
      </w:pPr>
      <w:r w:rsidRPr="00DE6F8A">
        <w:rPr>
          <w:rFonts w:ascii="Arial" w:hAnsi="Arial" w:cs="Arial"/>
          <w:sz w:val="24"/>
          <w:szCs w:val="24"/>
        </w:rPr>
        <w:tab/>
        <w:t xml:space="preserve">-Нээлттэй нийгэм форумаас </w:t>
      </w:r>
      <w:r w:rsidR="00DE6F8A">
        <w:rPr>
          <w:rFonts w:ascii="Arial" w:hAnsi="Arial" w:cs="Arial"/>
          <w:sz w:val="24"/>
          <w:szCs w:val="24"/>
        </w:rPr>
        <w:t xml:space="preserve">захиалж </w:t>
      </w:r>
      <w:r w:rsidRPr="00DE6F8A">
        <w:rPr>
          <w:rFonts w:ascii="Arial" w:hAnsi="Arial" w:cs="Arial"/>
          <w:sz w:val="24"/>
          <w:szCs w:val="24"/>
        </w:rPr>
        <w:t>хийлгэсэн “Бага насны хүүхдийг алах болон хүчиндэх гэмт хэрэгт ял оногдуулж буй байдалд хийсэн дүн шинжилгээ “ бодлогын судалгааны тайлан</w:t>
      </w:r>
      <w:r w:rsidR="00DE6F8A">
        <w:rPr>
          <w:rFonts w:ascii="Arial" w:hAnsi="Arial" w:cs="Arial"/>
          <w:sz w:val="24"/>
          <w:szCs w:val="24"/>
        </w:rPr>
        <w:t>;</w:t>
      </w:r>
      <w:r w:rsidRPr="00DE6F8A">
        <w:rPr>
          <w:rFonts w:ascii="Arial" w:hAnsi="Arial" w:cs="Arial"/>
          <w:sz w:val="24"/>
          <w:szCs w:val="24"/>
        </w:rPr>
        <w:t xml:space="preserve"> </w:t>
      </w:r>
    </w:p>
    <w:p w14:paraId="7683DD27" w14:textId="77777777" w:rsidR="00A44F74" w:rsidRPr="00DE6F8A" w:rsidRDefault="00A44F74" w:rsidP="00DE6F8A">
      <w:pPr>
        <w:spacing w:after="0" w:line="240" w:lineRule="auto"/>
        <w:ind w:right="-279"/>
        <w:jc w:val="both"/>
        <w:rPr>
          <w:rFonts w:ascii="Arial" w:hAnsi="Arial" w:cs="Arial"/>
          <w:sz w:val="24"/>
          <w:szCs w:val="24"/>
        </w:rPr>
      </w:pPr>
    </w:p>
    <w:p w14:paraId="3BC80AE4" w14:textId="77777777" w:rsidR="00DE6F8A" w:rsidRDefault="00DE6F8A" w:rsidP="00DE6F8A">
      <w:pPr>
        <w:widowControl w:val="0"/>
        <w:spacing w:after="0" w:line="240" w:lineRule="auto"/>
        <w:ind w:right="-279"/>
        <w:jc w:val="both"/>
        <w:rPr>
          <w:rFonts w:ascii="Arial" w:hAnsi="Arial" w:cs="Arial"/>
          <w:sz w:val="24"/>
          <w:szCs w:val="24"/>
        </w:rPr>
      </w:pPr>
      <w:r w:rsidRPr="00DE6F8A">
        <w:rPr>
          <w:rFonts w:ascii="Arial" w:hAnsi="Arial" w:cs="Arial"/>
          <w:sz w:val="24"/>
          <w:szCs w:val="24"/>
        </w:rPr>
        <w:tab/>
        <w:t>-Согтуурсан болон мансуурсан үедээ тээврийн хэрэгсэл жолоодох зөрчил, гэмт хэрэгт оногдуулж буй ял шийтгэлийэн талаар бусад улсын харьцуулсан судалгаа</w:t>
      </w:r>
      <w:r w:rsidR="00A44F74">
        <w:rPr>
          <w:rFonts w:ascii="Arial" w:hAnsi="Arial" w:cs="Arial"/>
          <w:sz w:val="24"/>
          <w:szCs w:val="24"/>
        </w:rPr>
        <w:t>;</w:t>
      </w:r>
    </w:p>
    <w:p w14:paraId="0456B20F" w14:textId="77777777" w:rsidR="00A44F74" w:rsidRPr="00DE6F8A" w:rsidRDefault="00A44F74" w:rsidP="00DE6F8A">
      <w:pPr>
        <w:widowControl w:val="0"/>
        <w:spacing w:after="0" w:line="240" w:lineRule="auto"/>
        <w:ind w:right="-279"/>
        <w:jc w:val="both"/>
        <w:rPr>
          <w:rFonts w:ascii="Arial" w:hAnsi="Arial" w:cs="Arial"/>
          <w:sz w:val="24"/>
          <w:szCs w:val="24"/>
        </w:rPr>
      </w:pPr>
    </w:p>
    <w:p w14:paraId="0CF9AC24" w14:textId="77777777" w:rsidR="00DE6F8A" w:rsidRPr="00DE6F8A" w:rsidRDefault="00DE6F8A" w:rsidP="00DE6F8A">
      <w:pPr>
        <w:widowControl w:val="0"/>
        <w:spacing w:after="0" w:line="240" w:lineRule="auto"/>
        <w:ind w:right="-279"/>
        <w:jc w:val="both"/>
        <w:rPr>
          <w:b/>
        </w:rPr>
      </w:pPr>
      <w:r>
        <w:rPr>
          <w:b/>
        </w:rPr>
        <w:tab/>
      </w:r>
      <w:r w:rsidRPr="00DE6F8A">
        <w:rPr>
          <w:rFonts w:ascii="Arial" w:hAnsi="Arial" w:cs="Arial"/>
          <w:bCs/>
          <w:sz w:val="24"/>
          <w:szCs w:val="24"/>
        </w:rPr>
        <w:t>-Холбогдох байгууллагуудын статистик, мэдээлэл</w:t>
      </w:r>
    </w:p>
    <w:p w14:paraId="614D8784" w14:textId="77777777" w:rsidR="00DE6F8A" w:rsidRPr="005F4FB3" w:rsidRDefault="00DE6F8A" w:rsidP="00DE6F8A">
      <w:pPr>
        <w:spacing w:after="0" w:line="240" w:lineRule="auto"/>
        <w:ind w:right="-279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14:paraId="7654B3C2" w14:textId="77777777" w:rsidR="000E7731" w:rsidRDefault="000E7731" w:rsidP="00DE6F8A">
      <w:pPr>
        <w:spacing w:after="0" w:line="240" w:lineRule="auto"/>
        <w:ind w:left="2880" w:right="-279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 ---oOo---</w:t>
      </w:r>
    </w:p>
    <w:p w14:paraId="2A810D64" w14:textId="77777777" w:rsidR="005D0FCC" w:rsidRPr="005D0FCC" w:rsidRDefault="005D0FCC" w:rsidP="00DE6F8A">
      <w:pPr>
        <w:spacing w:after="0" w:line="240" w:lineRule="auto"/>
        <w:ind w:right="-279" w:firstLine="72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3EB8F2B" w14:textId="77777777" w:rsidR="004847D0" w:rsidRPr="004847D0" w:rsidRDefault="004847D0" w:rsidP="00DE6F8A">
      <w:pPr>
        <w:spacing w:after="0" w:line="240" w:lineRule="auto"/>
        <w:ind w:right="-279"/>
        <w:jc w:val="both"/>
        <w:rPr>
          <w:rFonts w:ascii="Arial" w:hAnsi="Arial" w:cs="Arial"/>
        </w:rPr>
      </w:pPr>
    </w:p>
    <w:sectPr w:rsidR="004847D0" w:rsidRPr="004847D0" w:rsidSect="00DE6F8A">
      <w:footerReference w:type="even" r:id="rId6"/>
      <w:footerReference w:type="default" r:id="rId7"/>
      <w:pgSz w:w="12240" w:h="15840"/>
      <w:pgMar w:top="684" w:right="1440" w:bottom="101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BD1134" w14:textId="77777777" w:rsidR="007C5413" w:rsidRDefault="007C5413">
      <w:pPr>
        <w:spacing w:after="0" w:line="240" w:lineRule="auto"/>
      </w:pPr>
      <w:r>
        <w:separator/>
      </w:r>
    </w:p>
  </w:endnote>
  <w:endnote w:type="continuationSeparator" w:id="0">
    <w:p w14:paraId="2B3E6ABA" w14:textId="77777777" w:rsidR="007C5413" w:rsidRDefault="007C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8066260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284D3" w14:textId="77777777" w:rsidR="00911883" w:rsidRDefault="007C5413" w:rsidP="00D279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BE8165" w14:textId="77777777" w:rsidR="00911883" w:rsidRDefault="007C54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859808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235E90B" w14:textId="77777777" w:rsidR="00911883" w:rsidRDefault="007C5413" w:rsidP="00D279A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3A066A" w14:textId="77777777" w:rsidR="00911883" w:rsidRDefault="007C5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B83179" w14:textId="77777777" w:rsidR="007C5413" w:rsidRDefault="007C5413">
      <w:pPr>
        <w:spacing w:after="0" w:line="240" w:lineRule="auto"/>
      </w:pPr>
      <w:r>
        <w:separator/>
      </w:r>
    </w:p>
  </w:footnote>
  <w:footnote w:type="continuationSeparator" w:id="0">
    <w:p w14:paraId="31B182E0" w14:textId="77777777" w:rsidR="007C5413" w:rsidRDefault="007C5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D0"/>
    <w:rsid w:val="00023DE5"/>
    <w:rsid w:val="000E7731"/>
    <w:rsid w:val="000F5615"/>
    <w:rsid w:val="001C4E33"/>
    <w:rsid w:val="00227261"/>
    <w:rsid w:val="00374AA6"/>
    <w:rsid w:val="00390331"/>
    <w:rsid w:val="003F5D43"/>
    <w:rsid w:val="004847D0"/>
    <w:rsid w:val="004D0B86"/>
    <w:rsid w:val="0054283B"/>
    <w:rsid w:val="005C3939"/>
    <w:rsid w:val="005D0FCC"/>
    <w:rsid w:val="005F4FB3"/>
    <w:rsid w:val="006E38DF"/>
    <w:rsid w:val="007076EA"/>
    <w:rsid w:val="007273B2"/>
    <w:rsid w:val="007C5413"/>
    <w:rsid w:val="008557A5"/>
    <w:rsid w:val="008A2C9B"/>
    <w:rsid w:val="009E43BE"/>
    <w:rsid w:val="00A44F74"/>
    <w:rsid w:val="00A718A4"/>
    <w:rsid w:val="00A93C4F"/>
    <w:rsid w:val="00C53903"/>
    <w:rsid w:val="00D27A95"/>
    <w:rsid w:val="00D27CB3"/>
    <w:rsid w:val="00DC5F35"/>
    <w:rsid w:val="00DE2164"/>
    <w:rsid w:val="00DE6F8A"/>
    <w:rsid w:val="00E154F4"/>
    <w:rsid w:val="00F60112"/>
    <w:rsid w:val="00F85DB7"/>
    <w:rsid w:val="00FB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8EB98"/>
  <w15:chartTrackingRefBased/>
  <w15:docId w15:val="{44903DBF-0D7B-3247-9F05-FAED92029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47D0"/>
    <w:pPr>
      <w:spacing w:after="160" w:line="259" w:lineRule="auto"/>
    </w:pPr>
    <w:rPr>
      <w:rFonts w:ascii="Calibri" w:eastAsia="Calibri" w:hAnsi="Calibri" w:cs="Times New Roman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4847D0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847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7D0"/>
    <w:rPr>
      <w:rFonts w:ascii="Calibri" w:eastAsia="Calibri" w:hAnsi="Calibri" w:cs="Times New Roman"/>
      <w:sz w:val="22"/>
      <w:szCs w:val="22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4847D0"/>
  </w:style>
  <w:style w:type="character" w:customStyle="1" w:styleId="NormalWebChar">
    <w:name w:val="Normal (Web) Char"/>
    <w:link w:val="NormalWeb"/>
    <w:uiPriority w:val="99"/>
    <w:locked/>
    <w:rsid w:val="00A93C4F"/>
    <w:rPr>
      <w:rFonts w:ascii="Times New Roman" w:eastAsiaTheme="minorEastAsia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2023-09-13T03:40:00Z</cp:lastPrinted>
  <dcterms:created xsi:type="dcterms:W3CDTF">2023-10-13T06:13:00Z</dcterms:created>
  <dcterms:modified xsi:type="dcterms:W3CDTF">2023-10-13T06:13:00Z</dcterms:modified>
</cp:coreProperties>
</file>