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F7477" w14:textId="4417E079" w:rsidR="000F2893" w:rsidRPr="000228BE" w:rsidRDefault="000F2893" w:rsidP="000F2893">
      <w:pPr>
        <w:pStyle w:val="paragraph"/>
        <w:spacing w:before="0" w:beforeAutospacing="0" w:after="0" w:afterAutospacing="0"/>
        <w:jc w:val="center"/>
        <w:textAlignment w:val="baseline"/>
        <w:rPr>
          <w:rStyle w:val="normaltextrun"/>
          <w:rFonts w:ascii="Arial" w:hAnsi="Arial" w:cs="Arial"/>
          <w:b/>
          <w:bCs/>
          <w:sz w:val="24"/>
          <w:szCs w:val="24"/>
          <w:lang w:val="mn-MN"/>
        </w:rPr>
      </w:pPr>
      <w:bookmarkStart w:id="0" w:name="_GoBack"/>
      <w:bookmarkEnd w:id="0"/>
      <w:r w:rsidRPr="000228BE">
        <w:rPr>
          <w:rStyle w:val="normaltextrun"/>
          <w:rFonts w:ascii="Arial" w:hAnsi="Arial" w:cs="Arial"/>
          <w:b/>
          <w:bCs/>
          <w:sz w:val="24"/>
          <w:szCs w:val="24"/>
          <w:lang w:val="mn-MN"/>
        </w:rPr>
        <w:t>“</w:t>
      </w:r>
      <w:r w:rsidR="008F166F" w:rsidRPr="000228BE">
        <w:rPr>
          <w:rStyle w:val="normaltextrun"/>
          <w:rFonts w:ascii="Arial" w:hAnsi="Arial" w:cs="Arial"/>
          <w:b/>
          <w:bCs/>
          <w:sz w:val="24"/>
          <w:szCs w:val="24"/>
          <w:lang w:val="mn-MN"/>
        </w:rPr>
        <w:t xml:space="preserve">МОНГОЛ УЛСЫН </w:t>
      </w:r>
      <w:r w:rsidRPr="000228BE">
        <w:rPr>
          <w:rStyle w:val="normaltextrun"/>
          <w:rFonts w:ascii="Arial" w:hAnsi="Arial" w:cs="Arial"/>
          <w:b/>
          <w:bCs/>
          <w:sz w:val="24"/>
          <w:szCs w:val="24"/>
          <w:lang w:val="mn-MN"/>
        </w:rPr>
        <w:t xml:space="preserve">ШҮҮХ ЭРХ МЭДЛИЙН ХӨГЖЛИЙН БОДЛОГО </w:t>
      </w:r>
    </w:p>
    <w:p w14:paraId="2133BB2B" w14:textId="77777777" w:rsidR="000F2893" w:rsidRPr="000228BE" w:rsidRDefault="000F2893" w:rsidP="000F2893">
      <w:pPr>
        <w:pStyle w:val="paragraph"/>
        <w:spacing w:before="0" w:beforeAutospacing="0" w:after="0" w:afterAutospacing="0"/>
        <w:jc w:val="center"/>
        <w:textAlignment w:val="baseline"/>
        <w:rPr>
          <w:rStyle w:val="eop"/>
          <w:rFonts w:ascii="Arial" w:hAnsi="Arial" w:cs="Arial"/>
          <w:sz w:val="24"/>
          <w:szCs w:val="24"/>
          <w:lang w:val="mn-MN"/>
        </w:rPr>
      </w:pPr>
      <w:r w:rsidRPr="000228BE">
        <w:rPr>
          <w:rStyle w:val="normaltextrun"/>
          <w:rFonts w:ascii="Arial" w:hAnsi="Arial" w:cs="Arial"/>
          <w:b/>
          <w:bCs/>
          <w:sz w:val="24"/>
          <w:szCs w:val="24"/>
          <w:lang w:val="mn-MN"/>
        </w:rPr>
        <w:t xml:space="preserve">БАТЛАХ ТУХАЙ” МОНГОЛ УЛСЫН ИХ ХУРЛЫН ТОГТООЛЫН </w:t>
      </w:r>
    </w:p>
    <w:p w14:paraId="58A03477" w14:textId="77777777" w:rsidR="000F2893" w:rsidRPr="000228BE" w:rsidRDefault="000F2893" w:rsidP="000F2893">
      <w:pPr>
        <w:pStyle w:val="paragraph"/>
        <w:spacing w:before="0" w:beforeAutospacing="0" w:after="0" w:afterAutospacing="0"/>
        <w:jc w:val="center"/>
        <w:textAlignment w:val="baseline"/>
        <w:rPr>
          <w:rStyle w:val="eop"/>
          <w:rFonts w:ascii="Arial" w:hAnsi="Arial" w:cs="Arial"/>
          <w:sz w:val="24"/>
          <w:szCs w:val="24"/>
          <w:lang w:val="mn-MN"/>
        </w:rPr>
      </w:pPr>
      <w:r w:rsidRPr="000228BE">
        <w:rPr>
          <w:rStyle w:val="normaltextrun"/>
          <w:rFonts w:ascii="Arial" w:hAnsi="Arial" w:cs="Arial"/>
          <w:b/>
          <w:bCs/>
          <w:sz w:val="24"/>
          <w:szCs w:val="24"/>
          <w:lang w:val="mn-MN"/>
        </w:rPr>
        <w:t>ТӨСЛИЙН ТОВЧ ТАНИЛЦУУЛГА</w:t>
      </w:r>
    </w:p>
    <w:p w14:paraId="15099CE3" w14:textId="77777777" w:rsidR="00F54BBF" w:rsidRPr="000228BE" w:rsidRDefault="00F54BBF" w:rsidP="00F54BBF">
      <w:pPr>
        <w:spacing w:after="240" w:line="240" w:lineRule="auto"/>
        <w:ind w:firstLine="720"/>
        <w:jc w:val="both"/>
        <w:rPr>
          <w:rFonts w:ascii="Arial" w:hAnsi="Arial" w:cs="Arial"/>
          <w:sz w:val="24"/>
          <w:szCs w:val="24"/>
        </w:rPr>
      </w:pPr>
    </w:p>
    <w:p w14:paraId="2CD47A45" w14:textId="4FEFD7B3" w:rsidR="00F54BBF" w:rsidRPr="000228BE" w:rsidRDefault="00F54BBF" w:rsidP="00F54BBF">
      <w:pPr>
        <w:spacing w:after="240" w:line="240" w:lineRule="auto"/>
        <w:ind w:firstLine="720"/>
        <w:jc w:val="both"/>
        <w:rPr>
          <w:rFonts w:ascii="Arial" w:hAnsi="Arial" w:cs="Arial"/>
          <w:sz w:val="24"/>
          <w:szCs w:val="24"/>
        </w:rPr>
      </w:pPr>
      <w:r w:rsidRPr="000228BE">
        <w:rPr>
          <w:rFonts w:ascii="Arial" w:hAnsi="Arial" w:cs="Arial"/>
          <w:sz w:val="24"/>
          <w:szCs w:val="24"/>
        </w:rPr>
        <w:t>2023.10.0</w:t>
      </w:r>
      <w:r w:rsidR="00BE698C" w:rsidRPr="000228BE">
        <w:rPr>
          <w:rFonts w:ascii="Arial" w:hAnsi="Arial" w:cs="Arial"/>
          <w:sz w:val="24"/>
          <w:szCs w:val="24"/>
        </w:rPr>
        <w:t>9</w:t>
      </w:r>
      <w:r w:rsidR="00B6312D" w:rsidRPr="000228BE">
        <w:rPr>
          <w:rFonts w:ascii="Arial" w:hAnsi="Arial" w:cs="Arial"/>
          <w:sz w:val="24"/>
          <w:szCs w:val="24"/>
        </w:rPr>
        <w:tab/>
      </w:r>
      <w:r w:rsidR="00B6312D" w:rsidRPr="000228BE">
        <w:rPr>
          <w:rFonts w:ascii="Arial" w:hAnsi="Arial" w:cs="Arial"/>
          <w:sz w:val="24"/>
          <w:szCs w:val="24"/>
        </w:rPr>
        <w:tab/>
      </w:r>
      <w:r w:rsidR="00B6312D" w:rsidRPr="000228BE">
        <w:rPr>
          <w:rFonts w:ascii="Arial" w:hAnsi="Arial" w:cs="Arial"/>
          <w:sz w:val="24"/>
          <w:szCs w:val="24"/>
        </w:rPr>
        <w:tab/>
      </w:r>
      <w:r w:rsidR="00B6312D" w:rsidRPr="000228BE">
        <w:rPr>
          <w:rFonts w:ascii="Arial" w:hAnsi="Arial" w:cs="Arial"/>
          <w:sz w:val="24"/>
          <w:szCs w:val="24"/>
        </w:rPr>
        <w:tab/>
      </w:r>
      <w:r w:rsidR="00B6312D" w:rsidRPr="000228BE">
        <w:rPr>
          <w:rFonts w:ascii="Arial" w:hAnsi="Arial" w:cs="Arial"/>
          <w:sz w:val="24"/>
          <w:szCs w:val="24"/>
        </w:rPr>
        <w:tab/>
      </w:r>
      <w:r w:rsidR="00B6312D" w:rsidRPr="000228BE">
        <w:rPr>
          <w:rFonts w:ascii="Arial" w:hAnsi="Arial" w:cs="Arial"/>
          <w:sz w:val="24"/>
          <w:szCs w:val="24"/>
        </w:rPr>
        <w:tab/>
      </w:r>
      <w:r w:rsidR="00B6312D" w:rsidRPr="000228BE">
        <w:rPr>
          <w:rFonts w:ascii="Arial" w:hAnsi="Arial" w:cs="Arial"/>
          <w:sz w:val="24"/>
          <w:szCs w:val="24"/>
        </w:rPr>
        <w:tab/>
      </w:r>
      <w:r w:rsidR="00B6312D" w:rsidRPr="000228BE">
        <w:rPr>
          <w:rFonts w:ascii="Arial" w:hAnsi="Arial" w:cs="Arial"/>
          <w:sz w:val="24"/>
          <w:szCs w:val="24"/>
        </w:rPr>
        <w:tab/>
      </w:r>
      <w:r w:rsidRPr="000228BE">
        <w:rPr>
          <w:rFonts w:ascii="Arial" w:hAnsi="Arial" w:cs="Arial"/>
          <w:sz w:val="24"/>
          <w:szCs w:val="24"/>
        </w:rPr>
        <w:t>Улаанбаатар хот</w:t>
      </w:r>
    </w:p>
    <w:p w14:paraId="6E637FAE" w14:textId="77777777" w:rsidR="00F54BBF" w:rsidRPr="000228BE" w:rsidRDefault="00F54BBF" w:rsidP="00F54BBF">
      <w:pPr>
        <w:spacing w:after="240" w:line="240" w:lineRule="auto"/>
        <w:ind w:firstLine="720"/>
        <w:jc w:val="both"/>
        <w:rPr>
          <w:rFonts w:ascii="Arial" w:hAnsi="Arial" w:cs="Arial"/>
          <w:sz w:val="24"/>
          <w:szCs w:val="24"/>
        </w:rPr>
      </w:pPr>
      <w:r w:rsidRPr="000228BE">
        <w:rPr>
          <w:rFonts w:ascii="Arial" w:hAnsi="Arial" w:cs="Arial"/>
          <w:sz w:val="24"/>
          <w:szCs w:val="24"/>
        </w:rPr>
        <w:t xml:space="preserve">Монгол Улсын шүүхийн тухай хуулийн </w:t>
      </w:r>
      <w:r w:rsidRPr="000228BE">
        <w:rPr>
          <w:rFonts w:ascii="Arial" w:hAnsi="Arial" w:cs="Arial"/>
          <w:bCs/>
          <w:sz w:val="24"/>
          <w:szCs w:val="24"/>
        </w:rPr>
        <w:t>5 дугаар зүйлийн 5.11 дэх хэсэгт “</w:t>
      </w:r>
      <w:r w:rsidRPr="000228BE">
        <w:rPr>
          <w:rFonts w:ascii="Arial" w:hAnsi="Arial" w:cs="Arial"/>
          <w:sz w:val="24"/>
          <w:szCs w:val="24"/>
          <w:shd w:val="clear" w:color="auto" w:fill="FFFFFF"/>
        </w:rPr>
        <w:t>Шүүх эрх мэдэл хөгжлийн бодлоготой байх бөгөөд түүнийг Ерөнхий зөвлөл хууль тогтоомжид нийцүүлэн боловсруулж, Улсын дээд шүүх, Засгийн газартай зөвшилцөн Улсын Их Хуралд уламжилна.” гэж заасан байна.</w:t>
      </w:r>
    </w:p>
    <w:p w14:paraId="7A263583" w14:textId="77777777" w:rsidR="00F54BBF" w:rsidRPr="000228BE" w:rsidRDefault="00F54BBF" w:rsidP="00F54BBF">
      <w:pPr>
        <w:spacing w:after="240" w:line="240" w:lineRule="auto"/>
        <w:ind w:firstLine="720"/>
        <w:jc w:val="both"/>
        <w:rPr>
          <w:rFonts w:ascii="Arial" w:hAnsi="Arial" w:cs="Arial"/>
          <w:sz w:val="24"/>
          <w:szCs w:val="24"/>
        </w:rPr>
      </w:pPr>
      <w:r w:rsidRPr="000228BE">
        <w:rPr>
          <w:rFonts w:ascii="Arial" w:hAnsi="Arial" w:cs="Arial"/>
          <w:sz w:val="24"/>
          <w:szCs w:val="24"/>
        </w:rPr>
        <w:t xml:space="preserve">“Шүүх эрх мэдлийн хөгжлийн бодлого”-ын төслийн санал боловсруулах ажлын хэсгийг </w:t>
      </w:r>
      <w:r w:rsidRPr="000228BE">
        <w:rPr>
          <w:rFonts w:ascii="Arial" w:eastAsia="Times New Roman" w:hAnsi="Arial" w:cs="Arial"/>
          <w:sz w:val="24"/>
          <w:szCs w:val="24"/>
          <w:lang w:eastAsia="mn-MN"/>
        </w:rPr>
        <w:t>Шүүхийн ерөнхий зөвлөл, Улсын дээд шүүх, Шүүхийн сахилгын хороо, Улсын ерөнхий прокурорын газар, Хүний эрхийн үндэсний комисс, Монголын хуульчдын холбоо, Монголын өмгөөлөгчдийн холбоо, анхан болон давж заалдах шатны шүүхийн шүүгч, шүүхийн Тамгын газрын төлөөлөлтэй байгуулан ажиллуулав.</w:t>
      </w:r>
    </w:p>
    <w:p w14:paraId="26DFD3CF" w14:textId="77777777" w:rsidR="00B6312D" w:rsidRPr="000228BE" w:rsidRDefault="00DA6A1D" w:rsidP="00F54BBF">
      <w:pPr>
        <w:spacing w:after="240" w:line="22" w:lineRule="atLeast"/>
        <w:ind w:firstLine="720"/>
        <w:jc w:val="both"/>
        <w:rPr>
          <w:rFonts w:ascii="Arial" w:hAnsi="Arial" w:cs="Arial"/>
          <w:bCs/>
          <w:sz w:val="24"/>
          <w:szCs w:val="24"/>
        </w:rPr>
      </w:pPr>
      <w:r w:rsidRPr="000228BE">
        <w:rPr>
          <w:rFonts w:ascii="Arial" w:hAnsi="Arial" w:cs="Arial"/>
          <w:bCs/>
          <w:sz w:val="24"/>
          <w:szCs w:val="24"/>
        </w:rPr>
        <w:t>Б</w:t>
      </w:r>
      <w:r w:rsidR="00B6312D" w:rsidRPr="000228BE">
        <w:rPr>
          <w:rFonts w:ascii="Arial" w:hAnsi="Arial" w:cs="Arial"/>
          <w:bCs/>
          <w:sz w:val="24"/>
          <w:szCs w:val="24"/>
        </w:rPr>
        <w:t xml:space="preserve">одлогын төслийг </w:t>
      </w:r>
      <w:r w:rsidR="00B6312D" w:rsidRPr="000228BE">
        <w:rPr>
          <w:rFonts w:ascii="Arial" w:hAnsi="Arial" w:cs="Arial"/>
          <w:sz w:val="24"/>
          <w:szCs w:val="24"/>
        </w:rPr>
        <w:t xml:space="preserve">Хөгжлийн бодлого, төлөвлөлт, түүний удирдлагын тухай хуулийн 10 дугаар зүйл, Хууль тогтоомжийн тухай хуулийн  </w:t>
      </w:r>
      <w:r w:rsidR="000F2893" w:rsidRPr="000228BE">
        <w:rPr>
          <w:rFonts w:ascii="Arial" w:hAnsi="Arial" w:cs="Arial"/>
          <w:sz w:val="24"/>
          <w:szCs w:val="24"/>
        </w:rPr>
        <w:t>40</w:t>
      </w:r>
      <w:r w:rsidR="00B6312D" w:rsidRPr="000228BE">
        <w:rPr>
          <w:rFonts w:ascii="Arial" w:hAnsi="Arial" w:cs="Arial"/>
          <w:sz w:val="24"/>
          <w:szCs w:val="24"/>
        </w:rPr>
        <w:t xml:space="preserve"> дугаар зүйлийн </w:t>
      </w:r>
      <w:r w:rsidR="000F2893" w:rsidRPr="000228BE">
        <w:rPr>
          <w:rFonts w:ascii="Arial" w:hAnsi="Arial" w:cs="Arial"/>
          <w:sz w:val="24"/>
          <w:szCs w:val="24"/>
        </w:rPr>
        <w:t>40</w:t>
      </w:r>
      <w:r w:rsidR="00B6312D" w:rsidRPr="000228BE">
        <w:rPr>
          <w:rFonts w:ascii="Arial" w:hAnsi="Arial" w:cs="Arial"/>
          <w:sz w:val="24"/>
          <w:szCs w:val="24"/>
        </w:rPr>
        <w:t>.1 дэх хэсэгт заас</w:t>
      </w:r>
      <w:r w:rsidR="000F2893" w:rsidRPr="000228BE">
        <w:rPr>
          <w:rFonts w:ascii="Arial" w:hAnsi="Arial" w:cs="Arial"/>
          <w:sz w:val="24"/>
          <w:szCs w:val="24"/>
        </w:rPr>
        <w:t>а</w:t>
      </w:r>
      <w:r w:rsidR="00B6312D" w:rsidRPr="000228BE">
        <w:rPr>
          <w:rFonts w:ascii="Arial" w:hAnsi="Arial" w:cs="Arial"/>
          <w:sz w:val="24"/>
          <w:szCs w:val="24"/>
        </w:rPr>
        <w:t>н</w:t>
      </w:r>
      <w:r w:rsidR="000F2893" w:rsidRPr="000228BE">
        <w:rPr>
          <w:rFonts w:ascii="Arial" w:hAnsi="Arial" w:cs="Arial"/>
          <w:sz w:val="24"/>
          <w:szCs w:val="24"/>
        </w:rPr>
        <w:t xml:space="preserve"> зохих бүрдүүлбэрийг ханган</w:t>
      </w:r>
      <w:r w:rsidR="00394A0C" w:rsidRPr="000228BE">
        <w:rPr>
          <w:rFonts w:ascii="Arial" w:hAnsi="Arial" w:cs="Arial"/>
          <w:sz w:val="24"/>
          <w:szCs w:val="24"/>
        </w:rPr>
        <w:t>, дараах үе шаттай</w:t>
      </w:r>
      <w:r w:rsidR="000F2893" w:rsidRPr="000228BE">
        <w:rPr>
          <w:rFonts w:ascii="Arial" w:hAnsi="Arial" w:cs="Arial"/>
          <w:sz w:val="24"/>
          <w:szCs w:val="24"/>
        </w:rPr>
        <w:t xml:space="preserve"> </w:t>
      </w:r>
      <w:r w:rsidRPr="000228BE">
        <w:rPr>
          <w:rFonts w:ascii="Arial" w:hAnsi="Arial" w:cs="Arial"/>
          <w:sz w:val="24"/>
          <w:szCs w:val="24"/>
        </w:rPr>
        <w:t>боловсруул</w:t>
      </w:r>
      <w:r w:rsidR="00C27FB9" w:rsidRPr="000228BE">
        <w:rPr>
          <w:rFonts w:ascii="Arial" w:hAnsi="Arial" w:cs="Arial"/>
          <w:sz w:val="24"/>
          <w:szCs w:val="24"/>
        </w:rPr>
        <w:t>сан байна</w:t>
      </w:r>
      <w:r w:rsidR="00B6312D" w:rsidRPr="000228BE">
        <w:rPr>
          <w:rFonts w:ascii="Arial" w:hAnsi="Arial" w:cs="Arial"/>
          <w:sz w:val="24"/>
          <w:szCs w:val="24"/>
        </w:rPr>
        <w:t xml:space="preserve">. Тухайлбал, </w:t>
      </w:r>
    </w:p>
    <w:p w14:paraId="73CD715B" w14:textId="77777777" w:rsidR="00EE1E22" w:rsidRPr="000228BE" w:rsidRDefault="00EE1E22" w:rsidP="00B6312D">
      <w:pPr>
        <w:pStyle w:val="ListParagraph"/>
        <w:numPr>
          <w:ilvl w:val="0"/>
          <w:numId w:val="1"/>
        </w:numPr>
        <w:tabs>
          <w:tab w:val="left" w:pos="1134"/>
        </w:tabs>
        <w:spacing w:after="240" w:line="22" w:lineRule="atLeast"/>
        <w:ind w:left="0" w:firstLine="851"/>
        <w:jc w:val="both"/>
        <w:rPr>
          <w:rFonts w:ascii="Arial" w:hAnsi="Arial" w:cs="Arial"/>
          <w:bCs/>
          <w:sz w:val="24"/>
          <w:szCs w:val="24"/>
        </w:rPr>
      </w:pPr>
      <w:r w:rsidRPr="000228BE">
        <w:rPr>
          <w:rFonts w:ascii="Arial" w:hAnsi="Arial" w:cs="Arial"/>
          <w:sz w:val="24"/>
          <w:szCs w:val="24"/>
        </w:rPr>
        <w:t>Монгол Улсын Их Хурлын 2000 оны 05 дугаар сарын 04-ний өдрийн 39 дүгээр тогтоолоор баталсан, хүчин төгөлдөр мөрдөгдөж б</w:t>
      </w:r>
      <w:r w:rsidR="00DA6A1D" w:rsidRPr="000228BE">
        <w:rPr>
          <w:rFonts w:ascii="Arial" w:hAnsi="Arial" w:cs="Arial"/>
          <w:sz w:val="24"/>
          <w:szCs w:val="24"/>
        </w:rPr>
        <w:t>а</w:t>
      </w:r>
      <w:r w:rsidRPr="000228BE">
        <w:rPr>
          <w:rFonts w:ascii="Arial" w:hAnsi="Arial" w:cs="Arial"/>
          <w:sz w:val="24"/>
          <w:szCs w:val="24"/>
        </w:rPr>
        <w:t>й</w:t>
      </w:r>
      <w:r w:rsidR="00DA6A1D" w:rsidRPr="000228BE">
        <w:rPr>
          <w:rFonts w:ascii="Arial" w:hAnsi="Arial" w:cs="Arial"/>
          <w:sz w:val="24"/>
          <w:szCs w:val="24"/>
        </w:rPr>
        <w:t>гаа</w:t>
      </w:r>
      <w:r w:rsidRPr="000228BE">
        <w:rPr>
          <w:rFonts w:ascii="Arial" w:hAnsi="Arial" w:cs="Arial"/>
          <w:sz w:val="24"/>
          <w:szCs w:val="24"/>
        </w:rPr>
        <w:t xml:space="preserve">  “Шүүх эрх мэдлийн стратеги төлөвлөгөө”-ний хэрэгжилтэд үнэлгээ хийж, өнөөгийн нөхцөл байдлын дүн шинжилгээ, </w:t>
      </w:r>
      <w:r w:rsidR="00C7424F" w:rsidRPr="000228BE">
        <w:rPr>
          <w:rFonts w:ascii="Arial" w:hAnsi="Arial" w:cs="Arial"/>
          <w:sz w:val="24"/>
          <w:szCs w:val="24"/>
        </w:rPr>
        <w:t>шүүх эрх мэдлийн хөгжлийн бодлогыг боловсруулах</w:t>
      </w:r>
      <w:r w:rsidRPr="000228BE">
        <w:rPr>
          <w:rFonts w:ascii="Arial" w:hAnsi="Arial" w:cs="Arial"/>
          <w:sz w:val="24"/>
          <w:szCs w:val="24"/>
        </w:rPr>
        <w:t xml:space="preserve"> хэрэгцээ, шаардлагыг тодорхойлсон. </w:t>
      </w:r>
    </w:p>
    <w:p w14:paraId="2B82A300" w14:textId="77777777" w:rsidR="00953923" w:rsidRPr="000228BE" w:rsidRDefault="00C7424F" w:rsidP="00953923">
      <w:pPr>
        <w:pStyle w:val="ListParagraph"/>
        <w:numPr>
          <w:ilvl w:val="0"/>
          <w:numId w:val="1"/>
        </w:numPr>
        <w:tabs>
          <w:tab w:val="left" w:pos="1134"/>
        </w:tabs>
        <w:spacing w:after="240" w:line="22" w:lineRule="atLeast"/>
        <w:ind w:left="0" w:firstLine="851"/>
        <w:jc w:val="both"/>
        <w:rPr>
          <w:rFonts w:ascii="Arial" w:hAnsi="Arial" w:cs="Arial"/>
          <w:bCs/>
          <w:sz w:val="24"/>
          <w:szCs w:val="24"/>
        </w:rPr>
      </w:pPr>
      <w:r w:rsidRPr="000228BE">
        <w:rPr>
          <w:rFonts w:ascii="Arial" w:hAnsi="Arial" w:cs="Arial"/>
          <w:bCs/>
          <w:sz w:val="24"/>
          <w:szCs w:val="24"/>
        </w:rPr>
        <w:t>Уг</w:t>
      </w:r>
      <w:r w:rsidR="00953923" w:rsidRPr="000228BE">
        <w:rPr>
          <w:rFonts w:ascii="Arial" w:hAnsi="Arial" w:cs="Arial"/>
          <w:bCs/>
          <w:sz w:val="24"/>
          <w:szCs w:val="24"/>
        </w:rPr>
        <w:t xml:space="preserve"> бодлогыг боловсруулах хууль эрх зүйн орчин Монгол Улсын Үндсэн хууль, Монгол Улсын шүүхийн тухай хууль,</w:t>
      </w:r>
      <w:r w:rsidR="00953923" w:rsidRPr="000228BE">
        <w:rPr>
          <w:rFonts w:ascii="Arial" w:hAnsi="Arial" w:cs="Arial"/>
          <w:sz w:val="24"/>
          <w:szCs w:val="24"/>
        </w:rPr>
        <w:t xml:space="preserve"> Хөгжлийн бодлого, төлөвлөлт, түүний удирдлагын тухай хуулиар бүрдсэн байна гэж үзсэн. </w:t>
      </w:r>
      <w:r w:rsidR="00953923" w:rsidRPr="000228BE">
        <w:rPr>
          <w:rFonts w:ascii="Arial" w:hAnsi="Arial" w:cs="Arial"/>
          <w:bCs/>
          <w:sz w:val="24"/>
          <w:szCs w:val="24"/>
        </w:rPr>
        <w:t xml:space="preserve"> </w:t>
      </w:r>
    </w:p>
    <w:p w14:paraId="4DB4030D" w14:textId="77777777" w:rsidR="00434C1A" w:rsidRPr="000228BE" w:rsidRDefault="00F54BBF" w:rsidP="00B6312D">
      <w:pPr>
        <w:pStyle w:val="ListParagraph"/>
        <w:numPr>
          <w:ilvl w:val="0"/>
          <w:numId w:val="1"/>
        </w:numPr>
        <w:tabs>
          <w:tab w:val="left" w:pos="1134"/>
        </w:tabs>
        <w:spacing w:after="240" w:line="22" w:lineRule="atLeast"/>
        <w:ind w:left="0" w:firstLine="851"/>
        <w:jc w:val="both"/>
        <w:rPr>
          <w:rFonts w:ascii="Arial" w:hAnsi="Arial" w:cs="Arial"/>
          <w:bCs/>
          <w:sz w:val="24"/>
          <w:szCs w:val="24"/>
        </w:rPr>
      </w:pPr>
      <w:r w:rsidRPr="000228BE">
        <w:rPr>
          <w:rFonts w:ascii="Arial" w:hAnsi="Arial" w:cs="Arial"/>
          <w:bCs/>
          <w:sz w:val="24"/>
          <w:szCs w:val="24"/>
        </w:rPr>
        <w:t>Монгол Улсын Их Хур</w:t>
      </w:r>
      <w:r w:rsidR="00C7424F" w:rsidRPr="000228BE">
        <w:rPr>
          <w:rFonts w:ascii="Arial" w:hAnsi="Arial" w:cs="Arial"/>
          <w:bCs/>
          <w:sz w:val="24"/>
          <w:szCs w:val="24"/>
        </w:rPr>
        <w:t>а</w:t>
      </w:r>
      <w:r w:rsidRPr="000228BE">
        <w:rPr>
          <w:rFonts w:ascii="Arial" w:hAnsi="Arial" w:cs="Arial"/>
          <w:bCs/>
          <w:sz w:val="24"/>
          <w:szCs w:val="24"/>
        </w:rPr>
        <w:t>л</w:t>
      </w:r>
      <w:r w:rsidR="00C7424F" w:rsidRPr="000228BE">
        <w:rPr>
          <w:rFonts w:ascii="Arial" w:hAnsi="Arial" w:cs="Arial"/>
          <w:bCs/>
          <w:sz w:val="24"/>
          <w:szCs w:val="24"/>
        </w:rPr>
        <w:t>, эрх бүхий байгууллагаас</w:t>
      </w:r>
      <w:r w:rsidRPr="000228BE">
        <w:rPr>
          <w:rFonts w:ascii="Arial" w:hAnsi="Arial" w:cs="Arial"/>
          <w:bCs/>
          <w:sz w:val="24"/>
          <w:szCs w:val="24"/>
        </w:rPr>
        <w:t xml:space="preserve"> баталсан бодлогын 12 баримт бичиг болон Монгол Улсын одоогийн Ерөнхийлөгчийн мөрийн хөтөлбөр, </w:t>
      </w:r>
      <w:r w:rsidR="00953923" w:rsidRPr="000228BE">
        <w:rPr>
          <w:rFonts w:ascii="Arial" w:hAnsi="Arial" w:cs="Arial"/>
          <w:bCs/>
          <w:sz w:val="24"/>
          <w:szCs w:val="24"/>
        </w:rPr>
        <w:t>“</w:t>
      </w:r>
      <w:r w:rsidRPr="000228BE">
        <w:rPr>
          <w:rFonts w:ascii="Arial" w:hAnsi="Arial" w:cs="Arial"/>
          <w:bCs/>
          <w:sz w:val="24"/>
          <w:szCs w:val="24"/>
        </w:rPr>
        <w:t>Шүүх эрх мэдэл, хууль сахиулах алба хаагчдын нэгдсэн чуулган</w:t>
      </w:r>
      <w:r w:rsidR="00953923" w:rsidRPr="000228BE">
        <w:rPr>
          <w:rFonts w:ascii="Arial" w:hAnsi="Arial" w:cs="Arial"/>
          <w:bCs/>
          <w:sz w:val="24"/>
          <w:szCs w:val="24"/>
        </w:rPr>
        <w:t>”-</w:t>
      </w:r>
      <w:r w:rsidRPr="000228BE">
        <w:rPr>
          <w:rFonts w:ascii="Arial" w:hAnsi="Arial" w:cs="Arial"/>
          <w:bCs/>
          <w:sz w:val="24"/>
          <w:szCs w:val="24"/>
        </w:rPr>
        <w:t>аас гаргасан зөвлөмж, “Хүний эрх үндэсний форум-2021”-ийн зөвлөмжид шүүх эрх мэдлийн хөгжлийн талаар туссан зорилт, арга хэмжээг судалсан.</w:t>
      </w:r>
    </w:p>
    <w:p w14:paraId="0DE5F194" w14:textId="77777777" w:rsidR="00EE1E22" w:rsidRPr="000228BE" w:rsidRDefault="00B6312D" w:rsidP="00EE1E22">
      <w:pPr>
        <w:pStyle w:val="ListParagraph"/>
        <w:numPr>
          <w:ilvl w:val="0"/>
          <w:numId w:val="1"/>
        </w:numPr>
        <w:tabs>
          <w:tab w:val="left" w:pos="1134"/>
        </w:tabs>
        <w:spacing w:after="240" w:line="22" w:lineRule="atLeast"/>
        <w:ind w:left="0" w:firstLine="851"/>
        <w:jc w:val="both"/>
        <w:rPr>
          <w:rFonts w:ascii="Arial" w:hAnsi="Arial" w:cs="Arial"/>
          <w:bCs/>
          <w:sz w:val="24"/>
          <w:szCs w:val="24"/>
        </w:rPr>
      </w:pPr>
      <w:r w:rsidRPr="000228BE">
        <w:rPr>
          <w:rFonts w:ascii="Arial" w:hAnsi="Arial" w:cs="Arial"/>
          <w:sz w:val="24"/>
          <w:szCs w:val="24"/>
        </w:rPr>
        <w:t>Г</w:t>
      </w:r>
      <w:r w:rsidR="00F54BBF" w:rsidRPr="000228BE">
        <w:rPr>
          <w:rFonts w:ascii="Arial" w:hAnsi="Arial" w:cs="Arial"/>
          <w:sz w:val="24"/>
          <w:szCs w:val="24"/>
        </w:rPr>
        <w:t xml:space="preserve">адаад орнуудын шүүх эрх мэдлийн хөгжлийн бодлогын баримт бичгүүдийг судлан, Америкийн Нэгдсэн Улсын </w:t>
      </w:r>
      <w:r w:rsidR="00F54BBF" w:rsidRPr="000228BE">
        <w:rPr>
          <w:rFonts w:ascii="Arial" w:hAnsi="Arial" w:cs="Arial"/>
          <w:bCs/>
          <w:sz w:val="24"/>
          <w:szCs w:val="24"/>
        </w:rPr>
        <w:t>Калифорнийн шүүх эрх мэдлийн системийн стратеги төлөвлөгөөний ерөнхий бүтцийг жишиг болгож, Монгол Улсын шүүх эрх мэдлийн хөгжлийн бодлогын төслийн хувилбар</w:t>
      </w:r>
      <w:r w:rsidR="00394A0C" w:rsidRPr="000228BE">
        <w:rPr>
          <w:rFonts w:ascii="Arial" w:hAnsi="Arial" w:cs="Arial"/>
          <w:bCs/>
          <w:sz w:val="24"/>
          <w:szCs w:val="24"/>
        </w:rPr>
        <w:t>аар</w:t>
      </w:r>
      <w:r w:rsidR="00F54BBF" w:rsidRPr="000228BE">
        <w:rPr>
          <w:rFonts w:ascii="Arial" w:hAnsi="Arial" w:cs="Arial"/>
          <w:bCs/>
          <w:sz w:val="24"/>
          <w:szCs w:val="24"/>
        </w:rPr>
        <w:t xml:space="preserve"> </w:t>
      </w:r>
      <w:r w:rsidR="00394A0C" w:rsidRPr="000228BE">
        <w:rPr>
          <w:rFonts w:ascii="Arial" w:hAnsi="Arial" w:cs="Arial"/>
          <w:bCs/>
          <w:sz w:val="24"/>
          <w:szCs w:val="24"/>
        </w:rPr>
        <w:t>боловсруул</w:t>
      </w:r>
      <w:r w:rsidR="00F54BBF" w:rsidRPr="000228BE">
        <w:rPr>
          <w:rFonts w:ascii="Arial" w:hAnsi="Arial" w:cs="Arial"/>
          <w:bCs/>
          <w:sz w:val="24"/>
          <w:szCs w:val="24"/>
        </w:rPr>
        <w:t>а</w:t>
      </w:r>
      <w:r w:rsidR="00394A0C" w:rsidRPr="000228BE">
        <w:rPr>
          <w:rFonts w:ascii="Arial" w:hAnsi="Arial" w:cs="Arial"/>
          <w:bCs/>
          <w:sz w:val="24"/>
          <w:szCs w:val="24"/>
        </w:rPr>
        <w:t>хаар сонгосон</w:t>
      </w:r>
      <w:r w:rsidR="00F54BBF" w:rsidRPr="000228BE">
        <w:rPr>
          <w:rFonts w:ascii="Arial" w:hAnsi="Arial" w:cs="Arial"/>
          <w:bCs/>
          <w:sz w:val="24"/>
          <w:szCs w:val="24"/>
        </w:rPr>
        <w:t>.</w:t>
      </w:r>
    </w:p>
    <w:p w14:paraId="497164CD" w14:textId="77777777" w:rsidR="00EE1E22" w:rsidRPr="000228BE" w:rsidRDefault="00EE1E22" w:rsidP="00EE1E22">
      <w:pPr>
        <w:pStyle w:val="ListParagraph"/>
        <w:numPr>
          <w:ilvl w:val="0"/>
          <w:numId w:val="1"/>
        </w:numPr>
        <w:tabs>
          <w:tab w:val="left" w:pos="1134"/>
        </w:tabs>
        <w:spacing w:after="240" w:line="22" w:lineRule="atLeast"/>
        <w:ind w:left="0" w:firstLine="851"/>
        <w:jc w:val="both"/>
        <w:rPr>
          <w:rFonts w:ascii="Arial" w:hAnsi="Arial" w:cs="Arial"/>
          <w:bCs/>
          <w:sz w:val="24"/>
          <w:szCs w:val="24"/>
        </w:rPr>
      </w:pPr>
      <w:r w:rsidRPr="000228BE">
        <w:rPr>
          <w:rFonts w:ascii="Arial" w:hAnsi="Arial" w:cs="Arial"/>
          <w:sz w:val="24"/>
          <w:szCs w:val="24"/>
        </w:rPr>
        <w:t xml:space="preserve">Бодлогын төслийг </w:t>
      </w:r>
      <w:r w:rsidR="00953923" w:rsidRPr="000228BE">
        <w:rPr>
          <w:rFonts w:ascii="Arial" w:hAnsi="Arial" w:cs="Arial"/>
          <w:sz w:val="24"/>
          <w:szCs w:val="24"/>
        </w:rPr>
        <w:t xml:space="preserve">хууль эрх зүйн орчин, </w:t>
      </w:r>
      <w:r w:rsidRPr="000228BE">
        <w:rPr>
          <w:rFonts w:ascii="Arial" w:hAnsi="Arial" w:cs="Arial"/>
          <w:sz w:val="24"/>
          <w:szCs w:val="24"/>
        </w:rPr>
        <w:t>шүүх эрх мэдлийн хөгжлийн ө</w:t>
      </w:r>
      <w:r w:rsidR="00F54BBF" w:rsidRPr="000228BE">
        <w:rPr>
          <w:rFonts w:ascii="Arial" w:hAnsi="Arial" w:cs="Arial"/>
          <w:sz w:val="24"/>
          <w:szCs w:val="24"/>
        </w:rPr>
        <w:t>нөөгийн нөхцөл байдлын дүн шинжилгээ</w:t>
      </w:r>
      <w:r w:rsidRPr="000228BE">
        <w:rPr>
          <w:rFonts w:ascii="Arial" w:hAnsi="Arial" w:cs="Arial"/>
          <w:sz w:val="24"/>
          <w:szCs w:val="24"/>
        </w:rPr>
        <w:t>, хэрэгцээ, шаардлага тулгуурлан</w:t>
      </w:r>
      <w:r w:rsidR="00F54BBF" w:rsidRPr="000228BE">
        <w:rPr>
          <w:rFonts w:ascii="Arial" w:hAnsi="Arial" w:cs="Arial"/>
          <w:sz w:val="24"/>
          <w:szCs w:val="24"/>
        </w:rPr>
        <w:t xml:space="preserve">, </w:t>
      </w:r>
      <w:r w:rsidR="00F54BBF" w:rsidRPr="000228BE">
        <w:rPr>
          <w:rFonts w:ascii="Arial" w:hAnsi="Arial" w:cs="Arial"/>
          <w:color w:val="000000" w:themeColor="text1"/>
          <w:sz w:val="24"/>
          <w:szCs w:val="24"/>
        </w:rPr>
        <w:t>Монгол Улсын Хөгжлийн бодлого, төлөвлөлт, түүний удирдлагын тухай хууль, “Алсын хараа 2050” Монгол Улсын урт хугацааны хөгжлийн бодлого, Шинэ сэргэлтийн бодлогод нийцүүлэн</w:t>
      </w:r>
      <w:r w:rsidR="00394A0C" w:rsidRPr="000228BE">
        <w:rPr>
          <w:rFonts w:ascii="Arial" w:hAnsi="Arial" w:cs="Arial"/>
          <w:color w:val="000000" w:themeColor="text1"/>
          <w:sz w:val="24"/>
          <w:szCs w:val="24"/>
        </w:rPr>
        <w:t xml:space="preserve"> боловсруулсан</w:t>
      </w:r>
      <w:r w:rsidRPr="000228BE">
        <w:rPr>
          <w:rFonts w:ascii="Arial" w:hAnsi="Arial" w:cs="Arial"/>
          <w:color w:val="000000" w:themeColor="text1"/>
          <w:sz w:val="24"/>
          <w:szCs w:val="24"/>
        </w:rPr>
        <w:t>.</w:t>
      </w:r>
    </w:p>
    <w:p w14:paraId="1E34E27E" w14:textId="77777777" w:rsidR="003E2ED6" w:rsidRPr="000228BE" w:rsidRDefault="003E2ED6" w:rsidP="00EE1E22">
      <w:pPr>
        <w:pStyle w:val="ListParagraph"/>
        <w:numPr>
          <w:ilvl w:val="0"/>
          <w:numId w:val="1"/>
        </w:numPr>
        <w:tabs>
          <w:tab w:val="left" w:pos="1134"/>
        </w:tabs>
        <w:spacing w:after="240" w:line="22" w:lineRule="atLeast"/>
        <w:ind w:left="0" w:firstLine="851"/>
        <w:jc w:val="both"/>
        <w:rPr>
          <w:rFonts w:ascii="Arial" w:hAnsi="Arial" w:cs="Arial"/>
          <w:bCs/>
          <w:sz w:val="24"/>
          <w:szCs w:val="24"/>
        </w:rPr>
      </w:pPr>
      <w:r w:rsidRPr="000228BE">
        <w:rPr>
          <w:rFonts w:ascii="Arial" w:hAnsi="Arial" w:cs="Arial"/>
          <w:color w:val="333333"/>
          <w:sz w:val="24"/>
          <w:szCs w:val="24"/>
          <w:shd w:val="clear" w:color="auto" w:fill="FFFFFF"/>
        </w:rPr>
        <w:t xml:space="preserve">Бодлогын төсөлд </w:t>
      </w:r>
      <w:r w:rsidRPr="000228BE">
        <w:rPr>
          <w:rFonts w:ascii="Arial" w:hAnsi="Arial" w:cs="Arial"/>
          <w:color w:val="000000" w:themeColor="text1"/>
          <w:sz w:val="24"/>
          <w:szCs w:val="24"/>
        </w:rPr>
        <w:t xml:space="preserve">шүүх эрх мэдлийн асуудлаар мэргэшсэн хөндлөнгийн судлаачдаар </w:t>
      </w:r>
      <w:r w:rsidRPr="000228BE">
        <w:rPr>
          <w:rFonts w:ascii="Arial" w:hAnsi="Arial" w:cs="Arial"/>
          <w:color w:val="333333"/>
          <w:sz w:val="24"/>
          <w:szCs w:val="24"/>
          <w:shd w:val="clear" w:color="auto" w:fill="FFFFFF"/>
        </w:rPr>
        <w:t>хүний хөгжлийн, эдийн засаг, нийгмийн хөгжлийн болон байгаль орчны нөлөөллийн урьдчилсан үнэлгээ хийлгэсэн.</w:t>
      </w:r>
    </w:p>
    <w:p w14:paraId="4DC6DA71" w14:textId="04FFBF7F" w:rsidR="00A57222" w:rsidRPr="000228BE" w:rsidRDefault="00A57222" w:rsidP="00A57222">
      <w:pPr>
        <w:spacing w:after="240" w:line="240" w:lineRule="auto"/>
        <w:ind w:firstLine="720"/>
        <w:jc w:val="both"/>
        <w:rPr>
          <w:rFonts w:ascii="Arial" w:hAnsi="Arial" w:cs="Arial"/>
          <w:sz w:val="24"/>
          <w:szCs w:val="24"/>
        </w:rPr>
      </w:pPr>
      <w:r w:rsidRPr="000228BE">
        <w:rPr>
          <w:rFonts w:ascii="Arial" w:hAnsi="Arial" w:cs="Arial"/>
          <w:sz w:val="24"/>
          <w:szCs w:val="24"/>
        </w:rPr>
        <w:lastRenderedPageBreak/>
        <w:t xml:space="preserve">Монгол Улсын шүүх эрх мэдлийн хөгжлийн бодлого нь "Алсын хараа-2050" Монгол Улсын урт хугацааны хөгжлийн бодлогод 2021-2030 онд “Шүүхийн хараат бус байдал хангагдаж, хариуцлагатай, иргэн төвтэй шүүх тогтолцоо төлөвшинө.” гэж заасан үр дүнд хүрэх, 2031-2040 онд “Иргэдийн итгэлийг бүрэн хүлээсэн шүүхтэй болно.” гэсэн үр дүнгийн суурь нөхцөлийг бүрдүүлэхэд чиглэсэн шүүх эрх мэдлийн хөгжлийн 2024-2034 онд хэрэгжих дунд хугацааны зорилтот хөтөлбөр </w:t>
      </w:r>
      <w:r w:rsidR="007F10AB" w:rsidRPr="000228BE">
        <w:rPr>
          <w:rFonts w:ascii="Arial" w:hAnsi="Arial" w:cs="Arial"/>
          <w:sz w:val="24"/>
          <w:szCs w:val="24"/>
        </w:rPr>
        <w:t>байхаар тусгав.</w:t>
      </w:r>
    </w:p>
    <w:p w14:paraId="1F54EC1A" w14:textId="63B3C79B" w:rsidR="00F80A28" w:rsidRPr="000228BE" w:rsidRDefault="00F80A28" w:rsidP="00F80A28">
      <w:pPr>
        <w:spacing w:after="240" w:line="240" w:lineRule="auto"/>
        <w:ind w:firstLine="720"/>
        <w:jc w:val="both"/>
        <w:rPr>
          <w:rFonts w:ascii="Arial" w:hAnsi="Arial" w:cs="Arial"/>
          <w:sz w:val="24"/>
          <w:szCs w:val="24"/>
        </w:rPr>
      </w:pPr>
      <w:r w:rsidRPr="000228BE">
        <w:rPr>
          <w:rFonts w:ascii="Arial" w:hAnsi="Arial" w:cs="Arial"/>
          <w:sz w:val="24"/>
          <w:szCs w:val="24"/>
        </w:rPr>
        <w:t>Шүүх эрх мэдлийн хөгжлийн бодлогын төслийн санал нь дараах 7 зорилгоос бүрдэж байна. Үүнд:</w:t>
      </w:r>
    </w:p>
    <w:p w14:paraId="17F26E53" w14:textId="77777777" w:rsidR="00F80A28" w:rsidRPr="000228BE" w:rsidRDefault="00F80A28" w:rsidP="00F80A28">
      <w:pPr>
        <w:spacing w:after="240" w:line="240" w:lineRule="auto"/>
        <w:ind w:firstLine="720"/>
        <w:jc w:val="both"/>
        <w:rPr>
          <w:rFonts w:ascii="Arial" w:hAnsi="Arial" w:cs="Arial"/>
          <w:sz w:val="24"/>
          <w:szCs w:val="24"/>
        </w:rPr>
      </w:pPr>
      <w:r w:rsidRPr="000228BE">
        <w:rPr>
          <w:rFonts w:ascii="Arial" w:hAnsi="Arial" w:cs="Arial"/>
          <w:sz w:val="24"/>
          <w:szCs w:val="24"/>
        </w:rPr>
        <w:t xml:space="preserve">Зорилго 1.Шүүхэд мэдүүлэх иргэний эрхийг баталгаатай эдлүүлж, үйл ажиллагааны нээлттэй, ил тод байдлыг дээшлүүлнэ. </w:t>
      </w:r>
    </w:p>
    <w:p w14:paraId="4A7F2790" w14:textId="77777777" w:rsidR="00F80A28" w:rsidRPr="000228BE" w:rsidRDefault="00F80A28" w:rsidP="00F80A28">
      <w:pPr>
        <w:spacing w:after="240" w:line="240" w:lineRule="auto"/>
        <w:ind w:firstLine="720"/>
        <w:jc w:val="both"/>
        <w:rPr>
          <w:rFonts w:ascii="Arial" w:hAnsi="Arial" w:cs="Arial"/>
          <w:sz w:val="24"/>
          <w:szCs w:val="24"/>
        </w:rPr>
      </w:pPr>
      <w:r w:rsidRPr="000228BE">
        <w:rPr>
          <w:rFonts w:ascii="Arial" w:hAnsi="Arial" w:cs="Arial"/>
          <w:sz w:val="24"/>
          <w:szCs w:val="24"/>
        </w:rPr>
        <w:t>Зорилго 2.Шүүгчийн хараат бус, шүүхийн бие даасан байдлыг хангаж, хариуцлагатай шүүхийг төлөвшүүлнэ.</w:t>
      </w:r>
    </w:p>
    <w:p w14:paraId="0B1DAF1C" w14:textId="77777777" w:rsidR="00F80A28" w:rsidRPr="000228BE" w:rsidRDefault="00F80A28" w:rsidP="00F80A28">
      <w:pPr>
        <w:ind w:firstLine="720"/>
        <w:jc w:val="both"/>
        <w:rPr>
          <w:rFonts w:ascii="Arial" w:hAnsi="Arial" w:cs="Arial"/>
          <w:sz w:val="24"/>
          <w:szCs w:val="24"/>
        </w:rPr>
      </w:pPr>
      <w:r w:rsidRPr="000228BE">
        <w:rPr>
          <w:rFonts w:ascii="Arial" w:hAnsi="Arial" w:cs="Arial"/>
          <w:sz w:val="24"/>
          <w:szCs w:val="24"/>
        </w:rPr>
        <w:t>Зорилго 3.Шүүх эрх мэдлийн байгууллагын захиргааны менежментийг орчин үеийн шаардлагад нийцүүлнэ.</w:t>
      </w:r>
    </w:p>
    <w:p w14:paraId="0CD378F3" w14:textId="77777777" w:rsidR="00F80A28" w:rsidRPr="000228BE" w:rsidRDefault="00F80A28" w:rsidP="00F80A28">
      <w:pPr>
        <w:ind w:firstLine="720"/>
        <w:jc w:val="both"/>
        <w:rPr>
          <w:rFonts w:ascii="Arial" w:hAnsi="Arial" w:cs="Arial"/>
          <w:sz w:val="24"/>
          <w:szCs w:val="24"/>
        </w:rPr>
      </w:pPr>
      <w:r w:rsidRPr="000228BE">
        <w:rPr>
          <w:rFonts w:ascii="Arial" w:hAnsi="Arial" w:cs="Arial"/>
          <w:sz w:val="24"/>
          <w:szCs w:val="24"/>
        </w:rPr>
        <w:t>Зорилго 4.Шүүхийн хүний нөөцийн чадавхыг хэрэгцээ, шаардлагад нийцүүлэн тасралтгүй хөгжүүлнэ.</w:t>
      </w:r>
    </w:p>
    <w:p w14:paraId="27D3C976" w14:textId="77777777" w:rsidR="00F80A28" w:rsidRPr="000228BE" w:rsidRDefault="00F80A28" w:rsidP="00F80A28">
      <w:pPr>
        <w:ind w:firstLine="720"/>
        <w:jc w:val="both"/>
        <w:rPr>
          <w:rFonts w:ascii="Arial" w:hAnsi="Arial" w:cs="Arial"/>
          <w:sz w:val="24"/>
          <w:szCs w:val="24"/>
        </w:rPr>
      </w:pPr>
      <w:r w:rsidRPr="000228BE">
        <w:rPr>
          <w:rFonts w:ascii="Arial" w:hAnsi="Arial" w:cs="Arial"/>
          <w:sz w:val="24"/>
          <w:szCs w:val="24"/>
        </w:rPr>
        <w:t>Зорилго 5.Шүүхийн үйлчилгээний чанар, хүртээмжийг нэмэгдүүлнэ.</w:t>
      </w:r>
    </w:p>
    <w:p w14:paraId="02E47CC7" w14:textId="77777777" w:rsidR="00F80A28" w:rsidRPr="000228BE" w:rsidRDefault="00F80A28" w:rsidP="00F80A28">
      <w:pPr>
        <w:ind w:firstLine="720"/>
        <w:jc w:val="both"/>
        <w:rPr>
          <w:rFonts w:ascii="Arial" w:hAnsi="Arial" w:cs="Arial"/>
          <w:sz w:val="24"/>
          <w:szCs w:val="24"/>
        </w:rPr>
      </w:pPr>
      <w:r w:rsidRPr="000228BE">
        <w:rPr>
          <w:rFonts w:ascii="Arial" w:hAnsi="Arial" w:cs="Arial"/>
          <w:sz w:val="24"/>
          <w:szCs w:val="24"/>
        </w:rPr>
        <w:t>Зорилго 6.Шүүхийн үйлчилгээний дэд бүтцийг хөгжүүлнэ.</w:t>
      </w:r>
    </w:p>
    <w:p w14:paraId="129387A8" w14:textId="77777777" w:rsidR="00F80A28" w:rsidRPr="000228BE" w:rsidRDefault="00F80A28" w:rsidP="00F80A28">
      <w:pPr>
        <w:ind w:firstLine="720"/>
        <w:jc w:val="both"/>
        <w:rPr>
          <w:rFonts w:ascii="Arial" w:hAnsi="Arial" w:cs="Arial"/>
          <w:sz w:val="24"/>
          <w:szCs w:val="24"/>
        </w:rPr>
      </w:pPr>
      <w:r w:rsidRPr="000228BE">
        <w:rPr>
          <w:rFonts w:ascii="Arial" w:hAnsi="Arial" w:cs="Arial"/>
          <w:sz w:val="24"/>
          <w:szCs w:val="24"/>
        </w:rPr>
        <w:t>Зорилго 7.Хэрэг хянан шийдвэрлэхэд тохирсон, тогтвортой, урьдчилан тооцоолсон санхүүжилтийн тогтолцоог бүрдүүлнэ.</w:t>
      </w:r>
    </w:p>
    <w:p w14:paraId="78C56982" w14:textId="6764CB8C" w:rsidR="00BD6FBE" w:rsidRPr="000228BE" w:rsidRDefault="00BD6FBE" w:rsidP="00BD6FBE">
      <w:pPr>
        <w:spacing w:after="240" w:line="240" w:lineRule="auto"/>
        <w:ind w:firstLine="720"/>
        <w:jc w:val="both"/>
        <w:rPr>
          <w:rFonts w:ascii="Arial" w:hAnsi="Arial" w:cs="Arial"/>
          <w:sz w:val="24"/>
          <w:szCs w:val="24"/>
        </w:rPr>
      </w:pPr>
      <w:r w:rsidRPr="000228BE">
        <w:rPr>
          <w:rFonts w:ascii="Arial" w:eastAsia="Times New Roman" w:hAnsi="Arial" w:cs="Arial"/>
          <w:sz w:val="24"/>
          <w:szCs w:val="24"/>
          <w:lang w:eastAsia="mn-MN"/>
        </w:rPr>
        <w:t xml:space="preserve">Тус бодлогын баримт бичгийн төсөлд  </w:t>
      </w:r>
      <w:r w:rsidRPr="000228BE">
        <w:rPr>
          <w:rFonts w:ascii="Arial" w:hAnsi="Arial" w:cs="Arial"/>
          <w:color w:val="000000" w:themeColor="text1"/>
          <w:sz w:val="24"/>
          <w:szCs w:val="24"/>
        </w:rPr>
        <w:t>Улсын дээд шүүх, Засгийн газраас ирүүлсэн зөвшилцөх санал, олон нийтийн санал, хүний эрхийн чиглэлээр үйл ажиллагаа явуулдаг иргэний нийгмийн байгууллагуудын төлөөлөлтэй болон анхан, давж заалдах шатны шүүхийн шүүгч, захиргааны ажилтнуудтай хийсэн хэлэлцүүлгүүдийн үеэр гар</w:t>
      </w:r>
      <w:r w:rsidR="008078DF" w:rsidRPr="000228BE">
        <w:rPr>
          <w:rFonts w:ascii="Arial" w:hAnsi="Arial" w:cs="Arial"/>
          <w:color w:val="000000" w:themeColor="text1"/>
          <w:sz w:val="24"/>
          <w:szCs w:val="24"/>
        </w:rPr>
        <w:t>сан давхардсан тоогоор, нийт 121</w:t>
      </w:r>
      <w:r w:rsidRPr="000228BE">
        <w:rPr>
          <w:rFonts w:ascii="Arial" w:hAnsi="Arial" w:cs="Arial"/>
          <w:color w:val="000000" w:themeColor="text1"/>
          <w:sz w:val="24"/>
          <w:szCs w:val="24"/>
        </w:rPr>
        <w:t xml:space="preserve"> саналыг </w:t>
      </w:r>
      <w:r w:rsidRPr="000228BE">
        <w:rPr>
          <w:rFonts w:ascii="Arial" w:hAnsi="Arial" w:cs="Arial"/>
          <w:sz w:val="24"/>
          <w:szCs w:val="24"/>
          <w:shd w:val="clear" w:color="auto" w:fill="FFFFFF"/>
        </w:rPr>
        <w:t xml:space="preserve">тусган, </w:t>
      </w:r>
      <w:r w:rsidRPr="000228BE">
        <w:rPr>
          <w:rFonts w:ascii="Arial" w:eastAsia="Times New Roman" w:hAnsi="Arial" w:cs="Arial"/>
          <w:sz w:val="24"/>
          <w:szCs w:val="24"/>
          <w:lang w:eastAsia="mn-MN"/>
        </w:rPr>
        <w:t xml:space="preserve">10 жилийн хугацаанд хэрэгжих, 7 зорилго, 13 зорилт, 98 арга хэмжээ, 135 шалгуур үзүүлэлттэй, </w:t>
      </w:r>
      <w:r w:rsidR="008508CD" w:rsidRPr="000228BE">
        <w:rPr>
          <w:rFonts w:ascii="Arial" w:eastAsia="Times New Roman" w:hAnsi="Arial" w:cs="Arial"/>
          <w:sz w:val="24"/>
          <w:szCs w:val="24"/>
          <w:lang w:eastAsia="mn-MN"/>
        </w:rPr>
        <w:t>766506.4</w:t>
      </w:r>
      <w:r w:rsidRPr="000228BE">
        <w:rPr>
          <w:rFonts w:ascii="Arial" w:eastAsia="Times New Roman" w:hAnsi="Arial" w:cs="Arial"/>
          <w:sz w:val="24"/>
          <w:szCs w:val="24"/>
          <w:lang w:eastAsia="mn-MN"/>
        </w:rPr>
        <w:t xml:space="preserve"> сая төгрөг шаардагдах бодлогын баримт бичгийн төслийн саналыг боловсрууллаа</w:t>
      </w:r>
      <w:r w:rsidRPr="000228BE">
        <w:rPr>
          <w:rFonts w:ascii="Arial" w:hAnsi="Arial" w:cs="Arial"/>
          <w:sz w:val="24"/>
          <w:szCs w:val="24"/>
          <w:shd w:val="clear" w:color="auto" w:fill="FFFFFF"/>
        </w:rPr>
        <w:t>.</w:t>
      </w:r>
    </w:p>
    <w:p w14:paraId="318CEBF8" w14:textId="77777777" w:rsidR="00F80A28" w:rsidRPr="000228BE" w:rsidRDefault="00F80A28" w:rsidP="00F80A28">
      <w:pPr>
        <w:pStyle w:val="ListParagraph"/>
        <w:tabs>
          <w:tab w:val="left" w:pos="1134"/>
        </w:tabs>
        <w:spacing w:after="240" w:line="22" w:lineRule="atLeast"/>
        <w:ind w:left="851"/>
        <w:jc w:val="both"/>
        <w:rPr>
          <w:rFonts w:ascii="Arial" w:hAnsi="Arial" w:cs="Arial"/>
          <w:bCs/>
          <w:sz w:val="24"/>
          <w:szCs w:val="24"/>
        </w:rPr>
      </w:pPr>
    </w:p>
    <w:p w14:paraId="090F5944" w14:textId="77777777" w:rsidR="00F54BBF" w:rsidRPr="000228BE" w:rsidRDefault="00F54BBF" w:rsidP="00F54BBF">
      <w:pPr>
        <w:spacing w:after="240" w:line="240" w:lineRule="auto"/>
        <w:ind w:firstLine="720"/>
        <w:jc w:val="both"/>
        <w:rPr>
          <w:rFonts w:ascii="Arial" w:hAnsi="Arial" w:cs="Arial"/>
          <w:color w:val="000000" w:themeColor="text1"/>
          <w:sz w:val="24"/>
          <w:szCs w:val="24"/>
        </w:rPr>
      </w:pPr>
      <w:r w:rsidRPr="000228BE">
        <w:rPr>
          <w:rFonts w:ascii="Arial" w:hAnsi="Arial" w:cs="Arial"/>
          <w:sz w:val="24"/>
          <w:szCs w:val="24"/>
          <w:shd w:val="clear" w:color="auto" w:fill="FFFFFF"/>
        </w:rPr>
        <w:t>Хэлэлцэн шийдвэрлэнэ үү.</w:t>
      </w:r>
    </w:p>
    <w:p w14:paraId="2CE040F9" w14:textId="77777777" w:rsidR="007571BD" w:rsidRPr="000228BE" w:rsidRDefault="007571BD"/>
    <w:sectPr w:rsidR="007571BD" w:rsidRPr="000228BE" w:rsidSect="00B6312D">
      <w:pgSz w:w="11906" w:h="16838"/>
      <w:pgMar w:top="1440" w:right="113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42977"/>
    <w:multiLevelType w:val="hybridMultilevel"/>
    <w:tmpl w:val="E4647BE4"/>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BF"/>
    <w:rsid w:val="00005D2F"/>
    <w:rsid w:val="000228BE"/>
    <w:rsid w:val="00027E8E"/>
    <w:rsid w:val="000311A3"/>
    <w:rsid w:val="00036ACA"/>
    <w:rsid w:val="000634A8"/>
    <w:rsid w:val="000666F8"/>
    <w:rsid w:val="00072718"/>
    <w:rsid w:val="00084B5C"/>
    <w:rsid w:val="000927E5"/>
    <w:rsid w:val="000A54A8"/>
    <w:rsid w:val="000B170A"/>
    <w:rsid w:val="000C7DD6"/>
    <w:rsid w:val="000E0EDC"/>
    <w:rsid w:val="000E6968"/>
    <w:rsid w:val="000F2893"/>
    <w:rsid w:val="000F7B25"/>
    <w:rsid w:val="00112F15"/>
    <w:rsid w:val="001152FD"/>
    <w:rsid w:val="001232EC"/>
    <w:rsid w:val="00136B23"/>
    <w:rsid w:val="00142C96"/>
    <w:rsid w:val="00143CA0"/>
    <w:rsid w:val="001475A5"/>
    <w:rsid w:val="00161859"/>
    <w:rsid w:val="00163094"/>
    <w:rsid w:val="00166F52"/>
    <w:rsid w:val="0017358E"/>
    <w:rsid w:val="001752C1"/>
    <w:rsid w:val="001846E3"/>
    <w:rsid w:val="00190F83"/>
    <w:rsid w:val="001B291C"/>
    <w:rsid w:val="001C2E36"/>
    <w:rsid w:val="001C51F5"/>
    <w:rsid w:val="001E2CFC"/>
    <w:rsid w:val="001E5B7E"/>
    <w:rsid w:val="001E6683"/>
    <w:rsid w:val="002037F7"/>
    <w:rsid w:val="00206087"/>
    <w:rsid w:val="00217D5D"/>
    <w:rsid w:val="00222D87"/>
    <w:rsid w:val="00225984"/>
    <w:rsid w:val="00235E71"/>
    <w:rsid w:val="0025295E"/>
    <w:rsid w:val="00253D64"/>
    <w:rsid w:val="00255351"/>
    <w:rsid w:val="00256AD8"/>
    <w:rsid w:val="00264F40"/>
    <w:rsid w:val="00290110"/>
    <w:rsid w:val="002A3769"/>
    <w:rsid w:val="002B4259"/>
    <w:rsid w:val="002C0673"/>
    <w:rsid w:val="002C45AB"/>
    <w:rsid w:val="002E0C3F"/>
    <w:rsid w:val="002E4001"/>
    <w:rsid w:val="002E5084"/>
    <w:rsid w:val="002F7D0C"/>
    <w:rsid w:val="0030295F"/>
    <w:rsid w:val="00303424"/>
    <w:rsid w:val="0030635A"/>
    <w:rsid w:val="00311A19"/>
    <w:rsid w:val="00317D60"/>
    <w:rsid w:val="00337F03"/>
    <w:rsid w:val="00360F56"/>
    <w:rsid w:val="00361D30"/>
    <w:rsid w:val="0036758F"/>
    <w:rsid w:val="0037201D"/>
    <w:rsid w:val="00375BF2"/>
    <w:rsid w:val="00394A0C"/>
    <w:rsid w:val="00396767"/>
    <w:rsid w:val="003A67DE"/>
    <w:rsid w:val="003C7A63"/>
    <w:rsid w:val="003E1576"/>
    <w:rsid w:val="003E2ED6"/>
    <w:rsid w:val="00405C1F"/>
    <w:rsid w:val="00416BD4"/>
    <w:rsid w:val="00434C1A"/>
    <w:rsid w:val="004569B5"/>
    <w:rsid w:val="00474F87"/>
    <w:rsid w:val="0048472B"/>
    <w:rsid w:val="004855B9"/>
    <w:rsid w:val="00492ED5"/>
    <w:rsid w:val="00496BEA"/>
    <w:rsid w:val="004B74E5"/>
    <w:rsid w:val="004C0E2E"/>
    <w:rsid w:val="004C50DF"/>
    <w:rsid w:val="004D7ED6"/>
    <w:rsid w:val="004E6025"/>
    <w:rsid w:val="004F11E1"/>
    <w:rsid w:val="004F70BF"/>
    <w:rsid w:val="0055164F"/>
    <w:rsid w:val="00565E15"/>
    <w:rsid w:val="00567CDE"/>
    <w:rsid w:val="005745CA"/>
    <w:rsid w:val="005A03AD"/>
    <w:rsid w:val="005A0B43"/>
    <w:rsid w:val="005A1CB9"/>
    <w:rsid w:val="005A4D41"/>
    <w:rsid w:val="005A750A"/>
    <w:rsid w:val="005A7E5B"/>
    <w:rsid w:val="005B5ABF"/>
    <w:rsid w:val="005C7284"/>
    <w:rsid w:val="005D7F17"/>
    <w:rsid w:val="005E02BA"/>
    <w:rsid w:val="005E5206"/>
    <w:rsid w:val="005E7731"/>
    <w:rsid w:val="005F5CA1"/>
    <w:rsid w:val="006163C9"/>
    <w:rsid w:val="0064134E"/>
    <w:rsid w:val="00644F7B"/>
    <w:rsid w:val="00656227"/>
    <w:rsid w:val="00661D93"/>
    <w:rsid w:val="00676C70"/>
    <w:rsid w:val="006A6A29"/>
    <w:rsid w:val="006B1438"/>
    <w:rsid w:val="006B7540"/>
    <w:rsid w:val="006D59BD"/>
    <w:rsid w:val="006E1F53"/>
    <w:rsid w:val="006E30B5"/>
    <w:rsid w:val="006E6C23"/>
    <w:rsid w:val="006F090A"/>
    <w:rsid w:val="00717652"/>
    <w:rsid w:val="007556D6"/>
    <w:rsid w:val="007571BD"/>
    <w:rsid w:val="007655EF"/>
    <w:rsid w:val="00792034"/>
    <w:rsid w:val="007B5226"/>
    <w:rsid w:val="007D452C"/>
    <w:rsid w:val="007E16E7"/>
    <w:rsid w:val="007F10AB"/>
    <w:rsid w:val="0080044C"/>
    <w:rsid w:val="00804C53"/>
    <w:rsid w:val="008078DF"/>
    <w:rsid w:val="008355B3"/>
    <w:rsid w:val="008470DD"/>
    <w:rsid w:val="008508CD"/>
    <w:rsid w:val="00862E2E"/>
    <w:rsid w:val="00876FC7"/>
    <w:rsid w:val="00880535"/>
    <w:rsid w:val="00882CF9"/>
    <w:rsid w:val="008858F1"/>
    <w:rsid w:val="008A3316"/>
    <w:rsid w:val="008C4983"/>
    <w:rsid w:val="008D7809"/>
    <w:rsid w:val="008F01DE"/>
    <w:rsid w:val="008F166F"/>
    <w:rsid w:val="00903CDB"/>
    <w:rsid w:val="009443EA"/>
    <w:rsid w:val="009476A6"/>
    <w:rsid w:val="00953923"/>
    <w:rsid w:val="00960AC4"/>
    <w:rsid w:val="00967213"/>
    <w:rsid w:val="00983898"/>
    <w:rsid w:val="00992655"/>
    <w:rsid w:val="00992A19"/>
    <w:rsid w:val="009B3564"/>
    <w:rsid w:val="009C5FA1"/>
    <w:rsid w:val="009C7867"/>
    <w:rsid w:val="009F5D74"/>
    <w:rsid w:val="00A147D7"/>
    <w:rsid w:val="00A25A3C"/>
    <w:rsid w:val="00A405FE"/>
    <w:rsid w:val="00A43EF9"/>
    <w:rsid w:val="00A50A04"/>
    <w:rsid w:val="00A54952"/>
    <w:rsid w:val="00A57222"/>
    <w:rsid w:val="00A61510"/>
    <w:rsid w:val="00A92CC4"/>
    <w:rsid w:val="00AA0E02"/>
    <w:rsid w:val="00AA107E"/>
    <w:rsid w:val="00AC5539"/>
    <w:rsid w:val="00AD2F9E"/>
    <w:rsid w:val="00AF06B7"/>
    <w:rsid w:val="00AF30E8"/>
    <w:rsid w:val="00AF5DE1"/>
    <w:rsid w:val="00B1342A"/>
    <w:rsid w:val="00B1724B"/>
    <w:rsid w:val="00B21E77"/>
    <w:rsid w:val="00B23CAF"/>
    <w:rsid w:val="00B2686E"/>
    <w:rsid w:val="00B44133"/>
    <w:rsid w:val="00B45396"/>
    <w:rsid w:val="00B45BD7"/>
    <w:rsid w:val="00B508A1"/>
    <w:rsid w:val="00B6312D"/>
    <w:rsid w:val="00B635D8"/>
    <w:rsid w:val="00B66174"/>
    <w:rsid w:val="00B72490"/>
    <w:rsid w:val="00B73A84"/>
    <w:rsid w:val="00B835BF"/>
    <w:rsid w:val="00BA1441"/>
    <w:rsid w:val="00BB3C07"/>
    <w:rsid w:val="00BC3A9D"/>
    <w:rsid w:val="00BD3F3F"/>
    <w:rsid w:val="00BD4678"/>
    <w:rsid w:val="00BD6FBE"/>
    <w:rsid w:val="00BE698C"/>
    <w:rsid w:val="00C0024F"/>
    <w:rsid w:val="00C05327"/>
    <w:rsid w:val="00C05874"/>
    <w:rsid w:val="00C16270"/>
    <w:rsid w:val="00C211AD"/>
    <w:rsid w:val="00C27FB9"/>
    <w:rsid w:val="00C53286"/>
    <w:rsid w:val="00C542C3"/>
    <w:rsid w:val="00C7424F"/>
    <w:rsid w:val="00C94FDC"/>
    <w:rsid w:val="00CA5269"/>
    <w:rsid w:val="00CD1164"/>
    <w:rsid w:val="00CD349D"/>
    <w:rsid w:val="00CE66A1"/>
    <w:rsid w:val="00D122E6"/>
    <w:rsid w:val="00D2477A"/>
    <w:rsid w:val="00D27232"/>
    <w:rsid w:val="00D344CE"/>
    <w:rsid w:val="00D47AD2"/>
    <w:rsid w:val="00D60D94"/>
    <w:rsid w:val="00D60EAE"/>
    <w:rsid w:val="00D6706B"/>
    <w:rsid w:val="00D7621E"/>
    <w:rsid w:val="00D934EE"/>
    <w:rsid w:val="00DA6A1D"/>
    <w:rsid w:val="00DC2FD3"/>
    <w:rsid w:val="00DE7D2E"/>
    <w:rsid w:val="00DF50A0"/>
    <w:rsid w:val="00E03DD3"/>
    <w:rsid w:val="00E27ACB"/>
    <w:rsid w:val="00E46531"/>
    <w:rsid w:val="00E95BAF"/>
    <w:rsid w:val="00EB2A73"/>
    <w:rsid w:val="00EC4286"/>
    <w:rsid w:val="00EE1E22"/>
    <w:rsid w:val="00EF0BE8"/>
    <w:rsid w:val="00EF4DC7"/>
    <w:rsid w:val="00EF6318"/>
    <w:rsid w:val="00F2794D"/>
    <w:rsid w:val="00F361FB"/>
    <w:rsid w:val="00F54BBF"/>
    <w:rsid w:val="00F638D3"/>
    <w:rsid w:val="00F7400B"/>
    <w:rsid w:val="00F74B6A"/>
    <w:rsid w:val="00F80A28"/>
    <w:rsid w:val="00F82C2A"/>
    <w:rsid w:val="00F850B1"/>
    <w:rsid w:val="00F861B6"/>
    <w:rsid w:val="00FA189A"/>
    <w:rsid w:val="00FE79D6"/>
    <w:rsid w:val="00FE7D4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6C9E"/>
  <w15:chartTrackingRefBased/>
  <w15:docId w15:val="{9DE39971-FAF2-4BA0-AEFD-3E6CFCC0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12D"/>
    <w:pPr>
      <w:ind w:left="720"/>
      <w:contextualSpacing/>
    </w:pPr>
  </w:style>
  <w:style w:type="paragraph" w:customStyle="1" w:styleId="paragraph">
    <w:name w:val="paragraph"/>
    <w:basedOn w:val="Normal"/>
    <w:rsid w:val="0080044C"/>
    <w:pPr>
      <w:spacing w:before="100" w:beforeAutospacing="1" w:after="100" w:afterAutospacing="1" w:line="240" w:lineRule="auto"/>
    </w:pPr>
    <w:rPr>
      <w:rFonts w:ascii="Times" w:eastAsiaTheme="minorEastAsia" w:hAnsi="Times"/>
      <w:sz w:val="20"/>
      <w:szCs w:val="20"/>
      <w:lang w:val="en-US"/>
    </w:rPr>
  </w:style>
  <w:style w:type="character" w:customStyle="1" w:styleId="normaltextrun">
    <w:name w:val="normaltextrun"/>
    <w:basedOn w:val="DefaultParagraphFont"/>
    <w:rsid w:val="0080044C"/>
  </w:style>
  <w:style w:type="character" w:customStyle="1" w:styleId="eop">
    <w:name w:val="eop"/>
    <w:basedOn w:val="DefaultParagraphFont"/>
    <w:rsid w:val="0080044C"/>
  </w:style>
  <w:style w:type="paragraph" w:styleId="BalloonText">
    <w:name w:val="Balloon Text"/>
    <w:basedOn w:val="Normal"/>
    <w:link w:val="BalloonTextChar"/>
    <w:uiPriority w:val="99"/>
    <w:semiHidden/>
    <w:unhideWhenUsed/>
    <w:rsid w:val="00AF0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Sanjragchaa</dc:creator>
  <cp:keywords/>
  <dc:description/>
  <cp:lastModifiedBy>Sanjragchaa</cp:lastModifiedBy>
  <cp:revision>45</cp:revision>
  <cp:lastPrinted>2023-10-13T05:06:00Z</cp:lastPrinted>
  <dcterms:created xsi:type="dcterms:W3CDTF">2023-10-02T05:06:00Z</dcterms:created>
  <dcterms:modified xsi:type="dcterms:W3CDTF">2023-10-16T05:32:00Z</dcterms:modified>
</cp:coreProperties>
</file>