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C6E45" w14:textId="1249D73B" w:rsidR="00D05CFB" w:rsidRPr="00D05CFB" w:rsidRDefault="00D05CFB" w:rsidP="00203B95">
      <w:pPr>
        <w:spacing w:after="0"/>
        <w:contextualSpacing/>
        <w:jc w:val="center"/>
        <w:rPr>
          <w:rFonts w:ascii="Arial" w:hAnsi="Arial" w:cs="Arial"/>
          <w:sz w:val="24"/>
          <w:szCs w:val="24"/>
          <w:lang w:val="mn-MN"/>
        </w:rPr>
      </w:pPr>
      <w:r w:rsidRPr="00D05CFB">
        <w:rPr>
          <w:rFonts w:ascii="Arial" w:hAnsi="Arial" w:cs="Arial"/>
          <w:sz w:val="24"/>
          <w:szCs w:val="24"/>
          <w:lang w:val="mn-MN"/>
        </w:rPr>
        <w:t xml:space="preserve">ЗАСГИЙН ГАЗРЫН ТУСГАЙ САНГИЙН ТУХАЙ ХУУЛЬД ӨӨРЧЛӨЛТ ОРУУЛАХ </w:t>
      </w:r>
    </w:p>
    <w:p w14:paraId="690EA603" w14:textId="5828DB10" w:rsidR="001D1E52" w:rsidRPr="00D05CFB" w:rsidRDefault="00D05CFB" w:rsidP="00203B95">
      <w:pPr>
        <w:spacing w:after="0"/>
        <w:contextualSpacing/>
        <w:jc w:val="center"/>
        <w:rPr>
          <w:rFonts w:ascii="Arial" w:hAnsi="Arial" w:cs="Arial"/>
          <w:sz w:val="24"/>
          <w:szCs w:val="24"/>
          <w:lang w:val="mn-MN"/>
        </w:rPr>
      </w:pPr>
      <w:r w:rsidRPr="00D05CFB">
        <w:rPr>
          <w:rFonts w:ascii="Arial" w:hAnsi="Arial" w:cs="Arial"/>
          <w:sz w:val="24"/>
          <w:szCs w:val="24"/>
          <w:lang w:val="mn-MN"/>
        </w:rPr>
        <w:t>ТУХАЙ ХУУЛИЙН ТӨСЛИЙН ЗАРДЛЫН ТООЦООНЫ ТАЙЛАН</w:t>
      </w:r>
    </w:p>
    <w:p w14:paraId="61980B85" w14:textId="77777777" w:rsidR="00203B95" w:rsidRPr="00B26EAC" w:rsidRDefault="00203B95" w:rsidP="00D05CFB">
      <w:pPr>
        <w:spacing w:after="0" w:line="276" w:lineRule="auto"/>
        <w:contextualSpacing/>
        <w:jc w:val="center"/>
        <w:rPr>
          <w:rFonts w:ascii="Arial" w:hAnsi="Arial" w:cs="Arial"/>
          <w:b/>
          <w:bCs/>
          <w:sz w:val="24"/>
          <w:szCs w:val="24"/>
          <w:lang w:val="mn-MN"/>
        </w:rPr>
      </w:pPr>
    </w:p>
    <w:p w14:paraId="69C82312" w14:textId="41E2F71C" w:rsidR="001D1E52" w:rsidRDefault="001D1E52" w:rsidP="00D05CFB">
      <w:pPr>
        <w:spacing w:after="0" w:line="276" w:lineRule="auto"/>
        <w:ind w:firstLine="720"/>
        <w:jc w:val="both"/>
        <w:rPr>
          <w:rFonts w:ascii="Arial" w:hAnsi="Arial" w:cs="Arial"/>
          <w:sz w:val="24"/>
          <w:szCs w:val="24"/>
          <w:lang w:val="mn-MN"/>
        </w:rPr>
      </w:pPr>
      <w:r>
        <w:rPr>
          <w:rFonts w:ascii="Arial" w:hAnsi="Arial" w:cs="Arial"/>
          <w:sz w:val="24"/>
          <w:szCs w:val="24"/>
          <w:lang w:val="mn-MN"/>
        </w:rPr>
        <w:t xml:space="preserve">Засгийн газрын тусгай сангийн тухай хуульд өөрчлөлт оруулах тухай хуулийн </w:t>
      </w:r>
      <w:r w:rsidR="000A759F">
        <w:rPr>
          <w:rFonts w:ascii="Arial" w:hAnsi="Arial" w:cs="Arial"/>
          <w:sz w:val="24"/>
          <w:szCs w:val="24"/>
          <w:lang w:val="mn-MN"/>
        </w:rPr>
        <w:t>төслийг хэрэгжүүлэхтэй холбогдуулан гарах зардлыг Засгийн газрын 2016 оны 59 дүгээр тогтоолын</w:t>
      </w:r>
      <w:r w:rsidR="00F66E37">
        <w:rPr>
          <w:rFonts w:ascii="Arial" w:hAnsi="Arial" w:cs="Arial"/>
          <w:sz w:val="24"/>
          <w:szCs w:val="24"/>
          <w:lang w:val="mn-MN"/>
        </w:rPr>
        <w:t xml:space="preserve"> </w:t>
      </w:r>
      <w:r w:rsidR="000A759F">
        <w:rPr>
          <w:rFonts w:ascii="Arial" w:hAnsi="Arial" w:cs="Arial"/>
          <w:sz w:val="24"/>
          <w:szCs w:val="24"/>
          <w:lang w:val="mn-MN"/>
        </w:rPr>
        <w:t>4</w:t>
      </w:r>
      <w:r w:rsidR="00F70942">
        <w:rPr>
          <w:rFonts w:ascii="Arial" w:hAnsi="Arial" w:cs="Arial"/>
          <w:sz w:val="24"/>
          <w:szCs w:val="24"/>
          <w:lang w:val="mn-MN"/>
        </w:rPr>
        <w:t xml:space="preserve"> </w:t>
      </w:r>
      <w:r w:rsidR="000A759F">
        <w:rPr>
          <w:rFonts w:ascii="Arial" w:hAnsi="Arial" w:cs="Arial"/>
          <w:sz w:val="24"/>
          <w:szCs w:val="24"/>
          <w:lang w:val="mn-MN"/>
        </w:rPr>
        <w:t xml:space="preserve">дүгээр хавсралтаар батлагдсан Хууль тогтоомжийг хэрэгжүүлэхтэй холбогдон гарах зардлын тооцоо хийх аргачлалын дагуу хийлээ. </w:t>
      </w:r>
    </w:p>
    <w:p w14:paraId="20EB11F4" w14:textId="77777777" w:rsidR="00D05CFB" w:rsidRDefault="00D05CFB" w:rsidP="00D05CFB">
      <w:pPr>
        <w:spacing w:after="0" w:line="276" w:lineRule="auto"/>
        <w:ind w:firstLine="720"/>
        <w:jc w:val="both"/>
        <w:rPr>
          <w:rFonts w:ascii="Arial" w:hAnsi="Arial" w:cs="Arial"/>
          <w:b/>
          <w:bCs/>
          <w:sz w:val="24"/>
          <w:szCs w:val="24"/>
          <w:lang w:val="mn-MN"/>
        </w:rPr>
      </w:pPr>
    </w:p>
    <w:p w14:paraId="17AD9C70" w14:textId="6BE08F6C" w:rsidR="00B26EAC" w:rsidRPr="00D05CFB" w:rsidRDefault="00EB77E3" w:rsidP="00D05CFB">
      <w:pPr>
        <w:spacing w:after="0" w:line="276" w:lineRule="auto"/>
        <w:ind w:firstLine="720"/>
        <w:jc w:val="both"/>
        <w:rPr>
          <w:rFonts w:ascii="Arial" w:hAnsi="Arial" w:cs="Arial"/>
          <w:b/>
          <w:bCs/>
          <w:sz w:val="24"/>
          <w:szCs w:val="24"/>
          <w:lang w:val="mn-MN"/>
        </w:rPr>
      </w:pPr>
      <w:r w:rsidRPr="00D05CFB">
        <w:rPr>
          <w:rFonts w:ascii="Arial" w:hAnsi="Arial" w:cs="Arial"/>
          <w:b/>
          <w:bCs/>
          <w:sz w:val="24"/>
          <w:szCs w:val="24"/>
          <w:lang w:val="mn-MN"/>
        </w:rPr>
        <w:t>Нэг</w:t>
      </w:r>
      <w:r w:rsidR="00B26EAC" w:rsidRPr="00D05CFB">
        <w:rPr>
          <w:rFonts w:ascii="Arial" w:hAnsi="Arial" w:cs="Arial"/>
          <w:b/>
          <w:bCs/>
          <w:sz w:val="24"/>
          <w:szCs w:val="24"/>
          <w:lang w:val="mn-MN"/>
        </w:rPr>
        <w:t>. Хуулийн этгээд</w:t>
      </w:r>
      <w:r w:rsidRPr="00D05CFB">
        <w:rPr>
          <w:rFonts w:ascii="Arial" w:hAnsi="Arial" w:cs="Arial"/>
          <w:b/>
          <w:bCs/>
          <w:sz w:val="24"/>
          <w:szCs w:val="24"/>
          <w:lang w:val="mn-MN"/>
        </w:rPr>
        <w:t>ийн</w:t>
      </w:r>
      <w:r w:rsidR="00B26EAC" w:rsidRPr="00D05CFB">
        <w:rPr>
          <w:rFonts w:ascii="Arial" w:hAnsi="Arial" w:cs="Arial"/>
          <w:b/>
          <w:bCs/>
          <w:sz w:val="24"/>
          <w:szCs w:val="24"/>
          <w:lang w:val="mn-MN"/>
        </w:rPr>
        <w:t xml:space="preserve"> зардал</w:t>
      </w:r>
    </w:p>
    <w:p w14:paraId="506CCD1C" w14:textId="0C099FB6" w:rsidR="00117682" w:rsidRPr="00F66E37" w:rsidRDefault="007C0094" w:rsidP="00D05CFB">
      <w:pPr>
        <w:spacing w:after="0" w:line="276" w:lineRule="auto"/>
        <w:ind w:firstLine="720"/>
        <w:jc w:val="both"/>
        <w:rPr>
          <w:rFonts w:ascii="Arial" w:hAnsi="Arial" w:cs="Arial"/>
          <w:sz w:val="24"/>
          <w:szCs w:val="24"/>
          <w:lang w:val="mn-MN"/>
        </w:rPr>
      </w:pPr>
      <w:r>
        <w:rPr>
          <w:rFonts w:ascii="Arial" w:hAnsi="Arial" w:cs="Arial"/>
          <w:sz w:val="24"/>
          <w:szCs w:val="24"/>
          <w:lang w:val="mn-MN"/>
        </w:rPr>
        <w:t>Засгийн газрын тусгай сангийн тухай хуульд өөрчлөлт оруулах тухай хуулийн төслийг хэрэгжүүлэх</w:t>
      </w:r>
      <w:r w:rsidR="00EB77E3">
        <w:rPr>
          <w:rFonts w:ascii="Arial" w:hAnsi="Arial" w:cs="Arial"/>
          <w:sz w:val="24"/>
          <w:szCs w:val="24"/>
          <w:lang w:val="mn-MN"/>
        </w:rPr>
        <w:t>тэй холбоотойгоор хуулийн этгээдэд заавал биелүүлэх шинжтэй үүрэг хариуцлага тусгаагүй тул нэмэгдэл зардал үүсэхгүй.</w:t>
      </w:r>
    </w:p>
    <w:p w14:paraId="63EF26BC" w14:textId="77777777" w:rsidR="00D05CFB" w:rsidRDefault="00D05CFB" w:rsidP="00D05CFB">
      <w:pPr>
        <w:spacing w:after="0" w:line="276" w:lineRule="auto"/>
        <w:ind w:firstLine="720"/>
        <w:jc w:val="both"/>
        <w:rPr>
          <w:rFonts w:ascii="Arial" w:hAnsi="Arial" w:cs="Arial"/>
          <w:b/>
          <w:bCs/>
          <w:sz w:val="24"/>
          <w:szCs w:val="24"/>
          <w:lang w:val="mn-MN"/>
        </w:rPr>
      </w:pPr>
    </w:p>
    <w:p w14:paraId="09BE041F" w14:textId="751C90E2" w:rsidR="00117682" w:rsidRPr="00D05CFB" w:rsidRDefault="00557D32" w:rsidP="00D05CFB">
      <w:pPr>
        <w:spacing w:after="0" w:line="276" w:lineRule="auto"/>
        <w:ind w:firstLine="720"/>
        <w:jc w:val="both"/>
        <w:rPr>
          <w:rFonts w:ascii="Arial" w:hAnsi="Arial" w:cs="Arial"/>
          <w:b/>
          <w:bCs/>
          <w:sz w:val="24"/>
          <w:szCs w:val="24"/>
          <w:lang w:val="mn-MN"/>
        </w:rPr>
      </w:pPr>
      <w:r w:rsidRPr="00D05CFB">
        <w:rPr>
          <w:rFonts w:ascii="Arial" w:hAnsi="Arial" w:cs="Arial"/>
          <w:b/>
          <w:bCs/>
          <w:sz w:val="24"/>
          <w:szCs w:val="24"/>
          <w:lang w:val="mn-MN"/>
        </w:rPr>
        <w:t xml:space="preserve">Хоёр. </w:t>
      </w:r>
      <w:r w:rsidR="00117682" w:rsidRPr="00D05CFB">
        <w:rPr>
          <w:rFonts w:ascii="Arial" w:hAnsi="Arial" w:cs="Arial"/>
          <w:b/>
          <w:bCs/>
          <w:sz w:val="24"/>
          <w:szCs w:val="24"/>
          <w:lang w:val="mn-MN"/>
        </w:rPr>
        <w:t>Иргэн</w:t>
      </w:r>
      <w:r w:rsidR="00EB77E3" w:rsidRPr="00D05CFB">
        <w:rPr>
          <w:rFonts w:ascii="Arial" w:hAnsi="Arial" w:cs="Arial"/>
          <w:b/>
          <w:bCs/>
          <w:sz w:val="24"/>
          <w:szCs w:val="24"/>
          <w:lang w:val="mn-MN"/>
        </w:rPr>
        <w:t>ий үүсэх зардал</w:t>
      </w:r>
    </w:p>
    <w:p w14:paraId="6ACF4155" w14:textId="748648A5" w:rsidR="00EB77E3" w:rsidRPr="00FD263C" w:rsidRDefault="00117682" w:rsidP="00D05CFB">
      <w:pPr>
        <w:spacing w:after="0" w:line="276" w:lineRule="auto"/>
        <w:jc w:val="both"/>
        <w:rPr>
          <w:rFonts w:ascii="Arial" w:hAnsi="Arial" w:cs="Arial"/>
          <w:sz w:val="24"/>
          <w:szCs w:val="24"/>
          <w:lang w:val="mn-MN"/>
        </w:rPr>
      </w:pPr>
      <w:r>
        <w:rPr>
          <w:rFonts w:ascii="Arial" w:hAnsi="Arial" w:cs="Arial"/>
          <w:sz w:val="24"/>
          <w:szCs w:val="24"/>
          <w:lang w:val="mn-MN"/>
        </w:rPr>
        <w:tab/>
      </w:r>
      <w:r w:rsidR="00FD263C" w:rsidRPr="00FD263C">
        <w:rPr>
          <w:rFonts w:ascii="Arial" w:hAnsi="Arial" w:cs="Arial"/>
          <w:sz w:val="24"/>
          <w:szCs w:val="24"/>
          <w:lang w:val="mn-MN"/>
        </w:rPr>
        <w:t>Уг</w:t>
      </w:r>
      <w:r w:rsidRPr="00FD263C">
        <w:rPr>
          <w:rFonts w:ascii="Arial" w:hAnsi="Arial" w:cs="Arial"/>
          <w:sz w:val="24"/>
          <w:szCs w:val="24"/>
          <w:lang w:val="mn-MN"/>
        </w:rPr>
        <w:t xml:space="preserve"> хуулийн төс</w:t>
      </w:r>
      <w:r w:rsidR="00BC3231">
        <w:rPr>
          <w:rFonts w:ascii="Arial" w:hAnsi="Arial" w:cs="Arial"/>
          <w:sz w:val="24"/>
          <w:szCs w:val="24"/>
          <w:lang w:val="mn-MN"/>
        </w:rPr>
        <w:t>лийг хэрэгжүүлэхэд</w:t>
      </w:r>
      <w:r w:rsidRPr="00FD263C">
        <w:rPr>
          <w:rFonts w:ascii="Arial" w:hAnsi="Arial" w:cs="Arial"/>
          <w:sz w:val="24"/>
          <w:szCs w:val="24"/>
          <w:lang w:val="mn-MN"/>
        </w:rPr>
        <w:t xml:space="preserve"> иргэнд үүрэг хүлээлгэсэн зохицуулалт </w:t>
      </w:r>
      <w:r w:rsidR="00583E60">
        <w:rPr>
          <w:rFonts w:ascii="Arial" w:hAnsi="Arial" w:cs="Arial"/>
          <w:sz w:val="24"/>
          <w:szCs w:val="24"/>
          <w:lang w:val="mn-MN"/>
        </w:rPr>
        <w:t>тусгагдаагүй</w:t>
      </w:r>
      <w:r w:rsidRPr="00FD263C">
        <w:rPr>
          <w:rFonts w:ascii="Arial" w:hAnsi="Arial" w:cs="Arial"/>
          <w:sz w:val="24"/>
          <w:szCs w:val="24"/>
          <w:lang w:val="mn-MN"/>
        </w:rPr>
        <w:t xml:space="preserve"> </w:t>
      </w:r>
      <w:r w:rsidR="00BC3231">
        <w:rPr>
          <w:rFonts w:ascii="Arial" w:hAnsi="Arial" w:cs="Arial"/>
          <w:sz w:val="24"/>
          <w:szCs w:val="24"/>
          <w:lang w:val="mn-MN"/>
        </w:rPr>
        <w:t>тул иргэнд</w:t>
      </w:r>
      <w:r w:rsidR="00EB77E3" w:rsidRPr="00F66E37">
        <w:rPr>
          <w:rFonts w:ascii="Arial" w:hAnsi="Arial" w:cs="Arial"/>
          <w:sz w:val="24"/>
          <w:szCs w:val="24"/>
          <w:lang w:val="mn-MN"/>
        </w:rPr>
        <w:t xml:space="preserve"> үүсэх зардал байхгүй</w:t>
      </w:r>
      <w:r w:rsidR="00BC3231">
        <w:rPr>
          <w:rFonts w:ascii="Arial" w:hAnsi="Arial" w:cs="Arial"/>
          <w:sz w:val="24"/>
          <w:szCs w:val="24"/>
          <w:lang w:val="mn-MN"/>
        </w:rPr>
        <w:t xml:space="preserve"> болно</w:t>
      </w:r>
      <w:r w:rsidR="00EB77E3" w:rsidRPr="00F66E37">
        <w:rPr>
          <w:rFonts w:ascii="Arial" w:hAnsi="Arial" w:cs="Arial"/>
          <w:sz w:val="24"/>
          <w:szCs w:val="24"/>
          <w:lang w:val="mn-MN"/>
        </w:rPr>
        <w:t>.</w:t>
      </w:r>
      <w:r w:rsidRPr="00FD263C">
        <w:rPr>
          <w:rFonts w:ascii="Arial" w:hAnsi="Arial" w:cs="Arial"/>
          <w:sz w:val="24"/>
          <w:szCs w:val="24"/>
          <w:lang w:val="mn-MN"/>
        </w:rPr>
        <w:tab/>
      </w:r>
    </w:p>
    <w:p w14:paraId="723F76E6" w14:textId="77777777" w:rsidR="00D05CFB" w:rsidRDefault="00D05CFB" w:rsidP="00D05CFB">
      <w:pPr>
        <w:spacing w:after="0" w:line="276" w:lineRule="auto"/>
        <w:ind w:firstLine="720"/>
        <w:jc w:val="both"/>
        <w:rPr>
          <w:rFonts w:ascii="Arial" w:hAnsi="Arial" w:cs="Arial"/>
          <w:b/>
          <w:bCs/>
          <w:sz w:val="24"/>
          <w:szCs w:val="24"/>
          <w:lang w:val="mn-MN"/>
        </w:rPr>
      </w:pPr>
    </w:p>
    <w:p w14:paraId="6FC023D9" w14:textId="68ADE538" w:rsidR="00A476C2" w:rsidRPr="00D05CFB" w:rsidRDefault="00EB77E3" w:rsidP="00D05CFB">
      <w:pPr>
        <w:spacing w:after="0" w:line="276" w:lineRule="auto"/>
        <w:ind w:firstLine="720"/>
        <w:jc w:val="both"/>
        <w:rPr>
          <w:rFonts w:ascii="Arial" w:hAnsi="Arial" w:cs="Arial"/>
          <w:b/>
          <w:bCs/>
          <w:sz w:val="24"/>
          <w:szCs w:val="24"/>
          <w:lang w:val="mn-MN"/>
        </w:rPr>
      </w:pPr>
      <w:r w:rsidRPr="00D05CFB">
        <w:rPr>
          <w:rFonts w:ascii="Arial" w:hAnsi="Arial" w:cs="Arial"/>
          <w:b/>
          <w:bCs/>
          <w:sz w:val="24"/>
          <w:szCs w:val="24"/>
          <w:lang w:val="mn-MN"/>
        </w:rPr>
        <w:t>Гурав. Төрийн байгууллагын зардал</w:t>
      </w:r>
    </w:p>
    <w:p w14:paraId="44C814A4" w14:textId="75CB09E4" w:rsidR="00617AE6" w:rsidRDefault="00617AE6" w:rsidP="00D05CFB">
      <w:pPr>
        <w:spacing w:after="0" w:line="276" w:lineRule="auto"/>
        <w:ind w:firstLine="720"/>
        <w:jc w:val="both"/>
        <w:rPr>
          <w:rFonts w:ascii="Arial" w:hAnsi="Arial" w:cs="Arial"/>
          <w:bCs/>
          <w:sz w:val="24"/>
          <w:szCs w:val="24"/>
          <w:lang w:val="mn-MN"/>
        </w:rPr>
      </w:pPr>
      <w:r w:rsidRPr="001A3CDA">
        <w:rPr>
          <w:rFonts w:ascii="Arial" w:hAnsi="Arial" w:cs="Arial"/>
          <w:bCs/>
          <w:sz w:val="24"/>
          <w:szCs w:val="24"/>
          <w:lang w:val="mn-MN"/>
        </w:rPr>
        <w:t xml:space="preserve">Засгийн газрын тусгай сангийн тухай хуулийн 19 дүгээр зүйлийн 19.2 дахь хэсэгт Эрүүл мэндийг дэмжих сангийн хөрөнгө нь хандив, тусламж, эргэн төлөгдөх нөхцөлгүй олгосон эх үүсвэр, архи, согтууруулах ундааны онцгой албан татварын 1 хувь, эмийн импортын гаалийн болон нэмэгдсэн өртгийн албан татварын 2 хувь, тамхины онцгой албан татварын 2 хувьтай тэнцэх хэмжээний хөрөнгөөс бүрдэнэ гэж заасан байдаг. </w:t>
      </w:r>
      <w:r w:rsidR="001A3CDA" w:rsidRPr="001A3CDA">
        <w:rPr>
          <w:rFonts w:ascii="Arial" w:hAnsi="Arial" w:cs="Arial"/>
          <w:bCs/>
          <w:sz w:val="24"/>
          <w:szCs w:val="24"/>
          <w:lang w:val="mn-MN"/>
        </w:rPr>
        <w:t>О</w:t>
      </w:r>
      <w:r w:rsidRPr="001A3CDA">
        <w:rPr>
          <w:rFonts w:ascii="Arial" w:hAnsi="Arial" w:cs="Arial"/>
          <w:sz w:val="24"/>
          <w:szCs w:val="24"/>
          <w:lang w:val="mn-MN"/>
        </w:rPr>
        <w:t xml:space="preserve">доогийн хүчин төгөлдөр мөрдөгдөж буй хууль, эрх зүйн хүрээнд Эрүүл мэндийг дэмжих санд татан төвлөрүүлэх орлогыг бүрэн татан төвлөрүүлж, Эрүүл мэндийн сайдын төсвийн багцад хуваарилж олговол </w:t>
      </w:r>
      <w:r w:rsidR="00421E50">
        <w:rPr>
          <w:rFonts w:ascii="Arial" w:hAnsi="Arial" w:cs="Arial"/>
          <w:bCs/>
          <w:sz w:val="24"/>
          <w:szCs w:val="24"/>
          <w:lang w:val="mn-MN"/>
        </w:rPr>
        <w:t>нийгмийн эрүүл мэндийн</w:t>
      </w:r>
      <w:r w:rsidR="001A3CDA" w:rsidRPr="001A3CDA">
        <w:rPr>
          <w:rFonts w:ascii="Arial" w:hAnsi="Arial" w:cs="Arial"/>
          <w:bCs/>
          <w:sz w:val="24"/>
          <w:szCs w:val="24"/>
          <w:lang w:val="mn-MN"/>
        </w:rPr>
        <w:t xml:space="preserve"> төсөл, арга хэмжээнүүдийн төлөвлөгөө</w:t>
      </w:r>
      <w:r w:rsidR="00421E50" w:rsidRPr="00F66E37">
        <w:rPr>
          <w:rFonts w:ascii="Arial" w:hAnsi="Arial" w:cs="Arial"/>
          <w:bCs/>
          <w:sz w:val="24"/>
          <w:szCs w:val="24"/>
          <w:lang w:val="mn-MN"/>
        </w:rPr>
        <w:t xml:space="preserve"> </w:t>
      </w:r>
      <w:r w:rsidR="00421E50">
        <w:rPr>
          <w:rFonts w:ascii="Arial" w:hAnsi="Arial" w:cs="Arial"/>
          <w:bCs/>
          <w:sz w:val="24"/>
          <w:szCs w:val="24"/>
          <w:lang w:val="mn-MN"/>
        </w:rPr>
        <w:t>болон эрүүл мэндийн тусламж, үйлчилгээнд орчин үеийн дэвшилтэт технологи шинээр нэвтрүүлэх</w:t>
      </w:r>
      <w:r w:rsidR="00BA4D35">
        <w:rPr>
          <w:rFonts w:ascii="Arial" w:hAnsi="Arial" w:cs="Arial"/>
          <w:bCs/>
          <w:sz w:val="24"/>
          <w:szCs w:val="24"/>
          <w:lang w:val="mn-MN"/>
        </w:rPr>
        <w:t xml:space="preserve">, нийгмийн дааттгалын шимтгэл төлж байгаагүй болон нийгмийн даатгалын шимтгэл төлөх хугацаа нь Нийгмийн даатгалын тухай хуульд заасан хугацаанд хүрэхгүй байгаа амьгүй донорт олгох оршуулгын тэтгэмж олгоход </w:t>
      </w:r>
      <w:r w:rsidR="001A3CDA" w:rsidRPr="001A3CDA">
        <w:rPr>
          <w:rFonts w:ascii="Arial" w:hAnsi="Arial" w:cs="Arial"/>
          <w:bCs/>
          <w:sz w:val="24"/>
          <w:szCs w:val="24"/>
          <w:lang w:val="mn-MN"/>
        </w:rPr>
        <w:t xml:space="preserve">шаардагдах санхүүжилтийн эх үүсвэрийг </w:t>
      </w:r>
      <w:r w:rsidR="00421E50">
        <w:rPr>
          <w:rFonts w:ascii="Arial" w:hAnsi="Arial" w:cs="Arial"/>
          <w:bCs/>
          <w:sz w:val="24"/>
          <w:szCs w:val="24"/>
          <w:lang w:val="mn-MN"/>
        </w:rPr>
        <w:t>шийдвэрлэх</w:t>
      </w:r>
      <w:r w:rsidR="001A3CDA" w:rsidRPr="001A3CDA">
        <w:rPr>
          <w:rFonts w:ascii="Arial" w:hAnsi="Arial" w:cs="Arial"/>
          <w:bCs/>
          <w:sz w:val="24"/>
          <w:szCs w:val="24"/>
          <w:lang w:val="mn-MN"/>
        </w:rPr>
        <w:t xml:space="preserve"> боломжтой талаар хуулийн төслийн үзэл баримтлалд тусгасан. Архи, согтууруулах ундаа, тамхины онцгой албан татвар, эмийн импортын гаалийн болон нэмэгдсэн өртгийн албан татварын орлогоос Засгийн газрын тусгай сангийн тухай хуульд заасан хувиар тооцож үзэхэд 2023 онд 1</w:t>
      </w:r>
      <w:r w:rsidR="00BA4D35" w:rsidRPr="005B37F0">
        <w:rPr>
          <w:rFonts w:ascii="Arial" w:hAnsi="Arial" w:cs="Arial"/>
          <w:bCs/>
          <w:sz w:val="24"/>
          <w:szCs w:val="24"/>
          <w:lang w:val="mn-MN"/>
        </w:rPr>
        <w:t>0</w:t>
      </w:r>
      <w:r w:rsidR="001A3CDA" w:rsidRPr="001A3CDA">
        <w:rPr>
          <w:rFonts w:ascii="Arial" w:hAnsi="Arial" w:cs="Arial"/>
          <w:bCs/>
          <w:sz w:val="24"/>
          <w:szCs w:val="24"/>
          <w:lang w:val="mn-MN"/>
        </w:rPr>
        <w:t xml:space="preserve"> тэрбум төгрөгийг эрүүл мэндийг дэмжих санд </w:t>
      </w:r>
      <w:r w:rsidR="00421E50">
        <w:rPr>
          <w:rFonts w:ascii="Arial" w:hAnsi="Arial" w:cs="Arial"/>
          <w:bCs/>
          <w:sz w:val="24"/>
          <w:szCs w:val="24"/>
          <w:lang w:val="mn-MN"/>
        </w:rPr>
        <w:t>хуваарилах</w:t>
      </w:r>
      <w:r w:rsidR="001A3CDA" w:rsidRPr="001A3CDA">
        <w:rPr>
          <w:rFonts w:ascii="Arial" w:hAnsi="Arial" w:cs="Arial"/>
          <w:bCs/>
          <w:sz w:val="24"/>
          <w:szCs w:val="24"/>
          <w:lang w:val="mn-MN"/>
        </w:rPr>
        <w:t xml:space="preserve"> боломжтой</w:t>
      </w:r>
      <w:r w:rsidR="0009732E">
        <w:rPr>
          <w:rFonts w:ascii="Arial" w:hAnsi="Arial" w:cs="Arial"/>
          <w:bCs/>
          <w:sz w:val="24"/>
          <w:szCs w:val="24"/>
          <w:lang w:val="mn-MN"/>
        </w:rPr>
        <w:t xml:space="preserve"> байна</w:t>
      </w:r>
      <w:r w:rsidR="001A3CDA">
        <w:rPr>
          <w:rFonts w:ascii="Arial" w:hAnsi="Arial" w:cs="Arial"/>
          <w:bCs/>
          <w:sz w:val="24"/>
          <w:szCs w:val="24"/>
          <w:lang w:val="mn-MN"/>
        </w:rPr>
        <w:t>.</w:t>
      </w:r>
    </w:p>
    <w:p w14:paraId="09475669" w14:textId="4A0E645A" w:rsidR="00935053" w:rsidRPr="00344221" w:rsidRDefault="00935053" w:rsidP="00D05CFB">
      <w:pPr>
        <w:spacing w:after="0" w:line="276" w:lineRule="auto"/>
        <w:ind w:firstLine="720"/>
        <w:jc w:val="both"/>
        <w:rPr>
          <w:rFonts w:ascii="Arial" w:hAnsi="Arial" w:cs="Arial"/>
          <w:bCs/>
          <w:sz w:val="24"/>
          <w:szCs w:val="24"/>
          <w:lang w:val="mn-MN"/>
        </w:rPr>
      </w:pPr>
      <w:r>
        <w:rPr>
          <w:rFonts w:ascii="Arial" w:hAnsi="Arial" w:cs="Arial"/>
          <w:bCs/>
          <w:sz w:val="24"/>
          <w:szCs w:val="24"/>
          <w:lang w:val="mn-MN"/>
        </w:rPr>
        <w:t xml:space="preserve">Тус 10 тэрбум төгрөгөөс урьдчилсан тооцооллоор нийгмийн эрүүл мэндийн мэдээлэл сургалт сурталчилгаа, эмийн зохистой хэрэглээг төлөвшүүлэх цогц арга хэмжээг хэрэгжүүлэхэд нийт санхүүжилтийн </w:t>
      </w:r>
      <w:r w:rsidRPr="005B37F0">
        <w:rPr>
          <w:rFonts w:ascii="Arial" w:hAnsi="Arial" w:cs="Arial"/>
          <w:bCs/>
          <w:sz w:val="24"/>
          <w:szCs w:val="24"/>
          <w:lang w:val="mn-MN"/>
        </w:rPr>
        <w:t xml:space="preserve">60 </w:t>
      </w:r>
      <w:r>
        <w:rPr>
          <w:rFonts w:ascii="Arial" w:hAnsi="Arial" w:cs="Arial"/>
          <w:bCs/>
          <w:sz w:val="24"/>
          <w:szCs w:val="24"/>
          <w:lang w:val="mn-MN"/>
        </w:rPr>
        <w:t>хувийг, гадаад эмчил</w:t>
      </w:r>
      <w:r w:rsidR="00344221">
        <w:rPr>
          <w:rFonts w:ascii="Arial" w:hAnsi="Arial" w:cs="Arial"/>
          <w:bCs/>
          <w:sz w:val="24"/>
          <w:szCs w:val="24"/>
          <w:lang w:val="mn-MN"/>
        </w:rPr>
        <w:t>г</w:t>
      </w:r>
      <w:r>
        <w:rPr>
          <w:rFonts w:ascii="Arial" w:hAnsi="Arial" w:cs="Arial"/>
          <w:bCs/>
          <w:sz w:val="24"/>
          <w:szCs w:val="24"/>
          <w:lang w:val="mn-MN"/>
        </w:rPr>
        <w:t>ээний зардалд  2</w:t>
      </w:r>
      <w:r w:rsidR="00430063" w:rsidRPr="005B37F0">
        <w:rPr>
          <w:rFonts w:ascii="Arial" w:hAnsi="Arial" w:cs="Arial"/>
          <w:bCs/>
          <w:sz w:val="24"/>
          <w:szCs w:val="24"/>
          <w:lang w:val="mn-MN"/>
        </w:rPr>
        <w:t>0</w:t>
      </w:r>
      <w:r>
        <w:rPr>
          <w:rFonts w:ascii="Arial" w:hAnsi="Arial" w:cs="Arial"/>
          <w:bCs/>
          <w:sz w:val="24"/>
          <w:szCs w:val="24"/>
          <w:lang w:val="mn-MN"/>
        </w:rPr>
        <w:t xml:space="preserve"> хувийг, </w:t>
      </w:r>
      <w:r w:rsidR="00344221">
        <w:rPr>
          <w:rFonts w:ascii="Arial" w:hAnsi="Arial" w:cs="Arial"/>
          <w:bCs/>
          <w:sz w:val="24"/>
          <w:szCs w:val="24"/>
          <w:lang w:val="mn-MN"/>
        </w:rPr>
        <w:t>э</w:t>
      </w:r>
      <w:r>
        <w:rPr>
          <w:rFonts w:ascii="Arial" w:hAnsi="Arial" w:cs="Arial"/>
          <w:bCs/>
          <w:sz w:val="24"/>
          <w:szCs w:val="24"/>
          <w:lang w:val="mn-MN"/>
        </w:rPr>
        <w:t>мчилгээ оношилгоо</w:t>
      </w:r>
      <w:r w:rsidR="00344221">
        <w:rPr>
          <w:rFonts w:ascii="Arial" w:hAnsi="Arial" w:cs="Arial"/>
          <w:bCs/>
          <w:sz w:val="24"/>
          <w:szCs w:val="24"/>
          <w:lang w:val="mn-MN"/>
        </w:rPr>
        <w:t xml:space="preserve">ны технологи нутагшуулахад </w:t>
      </w:r>
      <w:r w:rsidR="00430063" w:rsidRPr="005B37F0">
        <w:rPr>
          <w:rFonts w:ascii="Arial" w:hAnsi="Arial" w:cs="Arial"/>
          <w:bCs/>
          <w:sz w:val="24"/>
          <w:szCs w:val="24"/>
          <w:lang w:val="mn-MN"/>
        </w:rPr>
        <w:t>19.5</w:t>
      </w:r>
      <w:r w:rsidR="00344221">
        <w:rPr>
          <w:rFonts w:ascii="Arial" w:hAnsi="Arial" w:cs="Arial"/>
          <w:bCs/>
          <w:sz w:val="24"/>
          <w:szCs w:val="24"/>
          <w:lang w:val="mn-MN"/>
        </w:rPr>
        <w:t xml:space="preserve"> хүртлэх хувийг, амьгүй донорын оршуулгын зардалд </w:t>
      </w:r>
      <w:r w:rsidRPr="005B37F0">
        <w:rPr>
          <w:rFonts w:ascii="Arial" w:hAnsi="Arial" w:cs="Arial"/>
          <w:bCs/>
          <w:sz w:val="24"/>
          <w:szCs w:val="24"/>
          <w:lang w:val="mn-MN"/>
        </w:rPr>
        <w:t xml:space="preserve"> </w:t>
      </w:r>
      <w:r w:rsidR="00344221" w:rsidRPr="005B37F0">
        <w:rPr>
          <w:rFonts w:ascii="Arial" w:hAnsi="Arial" w:cs="Arial"/>
          <w:bCs/>
          <w:sz w:val="24"/>
          <w:szCs w:val="24"/>
          <w:lang w:val="mn-MN"/>
        </w:rPr>
        <w:t xml:space="preserve">0,5 </w:t>
      </w:r>
      <w:r w:rsidR="00344221">
        <w:rPr>
          <w:rFonts w:ascii="Arial" w:hAnsi="Arial" w:cs="Arial"/>
          <w:bCs/>
          <w:sz w:val="24"/>
          <w:szCs w:val="24"/>
          <w:lang w:val="mn-MN"/>
        </w:rPr>
        <w:t xml:space="preserve">хувийг тус тус зарцуулахаар тооцоолов. </w:t>
      </w:r>
    </w:p>
    <w:p w14:paraId="67DAD15E" w14:textId="7FDBB63B" w:rsidR="00EB77E3" w:rsidRDefault="001A3CDA" w:rsidP="00D05CFB">
      <w:pPr>
        <w:pStyle w:val="NormalWeb"/>
        <w:spacing w:before="0" w:beforeAutospacing="0" w:after="0" w:afterAutospacing="0" w:line="276" w:lineRule="auto"/>
        <w:ind w:firstLine="720"/>
        <w:jc w:val="both"/>
        <w:rPr>
          <w:rFonts w:ascii="Arial" w:hAnsi="Arial" w:cs="Arial"/>
          <w:lang w:val="mn-MN"/>
        </w:rPr>
      </w:pPr>
      <w:r>
        <w:rPr>
          <w:rFonts w:ascii="Arial" w:hAnsi="Arial" w:cs="Arial"/>
          <w:lang w:val="mn-MN"/>
        </w:rPr>
        <w:t xml:space="preserve">Иймээс </w:t>
      </w:r>
      <w:r w:rsidR="00EB77E3">
        <w:rPr>
          <w:rFonts w:ascii="Arial" w:hAnsi="Arial" w:cs="Arial"/>
          <w:lang w:val="mn-MN"/>
        </w:rPr>
        <w:t xml:space="preserve">Засгийн газрын тусгай сангийн тухай хуульд өөрчлөлт оруулах тухай хуулийн төслийн хувьд төрийн байгууллагатай холбоотой нэмэгдэл зардал гарахгүй бөгөөд одоогийн хүний нөөц, төсвийн хүрээнд хэрэгжүүлэх </w:t>
      </w:r>
      <w:r>
        <w:rPr>
          <w:rFonts w:ascii="Arial" w:hAnsi="Arial" w:cs="Arial"/>
          <w:lang w:val="mn-MN"/>
        </w:rPr>
        <w:t xml:space="preserve">бүрэн </w:t>
      </w:r>
      <w:r w:rsidR="00EB77E3">
        <w:rPr>
          <w:rFonts w:ascii="Arial" w:hAnsi="Arial" w:cs="Arial"/>
          <w:lang w:val="mn-MN"/>
        </w:rPr>
        <w:t>боломжтой.</w:t>
      </w:r>
    </w:p>
    <w:p w14:paraId="1C1E2698" w14:textId="77777777" w:rsidR="00D05CFB" w:rsidRDefault="00D05CFB" w:rsidP="00D05CFB">
      <w:pPr>
        <w:pStyle w:val="NormalWeb"/>
        <w:spacing w:before="0" w:beforeAutospacing="0" w:after="0" w:afterAutospacing="0" w:line="276" w:lineRule="auto"/>
        <w:ind w:firstLine="720"/>
        <w:jc w:val="both"/>
        <w:rPr>
          <w:rFonts w:ascii="Arial" w:hAnsi="Arial" w:cs="Arial"/>
          <w:lang w:val="mn-MN"/>
        </w:rPr>
      </w:pPr>
    </w:p>
    <w:p w14:paraId="58DDF076" w14:textId="69BF230C" w:rsidR="00290E32" w:rsidRPr="00290E32" w:rsidRDefault="00290E32" w:rsidP="00D05CFB">
      <w:pPr>
        <w:pStyle w:val="NormalWeb"/>
        <w:spacing w:before="0" w:beforeAutospacing="0" w:after="0" w:afterAutospacing="0"/>
        <w:ind w:firstLine="720"/>
        <w:jc w:val="right"/>
        <w:rPr>
          <w:rFonts w:ascii="Arial" w:hAnsi="Arial" w:cs="Arial"/>
          <w:i/>
          <w:iCs/>
          <w:lang w:val="mn-MN"/>
        </w:rPr>
      </w:pPr>
      <w:r w:rsidRPr="00290E32">
        <w:rPr>
          <w:rFonts w:ascii="Arial" w:hAnsi="Arial" w:cs="Arial"/>
          <w:i/>
          <w:iCs/>
          <w:lang w:val="mn-MN"/>
        </w:rPr>
        <w:t>Хүснэгт 1</w:t>
      </w:r>
    </w:p>
    <w:tbl>
      <w:tblPr>
        <w:tblStyle w:val="TableGrid"/>
        <w:tblW w:w="0" w:type="auto"/>
        <w:tblLook w:val="04A0" w:firstRow="1" w:lastRow="0" w:firstColumn="1" w:lastColumn="0" w:noHBand="0" w:noVBand="1"/>
      </w:tblPr>
      <w:tblGrid>
        <w:gridCol w:w="704"/>
        <w:gridCol w:w="5009"/>
        <w:gridCol w:w="1867"/>
        <w:gridCol w:w="1764"/>
      </w:tblGrid>
      <w:tr w:rsidR="005B37F0" w14:paraId="2827BA33" w14:textId="46EAA418" w:rsidTr="003769B5">
        <w:trPr>
          <w:trHeight w:val="301"/>
        </w:trPr>
        <w:tc>
          <w:tcPr>
            <w:tcW w:w="704" w:type="dxa"/>
          </w:tcPr>
          <w:p w14:paraId="694BDFD4" w14:textId="3790F2F5" w:rsidR="005B37F0" w:rsidRDefault="005B37F0" w:rsidP="00D05CFB">
            <w:pPr>
              <w:jc w:val="center"/>
              <w:rPr>
                <w:rFonts w:ascii="Arial" w:hAnsi="Arial" w:cs="Arial"/>
                <w:sz w:val="24"/>
                <w:szCs w:val="24"/>
                <w:lang w:val="mn-MN"/>
              </w:rPr>
            </w:pPr>
            <w:r>
              <w:rPr>
                <w:rFonts w:ascii="Arial" w:hAnsi="Arial" w:cs="Arial"/>
                <w:sz w:val="24"/>
                <w:szCs w:val="24"/>
                <w:lang w:val="mn-MN"/>
              </w:rPr>
              <w:t>№</w:t>
            </w:r>
          </w:p>
        </w:tc>
        <w:tc>
          <w:tcPr>
            <w:tcW w:w="5009" w:type="dxa"/>
          </w:tcPr>
          <w:p w14:paraId="1ED6B9D6" w14:textId="1FD7DEF4" w:rsidR="005B37F0" w:rsidRDefault="005B37F0" w:rsidP="00D05CFB">
            <w:pPr>
              <w:jc w:val="center"/>
              <w:rPr>
                <w:rFonts w:ascii="Arial" w:hAnsi="Arial" w:cs="Arial"/>
                <w:sz w:val="24"/>
                <w:szCs w:val="24"/>
                <w:lang w:val="mn-MN"/>
              </w:rPr>
            </w:pPr>
            <w:r>
              <w:rPr>
                <w:rFonts w:ascii="Arial" w:hAnsi="Arial" w:cs="Arial"/>
                <w:sz w:val="24"/>
                <w:szCs w:val="24"/>
                <w:lang w:val="mn-MN"/>
              </w:rPr>
              <w:t>Зардлын ангилал</w:t>
            </w:r>
          </w:p>
        </w:tc>
        <w:tc>
          <w:tcPr>
            <w:tcW w:w="1867" w:type="dxa"/>
          </w:tcPr>
          <w:p w14:paraId="54E0BB36" w14:textId="233520D4" w:rsidR="005B37F0" w:rsidRDefault="003769B5" w:rsidP="00D05CFB">
            <w:pPr>
              <w:jc w:val="center"/>
              <w:rPr>
                <w:rFonts w:ascii="Arial" w:hAnsi="Arial" w:cs="Arial"/>
                <w:sz w:val="24"/>
                <w:szCs w:val="24"/>
                <w:lang w:val="mn-MN"/>
              </w:rPr>
            </w:pPr>
            <w:r>
              <w:rPr>
                <w:rFonts w:ascii="Arial" w:hAnsi="Arial" w:cs="Arial"/>
                <w:sz w:val="24"/>
                <w:szCs w:val="24"/>
                <w:lang w:val="mn-MN"/>
              </w:rPr>
              <w:t>Санхүүжилт</w:t>
            </w:r>
          </w:p>
          <w:p w14:paraId="2EA40DDA" w14:textId="35224F7D" w:rsidR="003769B5" w:rsidRPr="003769B5" w:rsidRDefault="003769B5" w:rsidP="00D05CFB">
            <w:pPr>
              <w:jc w:val="center"/>
              <w:rPr>
                <w:rFonts w:ascii="Arial" w:hAnsi="Arial" w:cs="Arial"/>
                <w:sz w:val="24"/>
                <w:szCs w:val="24"/>
              </w:rPr>
            </w:pPr>
            <w:r>
              <w:rPr>
                <w:rFonts w:ascii="Arial" w:hAnsi="Arial" w:cs="Arial"/>
                <w:sz w:val="24"/>
                <w:szCs w:val="24"/>
              </w:rPr>
              <w:t>(</w:t>
            </w:r>
            <w:r>
              <w:rPr>
                <w:rFonts w:ascii="Arial" w:hAnsi="Arial" w:cs="Arial"/>
                <w:sz w:val="24"/>
                <w:szCs w:val="24"/>
                <w:lang w:val="mn-MN"/>
              </w:rPr>
              <w:t>төгрөг</w:t>
            </w:r>
            <w:r>
              <w:rPr>
                <w:rFonts w:ascii="Arial" w:hAnsi="Arial" w:cs="Arial"/>
                <w:sz w:val="24"/>
                <w:szCs w:val="24"/>
              </w:rPr>
              <w:t>)</w:t>
            </w:r>
          </w:p>
        </w:tc>
        <w:tc>
          <w:tcPr>
            <w:tcW w:w="1764" w:type="dxa"/>
          </w:tcPr>
          <w:p w14:paraId="32A61745" w14:textId="249DFD7D" w:rsidR="005B37F0" w:rsidRDefault="003769B5" w:rsidP="00D05CFB">
            <w:pPr>
              <w:jc w:val="center"/>
              <w:rPr>
                <w:rFonts w:ascii="Arial" w:hAnsi="Arial" w:cs="Arial"/>
                <w:sz w:val="24"/>
                <w:szCs w:val="24"/>
                <w:lang w:val="mn-MN"/>
              </w:rPr>
            </w:pPr>
            <w:r>
              <w:rPr>
                <w:rFonts w:ascii="Arial" w:hAnsi="Arial" w:cs="Arial"/>
                <w:sz w:val="24"/>
                <w:szCs w:val="24"/>
                <w:lang w:val="mn-MN"/>
              </w:rPr>
              <w:t>Нийт санхүүжилтэд эзлэх хувь</w:t>
            </w:r>
          </w:p>
        </w:tc>
      </w:tr>
      <w:tr w:rsidR="003769B5" w14:paraId="2DA5F5DB" w14:textId="032A3367" w:rsidTr="003769B5">
        <w:trPr>
          <w:trHeight w:val="301"/>
        </w:trPr>
        <w:tc>
          <w:tcPr>
            <w:tcW w:w="704" w:type="dxa"/>
          </w:tcPr>
          <w:p w14:paraId="171EF3D2" w14:textId="7442501D" w:rsidR="003769B5" w:rsidRDefault="003769B5" w:rsidP="00D05CFB">
            <w:pPr>
              <w:jc w:val="center"/>
              <w:rPr>
                <w:rFonts w:ascii="Arial" w:hAnsi="Arial" w:cs="Arial"/>
                <w:sz w:val="24"/>
                <w:szCs w:val="24"/>
                <w:lang w:val="mn-MN"/>
              </w:rPr>
            </w:pPr>
            <w:r>
              <w:rPr>
                <w:rFonts w:ascii="Arial" w:hAnsi="Arial" w:cs="Arial"/>
                <w:sz w:val="24"/>
                <w:szCs w:val="24"/>
                <w:lang w:val="mn-MN"/>
              </w:rPr>
              <w:t>1</w:t>
            </w:r>
          </w:p>
        </w:tc>
        <w:tc>
          <w:tcPr>
            <w:tcW w:w="5009" w:type="dxa"/>
          </w:tcPr>
          <w:p w14:paraId="197C8919" w14:textId="10DEE7A5" w:rsidR="003769B5" w:rsidRDefault="003769B5" w:rsidP="00D05CFB">
            <w:pPr>
              <w:rPr>
                <w:rFonts w:ascii="Arial" w:hAnsi="Arial" w:cs="Arial"/>
                <w:sz w:val="24"/>
                <w:szCs w:val="24"/>
                <w:lang w:val="mn-MN"/>
              </w:rPr>
            </w:pPr>
            <w:r>
              <w:rPr>
                <w:rFonts w:ascii="Arial" w:hAnsi="Arial" w:cs="Arial"/>
                <w:bCs/>
                <w:sz w:val="24"/>
                <w:szCs w:val="24"/>
                <w:lang w:val="mn-MN"/>
              </w:rPr>
              <w:t>Нийгмийн эрүүл мэндийн мэдээлэл сургалт сурталчилгаа, эмийн зохистой хэрэглээг төлөвшүүлэх цогц арга хэмжээ</w:t>
            </w:r>
          </w:p>
        </w:tc>
        <w:tc>
          <w:tcPr>
            <w:tcW w:w="1867" w:type="dxa"/>
          </w:tcPr>
          <w:p w14:paraId="70C99ACB" w14:textId="77777777" w:rsidR="003769B5" w:rsidRDefault="003769B5" w:rsidP="00D05CFB">
            <w:pPr>
              <w:jc w:val="center"/>
              <w:rPr>
                <w:rFonts w:ascii="Arial" w:hAnsi="Arial" w:cs="Arial"/>
                <w:sz w:val="24"/>
                <w:szCs w:val="24"/>
                <w:lang w:val="mn-MN"/>
              </w:rPr>
            </w:pPr>
          </w:p>
          <w:p w14:paraId="59A43456" w14:textId="051AD0D1" w:rsidR="003769B5" w:rsidRDefault="003769B5" w:rsidP="00D05CFB">
            <w:pPr>
              <w:jc w:val="center"/>
              <w:rPr>
                <w:rFonts w:ascii="Arial" w:hAnsi="Arial" w:cs="Arial"/>
                <w:sz w:val="24"/>
                <w:szCs w:val="24"/>
                <w:lang w:val="mn-MN"/>
              </w:rPr>
            </w:pPr>
            <w:r>
              <w:rPr>
                <w:rFonts w:ascii="Arial" w:hAnsi="Arial" w:cs="Arial"/>
                <w:sz w:val="24"/>
                <w:szCs w:val="24"/>
                <w:lang w:val="mn-MN"/>
              </w:rPr>
              <w:t>6 тэрбум</w:t>
            </w:r>
          </w:p>
        </w:tc>
        <w:tc>
          <w:tcPr>
            <w:tcW w:w="1764" w:type="dxa"/>
          </w:tcPr>
          <w:p w14:paraId="0502A88D" w14:textId="23B898EE" w:rsidR="003769B5" w:rsidRDefault="003769B5" w:rsidP="00D05CFB">
            <w:pPr>
              <w:jc w:val="center"/>
              <w:rPr>
                <w:rFonts w:ascii="Arial" w:hAnsi="Arial" w:cs="Arial"/>
                <w:sz w:val="24"/>
                <w:szCs w:val="24"/>
                <w:lang w:val="mn-MN"/>
              </w:rPr>
            </w:pPr>
            <w:r w:rsidRPr="005B37F0">
              <w:rPr>
                <w:rFonts w:ascii="Arial" w:hAnsi="Arial" w:cs="Arial"/>
                <w:bCs/>
                <w:sz w:val="24"/>
                <w:szCs w:val="24"/>
                <w:lang w:val="mn-MN"/>
              </w:rPr>
              <w:t>60</w:t>
            </w:r>
          </w:p>
        </w:tc>
      </w:tr>
      <w:tr w:rsidR="003769B5" w14:paraId="746BD171" w14:textId="77CCF234" w:rsidTr="003769B5">
        <w:trPr>
          <w:trHeight w:val="301"/>
        </w:trPr>
        <w:tc>
          <w:tcPr>
            <w:tcW w:w="704" w:type="dxa"/>
          </w:tcPr>
          <w:p w14:paraId="52D590AC" w14:textId="78DC3A92" w:rsidR="003769B5" w:rsidRDefault="003769B5" w:rsidP="00D05CFB">
            <w:pPr>
              <w:jc w:val="center"/>
              <w:rPr>
                <w:rFonts w:ascii="Arial" w:hAnsi="Arial" w:cs="Arial"/>
                <w:sz w:val="24"/>
                <w:szCs w:val="24"/>
                <w:lang w:val="mn-MN"/>
              </w:rPr>
            </w:pPr>
            <w:r>
              <w:rPr>
                <w:rFonts w:ascii="Arial" w:hAnsi="Arial" w:cs="Arial"/>
                <w:sz w:val="24"/>
                <w:szCs w:val="24"/>
                <w:lang w:val="mn-MN"/>
              </w:rPr>
              <w:t>2</w:t>
            </w:r>
          </w:p>
        </w:tc>
        <w:tc>
          <w:tcPr>
            <w:tcW w:w="5009" w:type="dxa"/>
          </w:tcPr>
          <w:p w14:paraId="661C0693" w14:textId="2D60BED5" w:rsidR="003769B5" w:rsidRDefault="003769B5" w:rsidP="00D05CFB">
            <w:pPr>
              <w:rPr>
                <w:rFonts w:ascii="Arial" w:hAnsi="Arial" w:cs="Arial"/>
                <w:sz w:val="24"/>
                <w:szCs w:val="24"/>
                <w:lang w:val="mn-MN"/>
              </w:rPr>
            </w:pPr>
            <w:r>
              <w:rPr>
                <w:rFonts w:ascii="Arial" w:hAnsi="Arial" w:cs="Arial"/>
                <w:bCs/>
                <w:sz w:val="24"/>
                <w:szCs w:val="24"/>
                <w:lang w:val="mn-MN"/>
              </w:rPr>
              <w:t>Гадаад эмчилгээний зардалд</w:t>
            </w:r>
          </w:p>
        </w:tc>
        <w:tc>
          <w:tcPr>
            <w:tcW w:w="1867" w:type="dxa"/>
          </w:tcPr>
          <w:p w14:paraId="5C352B6A" w14:textId="29B31BD1" w:rsidR="003769B5" w:rsidRDefault="003769B5" w:rsidP="00D05CFB">
            <w:pPr>
              <w:jc w:val="center"/>
              <w:rPr>
                <w:rFonts w:ascii="Arial" w:hAnsi="Arial" w:cs="Arial"/>
                <w:sz w:val="24"/>
                <w:szCs w:val="24"/>
                <w:lang w:val="mn-MN"/>
              </w:rPr>
            </w:pPr>
            <w:r>
              <w:rPr>
                <w:rFonts w:ascii="Arial" w:hAnsi="Arial" w:cs="Arial"/>
                <w:sz w:val="24"/>
                <w:szCs w:val="24"/>
                <w:lang w:val="mn-MN"/>
              </w:rPr>
              <w:t>2 тэрбум</w:t>
            </w:r>
          </w:p>
        </w:tc>
        <w:tc>
          <w:tcPr>
            <w:tcW w:w="1764" w:type="dxa"/>
          </w:tcPr>
          <w:p w14:paraId="0C74BA1E" w14:textId="7BCFA55E" w:rsidR="003769B5" w:rsidRDefault="003769B5" w:rsidP="00D05CFB">
            <w:pPr>
              <w:jc w:val="center"/>
              <w:rPr>
                <w:rFonts w:ascii="Arial" w:hAnsi="Arial" w:cs="Arial"/>
                <w:sz w:val="24"/>
                <w:szCs w:val="24"/>
                <w:lang w:val="mn-MN"/>
              </w:rPr>
            </w:pPr>
            <w:r>
              <w:rPr>
                <w:rFonts w:ascii="Arial" w:hAnsi="Arial" w:cs="Arial"/>
                <w:sz w:val="24"/>
                <w:szCs w:val="24"/>
                <w:lang w:val="mn-MN"/>
              </w:rPr>
              <w:t>20</w:t>
            </w:r>
          </w:p>
        </w:tc>
      </w:tr>
      <w:tr w:rsidR="003769B5" w14:paraId="1FF1B227" w14:textId="2547417A" w:rsidTr="003769B5">
        <w:trPr>
          <w:trHeight w:val="301"/>
        </w:trPr>
        <w:tc>
          <w:tcPr>
            <w:tcW w:w="704" w:type="dxa"/>
          </w:tcPr>
          <w:p w14:paraId="674EC420" w14:textId="33BFF26B" w:rsidR="003769B5" w:rsidRDefault="003769B5" w:rsidP="00D05CFB">
            <w:pPr>
              <w:jc w:val="center"/>
              <w:rPr>
                <w:rFonts w:ascii="Arial" w:hAnsi="Arial" w:cs="Arial"/>
                <w:sz w:val="24"/>
                <w:szCs w:val="24"/>
                <w:lang w:val="mn-MN"/>
              </w:rPr>
            </w:pPr>
            <w:r>
              <w:rPr>
                <w:rFonts w:ascii="Arial" w:hAnsi="Arial" w:cs="Arial"/>
                <w:sz w:val="24"/>
                <w:szCs w:val="24"/>
                <w:lang w:val="mn-MN"/>
              </w:rPr>
              <w:t>3</w:t>
            </w:r>
          </w:p>
        </w:tc>
        <w:tc>
          <w:tcPr>
            <w:tcW w:w="5009" w:type="dxa"/>
          </w:tcPr>
          <w:p w14:paraId="53C6E501" w14:textId="6A2ECA6D" w:rsidR="003769B5" w:rsidRDefault="003769B5" w:rsidP="00D05CFB">
            <w:pPr>
              <w:rPr>
                <w:rFonts w:ascii="Arial" w:hAnsi="Arial" w:cs="Arial"/>
                <w:sz w:val="24"/>
                <w:szCs w:val="24"/>
                <w:lang w:val="mn-MN"/>
              </w:rPr>
            </w:pPr>
            <w:r>
              <w:rPr>
                <w:rFonts w:ascii="Arial" w:hAnsi="Arial" w:cs="Arial"/>
                <w:bCs/>
                <w:sz w:val="24"/>
                <w:szCs w:val="24"/>
                <w:lang w:val="mn-MN"/>
              </w:rPr>
              <w:t>Эмчилгээ оношилгооны технологи нутагшуулах</w:t>
            </w:r>
          </w:p>
        </w:tc>
        <w:tc>
          <w:tcPr>
            <w:tcW w:w="1867" w:type="dxa"/>
          </w:tcPr>
          <w:p w14:paraId="104C27FD" w14:textId="310CE4F5" w:rsidR="003769B5" w:rsidRDefault="003769B5" w:rsidP="00D05CFB">
            <w:pPr>
              <w:jc w:val="center"/>
              <w:rPr>
                <w:rFonts w:ascii="Arial" w:hAnsi="Arial" w:cs="Arial"/>
                <w:sz w:val="24"/>
                <w:szCs w:val="24"/>
                <w:lang w:val="mn-MN"/>
              </w:rPr>
            </w:pPr>
            <w:r>
              <w:rPr>
                <w:rFonts w:ascii="Arial" w:hAnsi="Arial" w:cs="Arial"/>
                <w:sz w:val="24"/>
                <w:szCs w:val="24"/>
                <w:lang w:val="mn-MN"/>
              </w:rPr>
              <w:t>19,5 тэрбум</w:t>
            </w:r>
          </w:p>
        </w:tc>
        <w:tc>
          <w:tcPr>
            <w:tcW w:w="1764" w:type="dxa"/>
          </w:tcPr>
          <w:p w14:paraId="39A7A83B" w14:textId="68080F37" w:rsidR="003769B5" w:rsidRDefault="003769B5" w:rsidP="00D05CFB">
            <w:pPr>
              <w:jc w:val="center"/>
              <w:rPr>
                <w:rFonts w:ascii="Arial" w:hAnsi="Arial" w:cs="Arial"/>
                <w:sz w:val="24"/>
                <w:szCs w:val="24"/>
                <w:lang w:val="mn-MN"/>
              </w:rPr>
            </w:pPr>
            <w:r>
              <w:rPr>
                <w:rFonts w:ascii="Arial" w:hAnsi="Arial" w:cs="Arial"/>
                <w:sz w:val="24"/>
                <w:szCs w:val="24"/>
                <w:lang w:val="mn-MN"/>
              </w:rPr>
              <w:t>19,5</w:t>
            </w:r>
          </w:p>
        </w:tc>
      </w:tr>
      <w:tr w:rsidR="003769B5" w14:paraId="10D72D22" w14:textId="28F27A7C" w:rsidTr="003769B5">
        <w:trPr>
          <w:trHeight w:val="301"/>
        </w:trPr>
        <w:tc>
          <w:tcPr>
            <w:tcW w:w="704" w:type="dxa"/>
          </w:tcPr>
          <w:p w14:paraId="164C48AE" w14:textId="65C3C49E" w:rsidR="003769B5" w:rsidRDefault="003769B5" w:rsidP="00D05CFB">
            <w:pPr>
              <w:jc w:val="center"/>
              <w:rPr>
                <w:rFonts w:ascii="Arial" w:hAnsi="Arial" w:cs="Arial"/>
                <w:sz w:val="24"/>
                <w:szCs w:val="24"/>
                <w:lang w:val="mn-MN"/>
              </w:rPr>
            </w:pPr>
            <w:r>
              <w:rPr>
                <w:rFonts w:ascii="Arial" w:hAnsi="Arial" w:cs="Arial"/>
                <w:sz w:val="24"/>
                <w:szCs w:val="24"/>
                <w:lang w:val="mn-MN"/>
              </w:rPr>
              <w:t>4</w:t>
            </w:r>
          </w:p>
        </w:tc>
        <w:tc>
          <w:tcPr>
            <w:tcW w:w="5009" w:type="dxa"/>
          </w:tcPr>
          <w:p w14:paraId="078CEBC5" w14:textId="6B9B6FD2" w:rsidR="003769B5" w:rsidRDefault="003769B5" w:rsidP="00D05CFB">
            <w:pPr>
              <w:rPr>
                <w:rFonts w:ascii="Arial" w:hAnsi="Arial" w:cs="Arial"/>
                <w:sz w:val="24"/>
                <w:szCs w:val="24"/>
                <w:lang w:val="mn-MN"/>
              </w:rPr>
            </w:pPr>
            <w:r>
              <w:rPr>
                <w:rFonts w:ascii="Arial" w:hAnsi="Arial" w:cs="Arial"/>
                <w:bCs/>
                <w:sz w:val="24"/>
                <w:szCs w:val="24"/>
                <w:lang w:val="mn-MN"/>
              </w:rPr>
              <w:t>Амьгүй донорын оршуулгын зардалд</w:t>
            </w:r>
          </w:p>
        </w:tc>
        <w:tc>
          <w:tcPr>
            <w:tcW w:w="1867" w:type="dxa"/>
          </w:tcPr>
          <w:p w14:paraId="443D8CA7" w14:textId="36141F83" w:rsidR="003769B5" w:rsidRDefault="003769B5" w:rsidP="00D05CFB">
            <w:pPr>
              <w:jc w:val="center"/>
              <w:rPr>
                <w:rFonts w:ascii="Arial" w:hAnsi="Arial" w:cs="Arial"/>
                <w:sz w:val="24"/>
                <w:szCs w:val="24"/>
                <w:lang w:val="mn-MN"/>
              </w:rPr>
            </w:pPr>
            <w:r>
              <w:rPr>
                <w:rFonts w:ascii="Arial" w:hAnsi="Arial" w:cs="Arial"/>
                <w:sz w:val="24"/>
                <w:szCs w:val="24"/>
                <w:lang w:val="mn-MN"/>
              </w:rPr>
              <w:t>0,5 тэрбум</w:t>
            </w:r>
          </w:p>
        </w:tc>
        <w:tc>
          <w:tcPr>
            <w:tcW w:w="1764" w:type="dxa"/>
          </w:tcPr>
          <w:p w14:paraId="7951A42F" w14:textId="183CABCA" w:rsidR="003769B5" w:rsidRDefault="003769B5" w:rsidP="00D05CFB">
            <w:pPr>
              <w:jc w:val="center"/>
              <w:rPr>
                <w:rFonts w:ascii="Arial" w:hAnsi="Arial" w:cs="Arial"/>
                <w:sz w:val="24"/>
                <w:szCs w:val="24"/>
                <w:lang w:val="mn-MN"/>
              </w:rPr>
            </w:pPr>
            <w:r>
              <w:rPr>
                <w:rFonts w:ascii="Arial" w:hAnsi="Arial" w:cs="Arial"/>
                <w:sz w:val="24"/>
                <w:szCs w:val="24"/>
                <w:lang w:val="mn-MN"/>
              </w:rPr>
              <w:t>0,5</w:t>
            </w:r>
          </w:p>
        </w:tc>
      </w:tr>
      <w:tr w:rsidR="003769B5" w14:paraId="5384AB63" w14:textId="77777777" w:rsidTr="003769B5">
        <w:trPr>
          <w:trHeight w:val="301"/>
        </w:trPr>
        <w:tc>
          <w:tcPr>
            <w:tcW w:w="5713" w:type="dxa"/>
            <w:gridSpan w:val="2"/>
          </w:tcPr>
          <w:p w14:paraId="1DB00962" w14:textId="3D6079DA" w:rsidR="003769B5" w:rsidRDefault="003769B5" w:rsidP="00D05CFB">
            <w:pPr>
              <w:jc w:val="center"/>
              <w:rPr>
                <w:rFonts w:ascii="Arial" w:hAnsi="Arial" w:cs="Arial"/>
                <w:bCs/>
                <w:sz w:val="24"/>
                <w:szCs w:val="24"/>
                <w:lang w:val="mn-MN"/>
              </w:rPr>
            </w:pPr>
            <w:r>
              <w:rPr>
                <w:rFonts w:ascii="Arial" w:hAnsi="Arial" w:cs="Arial"/>
                <w:bCs/>
                <w:sz w:val="24"/>
                <w:szCs w:val="24"/>
                <w:lang w:val="mn-MN"/>
              </w:rPr>
              <w:t>Нийт</w:t>
            </w:r>
          </w:p>
        </w:tc>
        <w:tc>
          <w:tcPr>
            <w:tcW w:w="1867" w:type="dxa"/>
          </w:tcPr>
          <w:p w14:paraId="0564C5AE" w14:textId="14C69291" w:rsidR="003769B5" w:rsidRDefault="003769B5" w:rsidP="00D05CFB">
            <w:pPr>
              <w:jc w:val="center"/>
              <w:rPr>
                <w:rFonts w:ascii="Arial" w:hAnsi="Arial" w:cs="Arial"/>
                <w:sz w:val="24"/>
                <w:szCs w:val="24"/>
                <w:lang w:val="mn-MN"/>
              </w:rPr>
            </w:pPr>
            <w:r>
              <w:rPr>
                <w:rFonts w:ascii="Arial" w:hAnsi="Arial" w:cs="Arial"/>
                <w:sz w:val="24"/>
                <w:szCs w:val="24"/>
                <w:lang w:val="mn-MN"/>
              </w:rPr>
              <w:t>10 тэрбум</w:t>
            </w:r>
          </w:p>
        </w:tc>
        <w:tc>
          <w:tcPr>
            <w:tcW w:w="1764" w:type="dxa"/>
          </w:tcPr>
          <w:p w14:paraId="060045DC" w14:textId="77777777" w:rsidR="003769B5" w:rsidRDefault="003769B5" w:rsidP="00D05CFB">
            <w:pPr>
              <w:jc w:val="center"/>
              <w:rPr>
                <w:rFonts w:ascii="Arial" w:hAnsi="Arial" w:cs="Arial"/>
                <w:sz w:val="24"/>
                <w:szCs w:val="24"/>
                <w:lang w:val="mn-MN"/>
              </w:rPr>
            </w:pPr>
          </w:p>
        </w:tc>
      </w:tr>
    </w:tbl>
    <w:p w14:paraId="30BC55C6" w14:textId="77777777" w:rsidR="001D1E52" w:rsidRDefault="001D1E52" w:rsidP="00D05CFB">
      <w:pPr>
        <w:spacing w:after="0" w:line="240" w:lineRule="auto"/>
        <w:rPr>
          <w:rFonts w:ascii="Arial" w:hAnsi="Arial" w:cs="Arial"/>
          <w:sz w:val="24"/>
          <w:szCs w:val="24"/>
          <w:lang w:val="mn-MN"/>
        </w:rPr>
      </w:pPr>
    </w:p>
    <w:p w14:paraId="4D68EB03" w14:textId="77777777" w:rsidR="0064612E" w:rsidRDefault="0064612E" w:rsidP="00D05CFB">
      <w:pPr>
        <w:spacing w:after="0" w:line="240" w:lineRule="auto"/>
        <w:rPr>
          <w:rFonts w:ascii="Arial" w:hAnsi="Arial" w:cs="Arial"/>
          <w:sz w:val="24"/>
          <w:szCs w:val="24"/>
          <w:lang w:val="mn-MN"/>
        </w:rPr>
      </w:pPr>
    </w:p>
    <w:p w14:paraId="16DF51E6" w14:textId="64DA61C0" w:rsidR="00654A7F" w:rsidRDefault="001D1E52" w:rsidP="00D05CFB">
      <w:pPr>
        <w:spacing w:after="0" w:line="240" w:lineRule="auto"/>
        <w:jc w:val="center"/>
        <w:rPr>
          <w:rFonts w:ascii="Arial" w:hAnsi="Arial" w:cs="Arial"/>
        </w:rPr>
      </w:pPr>
      <w:r>
        <w:rPr>
          <w:rFonts w:ascii="Arial" w:hAnsi="Arial" w:cs="Arial"/>
          <w:sz w:val="24"/>
          <w:szCs w:val="24"/>
          <w:lang w:val="mn-MN"/>
        </w:rPr>
        <w:t xml:space="preserve"> </w:t>
      </w:r>
      <w:r w:rsidR="00BC3231">
        <w:rPr>
          <w:rFonts w:ascii="Arial" w:hAnsi="Arial" w:cs="Arial"/>
        </w:rPr>
        <w:t xml:space="preserve">--- </w:t>
      </w:r>
      <w:proofErr w:type="spellStart"/>
      <w:r w:rsidR="00BC3231">
        <w:rPr>
          <w:rFonts w:ascii="Arial" w:hAnsi="Arial" w:cs="Arial"/>
        </w:rPr>
        <w:t>оОо</w:t>
      </w:r>
      <w:proofErr w:type="spellEnd"/>
      <w:r w:rsidR="00BC3231">
        <w:rPr>
          <w:rFonts w:ascii="Arial" w:hAnsi="Arial" w:cs="Arial"/>
        </w:rPr>
        <w:t xml:space="preserve"> ---</w:t>
      </w:r>
    </w:p>
    <w:sectPr w:rsidR="00654A7F" w:rsidSect="00315256">
      <w:pgSz w:w="11906" w:h="16838" w:code="9"/>
      <w:pgMar w:top="1440" w:right="9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EA79" w14:textId="77777777" w:rsidR="006870B1" w:rsidRDefault="006870B1" w:rsidP="000A759F">
      <w:pPr>
        <w:spacing w:after="0" w:line="240" w:lineRule="auto"/>
      </w:pPr>
      <w:r>
        <w:separator/>
      </w:r>
    </w:p>
  </w:endnote>
  <w:endnote w:type="continuationSeparator" w:id="0">
    <w:p w14:paraId="31E8F8CF" w14:textId="77777777" w:rsidR="006870B1" w:rsidRDefault="006870B1" w:rsidP="000A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DCC8" w14:textId="77777777" w:rsidR="006870B1" w:rsidRDefault="006870B1" w:rsidP="000A759F">
      <w:pPr>
        <w:spacing w:after="0" w:line="240" w:lineRule="auto"/>
      </w:pPr>
      <w:r>
        <w:separator/>
      </w:r>
    </w:p>
  </w:footnote>
  <w:footnote w:type="continuationSeparator" w:id="0">
    <w:p w14:paraId="7A9FAA15" w14:textId="77777777" w:rsidR="006870B1" w:rsidRDefault="006870B1" w:rsidP="000A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A87"/>
    <w:multiLevelType w:val="hybridMultilevel"/>
    <w:tmpl w:val="8B7A622C"/>
    <w:lvl w:ilvl="0" w:tplc="F4E0C8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B5DC0"/>
    <w:multiLevelType w:val="hybridMultilevel"/>
    <w:tmpl w:val="C63C9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099191">
    <w:abstractNumId w:val="0"/>
  </w:num>
  <w:num w:numId="2" w16cid:durableId="72086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B4"/>
    <w:rsid w:val="00063AB0"/>
    <w:rsid w:val="0009732E"/>
    <w:rsid w:val="000A759F"/>
    <w:rsid w:val="00117682"/>
    <w:rsid w:val="001A3CDA"/>
    <w:rsid w:val="001D1E52"/>
    <w:rsid w:val="00203B95"/>
    <w:rsid w:val="00227284"/>
    <w:rsid w:val="00290E32"/>
    <w:rsid w:val="002C29A2"/>
    <w:rsid w:val="00315256"/>
    <w:rsid w:val="00344221"/>
    <w:rsid w:val="003769B5"/>
    <w:rsid w:val="003C6565"/>
    <w:rsid w:val="00416569"/>
    <w:rsid w:val="00421E50"/>
    <w:rsid w:val="00430063"/>
    <w:rsid w:val="00514CE4"/>
    <w:rsid w:val="00515A32"/>
    <w:rsid w:val="00542824"/>
    <w:rsid w:val="00557D32"/>
    <w:rsid w:val="00583E60"/>
    <w:rsid w:val="005B37F0"/>
    <w:rsid w:val="005F26E2"/>
    <w:rsid w:val="00617AE6"/>
    <w:rsid w:val="0063409E"/>
    <w:rsid w:val="0064612E"/>
    <w:rsid w:val="00654A7F"/>
    <w:rsid w:val="006651C3"/>
    <w:rsid w:val="006870B1"/>
    <w:rsid w:val="006C1834"/>
    <w:rsid w:val="006E51A3"/>
    <w:rsid w:val="0071326C"/>
    <w:rsid w:val="007470AE"/>
    <w:rsid w:val="00766B67"/>
    <w:rsid w:val="007C0094"/>
    <w:rsid w:val="007C19B8"/>
    <w:rsid w:val="007E55C3"/>
    <w:rsid w:val="007F4CA2"/>
    <w:rsid w:val="0083770C"/>
    <w:rsid w:val="00935053"/>
    <w:rsid w:val="00981F85"/>
    <w:rsid w:val="0099643D"/>
    <w:rsid w:val="009C651F"/>
    <w:rsid w:val="00A377C3"/>
    <w:rsid w:val="00A476C2"/>
    <w:rsid w:val="00AB510A"/>
    <w:rsid w:val="00AC78FF"/>
    <w:rsid w:val="00AD6F74"/>
    <w:rsid w:val="00B26EAC"/>
    <w:rsid w:val="00B51C93"/>
    <w:rsid w:val="00B754F0"/>
    <w:rsid w:val="00B76385"/>
    <w:rsid w:val="00B977C7"/>
    <w:rsid w:val="00BA4D35"/>
    <w:rsid w:val="00BC3231"/>
    <w:rsid w:val="00C66AE1"/>
    <w:rsid w:val="00CC10B1"/>
    <w:rsid w:val="00D05CFB"/>
    <w:rsid w:val="00D31DAB"/>
    <w:rsid w:val="00D830E5"/>
    <w:rsid w:val="00DB5127"/>
    <w:rsid w:val="00DE142C"/>
    <w:rsid w:val="00EB77E3"/>
    <w:rsid w:val="00F134B4"/>
    <w:rsid w:val="00F66E37"/>
    <w:rsid w:val="00F70942"/>
    <w:rsid w:val="00FD263C"/>
    <w:rsid w:val="00FE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5586"/>
  <w15:chartTrackingRefBased/>
  <w15:docId w15:val="{A875E477-B6FD-4483-B5BA-20557B68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F85"/>
    <w:pPr>
      <w:ind w:left="720"/>
      <w:contextualSpacing/>
    </w:pPr>
  </w:style>
  <w:style w:type="paragraph" w:styleId="Header">
    <w:name w:val="header"/>
    <w:basedOn w:val="Normal"/>
    <w:link w:val="HeaderChar"/>
    <w:uiPriority w:val="99"/>
    <w:unhideWhenUsed/>
    <w:rsid w:val="000A7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59F"/>
  </w:style>
  <w:style w:type="paragraph" w:styleId="Footer">
    <w:name w:val="footer"/>
    <w:basedOn w:val="Normal"/>
    <w:link w:val="FooterChar"/>
    <w:uiPriority w:val="99"/>
    <w:unhideWhenUsed/>
    <w:rsid w:val="000A7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59F"/>
  </w:style>
  <w:style w:type="paragraph" w:styleId="NormalWeb">
    <w:name w:val="Normal (Web)"/>
    <w:basedOn w:val="Normal"/>
    <w:uiPriority w:val="99"/>
    <w:unhideWhenUsed/>
    <w:rsid w:val="00EB77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B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 Byambaa</dc:creator>
  <cp:keywords/>
  <dc:description/>
  <cp:lastModifiedBy>Jargalsaikhan Sembedorj</cp:lastModifiedBy>
  <cp:revision>2</cp:revision>
  <cp:lastPrinted>2023-10-12T06:14:00Z</cp:lastPrinted>
  <dcterms:created xsi:type="dcterms:W3CDTF">2023-10-20T07:38:00Z</dcterms:created>
  <dcterms:modified xsi:type="dcterms:W3CDTF">2023-10-20T07:38:00Z</dcterms:modified>
</cp:coreProperties>
</file>