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47AC2" w14:textId="77777777" w:rsidR="002C4A24" w:rsidRPr="000D478A" w:rsidRDefault="00E513E6" w:rsidP="00585D08">
      <w:pPr>
        <w:pStyle w:val="NormalWeb"/>
        <w:spacing w:before="0" w:beforeAutospacing="0" w:after="0" w:afterAutospacing="0"/>
        <w:jc w:val="center"/>
        <w:rPr>
          <w:rFonts w:ascii="Arial" w:hAnsi="Arial" w:cs="Arial"/>
          <w:lang w:val="mn-MN"/>
        </w:rPr>
      </w:pPr>
      <w:bookmarkStart w:id="0" w:name="_GoBack"/>
      <w:bookmarkEnd w:id="0"/>
      <w:r w:rsidRPr="000D478A">
        <w:rPr>
          <w:rStyle w:val="Strong"/>
          <w:rFonts w:ascii="Arial" w:hAnsi="Arial" w:cs="Arial"/>
          <w:lang w:val="mn-MN"/>
        </w:rPr>
        <w:t xml:space="preserve">ҮНЭТ ЦААСНЫ ЗАХ ЗЭЭЛИЙН ТУХАЙ ХУУЛЬД НЭМЭЛТ ӨӨРЧЛӨЛТ ОРУУЛАХ </w:t>
      </w:r>
      <w:r w:rsidR="002C4A24" w:rsidRPr="000D478A">
        <w:rPr>
          <w:rStyle w:val="Strong"/>
          <w:rFonts w:ascii="Arial" w:hAnsi="Arial" w:cs="Arial"/>
          <w:lang w:val="mn-MN"/>
        </w:rPr>
        <w:t xml:space="preserve"> ТУХАЙ ХУУЛИЙГ ХЭРЭГЖҮҮЛЭХТЭЙ ХОЛБОГДОН ГАРАХ ЗАРДЛЫН ТООЦОО</w:t>
      </w:r>
    </w:p>
    <w:p w14:paraId="40F63553" w14:textId="77777777" w:rsidR="002C4A24" w:rsidRPr="000D478A" w:rsidRDefault="002C4A24" w:rsidP="00585D08">
      <w:pPr>
        <w:pStyle w:val="NormalWeb"/>
        <w:spacing w:before="0" w:beforeAutospacing="0" w:after="120" w:afterAutospacing="0"/>
        <w:jc w:val="both"/>
        <w:rPr>
          <w:rFonts w:ascii="Arial" w:hAnsi="Arial" w:cs="Arial"/>
          <w:lang w:val="mn-MN"/>
        </w:rPr>
      </w:pPr>
      <w:r w:rsidRPr="000D478A">
        <w:rPr>
          <w:rFonts w:ascii="Arial" w:hAnsi="Arial" w:cs="Arial"/>
          <w:lang w:val="mn-MN"/>
        </w:rPr>
        <w:t> </w:t>
      </w:r>
    </w:p>
    <w:p w14:paraId="40688A9E" w14:textId="77777777" w:rsidR="002C4A24" w:rsidRPr="000D478A" w:rsidRDefault="002C4A24" w:rsidP="00585D08">
      <w:pPr>
        <w:pStyle w:val="NormalWeb"/>
        <w:spacing w:before="0" w:beforeAutospacing="0" w:after="120" w:afterAutospacing="0"/>
        <w:ind w:firstLine="720"/>
        <w:jc w:val="both"/>
        <w:rPr>
          <w:rStyle w:val="Strong"/>
          <w:rFonts w:ascii="Arial" w:hAnsi="Arial" w:cs="Arial"/>
          <w:b w:val="0"/>
          <w:lang w:val="mn-MN"/>
        </w:rPr>
      </w:pPr>
      <w:r w:rsidRPr="000D478A">
        <w:rPr>
          <w:rStyle w:val="Strong"/>
          <w:rFonts w:ascii="Arial" w:hAnsi="Arial" w:cs="Arial"/>
          <w:b w:val="0"/>
          <w:lang w:val="mn-MN"/>
        </w:rPr>
        <w:t xml:space="preserve">Засгийн газрын </w:t>
      </w:r>
      <w:r w:rsidR="00AF4F09" w:rsidRPr="000D478A">
        <w:rPr>
          <w:rStyle w:val="Strong"/>
          <w:rFonts w:ascii="Arial" w:hAnsi="Arial" w:cs="Arial"/>
          <w:b w:val="0"/>
          <w:lang w:val="mn-MN"/>
        </w:rPr>
        <w:t xml:space="preserve">2016 оны 59 дүгээр тогтоолын </w:t>
      </w:r>
      <w:r w:rsidR="00057CC6" w:rsidRPr="000D478A">
        <w:rPr>
          <w:rStyle w:val="Strong"/>
          <w:rFonts w:ascii="Arial" w:hAnsi="Arial" w:cs="Arial"/>
          <w:b w:val="0"/>
          <w:lang w:val="mn-MN"/>
        </w:rPr>
        <w:t xml:space="preserve"> </w:t>
      </w:r>
      <w:r w:rsidR="00AF4F09" w:rsidRPr="000D478A">
        <w:rPr>
          <w:rStyle w:val="Strong"/>
          <w:rFonts w:ascii="Arial" w:hAnsi="Arial" w:cs="Arial"/>
          <w:b w:val="0"/>
          <w:lang w:val="mn-MN"/>
        </w:rPr>
        <w:t>дөрөв</w:t>
      </w:r>
      <w:r w:rsidR="00057CC6" w:rsidRPr="000D478A">
        <w:rPr>
          <w:rStyle w:val="Strong"/>
          <w:rFonts w:ascii="Arial" w:hAnsi="Arial" w:cs="Arial"/>
          <w:b w:val="0"/>
          <w:lang w:val="mn-MN"/>
        </w:rPr>
        <w:t>дүгээр</w:t>
      </w:r>
      <w:r w:rsidRPr="000D478A">
        <w:rPr>
          <w:rStyle w:val="Strong"/>
          <w:rFonts w:ascii="Arial" w:hAnsi="Arial" w:cs="Arial"/>
          <w:b w:val="0"/>
          <w:lang w:val="mn-MN"/>
        </w:rPr>
        <w:t xml:space="preserve"> хавсралтаар баталсан </w:t>
      </w:r>
      <w:r w:rsidRPr="000D478A">
        <w:rPr>
          <w:rFonts w:ascii="Arial" w:hAnsi="Arial" w:cs="Arial"/>
          <w:lang w:val="mn-MN"/>
        </w:rPr>
        <w:t>“Хууль тогтоомжийг хэрэгжүүлэхтэй холбогдон гарах зардлын тооцоог хийх аргачлал”-</w:t>
      </w:r>
      <w:r w:rsidR="00554DEA" w:rsidRPr="000D478A">
        <w:rPr>
          <w:rFonts w:ascii="Arial" w:hAnsi="Arial" w:cs="Arial"/>
          <w:lang w:val="mn-MN"/>
        </w:rPr>
        <w:t xml:space="preserve">ын дагуу </w:t>
      </w:r>
      <w:r w:rsidR="008C0241" w:rsidRPr="000D478A">
        <w:rPr>
          <w:rFonts w:ascii="Arial" w:hAnsi="Arial" w:cs="Arial"/>
          <w:lang w:val="mn-MN" w:eastAsia="ja-JP"/>
        </w:rPr>
        <w:t xml:space="preserve">Үнэт цаасны зах зээлийн тухай хуульд нэмэлт, өөрчлөлт оруулах тухай </w:t>
      </w:r>
      <w:r w:rsidR="009E1C49" w:rsidRPr="000D478A">
        <w:rPr>
          <w:rStyle w:val="Strong"/>
          <w:rFonts w:ascii="Arial" w:hAnsi="Arial" w:cs="Arial"/>
          <w:b w:val="0"/>
          <w:lang w:val="mn-MN"/>
        </w:rPr>
        <w:t xml:space="preserve">хуулийг </w:t>
      </w:r>
      <w:r w:rsidR="00057CC6" w:rsidRPr="000D478A">
        <w:rPr>
          <w:rStyle w:val="Strong"/>
          <w:rFonts w:ascii="Arial" w:hAnsi="Arial" w:cs="Arial"/>
          <w:b w:val="0"/>
          <w:lang w:val="mn-MN"/>
        </w:rPr>
        <w:t>хэрэгжүүлэх</w:t>
      </w:r>
      <w:r w:rsidR="00554DEA" w:rsidRPr="000D478A">
        <w:rPr>
          <w:rStyle w:val="Strong"/>
          <w:rFonts w:ascii="Arial" w:hAnsi="Arial" w:cs="Arial"/>
          <w:b w:val="0"/>
          <w:lang w:val="mn-MN"/>
        </w:rPr>
        <w:t xml:space="preserve"> зардлын тооцоог </w:t>
      </w:r>
      <w:r w:rsidR="007277B4" w:rsidRPr="000D478A">
        <w:rPr>
          <w:rStyle w:val="Strong"/>
          <w:rFonts w:ascii="Arial" w:hAnsi="Arial" w:cs="Arial"/>
          <w:b w:val="0"/>
          <w:lang w:val="mn-MN"/>
        </w:rPr>
        <w:t>хийлээ</w:t>
      </w:r>
      <w:r w:rsidR="00554DEA" w:rsidRPr="000D478A">
        <w:rPr>
          <w:rStyle w:val="Strong"/>
          <w:rFonts w:ascii="Arial" w:hAnsi="Arial" w:cs="Arial"/>
          <w:b w:val="0"/>
          <w:lang w:val="mn-MN"/>
        </w:rPr>
        <w:t>.</w:t>
      </w:r>
    </w:p>
    <w:p w14:paraId="059AA499" w14:textId="77777777" w:rsidR="00554DEA" w:rsidRPr="000D478A" w:rsidRDefault="008C0241" w:rsidP="00585D08">
      <w:pPr>
        <w:pStyle w:val="Default"/>
        <w:ind w:firstLine="720"/>
        <w:jc w:val="both"/>
        <w:rPr>
          <w:rStyle w:val="Strong"/>
          <w:b w:val="0"/>
          <w:lang w:val="mn-MN"/>
        </w:rPr>
      </w:pPr>
      <w:r w:rsidRPr="000D478A">
        <w:rPr>
          <w:lang w:val="mn-MN" w:eastAsia="ja-JP"/>
        </w:rPr>
        <w:t>Үнэт цаасны зах зээлийн тухай хуульд нэмэлт, өөрчлөлт оруулах тухай</w:t>
      </w:r>
      <w:r w:rsidRPr="000D478A">
        <w:rPr>
          <w:rStyle w:val="Strong"/>
          <w:b w:val="0"/>
          <w:lang w:val="mn-MN"/>
        </w:rPr>
        <w:t xml:space="preserve"> </w:t>
      </w:r>
      <w:r w:rsidR="00554DEA" w:rsidRPr="000D478A">
        <w:rPr>
          <w:rStyle w:val="Strong"/>
          <w:b w:val="0"/>
          <w:lang w:val="mn-MN"/>
        </w:rPr>
        <w:t xml:space="preserve">хуулийн төслийн зорилт нь </w:t>
      </w:r>
      <w:r w:rsidRPr="000D478A">
        <w:rPr>
          <w:rFonts w:eastAsia="Times New Roman"/>
          <w:lang w:val="mn-MN"/>
        </w:rPr>
        <w:t xml:space="preserve">хөрөнгийн зах зээлд шинээр бүтээгдэхүүн үйлчилгээг нэмэгдүүлэх, биржийн болон биржийн бус зах зээлийн харилцааг ялгаатайгаар тогтоох, үнэт цаасны арилжааны төлбөр тооцооны системд олон улсын төлбөрийн эсрэг нийлүүлэлтийн зарчмыг нэвтрүүлэхтэй холбогдсон эрх зүйн үндсийг тогтоож, зохицуулагч байгууллага, дэд бүтцийн байгууллага, мэргэжлийн байгууллага, өөрийгөө зохицуулах байгууллага, үнэт цаас гаргагчдын эрх үүрэг, хариуцлагыг сайжруулан, тэдгээрийн  хооронд үүсэх харилцааг зохицуулах </w:t>
      </w:r>
      <w:r w:rsidR="006B109C" w:rsidRPr="000D478A">
        <w:rPr>
          <w:rStyle w:val="Strong"/>
          <w:b w:val="0"/>
          <w:lang w:val="mn-MN"/>
        </w:rPr>
        <w:t>болно.</w:t>
      </w:r>
      <w:r w:rsidR="00B72CC9" w:rsidRPr="000D478A">
        <w:rPr>
          <w:rStyle w:val="Strong"/>
          <w:b w:val="0"/>
          <w:lang w:val="mn-MN"/>
        </w:rPr>
        <w:t xml:space="preserve"> </w:t>
      </w:r>
      <w:r w:rsidR="006B109C" w:rsidRPr="000D478A">
        <w:rPr>
          <w:rStyle w:val="Strong"/>
          <w:b w:val="0"/>
          <w:lang w:val="mn-MN"/>
        </w:rPr>
        <w:t>Энэ</w:t>
      </w:r>
      <w:r w:rsidR="00C059AD" w:rsidRPr="000D478A">
        <w:rPr>
          <w:rStyle w:val="Strong"/>
          <w:b w:val="0"/>
          <w:lang w:val="mn-MN"/>
        </w:rPr>
        <w:t>хүү тооцоололд</w:t>
      </w:r>
      <w:r w:rsidR="007555D4" w:rsidRPr="000D478A">
        <w:rPr>
          <w:rStyle w:val="Strong"/>
          <w:b w:val="0"/>
          <w:lang w:val="mn-MN"/>
        </w:rPr>
        <w:t xml:space="preserve"> </w:t>
      </w:r>
      <w:r w:rsidRPr="000D478A">
        <w:rPr>
          <w:rStyle w:val="Strong"/>
          <w:b w:val="0"/>
          <w:lang w:val="mn-MN"/>
        </w:rPr>
        <w:t xml:space="preserve">хөрөнгийн зах зээлийн дэд бүтцийн байгууллага, үнэт цаасны компани, хөрөнгө оруулагчид </w:t>
      </w:r>
      <w:r w:rsidR="00B72CC9" w:rsidRPr="000D478A">
        <w:rPr>
          <w:rStyle w:val="Strong"/>
          <w:b w:val="0"/>
          <w:lang w:val="mn-MN"/>
        </w:rPr>
        <w:t xml:space="preserve">хуулийн харилцаанд оролцогч </w:t>
      </w:r>
      <w:r w:rsidR="003159B2" w:rsidRPr="000D478A">
        <w:rPr>
          <w:rStyle w:val="Strong"/>
          <w:b w:val="0"/>
          <w:lang w:val="mn-MN"/>
        </w:rPr>
        <w:t xml:space="preserve">иргэн, </w:t>
      </w:r>
      <w:r w:rsidR="006B109C" w:rsidRPr="000D478A">
        <w:rPr>
          <w:rStyle w:val="Strong"/>
          <w:b w:val="0"/>
          <w:lang w:val="mn-MN"/>
        </w:rPr>
        <w:t>хуулийн этгээд</w:t>
      </w:r>
      <w:r w:rsidR="007357FD" w:rsidRPr="000D478A">
        <w:rPr>
          <w:rStyle w:val="Strong"/>
          <w:b w:val="0"/>
          <w:lang w:val="mn-MN"/>
        </w:rPr>
        <w:t xml:space="preserve"> болон татварын албаны</w:t>
      </w:r>
      <w:r w:rsidR="00B72CC9" w:rsidRPr="000D478A">
        <w:rPr>
          <w:rStyle w:val="Strong"/>
          <w:b w:val="0"/>
          <w:lang w:val="mn-MN"/>
        </w:rPr>
        <w:t xml:space="preserve"> </w:t>
      </w:r>
      <w:r w:rsidR="00554DEA" w:rsidRPr="000D478A">
        <w:rPr>
          <w:rStyle w:val="Strong"/>
          <w:b w:val="0"/>
          <w:lang w:val="mn-MN"/>
        </w:rPr>
        <w:t>зардлыг тооцсон болно.</w:t>
      </w:r>
    </w:p>
    <w:p w14:paraId="18A922DA" w14:textId="77777777" w:rsidR="00585D08" w:rsidRPr="000D478A" w:rsidRDefault="00585D08" w:rsidP="00585D08">
      <w:pPr>
        <w:pStyle w:val="NormalWeb"/>
        <w:spacing w:before="0" w:beforeAutospacing="0" w:after="0" w:afterAutospacing="0"/>
        <w:jc w:val="both"/>
        <w:rPr>
          <w:rStyle w:val="Strong"/>
          <w:rFonts w:ascii="Arial" w:hAnsi="Arial" w:cs="Arial"/>
          <w:lang w:val="mn-MN"/>
        </w:rPr>
      </w:pPr>
    </w:p>
    <w:p w14:paraId="2BAAD18C" w14:textId="77777777" w:rsidR="002C4A24" w:rsidRPr="000D478A" w:rsidRDefault="00B72CC9" w:rsidP="007D1BD0">
      <w:pPr>
        <w:pStyle w:val="NormalWeb"/>
        <w:spacing w:before="0" w:beforeAutospacing="0" w:after="0" w:afterAutospacing="0"/>
        <w:ind w:firstLine="720"/>
        <w:jc w:val="both"/>
        <w:rPr>
          <w:rStyle w:val="Strong"/>
          <w:rFonts w:ascii="Arial" w:hAnsi="Arial" w:cs="Arial"/>
          <w:lang w:val="mn-MN"/>
        </w:rPr>
      </w:pPr>
      <w:r w:rsidRPr="000D478A">
        <w:rPr>
          <w:rStyle w:val="Strong"/>
          <w:rFonts w:ascii="Arial" w:hAnsi="Arial" w:cs="Arial"/>
          <w:lang w:val="mn-MN"/>
        </w:rPr>
        <w:t>Нэг</w:t>
      </w:r>
      <w:r w:rsidR="002C4A24" w:rsidRPr="000D478A">
        <w:rPr>
          <w:rStyle w:val="Strong"/>
          <w:rFonts w:ascii="Arial" w:hAnsi="Arial" w:cs="Arial"/>
          <w:lang w:val="mn-MN"/>
        </w:rPr>
        <w:t>. Хуулийн этгээдийн зардлыг тооцох</w:t>
      </w:r>
    </w:p>
    <w:p w14:paraId="5335C538" w14:textId="77777777" w:rsidR="00781076" w:rsidRPr="000D478A" w:rsidRDefault="00781076" w:rsidP="00585D08">
      <w:pPr>
        <w:pStyle w:val="NormalWeb"/>
        <w:spacing w:before="0" w:beforeAutospacing="0" w:after="0" w:afterAutospacing="0"/>
        <w:jc w:val="both"/>
        <w:rPr>
          <w:rFonts w:ascii="Arial" w:hAnsi="Arial" w:cs="Arial"/>
          <w:lang w:val="mn-MN"/>
        </w:rPr>
      </w:pPr>
    </w:p>
    <w:p w14:paraId="50DBDB9F" w14:textId="77777777" w:rsidR="002C4A24" w:rsidRPr="000D478A" w:rsidRDefault="002C4A24" w:rsidP="005A10FE">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Хуулийн этгээдийн зардлыг </w:t>
      </w:r>
      <w:r w:rsidR="001B250A" w:rsidRPr="000D478A">
        <w:rPr>
          <w:rFonts w:ascii="Arial" w:hAnsi="Arial" w:cs="Arial"/>
          <w:lang w:val="mn-MN"/>
        </w:rPr>
        <w:t>А</w:t>
      </w:r>
      <w:r w:rsidR="000F3B96" w:rsidRPr="000D478A">
        <w:rPr>
          <w:rFonts w:ascii="Arial" w:hAnsi="Arial" w:cs="Arial"/>
          <w:lang w:val="mn-MN"/>
        </w:rPr>
        <w:t xml:space="preserve">ргачлалд зааснаар </w:t>
      </w:r>
      <w:r w:rsidRPr="000D478A">
        <w:rPr>
          <w:rFonts w:ascii="Arial" w:hAnsi="Arial" w:cs="Arial"/>
          <w:lang w:val="mn-MN"/>
        </w:rPr>
        <w:t xml:space="preserve">дараах </w:t>
      </w:r>
      <w:r w:rsidR="000F3B96" w:rsidRPr="000D478A">
        <w:rPr>
          <w:rFonts w:ascii="Arial" w:hAnsi="Arial" w:cs="Arial"/>
          <w:lang w:val="mn-MN"/>
        </w:rPr>
        <w:t>байдлаар тооцов</w:t>
      </w:r>
      <w:r w:rsidR="009B58CA" w:rsidRPr="000D478A">
        <w:rPr>
          <w:rFonts w:ascii="Arial" w:hAnsi="Arial" w:cs="Arial"/>
          <w:lang w:val="mn-MN"/>
        </w:rPr>
        <w:t>. Үүнд</w:t>
      </w:r>
      <w:r w:rsidRPr="000D478A">
        <w:rPr>
          <w:rFonts w:ascii="Arial" w:hAnsi="Arial" w:cs="Arial"/>
          <w:lang w:val="mn-MN"/>
        </w:rPr>
        <w:t>:</w:t>
      </w:r>
    </w:p>
    <w:p w14:paraId="1D853A48" w14:textId="77777777" w:rsidR="00585D08" w:rsidRPr="000D478A" w:rsidRDefault="00585D08" w:rsidP="00585D08">
      <w:pPr>
        <w:pStyle w:val="NormalWeb"/>
        <w:spacing w:before="0" w:beforeAutospacing="0" w:after="0" w:afterAutospacing="0"/>
        <w:jc w:val="both"/>
        <w:rPr>
          <w:rFonts w:ascii="Arial" w:hAnsi="Arial" w:cs="Arial"/>
          <w:lang w:val="mn-MN"/>
        </w:rPr>
      </w:pPr>
    </w:p>
    <w:p w14:paraId="1B1995A1" w14:textId="77777777" w:rsidR="002C4A24" w:rsidRPr="000D478A" w:rsidRDefault="002C4A24" w:rsidP="00585D08">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1.1.хуулийн этгэ</w:t>
      </w:r>
      <w:r w:rsidR="0068533B" w:rsidRPr="000D478A">
        <w:rPr>
          <w:rFonts w:ascii="Arial" w:hAnsi="Arial" w:cs="Arial"/>
          <w:b/>
          <w:lang w:val="mn-MN"/>
        </w:rPr>
        <w:t>эдийн гүйцэтгэх үүргийг тогтоох</w:t>
      </w:r>
    </w:p>
    <w:p w14:paraId="3F8E012D" w14:textId="77777777" w:rsidR="00585D08" w:rsidRPr="000D478A" w:rsidRDefault="00585D08" w:rsidP="00585D08">
      <w:pPr>
        <w:pStyle w:val="NormalWeb"/>
        <w:spacing w:before="0" w:beforeAutospacing="0" w:after="0" w:afterAutospacing="0"/>
        <w:ind w:left="720"/>
        <w:jc w:val="both"/>
        <w:rPr>
          <w:rFonts w:ascii="Arial" w:hAnsi="Arial" w:cs="Arial"/>
          <w:b/>
          <w:lang w:val="mn-MN"/>
        </w:rPr>
      </w:pPr>
    </w:p>
    <w:p w14:paraId="45D00452" w14:textId="77777777" w:rsidR="00B363D6" w:rsidRPr="000D478A" w:rsidRDefault="00B363D6" w:rsidP="00B363D6">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Х</w:t>
      </w:r>
      <w:r w:rsidR="00041A52" w:rsidRPr="000D478A">
        <w:rPr>
          <w:rFonts w:ascii="Arial" w:hAnsi="Arial" w:cs="Arial"/>
          <w:lang w:val="mn-MN"/>
        </w:rPr>
        <w:t>уулийн төсөлд заасны дагуу</w:t>
      </w:r>
      <w:r w:rsidR="00B72CC9" w:rsidRPr="000D478A">
        <w:rPr>
          <w:rFonts w:ascii="Arial" w:hAnsi="Arial" w:cs="Arial"/>
          <w:lang w:val="mn-MN"/>
        </w:rPr>
        <w:t xml:space="preserve"> хуулийн этгээд </w:t>
      </w:r>
      <w:r w:rsidR="00B01FCB" w:rsidRPr="000D478A">
        <w:rPr>
          <w:rFonts w:ascii="Arial" w:hAnsi="Arial" w:cs="Arial"/>
          <w:lang w:val="mn-MN"/>
        </w:rPr>
        <w:t xml:space="preserve">буюу үнэт цаасны компани </w:t>
      </w:r>
      <w:r w:rsidR="00B72CC9" w:rsidRPr="000D478A">
        <w:rPr>
          <w:rFonts w:ascii="Arial" w:hAnsi="Arial" w:cs="Arial"/>
          <w:lang w:val="mn-MN"/>
        </w:rPr>
        <w:t xml:space="preserve">нь </w:t>
      </w:r>
      <w:r w:rsidRPr="000D478A">
        <w:rPr>
          <w:rFonts w:ascii="Arial" w:hAnsi="Arial" w:cs="Arial"/>
          <w:lang w:val="mn-MN"/>
        </w:rPr>
        <w:t>дараах чиг үүргийг хэрэгжүүлнэ:</w:t>
      </w:r>
    </w:p>
    <w:p w14:paraId="5842A9FC" w14:textId="77777777" w:rsidR="00B363D6" w:rsidRPr="000D478A" w:rsidRDefault="00B363D6" w:rsidP="00B363D6">
      <w:pPr>
        <w:pStyle w:val="NormalWeb"/>
        <w:spacing w:before="0" w:beforeAutospacing="0" w:after="0" w:afterAutospacing="0"/>
        <w:ind w:firstLine="720"/>
        <w:jc w:val="both"/>
        <w:rPr>
          <w:rFonts w:ascii="Arial" w:hAnsi="Arial" w:cs="Arial"/>
          <w:lang w:val="mn-MN"/>
        </w:rPr>
      </w:pPr>
    </w:p>
    <w:p w14:paraId="10800D7A" w14:textId="77777777" w:rsidR="001A4C6E" w:rsidRPr="000D478A" w:rsidRDefault="00B01FCB" w:rsidP="00505B03">
      <w:pPr>
        <w:pStyle w:val="NormalWeb"/>
        <w:numPr>
          <w:ilvl w:val="0"/>
          <w:numId w:val="1"/>
        </w:numPr>
        <w:spacing w:before="0" w:beforeAutospacing="0" w:after="120" w:afterAutospacing="0"/>
        <w:ind w:left="709"/>
        <w:jc w:val="both"/>
        <w:rPr>
          <w:rFonts w:ascii="Arial" w:hAnsi="Arial" w:cs="Arial"/>
          <w:lang w:val="mn-MN"/>
        </w:rPr>
      </w:pPr>
      <w:r w:rsidRPr="000D478A">
        <w:rPr>
          <w:rFonts w:ascii="Arial" w:hAnsi="Arial" w:cs="Arial"/>
          <w:lang w:val="mn-MN"/>
        </w:rPr>
        <w:t>Клирингийн гишүүн</w:t>
      </w:r>
      <w:r w:rsidR="00B3223D" w:rsidRPr="000D478A">
        <w:rPr>
          <w:rFonts w:ascii="Arial" w:hAnsi="Arial" w:cs="Arial"/>
          <w:lang w:val="mn-MN"/>
        </w:rPr>
        <w:t xml:space="preserve"> нь төлбөр тооцоог дараа төлбөрт горимоор гүйцэтгэхтэй холбоотойгоор</w:t>
      </w:r>
      <w:r w:rsidRPr="000D478A">
        <w:rPr>
          <w:rFonts w:ascii="Arial" w:hAnsi="Arial" w:cs="Arial"/>
          <w:lang w:val="mn-MN"/>
        </w:rPr>
        <w:t xml:space="preserve"> үнэт цаасны арилжаанд оролцохдоо харилцагчдын </w:t>
      </w:r>
      <w:r w:rsidR="00B3223D" w:rsidRPr="000D478A">
        <w:rPr>
          <w:rFonts w:ascii="Arial" w:hAnsi="Arial" w:cs="Arial"/>
          <w:lang w:val="mn-MN"/>
        </w:rPr>
        <w:t>захиалгын 30 хувийг барьцаа хэлбэрээр клирингийн төвд шилжүүлнэ</w:t>
      </w:r>
      <w:r w:rsidR="008B1981" w:rsidRPr="000D478A">
        <w:rPr>
          <w:rFonts w:ascii="Arial" w:hAnsi="Arial" w:cs="Arial"/>
          <w:lang w:val="mn-MN"/>
        </w:rPr>
        <w:t>;</w:t>
      </w:r>
    </w:p>
    <w:p w14:paraId="1B91CE80" w14:textId="77777777" w:rsidR="001A4C6E" w:rsidRPr="000D478A" w:rsidRDefault="00B3223D" w:rsidP="00505B03">
      <w:pPr>
        <w:pStyle w:val="NormalWeb"/>
        <w:numPr>
          <w:ilvl w:val="0"/>
          <w:numId w:val="1"/>
        </w:numPr>
        <w:spacing w:before="0" w:beforeAutospacing="0" w:after="0" w:afterAutospacing="0"/>
        <w:ind w:left="709"/>
        <w:jc w:val="both"/>
        <w:rPr>
          <w:rFonts w:ascii="Arial" w:hAnsi="Arial" w:cs="Arial"/>
          <w:lang w:val="mn-MN"/>
        </w:rPr>
      </w:pPr>
      <w:r w:rsidRPr="000D478A">
        <w:rPr>
          <w:rFonts w:ascii="Arial" w:hAnsi="Arial" w:cs="Arial"/>
          <w:lang w:val="mn-MN"/>
        </w:rPr>
        <w:t>Клирингийн гишүүд нь төлбөрийн баталгааны санд улирал бүр хураамж төлнө.</w:t>
      </w:r>
    </w:p>
    <w:p w14:paraId="43ABBB6C" w14:textId="77777777" w:rsidR="0009182A" w:rsidRPr="000D478A" w:rsidRDefault="0009182A" w:rsidP="0009182A">
      <w:pPr>
        <w:pStyle w:val="NormalWeb"/>
        <w:spacing w:before="0" w:beforeAutospacing="0" w:after="0" w:afterAutospacing="0"/>
        <w:ind w:left="2520"/>
        <w:jc w:val="both"/>
        <w:rPr>
          <w:rFonts w:ascii="Arial" w:hAnsi="Arial" w:cs="Arial"/>
          <w:lang w:val="mn-MN"/>
        </w:rPr>
      </w:pPr>
    </w:p>
    <w:p w14:paraId="2E41FD8B" w14:textId="77777777" w:rsidR="002C4A24" w:rsidRPr="000D478A" w:rsidRDefault="0068533B" w:rsidP="0009182A">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1.2.зардлыг тооцох</w:t>
      </w:r>
    </w:p>
    <w:p w14:paraId="34A89922" w14:textId="77777777" w:rsidR="0009182A" w:rsidRPr="000D478A" w:rsidRDefault="0009182A" w:rsidP="0009182A">
      <w:pPr>
        <w:pStyle w:val="NormalWeb"/>
        <w:spacing w:before="0" w:beforeAutospacing="0" w:after="0" w:afterAutospacing="0"/>
        <w:ind w:left="720"/>
        <w:jc w:val="both"/>
        <w:rPr>
          <w:rFonts w:ascii="Arial" w:hAnsi="Arial" w:cs="Arial"/>
          <w:b/>
          <w:lang w:val="mn-MN"/>
        </w:rPr>
      </w:pPr>
    </w:p>
    <w:p w14:paraId="43078CCF" w14:textId="61AA34AD" w:rsidR="00EB68D4" w:rsidRPr="000D478A" w:rsidRDefault="00B67B28" w:rsidP="0009182A">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Зардлыг тооцохдоо </w:t>
      </w:r>
      <w:r w:rsidR="00B3223D" w:rsidRPr="000D478A">
        <w:rPr>
          <w:rFonts w:ascii="Arial" w:hAnsi="Arial" w:cs="Arial"/>
          <w:lang w:val="mn-MN"/>
        </w:rPr>
        <w:t xml:space="preserve">үнэт цаасны компаниудын </w:t>
      </w:r>
      <w:r w:rsidR="00000B71" w:rsidRPr="000D478A">
        <w:rPr>
          <w:rFonts w:ascii="Arial" w:hAnsi="Arial" w:cs="Arial"/>
          <w:lang w:val="mn-MN"/>
        </w:rPr>
        <w:t>20</w:t>
      </w:r>
      <w:r w:rsidR="00F72EBD" w:rsidRPr="000D478A">
        <w:rPr>
          <w:rFonts w:ascii="Arial" w:hAnsi="Arial" w:cs="Arial"/>
          <w:lang w:val="mn-MN"/>
        </w:rPr>
        <w:t>2</w:t>
      </w:r>
      <w:r w:rsidR="00D00AEC" w:rsidRPr="000D478A">
        <w:rPr>
          <w:rFonts w:ascii="Arial" w:hAnsi="Arial" w:cs="Arial"/>
          <w:lang w:val="mn-MN"/>
        </w:rPr>
        <w:t>1</w:t>
      </w:r>
      <w:r w:rsidR="00000B71" w:rsidRPr="000D478A">
        <w:rPr>
          <w:rFonts w:ascii="Arial" w:hAnsi="Arial" w:cs="Arial"/>
          <w:lang w:val="mn-MN"/>
        </w:rPr>
        <w:t xml:space="preserve"> онд </w:t>
      </w:r>
      <w:r w:rsidR="00B3223D" w:rsidRPr="000D478A">
        <w:rPr>
          <w:rFonts w:ascii="Arial" w:hAnsi="Arial" w:cs="Arial"/>
          <w:lang w:val="mn-MN"/>
        </w:rPr>
        <w:t>хөрөнгийн биржээр дамжуулан хийсэн арилжааны дүнгийн</w:t>
      </w:r>
      <w:r w:rsidR="00000B71" w:rsidRPr="000D478A">
        <w:rPr>
          <w:rFonts w:ascii="Arial" w:hAnsi="Arial" w:cs="Arial"/>
          <w:lang w:val="mn-MN"/>
        </w:rPr>
        <w:t xml:space="preserve"> үзүүлэлтэд үндэслэж хийсэн.</w:t>
      </w:r>
      <w:r w:rsidR="00801798" w:rsidRPr="000D478A">
        <w:rPr>
          <w:rFonts w:ascii="Arial" w:hAnsi="Arial" w:cs="Arial"/>
          <w:lang w:val="mn-MN"/>
        </w:rPr>
        <w:t xml:space="preserve"> </w:t>
      </w:r>
      <w:r w:rsidR="00EC6616" w:rsidRPr="000D478A">
        <w:rPr>
          <w:rFonts w:ascii="Arial" w:hAnsi="Arial" w:cs="Arial"/>
          <w:lang w:val="mn-MN"/>
        </w:rPr>
        <w:t xml:space="preserve">Клирингийн гишүүний үнэт цаасны арилжаанд оролцох барьцааг тооцох ажилтны </w:t>
      </w:r>
      <w:r w:rsidR="002A1C9A" w:rsidRPr="000D478A">
        <w:rPr>
          <w:rFonts w:ascii="Arial" w:hAnsi="Arial" w:cs="Arial"/>
          <w:lang w:val="mn-MN"/>
        </w:rPr>
        <w:t xml:space="preserve">сарын дундаж зардлыг </w:t>
      </w:r>
      <w:r w:rsidR="00B01EEB" w:rsidRPr="000D478A">
        <w:rPr>
          <w:rFonts w:ascii="Arial" w:hAnsi="Arial" w:cs="Arial"/>
          <w:lang w:val="mn-MN"/>
        </w:rPr>
        <w:t xml:space="preserve">1 </w:t>
      </w:r>
      <w:r w:rsidR="00DD69B6" w:rsidRPr="000D478A">
        <w:rPr>
          <w:rFonts w:ascii="Arial" w:hAnsi="Arial" w:cs="Arial"/>
          <w:lang w:val="mn-MN"/>
        </w:rPr>
        <w:t>0</w:t>
      </w:r>
      <w:r w:rsidR="00B01EEB" w:rsidRPr="000D478A">
        <w:rPr>
          <w:rFonts w:ascii="Arial" w:hAnsi="Arial" w:cs="Arial"/>
          <w:lang w:val="mn-MN"/>
        </w:rPr>
        <w:t>00</w:t>
      </w:r>
      <w:r w:rsidR="002A1C9A" w:rsidRPr="000D478A">
        <w:rPr>
          <w:rFonts w:ascii="Arial" w:hAnsi="Arial" w:cs="Arial"/>
          <w:lang w:val="mn-MN"/>
        </w:rPr>
        <w:t xml:space="preserve"> 000 төгрөг байна гэж төсөөлөв.</w:t>
      </w:r>
      <w:r w:rsidR="001B6756" w:rsidRPr="000D478A">
        <w:rPr>
          <w:rFonts w:ascii="Arial" w:hAnsi="Arial" w:cs="Arial"/>
          <w:lang w:val="mn-MN"/>
        </w:rPr>
        <w:t xml:space="preserve"> </w:t>
      </w:r>
      <w:r w:rsidR="00910D24" w:rsidRPr="000D478A">
        <w:rPr>
          <w:rFonts w:ascii="Arial" w:hAnsi="Arial" w:cs="Arial"/>
          <w:lang w:val="mn-MN"/>
        </w:rPr>
        <w:t xml:space="preserve">Ажиллах хугацааг энэ аргачлалын “хуулийн этгээдийн үйл ажиллагааны гүйцэтгэлийн хугацааг тооцох загвар”-т заасны дагуу </w:t>
      </w:r>
      <w:r w:rsidR="005217F2" w:rsidRPr="000D478A">
        <w:rPr>
          <w:rFonts w:ascii="Arial" w:hAnsi="Arial" w:cs="Arial"/>
          <w:lang w:val="mn-MN"/>
        </w:rPr>
        <w:t>дор үзүүлсэн</w:t>
      </w:r>
      <w:r w:rsidR="00A60094" w:rsidRPr="000D478A">
        <w:rPr>
          <w:rFonts w:ascii="Arial" w:hAnsi="Arial" w:cs="Arial"/>
          <w:lang w:val="mn-MN"/>
        </w:rPr>
        <w:t xml:space="preserve"> </w:t>
      </w:r>
      <w:r w:rsidR="00910D24" w:rsidRPr="000D478A">
        <w:rPr>
          <w:rFonts w:ascii="Arial" w:hAnsi="Arial" w:cs="Arial"/>
          <w:lang w:val="mn-MN"/>
        </w:rPr>
        <w:t>хүснэгтээр тооцон үзэхэд дараах байдалтай байна:</w:t>
      </w:r>
      <w:r w:rsidR="002A1C9A" w:rsidRPr="000D478A">
        <w:rPr>
          <w:rFonts w:ascii="Arial" w:hAnsi="Arial" w:cs="Arial"/>
          <w:lang w:val="mn-MN"/>
        </w:rPr>
        <w:t xml:space="preserve">  </w:t>
      </w:r>
      <w:r w:rsidR="00EB68D4" w:rsidRPr="000D478A">
        <w:rPr>
          <w:rFonts w:ascii="Arial" w:hAnsi="Arial" w:cs="Arial"/>
          <w:lang w:val="mn-MN"/>
        </w:rPr>
        <w:t xml:space="preserve"> </w:t>
      </w:r>
    </w:p>
    <w:p w14:paraId="13B1CAC7" w14:textId="77777777" w:rsidR="005A4060" w:rsidRPr="000D478A" w:rsidRDefault="005A4060" w:rsidP="00585D08">
      <w:pPr>
        <w:pStyle w:val="NormalWeb"/>
        <w:spacing w:before="0" w:beforeAutospacing="0" w:after="0" w:afterAutospacing="0"/>
        <w:jc w:val="both"/>
        <w:rPr>
          <w:rFonts w:ascii="Arial" w:hAnsi="Arial" w:cs="Arial"/>
          <w:lang w:val="mn-MN"/>
        </w:rPr>
      </w:pPr>
    </w:p>
    <w:tbl>
      <w:tblPr>
        <w:tblW w:w="9004" w:type="dxa"/>
        <w:tblInd w:w="93" w:type="dxa"/>
        <w:tblLook w:val="04A0" w:firstRow="1" w:lastRow="0" w:firstColumn="1" w:lastColumn="0" w:noHBand="0" w:noVBand="1"/>
      </w:tblPr>
      <w:tblGrid>
        <w:gridCol w:w="499"/>
        <w:gridCol w:w="5193"/>
        <w:gridCol w:w="1206"/>
        <w:gridCol w:w="1030"/>
        <w:gridCol w:w="1076"/>
      </w:tblGrid>
      <w:tr w:rsidR="00AA62BA" w:rsidRPr="000D478A" w14:paraId="7CDFB359" w14:textId="77777777" w:rsidTr="00AA62BA">
        <w:trPr>
          <w:trHeight w:val="885"/>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BCE526"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w:t>
            </w:r>
          </w:p>
        </w:tc>
        <w:tc>
          <w:tcPr>
            <w:tcW w:w="5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FA6C4"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Ерөнхий үйл ажиллагаа</w:t>
            </w:r>
          </w:p>
        </w:tc>
        <w:tc>
          <w:tcPr>
            <w:tcW w:w="3312" w:type="dxa"/>
            <w:gridSpan w:val="3"/>
            <w:tcBorders>
              <w:top w:val="single" w:sz="4" w:space="0" w:color="auto"/>
              <w:left w:val="nil"/>
              <w:bottom w:val="single" w:sz="4" w:space="0" w:color="auto"/>
              <w:right w:val="single" w:sz="4" w:space="0" w:color="auto"/>
            </w:tcBorders>
            <w:shd w:val="clear" w:color="auto" w:fill="auto"/>
            <w:vAlign w:val="center"/>
            <w:hideMark/>
          </w:tcPr>
          <w:p w14:paraId="689D7D60"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Гүйцэтгэх хугацаа (минут)</w:t>
            </w:r>
          </w:p>
        </w:tc>
      </w:tr>
      <w:tr w:rsidR="00AA62BA" w:rsidRPr="000D478A" w14:paraId="01229A4F" w14:textId="77777777" w:rsidTr="00AA62BA">
        <w:trPr>
          <w:trHeight w:val="300"/>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CF0579E" w14:textId="77777777" w:rsidR="00AA62BA" w:rsidRPr="000D478A" w:rsidRDefault="00AA62BA" w:rsidP="00585D08">
            <w:pPr>
              <w:rPr>
                <w:rFonts w:ascii="Arial" w:eastAsia="Times New Roman" w:hAnsi="Arial" w:cs="Arial"/>
                <w:b/>
                <w:bCs/>
                <w:color w:val="000000"/>
                <w:sz w:val="22"/>
                <w:szCs w:val="22"/>
                <w:lang w:val="mn-MN"/>
              </w:rPr>
            </w:pPr>
          </w:p>
        </w:tc>
        <w:tc>
          <w:tcPr>
            <w:tcW w:w="5193" w:type="dxa"/>
            <w:vMerge/>
            <w:tcBorders>
              <w:top w:val="single" w:sz="4" w:space="0" w:color="auto"/>
              <w:left w:val="single" w:sz="4" w:space="0" w:color="auto"/>
              <w:bottom w:val="single" w:sz="4" w:space="0" w:color="auto"/>
              <w:right w:val="single" w:sz="4" w:space="0" w:color="auto"/>
            </w:tcBorders>
            <w:vAlign w:val="center"/>
            <w:hideMark/>
          </w:tcPr>
          <w:p w14:paraId="1B5E0CA9" w14:textId="77777777" w:rsidR="00AA62BA" w:rsidRPr="000D478A" w:rsidRDefault="00AA62BA" w:rsidP="00585D08">
            <w:pPr>
              <w:rPr>
                <w:rFonts w:ascii="Arial" w:eastAsia="Times New Roman" w:hAnsi="Arial" w:cs="Arial"/>
                <w:b/>
                <w:bCs/>
                <w:color w:val="000000"/>
                <w:sz w:val="22"/>
                <w:szCs w:val="22"/>
                <w:lang w:val="mn-MN"/>
              </w:rPr>
            </w:pPr>
          </w:p>
        </w:tc>
        <w:tc>
          <w:tcPr>
            <w:tcW w:w="1206" w:type="dxa"/>
            <w:tcBorders>
              <w:top w:val="nil"/>
              <w:left w:val="nil"/>
              <w:bottom w:val="single" w:sz="4" w:space="0" w:color="auto"/>
              <w:right w:val="single" w:sz="4" w:space="0" w:color="auto"/>
            </w:tcBorders>
            <w:shd w:val="clear" w:color="auto" w:fill="auto"/>
            <w:vAlign w:val="center"/>
            <w:hideMark/>
          </w:tcPr>
          <w:p w14:paraId="02187515"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Энгийн</w:t>
            </w:r>
          </w:p>
        </w:tc>
        <w:tc>
          <w:tcPr>
            <w:tcW w:w="1030" w:type="dxa"/>
            <w:tcBorders>
              <w:top w:val="nil"/>
              <w:left w:val="nil"/>
              <w:bottom w:val="single" w:sz="4" w:space="0" w:color="auto"/>
              <w:right w:val="single" w:sz="4" w:space="0" w:color="auto"/>
            </w:tcBorders>
            <w:shd w:val="clear" w:color="auto" w:fill="auto"/>
            <w:vAlign w:val="center"/>
            <w:hideMark/>
          </w:tcPr>
          <w:p w14:paraId="7F505741"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Дунд</w:t>
            </w:r>
          </w:p>
        </w:tc>
        <w:tc>
          <w:tcPr>
            <w:tcW w:w="1076" w:type="dxa"/>
            <w:tcBorders>
              <w:top w:val="nil"/>
              <w:left w:val="nil"/>
              <w:bottom w:val="single" w:sz="4" w:space="0" w:color="auto"/>
              <w:right w:val="single" w:sz="4" w:space="0" w:color="auto"/>
            </w:tcBorders>
            <w:shd w:val="clear" w:color="auto" w:fill="auto"/>
            <w:vAlign w:val="center"/>
            <w:hideMark/>
          </w:tcPr>
          <w:p w14:paraId="48305466"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Бүрэн</w:t>
            </w:r>
          </w:p>
        </w:tc>
      </w:tr>
      <w:tr w:rsidR="00AA62BA" w:rsidRPr="000D478A" w14:paraId="4C8F96E1"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2786869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w:t>
            </w:r>
          </w:p>
        </w:tc>
        <w:tc>
          <w:tcPr>
            <w:tcW w:w="5193" w:type="dxa"/>
            <w:tcBorders>
              <w:top w:val="nil"/>
              <w:left w:val="nil"/>
              <w:bottom w:val="single" w:sz="4" w:space="0" w:color="auto"/>
              <w:right w:val="single" w:sz="4" w:space="0" w:color="auto"/>
            </w:tcBorders>
            <w:shd w:val="clear" w:color="auto" w:fill="auto"/>
            <w:vAlign w:val="center"/>
            <w:hideMark/>
          </w:tcPr>
          <w:p w14:paraId="6EE62A0B" w14:textId="77777777" w:rsidR="00AA62BA" w:rsidRPr="000D478A" w:rsidRDefault="00EC6616"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Клирингийн гишүүний үүрэгтэй </w:t>
            </w:r>
            <w:r w:rsidR="00AA62BA" w:rsidRPr="000D478A">
              <w:rPr>
                <w:rFonts w:ascii="Arial" w:eastAsia="Times New Roman" w:hAnsi="Arial" w:cs="Arial"/>
                <w:color w:val="000000"/>
                <w:sz w:val="22"/>
                <w:szCs w:val="22"/>
                <w:lang w:val="mn-MN"/>
              </w:rPr>
              <w:t>танилцах, судлах</w:t>
            </w:r>
          </w:p>
        </w:tc>
        <w:tc>
          <w:tcPr>
            <w:tcW w:w="1206" w:type="dxa"/>
            <w:tcBorders>
              <w:top w:val="nil"/>
              <w:left w:val="nil"/>
              <w:bottom w:val="single" w:sz="4" w:space="0" w:color="auto"/>
              <w:right w:val="single" w:sz="4" w:space="0" w:color="auto"/>
            </w:tcBorders>
            <w:shd w:val="clear" w:color="auto" w:fill="auto"/>
            <w:vAlign w:val="center"/>
            <w:hideMark/>
          </w:tcPr>
          <w:p w14:paraId="0EE7CF83"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10.0 </w:t>
            </w:r>
          </w:p>
        </w:tc>
        <w:tc>
          <w:tcPr>
            <w:tcW w:w="1030" w:type="dxa"/>
            <w:tcBorders>
              <w:top w:val="nil"/>
              <w:left w:val="nil"/>
              <w:bottom w:val="single" w:sz="4" w:space="0" w:color="auto"/>
              <w:right w:val="single" w:sz="4" w:space="0" w:color="auto"/>
            </w:tcBorders>
            <w:shd w:val="clear" w:color="auto" w:fill="auto"/>
            <w:vAlign w:val="center"/>
            <w:hideMark/>
          </w:tcPr>
          <w:p w14:paraId="6E1098D9"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12.0 </w:t>
            </w:r>
          </w:p>
        </w:tc>
        <w:tc>
          <w:tcPr>
            <w:tcW w:w="1076" w:type="dxa"/>
            <w:tcBorders>
              <w:top w:val="nil"/>
              <w:left w:val="nil"/>
              <w:bottom w:val="single" w:sz="4" w:space="0" w:color="auto"/>
              <w:right w:val="single" w:sz="4" w:space="0" w:color="auto"/>
            </w:tcBorders>
            <w:shd w:val="clear" w:color="auto" w:fill="auto"/>
            <w:vAlign w:val="center"/>
            <w:hideMark/>
          </w:tcPr>
          <w:p w14:paraId="0DC4A8E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15.0 </w:t>
            </w:r>
          </w:p>
        </w:tc>
      </w:tr>
      <w:tr w:rsidR="00AA62BA" w:rsidRPr="000D478A" w14:paraId="3D9A4224"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3B9C191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2</w:t>
            </w:r>
          </w:p>
        </w:tc>
        <w:tc>
          <w:tcPr>
            <w:tcW w:w="5193" w:type="dxa"/>
            <w:tcBorders>
              <w:top w:val="nil"/>
              <w:left w:val="nil"/>
              <w:bottom w:val="single" w:sz="4" w:space="0" w:color="auto"/>
              <w:right w:val="single" w:sz="4" w:space="0" w:color="auto"/>
            </w:tcBorders>
            <w:shd w:val="clear" w:color="auto" w:fill="auto"/>
            <w:vAlign w:val="center"/>
            <w:hideMark/>
          </w:tcPr>
          <w:p w14:paraId="6E7B8203" w14:textId="77777777" w:rsidR="00AA62BA" w:rsidRPr="000D478A" w:rsidRDefault="00EC6616"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Харилцагчтай байгуулах гэрээний төсөл боловсруулах </w:t>
            </w:r>
          </w:p>
        </w:tc>
        <w:tc>
          <w:tcPr>
            <w:tcW w:w="1206" w:type="dxa"/>
            <w:tcBorders>
              <w:top w:val="nil"/>
              <w:left w:val="nil"/>
              <w:bottom w:val="single" w:sz="4" w:space="0" w:color="auto"/>
              <w:right w:val="single" w:sz="4" w:space="0" w:color="auto"/>
            </w:tcBorders>
            <w:shd w:val="clear" w:color="auto" w:fill="auto"/>
            <w:vAlign w:val="center"/>
            <w:hideMark/>
          </w:tcPr>
          <w:p w14:paraId="1337943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10.0 </w:t>
            </w:r>
          </w:p>
        </w:tc>
        <w:tc>
          <w:tcPr>
            <w:tcW w:w="1030" w:type="dxa"/>
            <w:tcBorders>
              <w:top w:val="nil"/>
              <w:left w:val="nil"/>
              <w:bottom w:val="single" w:sz="4" w:space="0" w:color="auto"/>
              <w:right w:val="single" w:sz="4" w:space="0" w:color="auto"/>
            </w:tcBorders>
            <w:shd w:val="clear" w:color="auto" w:fill="auto"/>
            <w:vAlign w:val="center"/>
            <w:hideMark/>
          </w:tcPr>
          <w:p w14:paraId="563CF33E"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12.0 </w:t>
            </w:r>
          </w:p>
        </w:tc>
        <w:tc>
          <w:tcPr>
            <w:tcW w:w="1076" w:type="dxa"/>
            <w:tcBorders>
              <w:top w:val="nil"/>
              <w:left w:val="nil"/>
              <w:bottom w:val="single" w:sz="4" w:space="0" w:color="auto"/>
              <w:right w:val="single" w:sz="4" w:space="0" w:color="auto"/>
            </w:tcBorders>
            <w:shd w:val="clear" w:color="auto" w:fill="auto"/>
            <w:vAlign w:val="center"/>
            <w:hideMark/>
          </w:tcPr>
          <w:p w14:paraId="7B4C6A63"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15.0 </w:t>
            </w:r>
          </w:p>
        </w:tc>
      </w:tr>
      <w:tr w:rsidR="00AA62BA" w:rsidRPr="000D478A" w14:paraId="1876E9AF"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61E82163"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lastRenderedPageBreak/>
              <w:t>3</w:t>
            </w:r>
          </w:p>
        </w:tc>
        <w:tc>
          <w:tcPr>
            <w:tcW w:w="5193" w:type="dxa"/>
            <w:tcBorders>
              <w:top w:val="nil"/>
              <w:left w:val="nil"/>
              <w:bottom w:val="single" w:sz="4" w:space="0" w:color="auto"/>
              <w:right w:val="single" w:sz="4" w:space="0" w:color="auto"/>
            </w:tcBorders>
            <w:shd w:val="clear" w:color="auto" w:fill="auto"/>
            <w:vAlign w:val="center"/>
            <w:hideMark/>
          </w:tcPr>
          <w:p w14:paraId="2155C9A7" w14:textId="77777777" w:rsidR="00AA62BA" w:rsidRPr="000D478A" w:rsidRDefault="00EC6616"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Үнэт цаасны мөнгөн хөрөнгийн болон үнэт цаасны номинал дансны системийн шаардлагыг тодорхойлох </w:t>
            </w:r>
          </w:p>
        </w:tc>
        <w:tc>
          <w:tcPr>
            <w:tcW w:w="1206" w:type="dxa"/>
            <w:tcBorders>
              <w:top w:val="nil"/>
              <w:left w:val="nil"/>
              <w:bottom w:val="single" w:sz="4" w:space="0" w:color="auto"/>
              <w:right w:val="single" w:sz="4" w:space="0" w:color="auto"/>
            </w:tcBorders>
            <w:shd w:val="clear" w:color="auto" w:fill="auto"/>
            <w:vAlign w:val="center"/>
            <w:hideMark/>
          </w:tcPr>
          <w:p w14:paraId="7325DAB7"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60.0 </w:t>
            </w:r>
          </w:p>
        </w:tc>
        <w:tc>
          <w:tcPr>
            <w:tcW w:w="1030" w:type="dxa"/>
            <w:tcBorders>
              <w:top w:val="nil"/>
              <w:left w:val="nil"/>
              <w:bottom w:val="single" w:sz="4" w:space="0" w:color="auto"/>
              <w:right w:val="single" w:sz="4" w:space="0" w:color="auto"/>
            </w:tcBorders>
            <w:shd w:val="clear" w:color="auto" w:fill="auto"/>
            <w:vAlign w:val="center"/>
            <w:hideMark/>
          </w:tcPr>
          <w:p w14:paraId="0E449086"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72.0 </w:t>
            </w:r>
          </w:p>
        </w:tc>
        <w:tc>
          <w:tcPr>
            <w:tcW w:w="1076" w:type="dxa"/>
            <w:tcBorders>
              <w:top w:val="nil"/>
              <w:left w:val="nil"/>
              <w:bottom w:val="single" w:sz="4" w:space="0" w:color="auto"/>
              <w:right w:val="single" w:sz="4" w:space="0" w:color="auto"/>
            </w:tcBorders>
            <w:shd w:val="clear" w:color="auto" w:fill="auto"/>
            <w:vAlign w:val="center"/>
            <w:hideMark/>
          </w:tcPr>
          <w:p w14:paraId="776929D6"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90.0 </w:t>
            </w:r>
          </w:p>
        </w:tc>
      </w:tr>
      <w:tr w:rsidR="00AA62BA" w:rsidRPr="000D478A" w14:paraId="5343706D"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24EFAAA1"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4</w:t>
            </w:r>
          </w:p>
        </w:tc>
        <w:tc>
          <w:tcPr>
            <w:tcW w:w="5193" w:type="dxa"/>
            <w:tcBorders>
              <w:top w:val="nil"/>
              <w:left w:val="nil"/>
              <w:bottom w:val="single" w:sz="4" w:space="0" w:color="auto"/>
              <w:right w:val="single" w:sz="4" w:space="0" w:color="auto"/>
            </w:tcBorders>
            <w:shd w:val="clear" w:color="auto" w:fill="auto"/>
            <w:vAlign w:val="center"/>
            <w:hideMark/>
          </w:tcPr>
          <w:p w14:paraId="1971A3FA" w14:textId="77777777" w:rsidR="00AA62BA" w:rsidRPr="000D478A" w:rsidRDefault="00EC6616"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Үнэт цаасны компаниудын систем дээрх хөгжүүлэлт </w:t>
            </w:r>
          </w:p>
        </w:tc>
        <w:tc>
          <w:tcPr>
            <w:tcW w:w="1206" w:type="dxa"/>
            <w:tcBorders>
              <w:top w:val="nil"/>
              <w:left w:val="nil"/>
              <w:bottom w:val="single" w:sz="4" w:space="0" w:color="auto"/>
              <w:right w:val="single" w:sz="4" w:space="0" w:color="auto"/>
            </w:tcBorders>
            <w:shd w:val="clear" w:color="auto" w:fill="auto"/>
            <w:vAlign w:val="center"/>
            <w:hideMark/>
          </w:tcPr>
          <w:p w14:paraId="37AC7E3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60.0 </w:t>
            </w:r>
          </w:p>
        </w:tc>
        <w:tc>
          <w:tcPr>
            <w:tcW w:w="1030" w:type="dxa"/>
            <w:tcBorders>
              <w:top w:val="nil"/>
              <w:left w:val="nil"/>
              <w:bottom w:val="single" w:sz="4" w:space="0" w:color="auto"/>
              <w:right w:val="single" w:sz="4" w:space="0" w:color="auto"/>
            </w:tcBorders>
            <w:shd w:val="clear" w:color="auto" w:fill="auto"/>
            <w:vAlign w:val="center"/>
            <w:hideMark/>
          </w:tcPr>
          <w:p w14:paraId="6F73005C"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72.0 </w:t>
            </w:r>
          </w:p>
        </w:tc>
        <w:tc>
          <w:tcPr>
            <w:tcW w:w="1076" w:type="dxa"/>
            <w:tcBorders>
              <w:top w:val="nil"/>
              <w:left w:val="nil"/>
              <w:bottom w:val="single" w:sz="4" w:space="0" w:color="auto"/>
              <w:right w:val="single" w:sz="4" w:space="0" w:color="auto"/>
            </w:tcBorders>
            <w:shd w:val="clear" w:color="auto" w:fill="auto"/>
            <w:vAlign w:val="center"/>
            <w:hideMark/>
          </w:tcPr>
          <w:p w14:paraId="29E1B75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90.0 </w:t>
            </w:r>
          </w:p>
        </w:tc>
      </w:tr>
      <w:tr w:rsidR="00AA62BA" w:rsidRPr="000D478A" w14:paraId="56D20672"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D3CEE0C"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5</w:t>
            </w:r>
          </w:p>
        </w:tc>
        <w:tc>
          <w:tcPr>
            <w:tcW w:w="5193" w:type="dxa"/>
            <w:tcBorders>
              <w:top w:val="nil"/>
              <w:left w:val="nil"/>
              <w:bottom w:val="single" w:sz="4" w:space="0" w:color="auto"/>
              <w:right w:val="single" w:sz="4" w:space="0" w:color="auto"/>
            </w:tcBorders>
            <w:shd w:val="clear" w:color="auto" w:fill="auto"/>
            <w:vAlign w:val="center"/>
            <w:hideMark/>
          </w:tcPr>
          <w:p w14:paraId="05852425"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Мэдээлэл, өгөгдөхүүнийг </w:t>
            </w:r>
            <w:r w:rsidR="00EC6616" w:rsidRPr="000D478A">
              <w:rPr>
                <w:rFonts w:ascii="Arial" w:eastAsia="Times New Roman" w:hAnsi="Arial" w:cs="Arial"/>
                <w:color w:val="000000"/>
                <w:sz w:val="22"/>
                <w:szCs w:val="22"/>
                <w:lang w:val="mn-MN"/>
              </w:rPr>
              <w:t xml:space="preserve">боловсруулах </w:t>
            </w:r>
          </w:p>
        </w:tc>
        <w:tc>
          <w:tcPr>
            <w:tcW w:w="1206" w:type="dxa"/>
            <w:tcBorders>
              <w:top w:val="nil"/>
              <w:left w:val="nil"/>
              <w:bottom w:val="single" w:sz="4" w:space="0" w:color="auto"/>
              <w:right w:val="single" w:sz="4" w:space="0" w:color="auto"/>
            </w:tcBorders>
            <w:shd w:val="clear" w:color="auto" w:fill="auto"/>
            <w:vAlign w:val="center"/>
            <w:hideMark/>
          </w:tcPr>
          <w:p w14:paraId="5FC8547D"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30.0 </w:t>
            </w:r>
          </w:p>
        </w:tc>
        <w:tc>
          <w:tcPr>
            <w:tcW w:w="1030" w:type="dxa"/>
            <w:tcBorders>
              <w:top w:val="nil"/>
              <w:left w:val="nil"/>
              <w:bottom w:val="single" w:sz="4" w:space="0" w:color="auto"/>
              <w:right w:val="single" w:sz="4" w:space="0" w:color="auto"/>
            </w:tcBorders>
            <w:shd w:val="clear" w:color="auto" w:fill="auto"/>
            <w:vAlign w:val="center"/>
            <w:hideMark/>
          </w:tcPr>
          <w:p w14:paraId="235E3054"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36.0 </w:t>
            </w:r>
          </w:p>
        </w:tc>
        <w:tc>
          <w:tcPr>
            <w:tcW w:w="1076" w:type="dxa"/>
            <w:tcBorders>
              <w:top w:val="nil"/>
              <w:left w:val="nil"/>
              <w:bottom w:val="single" w:sz="4" w:space="0" w:color="auto"/>
              <w:right w:val="single" w:sz="4" w:space="0" w:color="auto"/>
            </w:tcBorders>
            <w:shd w:val="clear" w:color="auto" w:fill="auto"/>
            <w:vAlign w:val="center"/>
            <w:hideMark/>
          </w:tcPr>
          <w:p w14:paraId="6F70D616"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45.0 </w:t>
            </w:r>
          </w:p>
        </w:tc>
      </w:tr>
      <w:tr w:rsidR="00AA62BA" w:rsidRPr="000D478A" w14:paraId="30F16250"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24E3860"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6</w:t>
            </w:r>
          </w:p>
        </w:tc>
        <w:tc>
          <w:tcPr>
            <w:tcW w:w="5193" w:type="dxa"/>
            <w:tcBorders>
              <w:top w:val="nil"/>
              <w:left w:val="nil"/>
              <w:bottom w:val="single" w:sz="4" w:space="0" w:color="auto"/>
              <w:right w:val="single" w:sz="4" w:space="0" w:color="auto"/>
            </w:tcBorders>
            <w:shd w:val="clear" w:color="auto" w:fill="auto"/>
            <w:vAlign w:val="center"/>
            <w:hideMark/>
          </w:tcPr>
          <w:p w14:paraId="1DD5A979"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Алдааг засах</w:t>
            </w:r>
          </w:p>
        </w:tc>
        <w:tc>
          <w:tcPr>
            <w:tcW w:w="1206" w:type="dxa"/>
            <w:tcBorders>
              <w:top w:val="nil"/>
              <w:left w:val="nil"/>
              <w:bottom w:val="single" w:sz="4" w:space="0" w:color="auto"/>
              <w:right w:val="single" w:sz="4" w:space="0" w:color="auto"/>
            </w:tcBorders>
            <w:shd w:val="clear" w:color="auto" w:fill="auto"/>
            <w:vAlign w:val="center"/>
            <w:hideMark/>
          </w:tcPr>
          <w:p w14:paraId="28D33E55"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30.0 </w:t>
            </w:r>
          </w:p>
        </w:tc>
        <w:tc>
          <w:tcPr>
            <w:tcW w:w="1030" w:type="dxa"/>
            <w:tcBorders>
              <w:top w:val="nil"/>
              <w:left w:val="nil"/>
              <w:bottom w:val="single" w:sz="4" w:space="0" w:color="auto"/>
              <w:right w:val="single" w:sz="4" w:space="0" w:color="auto"/>
            </w:tcBorders>
            <w:shd w:val="clear" w:color="auto" w:fill="auto"/>
            <w:vAlign w:val="center"/>
            <w:hideMark/>
          </w:tcPr>
          <w:p w14:paraId="4B0AFF45"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36.0 </w:t>
            </w:r>
          </w:p>
        </w:tc>
        <w:tc>
          <w:tcPr>
            <w:tcW w:w="1076" w:type="dxa"/>
            <w:tcBorders>
              <w:top w:val="nil"/>
              <w:left w:val="nil"/>
              <w:bottom w:val="single" w:sz="4" w:space="0" w:color="auto"/>
              <w:right w:val="single" w:sz="4" w:space="0" w:color="auto"/>
            </w:tcBorders>
            <w:shd w:val="clear" w:color="auto" w:fill="auto"/>
            <w:vAlign w:val="center"/>
            <w:hideMark/>
          </w:tcPr>
          <w:p w14:paraId="7FEFE356"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45.0 </w:t>
            </w:r>
          </w:p>
        </w:tc>
      </w:tr>
      <w:tr w:rsidR="00AA62BA" w:rsidRPr="000D478A" w14:paraId="5D9E4D98"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37556B8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7</w:t>
            </w:r>
          </w:p>
        </w:tc>
        <w:tc>
          <w:tcPr>
            <w:tcW w:w="5193" w:type="dxa"/>
            <w:tcBorders>
              <w:top w:val="nil"/>
              <w:left w:val="nil"/>
              <w:bottom w:val="single" w:sz="4" w:space="0" w:color="auto"/>
              <w:right w:val="single" w:sz="4" w:space="0" w:color="auto"/>
            </w:tcBorders>
            <w:shd w:val="clear" w:color="auto" w:fill="auto"/>
            <w:vAlign w:val="center"/>
            <w:hideMark/>
          </w:tcPr>
          <w:p w14:paraId="630A28E6"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Тоо баримтыг боловсруулах</w:t>
            </w:r>
          </w:p>
        </w:tc>
        <w:tc>
          <w:tcPr>
            <w:tcW w:w="1206" w:type="dxa"/>
            <w:tcBorders>
              <w:top w:val="nil"/>
              <w:left w:val="nil"/>
              <w:bottom w:val="single" w:sz="4" w:space="0" w:color="auto"/>
              <w:right w:val="single" w:sz="4" w:space="0" w:color="auto"/>
            </w:tcBorders>
            <w:shd w:val="clear" w:color="auto" w:fill="auto"/>
            <w:vAlign w:val="center"/>
            <w:hideMark/>
          </w:tcPr>
          <w:p w14:paraId="17CFF51F"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10.0 </w:t>
            </w:r>
          </w:p>
        </w:tc>
        <w:tc>
          <w:tcPr>
            <w:tcW w:w="1030" w:type="dxa"/>
            <w:tcBorders>
              <w:top w:val="nil"/>
              <w:left w:val="nil"/>
              <w:bottom w:val="single" w:sz="4" w:space="0" w:color="auto"/>
              <w:right w:val="single" w:sz="4" w:space="0" w:color="auto"/>
            </w:tcBorders>
            <w:shd w:val="clear" w:color="auto" w:fill="auto"/>
            <w:vAlign w:val="center"/>
            <w:hideMark/>
          </w:tcPr>
          <w:p w14:paraId="1FFB5984"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12.0 </w:t>
            </w:r>
          </w:p>
        </w:tc>
        <w:tc>
          <w:tcPr>
            <w:tcW w:w="1076" w:type="dxa"/>
            <w:tcBorders>
              <w:top w:val="nil"/>
              <w:left w:val="nil"/>
              <w:bottom w:val="single" w:sz="4" w:space="0" w:color="auto"/>
              <w:right w:val="single" w:sz="4" w:space="0" w:color="auto"/>
            </w:tcBorders>
            <w:shd w:val="clear" w:color="auto" w:fill="auto"/>
            <w:vAlign w:val="center"/>
            <w:hideMark/>
          </w:tcPr>
          <w:p w14:paraId="08A5D9B9"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15.0 </w:t>
            </w:r>
          </w:p>
        </w:tc>
      </w:tr>
      <w:tr w:rsidR="00AA62BA" w:rsidRPr="000D478A" w14:paraId="6B73FAE4"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1D13B3B0"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8</w:t>
            </w:r>
          </w:p>
        </w:tc>
        <w:tc>
          <w:tcPr>
            <w:tcW w:w="5193" w:type="dxa"/>
            <w:tcBorders>
              <w:top w:val="nil"/>
              <w:left w:val="nil"/>
              <w:bottom w:val="single" w:sz="4" w:space="0" w:color="auto"/>
              <w:right w:val="single" w:sz="4" w:space="0" w:color="auto"/>
            </w:tcBorders>
            <w:shd w:val="clear" w:color="auto" w:fill="auto"/>
            <w:vAlign w:val="center"/>
            <w:hideMark/>
          </w:tcPr>
          <w:p w14:paraId="17E116E5"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Мэдээлэл шилжүүлэх болон нийтлүүлэх</w:t>
            </w:r>
          </w:p>
        </w:tc>
        <w:tc>
          <w:tcPr>
            <w:tcW w:w="1206" w:type="dxa"/>
            <w:tcBorders>
              <w:top w:val="nil"/>
              <w:left w:val="nil"/>
              <w:bottom w:val="single" w:sz="4" w:space="0" w:color="auto"/>
              <w:right w:val="single" w:sz="4" w:space="0" w:color="auto"/>
            </w:tcBorders>
            <w:shd w:val="clear" w:color="auto" w:fill="auto"/>
            <w:vAlign w:val="center"/>
            <w:hideMark/>
          </w:tcPr>
          <w:p w14:paraId="31380C4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10.0 </w:t>
            </w:r>
          </w:p>
        </w:tc>
        <w:tc>
          <w:tcPr>
            <w:tcW w:w="1030" w:type="dxa"/>
            <w:tcBorders>
              <w:top w:val="nil"/>
              <w:left w:val="nil"/>
              <w:bottom w:val="single" w:sz="4" w:space="0" w:color="auto"/>
              <w:right w:val="single" w:sz="4" w:space="0" w:color="auto"/>
            </w:tcBorders>
            <w:shd w:val="clear" w:color="auto" w:fill="auto"/>
            <w:vAlign w:val="center"/>
            <w:hideMark/>
          </w:tcPr>
          <w:p w14:paraId="4E3B1B3D"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12.0 </w:t>
            </w:r>
          </w:p>
        </w:tc>
        <w:tc>
          <w:tcPr>
            <w:tcW w:w="1076" w:type="dxa"/>
            <w:tcBorders>
              <w:top w:val="nil"/>
              <w:left w:val="nil"/>
              <w:bottom w:val="single" w:sz="4" w:space="0" w:color="auto"/>
              <w:right w:val="single" w:sz="4" w:space="0" w:color="auto"/>
            </w:tcBorders>
            <w:shd w:val="clear" w:color="auto" w:fill="auto"/>
            <w:vAlign w:val="center"/>
            <w:hideMark/>
          </w:tcPr>
          <w:p w14:paraId="4C90D624"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15.0 </w:t>
            </w:r>
          </w:p>
        </w:tc>
      </w:tr>
      <w:tr w:rsidR="00AA62BA" w:rsidRPr="000D478A" w14:paraId="79BA122C"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B6CF889"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9</w:t>
            </w:r>
          </w:p>
        </w:tc>
        <w:tc>
          <w:tcPr>
            <w:tcW w:w="5193" w:type="dxa"/>
            <w:tcBorders>
              <w:top w:val="nil"/>
              <w:left w:val="nil"/>
              <w:bottom w:val="single" w:sz="4" w:space="0" w:color="auto"/>
              <w:right w:val="single" w:sz="4" w:space="0" w:color="auto"/>
            </w:tcBorders>
            <w:shd w:val="clear" w:color="auto" w:fill="auto"/>
            <w:vAlign w:val="center"/>
            <w:hideMark/>
          </w:tcPr>
          <w:p w14:paraId="7E877569"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Дотоод хуралдаан (зөвлөгөөн)</w:t>
            </w:r>
          </w:p>
        </w:tc>
        <w:tc>
          <w:tcPr>
            <w:tcW w:w="1206" w:type="dxa"/>
            <w:tcBorders>
              <w:top w:val="nil"/>
              <w:left w:val="nil"/>
              <w:bottom w:val="single" w:sz="4" w:space="0" w:color="auto"/>
              <w:right w:val="single" w:sz="4" w:space="0" w:color="auto"/>
            </w:tcBorders>
            <w:shd w:val="clear" w:color="auto" w:fill="auto"/>
            <w:vAlign w:val="center"/>
            <w:hideMark/>
          </w:tcPr>
          <w:p w14:paraId="2DB02E96"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5AF80AA1"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76" w:type="dxa"/>
            <w:tcBorders>
              <w:top w:val="nil"/>
              <w:left w:val="nil"/>
              <w:bottom w:val="single" w:sz="4" w:space="0" w:color="auto"/>
              <w:right w:val="single" w:sz="4" w:space="0" w:color="auto"/>
            </w:tcBorders>
            <w:shd w:val="clear" w:color="auto" w:fill="auto"/>
            <w:vAlign w:val="center"/>
            <w:hideMark/>
          </w:tcPr>
          <w:p w14:paraId="78BCB00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r>
      <w:tr w:rsidR="00AA62BA" w:rsidRPr="000D478A" w14:paraId="0314FD8E" w14:textId="77777777" w:rsidTr="00AA62BA">
        <w:trPr>
          <w:trHeight w:val="570"/>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81825"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10</w:t>
            </w:r>
          </w:p>
        </w:tc>
        <w:tc>
          <w:tcPr>
            <w:tcW w:w="5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32E84"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Бусадтай хамтран хийх хуралдаан (зөвлөгөөн)</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C472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2B52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B868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r>
      <w:tr w:rsidR="00AA62BA" w:rsidRPr="000D478A" w14:paraId="179A7761" w14:textId="77777777" w:rsidTr="00AA62BA">
        <w:trPr>
          <w:trHeight w:val="300"/>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FE483"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11</w:t>
            </w:r>
          </w:p>
        </w:tc>
        <w:tc>
          <w:tcPr>
            <w:tcW w:w="5193" w:type="dxa"/>
            <w:tcBorders>
              <w:top w:val="single" w:sz="4" w:space="0" w:color="auto"/>
              <w:left w:val="nil"/>
              <w:bottom w:val="single" w:sz="4" w:space="0" w:color="auto"/>
              <w:right w:val="single" w:sz="4" w:space="0" w:color="auto"/>
            </w:tcBorders>
            <w:shd w:val="clear" w:color="auto" w:fill="auto"/>
            <w:vAlign w:val="center"/>
            <w:hideMark/>
          </w:tcPr>
          <w:p w14:paraId="2EFE4AB6"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Мөнгө шилжүүлэх үүрэг хэрэгжүүлэх</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C84FFC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10.0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555896D"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12.0 </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7D85F87B"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15.0 </w:t>
            </w:r>
          </w:p>
        </w:tc>
      </w:tr>
      <w:tr w:rsidR="00AA62BA" w:rsidRPr="000D478A" w14:paraId="79AA4470"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1BE27EE9"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12</w:t>
            </w:r>
          </w:p>
        </w:tc>
        <w:tc>
          <w:tcPr>
            <w:tcW w:w="5193" w:type="dxa"/>
            <w:tcBorders>
              <w:top w:val="nil"/>
              <w:left w:val="nil"/>
              <w:bottom w:val="single" w:sz="4" w:space="0" w:color="auto"/>
              <w:right w:val="single" w:sz="4" w:space="0" w:color="auto"/>
            </w:tcBorders>
            <w:shd w:val="clear" w:color="auto" w:fill="auto"/>
            <w:vAlign w:val="center"/>
            <w:hideMark/>
          </w:tcPr>
          <w:p w14:paraId="5B2B6CBC"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Олшруулах, архивлах, тараах</w:t>
            </w:r>
          </w:p>
        </w:tc>
        <w:tc>
          <w:tcPr>
            <w:tcW w:w="1206" w:type="dxa"/>
            <w:tcBorders>
              <w:top w:val="nil"/>
              <w:left w:val="nil"/>
              <w:bottom w:val="single" w:sz="4" w:space="0" w:color="auto"/>
              <w:right w:val="single" w:sz="4" w:space="0" w:color="auto"/>
            </w:tcBorders>
            <w:shd w:val="clear" w:color="auto" w:fill="auto"/>
            <w:vAlign w:val="center"/>
            <w:hideMark/>
          </w:tcPr>
          <w:p w14:paraId="2BF75C10"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5.0 </w:t>
            </w:r>
          </w:p>
        </w:tc>
        <w:tc>
          <w:tcPr>
            <w:tcW w:w="1030" w:type="dxa"/>
            <w:tcBorders>
              <w:top w:val="nil"/>
              <w:left w:val="nil"/>
              <w:bottom w:val="single" w:sz="4" w:space="0" w:color="auto"/>
              <w:right w:val="single" w:sz="4" w:space="0" w:color="auto"/>
            </w:tcBorders>
            <w:shd w:val="clear" w:color="auto" w:fill="auto"/>
            <w:vAlign w:val="center"/>
            <w:hideMark/>
          </w:tcPr>
          <w:p w14:paraId="4B939DA4"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6.0 </w:t>
            </w:r>
          </w:p>
        </w:tc>
        <w:tc>
          <w:tcPr>
            <w:tcW w:w="1076" w:type="dxa"/>
            <w:tcBorders>
              <w:top w:val="nil"/>
              <w:left w:val="nil"/>
              <w:bottom w:val="single" w:sz="4" w:space="0" w:color="auto"/>
              <w:right w:val="single" w:sz="4" w:space="0" w:color="auto"/>
            </w:tcBorders>
            <w:shd w:val="clear" w:color="auto" w:fill="auto"/>
            <w:vAlign w:val="center"/>
            <w:hideMark/>
          </w:tcPr>
          <w:p w14:paraId="79136F85"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7.5 </w:t>
            </w:r>
          </w:p>
        </w:tc>
      </w:tr>
      <w:tr w:rsidR="00AA62BA" w:rsidRPr="000D478A" w14:paraId="405F2171"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14107819"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13</w:t>
            </w:r>
          </w:p>
        </w:tc>
        <w:tc>
          <w:tcPr>
            <w:tcW w:w="5193" w:type="dxa"/>
            <w:tcBorders>
              <w:top w:val="nil"/>
              <w:left w:val="nil"/>
              <w:bottom w:val="single" w:sz="4" w:space="0" w:color="auto"/>
              <w:right w:val="single" w:sz="4" w:space="0" w:color="auto"/>
            </w:tcBorders>
            <w:shd w:val="clear" w:color="auto" w:fill="auto"/>
            <w:vAlign w:val="center"/>
            <w:hideMark/>
          </w:tcPr>
          <w:p w14:paraId="56DC10DA"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Төрийн захиргааны байгууллагаас шалгах</w:t>
            </w:r>
          </w:p>
        </w:tc>
        <w:tc>
          <w:tcPr>
            <w:tcW w:w="1206" w:type="dxa"/>
            <w:tcBorders>
              <w:top w:val="nil"/>
              <w:left w:val="nil"/>
              <w:bottom w:val="single" w:sz="4" w:space="0" w:color="auto"/>
              <w:right w:val="single" w:sz="4" w:space="0" w:color="auto"/>
            </w:tcBorders>
            <w:shd w:val="clear" w:color="auto" w:fill="auto"/>
            <w:vAlign w:val="center"/>
            <w:hideMark/>
          </w:tcPr>
          <w:p w14:paraId="537F56C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5.0 </w:t>
            </w:r>
          </w:p>
        </w:tc>
        <w:tc>
          <w:tcPr>
            <w:tcW w:w="1030" w:type="dxa"/>
            <w:tcBorders>
              <w:top w:val="nil"/>
              <w:left w:val="nil"/>
              <w:bottom w:val="single" w:sz="4" w:space="0" w:color="auto"/>
              <w:right w:val="single" w:sz="4" w:space="0" w:color="auto"/>
            </w:tcBorders>
            <w:shd w:val="clear" w:color="auto" w:fill="auto"/>
            <w:vAlign w:val="center"/>
            <w:hideMark/>
          </w:tcPr>
          <w:p w14:paraId="573028F7"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6.0 </w:t>
            </w:r>
          </w:p>
        </w:tc>
        <w:tc>
          <w:tcPr>
            <w:tcW w:w="1076" w:type="dxa"/>
            <w:tcBorders>
              <w:top w:val="nil"/>
              <w:left w:val="nil"/>
              <w:bottom w:val="single" w:sz="4" w:space="0" w:color="auto"/>
              <w:right w:val="single" w:sz="4" w:space="0" w:color="auto"/>
            </w:tcBorders>
            <w:shd w:val="clear" w:color="auto" w:fill="auto"/>
            <w:vAlign w:val="center"/>
            <w:hideMark/>
          </w:tcPr>
          <w:p w14:paraId="6DA0796C"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7.5 </w:t>
            </w:r>
          </w:p>
        </w:tc>
      </w:tr>
      <w:tr w:rsidR="00AA62BA" w:rsidRPr="000D478A" w14:paraId="7E10D3E8" w14:textId="77777777" w:rsidTr="00AA62BA">
        <w:trPr>
          <w:trHeight w:val="57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1C92B39C"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14</w:t>
            </w:r>
          </w:p>
        </w:tc>
        <w:tc>
          <w:tcPr>
            <w:tcW w:w="5193" w:type="dxa"/>
            <w:tcBorders>
              <w:top w:val="nil"/>
              <w:left w:val="nil"/>
              <w:bottom w:val="single" w:sz="4" w:space="0" w:color="auto"/>
              <w:right w:val="single" w:sz="4" w:space="0" w:color="auto"/>
            </w:tcBorders>
            <w:shd w:val="clear" w:color="auto" w:fill="auto"/>
            <w:vAlign w:val="center"/>
            <w:hideMark/>
          </w:tcPr>
          <w:p w14:paraId="43012D0E"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Төрийн захиргааны байгууллагын шалгалтын дүнгээс үүдэлтэй засвар, өөрчлөлт</w:t>
            </w:r>
          </w:p>
        </w:tc>
        <w:tc>
          <w:tcPr>
            <w:tcW w:w="1206" w:type="dxa"/>
            <w:tcBorders>
              <w:top w:val="nil"/>
              <w:left w:val="nil"/>
              <w:bottom w:val="single" w:sz="4" w:space="0" w:color="auto"/>
              <w:right w:val="single" w:sz="4" w:space="0" w:color="auto"/>
            </w:tcBorders>
            <w:shd w:val="clear" w:color="auto" w:fill="auto"/>
            <w:vAlign w:val="center"/>
            <w:hideMark/>
          </w:tcPr>
          <w:p w14:paraId="1F2A539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35D4C794"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76" w:type="dxa"/>
            <w:tcBorders>
              <w:top w:val="nil"/>
              <w:left w:val="nil"/>
              <w:bottom w:val="single" w:sz="4" w:space="0" w:color="auto"/>
              <w:right w:val="single" w:sz="4" w:space="0" w:color="auto"/>
            </w:tcBorders>
            <w:shd w:val="clear" w:color="auto" w:fill="auto"/>
            <w:vAlign w:val="center"/>
            <w:hideMark/>
          </w:tcPr>
          <w:p w14:paraId="3EF953CE"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r>
      <w:tr w:rsidR="00AA62BA" w:rsidRPr="000D478A" w14:paraId="4D004F21" w14:textId="77777777" w:rsidTr="00AA62BA">
        <w:trPr>
          <w:trHeight w:val="855"/>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669E75D2"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15</w:t>
            </w:r>
          </w:p>
        </w:tc>
        <w:tc>
          <w:tcPr>
            <w:tcW w:w="5193" w:type="dxa"/>
            <w:tcBorders>
              <w:top w:val="nil"/>
              <w:left w:val="nil"/>
              <w:bottom w:val="single" w:sz="4" w:space="0" w:color="auto"/>
              <w:right w:val="single" w:sz="4" w:space="0" w:color="auto"/>
            </w:tcBorders>
            <w:shd w:val="clear" w:color="auto" w:fill="auto"/>
            <w:vAlign w:val="center"/>
            <w:hideMark/>
          </w:tcPr>
          <w:p w14:paraId="681AF3F2"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Холбогдох байгууллагатай харилцахад хүндрэл үүссэнээс үүдэн мэдээлэл нэмж цуглуулах</w:t>
            </w:r>
          </w:p>
        </w:tc>
        <w:tc>
          <w:tcPr>
            <w:tcW w:w="1206" w:type="dxa"/>
            <w:tcBorders>
              <w:top w:val="nil"/>
              <w:left w:val="nil"/>
              <w:bottom w:val="single" w:sz="4" w:space="0" w:color="auto"/>
              <w:right w:val="single" w:sz="4" w:space="0" w:color="auto"/>
            </w:tcBorders>
            <w:shd w:val="clear" w:color="auto" w:fill="auto"/>
            <w:vAlign w:val="center"/>
            <w:hideMark/>
          </w:tcPr>
          <w:p w14:paraId="6D0D7203"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37DBDAE5"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76" w:type="dxa"/>
            <w:tcBorders>
              <w:top w:val="nil"/>
              <w:left w:val="nil"/>
              <w:bottom w:val="single" w:sz="4" w:space="0" w:color="auto"/>
              <w:right w:val="single" w:sz="4" w:space="0" w:color="auto"/>
            </w:tcBorders>
            <w:shd w:val="clear" w:color="auto" w:fill="auto"/>
            <w:vAlign w:val="center"/>
            <w:hideMark/>
          </w:tcPr>
          <w:p w14:paraId="08695C23"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r>
      <w:tr w:rsidR="00AA62BA" w:rsidRPr="000D478A" w14:paraId="5593EBBA"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1FE8897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16</w:t>
            </w:r>
          </w:p>
        </w:tc>
        <w:tc>
          <w:tcPr>
            <w:tcW w:w="5193" w:type="dxa"/>
            <w:tcBorders>
              <w:top w:val="nil"/>
              <w:left w:val="nil"/>
              <w:bottom w:val="single" w:sz="4" w:space="0" w:color="auto"/>
              <w:right w:val="single" w:sz="4" w:space="0" w:color="auto"/>
            </w:tcBorders>
            <w:shd w:val="clear" w:color="auto" w:fill="auto"/>
            <w:vAlign w:val="center"/>
            <w:hideMark/>
          </w:tcPr>
          <w:p w14:paraId="36EE8A53" w14:textId="77777777" w:rsidR="00AA62BA" w:rsidRPr="000D478A" w:rsidRDefault="00AA62BA" w:rsidP="00585D08">
            <w:pPr>
              <w:jc w:val="both"/>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Сургалт, давтан сургалтын арга хэмжээнүүд</w:t>
            </w:r>
          </w:p>
        </w:tc>
        <w:tc>
          <w:tcPr>
            <w:tcW w:w="1206" w:type="dxa"/>
            <w:tcBorders>
              <w:top w:val="nil"/>
              <w:left w:val="nil"/>
              <w:bottom w:val="single" w:sz="4" w:space="0" w:color="auto"/>
              <w:right w:val="single" w:sz="4" w:space="0" w:color="auto"/>
            </w:tcBorders>
            <w:shd w:val="clear" w:color="auto" w:fill="auto"/>
            <w:vAlign w:val="center"/>
            <w:hideMark/>
          </w:tcPr>
          <w:p w14:paraId="783D61CC"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65DDD288"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c>
          <w:tcPr>
            <w:tcW w:w="1076" w:type="dxa"/>
            <w:tcBorders>
              <w:top w:val="nil"/>
              <w:left w:val="nil"/>
              <w:bottom w:val="single" w:sz="4" w:space="0" w:color="auto"/>
              <w:right w:val="single" w:sz="4" w:space="0" w:color="auto"/>
            </w:tcBorders>
            <w:shd w:val="clear" w:color="auto" w:fill="auto"/>
            <w:vAlign w:val="center"/>
            <w:hideMark/>
          </w:tcPr>
          <w:p w14:paraId="09E29C54" w14:textId="77777777" w:rsidR="00AA62BA" w:rsidRPr="000D478A" w:rsidRDefault="00AA62BA" w:rsidP="00585D08">
            <w:pPr>
              <w:jc w:val="center"/>
              <w:rPr>
                <w:rFonts w:ascii="Arial" w:eastAsia="Times New Roman" w:hAnsi="Arial" w:cs="Arial"/>
                <w:color w:val="000000"/>
                <w:sz w:val="22"/>
                <w:szCs w:val="22"/>
                <w:lang w:val="mn-MN"/>
              </w:rPr>
            </w:pPr>
            <w:r w:rsidRPr="000D478A">
              <w:rPr>
                <w:rFonts w:ascii="Arial" w:eastAsia="Times New Roman" w:hAnsi="Arial" w:cs="Arial"/>
                <w:color w:val="000000"/>
                <w:sz w:val="22"/>
                <w:szCs w:val="22"/>
                <w:lang w:val="mn-MN"/>
              </w:rPr>
              <w:t xml:space="preserve">           -   </w:t>
            </w:r>
          </w:p>
        </w:tc>
      </w:tr>
      <w:tr w:rsidR="00AA62BA" w:rsidRPr="000D478A" w14:paraId="160558A2" w14:textId="77777777" w:rsidTr="00AA62BA">
        <w:trPr>
          <w:trHeight w:val="300"/>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26C714AA" w14:textId="77777777" w:rsidR="00AA62BA" w:rsidRPr="000D478A" w:rsidRDefault="00AA62BA" w:rsidP="00585D08">
            <w:pPr>
              <w:rPr>
                <w:rFonts w:ascii="Calibri" w:eastAsia="Times New Roman" w:hAnsi="Calibri"/>
                <w:color w:val="000000"/>
                <w:sz w:val="22"/>
                <w:szCs w:val="22"/>
                <w:lang w:val="mn-MN"/>
              </w:rPr>
            </w:pPr>
            <w:r w:rsidRPr="000D478A">
              <w:rPr>
                <w:rFonts w:ascii="Calibri" w:eastAsia="Times New Roman" w:hAnsi="Calibri"/>
                <w:color w:val="000000"/>
                <w:sz w:val="22"/>
                <w:szCs w:val="22"/>
                <w:lang w:val="mn-MN"/>
              </w:rPr>
              <w:t> </w:t>
            </w:r>
          </w:p>
        </w:tc>
        <w:tc>
          <w:tcPr>
            <w:tcW w:w="5193" w:type="dxa"/>
            <w:tcBorders>
              <w:top w:val="nil"/>
              <w:left w:val="nil"/>
              <w:bottom w:val="single" w:sz="4" w:space="0" w:color="auto"/>
              <w:right w:val="single" w:sz="4" w:space="0" w:color="auto"/>
            </w:tcBorders>
            <w:shd w:val="clear" w:color="auto" w:fill="auto"/>
            <w:vAlign w:val="center"/>
            <w:hideMark/>
          </w:tcPr>
          <w:p w14:paraId="3E708C48" w14:textId="77777777" w:rsidR="00AA62BA" w:rsidRPr="000D478A" w:rsidRDefault="00AA62BA" w:rsidP="00585D08">
            <w:pPr>
              <w:jc w:val="both"/>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Нийт</w:t>
            </w:r>
          </w:p>
        </w:tc>
        <w:tc>
          <w:tcPr>
            <w:tcW w:w="1206" w:type="dxa"/>
            <w:tcBorders>
              <w:top w:val="nil"/>
              <w:left w:val="nil"/>
              <w:bottom w:val="single" w:sz="4" w:space="0" w:color="auto"/>
              <w:right w:val="single" w:sz="4" w:space="0" w:color="auto"/>
            </w:tcBorders>
            <w:shd w:val="clear" w:color="auto" w:fill="auto"/>
            <w:vAlign w:val="center"/>
            <w:hideMark/>
          </w:tcPr>
          <w:p w14:paraId="7EC28DC7"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 xml:space="preserve">       240.0 </w:t>
            </w:r>
          </w:p>
        </w:tc>
        <w:tc>
          <w:tcPr>
            <w:tcW w:w="1030" w:type="dxa"/>
            <w:tcBorders>
              <w:top w:val="nil"/>
              <w:left w:val="nil"/>
              <w:bottom w:val="single" w:sz="4" w:space="0" w:color="auto"/>
              <w:right w:val="single" w:sz="4" w:space="0" w:color="auto"/>
            </w:tcBorders>
            <w:shd w:val="clear" w:color="auto" w:fill="auto"/>
            <w:vAlign w:val="center"/>
            <w:hideMark/>
          </w:tcPr>
          <w:p w14:paraId="08C61384"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 xml:space="preserve">    288.0 </w:t>
            </w:r>
          </w:p>
        </w:tc>
        <w:tc>
          <w:tcPr>
            <w:tcW w:w="1076" w:type="dxa"/>
            <w:tcBorders>
              <w:top w:val="nil"/>
              <w:left w:val="nil"/>
              <w:bottom w:val="single" w:sz="4" w:space="0" w:color="auto"/>
              <w:right w:val="single" w:sz="4" w:space="0" w:color="auto"/>
            </w:tcBorders>
            <w:shd w:val="clear" w:color="auto" w:fill="auto"/>
            <w:vAlign w:val="center"/>
            <w:hideMark/>
          </w:tcPr>
          <w:p w14:paraId="31E76B1F" w14:textId="77777777" w:rsidR="00AA62BA" w:rsidRPr="000D478A" w:rsidRDefault="00AA62BA" w:rsidP="00585D08">
            <w:pPr>
              <w:jc w:val="center"/>
              <w:rPr>
                <w:rFonts w:ascii="Arial" w:eastAsia="Times New Roman" w:hAnsi="Arial" w:cs="Arial"/>
                <w:b/>
                <w:bCs/>
                <w:color w:val="000000"/>
                <w:sz w:val="22"/>
                <w:szCs w:val="22"/>
                <w:lang w:val="mn-MN"/>
              </w:rPr>
            </w:pPr>
            <w:r w:rsidRPr="000D478A">
              <w:rPr>
                <w:rFonts w:ascii="Arial" w:eastAsia="Times New Roman" w:hAnsi="Arial" w:cs="Arial"/>
                <w:b/>
                <w:bCs/>
                <w:color w:val="000000"/>
                <w:sz w:val="22"/>
                <w:szCs w:val="22"/>
                <w:lang w:val="mn-MN"/>
              </w:rPr>
              <w:t xml:space="preserve">     360.0 </w:t>
            </w:r>
          </w:p>
        </w:tc>
      </w:tr>
    </w:tbl>
    <w:p w14:paraId="6626068E" w14:textId="77777777" w:rsidR="00330B94" w:rsidRPr="000D478A" w:rsidRDefault="00330B94" w:rsidP="00585D08">
      <w:pPr>
        <w:pStyle w:val="NormalWeb"/>
        <w:spacing w:before="0" w:beforeAutospacing="0" w:after="0" w:afterAutospacing="0"/>
        <w:ind w:firstLine="720"/>
        <w:jc w:val="both"/>
        <w:rPr>
          <w:rFonts w:ascii="Arial" w:hAnsi="Arial" w:cs="Arial"/>
          <w:lang w:val="mn-MN"/>
        </w:rPr>
      </w:pPr>
    </w:p>
    <w:p w14:paraId="5BD66F45" w14:textId="77777777" w:rsidR="00AA62BA" w:rsidRPr="000D478A" w:rsidRDefault="007B403E" w:rsidP="00585D08">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Сард</w:t>
      </w:r>
      <w:r w:rsidR="001D1BB3" w:rsidRPr="000D478A">
        <w:rPr>
          <w:rFonts w:ascii="Arial" w:hAnsi="Arial" w:cs="Arial"/>
          <w:lang w:val="mn-MN"/>
        </w:rPr>
        <w:t xml:space="preserve"> </w:t>
      </w:r>
      <w:r w:rsidRPr="000D478A">
        <w:rPr>
          <w:rFonts w:ascii="Arial" w:hAnsi="Arial" w:cs="Arial"/>
          <w:lang w:val="mn-MN"/>
        </w:rPr>
        <w:t>168</w:t>
      </w:r>
      <w:r w:rsidR="001D1BB3" w:rsidRPr="000D478A">
        <w:rPr>
          <w:rFonts w:ascii="Arial" w:hAnsi="Arial" w:cs="Arial"/>
          <w:lang w:val="mn-MN"/>
        </w:rPr>
        <w:t xml:space="preserve"> ажлын</w:t>
      </w:r>
      <w:r w:rsidRPr="000D478A">
        <w:rPr>
          <w:rFonts w:ascii="Arial" w:hAnsi="Arial" w:cs="Arial"/>
          <w:lang w:val="mn-MN"/>
        </w:rPr>
        <w:t xml:space="preserve"> цаг</w:t>
      </w:r>
      <w:r w:rsidR="00621D49" w:rsidRPr="000D478A">
        <w:rPr>
          <w:rFonts w:ascii="Arial" w:hAnsi="Arial" w:cs="Arial"/>
          <w:lang w:val="mn-MN"/>
        </w:rPr>
        <w:t>, улиралд 504</w:t>
      </w:r>
      <w:r w:rsidR="001D1BB3" w:rsidRPr="000D478A">
        <w:rPr>
          <w:rFonts w:ascii="Arial" w:hAnsi="Arial" w:cs="Arial"/>
          <w:lang w:val="mn-MN"/>
        </w:rPr>
        <w:t xml:space="preserve"> ажлын цаг байна</w:t>
      </w:r>
      <w:r w:rsidR="00621D49" w:rsidRPr="000D478A">
        <w:rPr>
          <w:rFonts w:ascii="Arial" w:hAnsi="Arial" w:cs="Arial"/>
          <w:lang w:val="mn-MN"/>
        </w:rPr>
        <w:t xml:space="preserve"> гэж үзэж</w:t>
      </w:r>
      <w:r w:rsidR="002E6CD3" w:rsidRPr="000D478A">
        <w:rPr>
          <w:rFonts w:ascii="Arial" w:hAnsi="Arial" w:cs="Arial"/>
          <w:lang w:val="mn-MN"/>
        </w:rPr>
        <w:t xml:space="preserve"> (тайланг улиралд нэг удаа татварын албанд хүргүүлнэ)</w:t>
      </w:r>
      <w:r w:rsidR="00621D49" w:rsidRPr="000D478A">
        <w:rPr>
          <w:rFonts w:ascii="Arial" w:hAnsi="Arial" w:cs="Arial"/>
          <w:lang w:val="mn-MN"/>
        </w:rPr>
        <w:t xml:space="preserve">, холбогдох тооцоог хийв.  </w:t>
      </w:r>
    </w:p>
    <w:p w14:paraId="4C77834E" w14:textId="77777777" w:rsidR="00E70B3D" w:rsidRPr="000D478A" w:rsidRDefault="00E70B3D" w:rsidP="00585D08">
      <w:pPr>
        <w:pStyle w:val="NormalWeb"/>
        <w:spacing w:before="0" w:beforeAutospacing="0" w:after="0" w:afterAutospacing="0"/>
        <w:jc w:val="both"/>
        <w:rPr>
          <w:rFonts w:ascii="Arial" w:hAnsi="Arial" w:cs="Arial"/>
          <w:lang w:val="mn-MN"/>
        </w:rPr>
      </w:pPr>
    </w:p>
    <w:p w14:paraId="1FF52DFD" w14:textId="66CC4A82" w:rsidR="0093165D" w:rsidRPr="000D478A" w:rsidRDefault="00CE5F78" w:rsidP="00585D08">
      <w:pPr>
        <w:pStyle w:val="NormalWeb"/>
        <w:spacing w:before="0" w:beforeAutospacing="0" w:after="0" w:afterAutospacing="0"/>
        <w:jc w:val="both"/>
        <w:rPr>
          <w:rFonts w:ascii="Arial" w:hAnsi="Arial" w:cs="Arial"/>
          <w:lang w:val="mn-MN"/>
        </w:rPr>
      </w:pPr>
      <w:r w:rsidRPr="000D478A">
        <w:rPr>
          <w:rFonts w:ascii="Arial" w:hAnsi="Arial" w:cs="Arial"/>
          <w:lang w:val="mn-MN"/>
        </w:rPr>
        <w:tab/>
      </w:r>
      <w:r w:rsidR="0093165D" w:rsidRPr="000D478A">
        <w:rPr>
          <w:rFonts w:ascii="Arial" w:hAnsi="Arial" w:cs="Arial"/>
          <w:lang w:val="mn-MN"/>
        </w:rPr>
        <w:t xml:space="preserve">Ажлын хөлс нэг цагт  = </w:t>
      </w:r>
      <w:r w:rsidR="0042327B" w:rsidRPr="000D478A">
        <w:rPr>
          <w:rFonts w:ascii="Arial" w:hAnsi="Arial" w:cs="Arial"/>
          <w:lang w:val="mn-MN"/>
        </w:rPr>
        <w:t xml:space="preserve">1 </w:t>
      </w:r>
      <w:r w:rsidR="00E83F16" w:rsidRPr="000D478A">
        <w:rPr>
          <w:rFonts w:ascii="Arial" w:hAnsi="Arial" w:cs="Arial"/>
          <w:lang w:val="mn-MN"/>
        </w:rPr>
        <w:t>0</w:t>
      </w:r>
      <w:r w:rsidR="0042327B" w:rsidRPr="000D478A">
        <w:rPr>
          <w:rFonts w:ascii="Arial" w:hAnsi="Arial" w:cs="Arial"/>
          <w:lang w:val="mn-MN"/>
        </w:rPr>
        <w:t>00</w:t>
      </w:r>
      <w:r w:rsidR="0093165D" w:rsidRPr="000D478A">
        <w:rPr>
          <w:rFonts w:ascii="Arial" w:hAnsi="Arial" w:cs="Arial"/>
          <w:lang w:val="mn-MN"/>
        </w:rPr>
        <w:t xml:space="preserve"> 000/168 = </w:t>
      </w:r>
      <w:r w:rsidR="003D07DD" w:rsidRPr="000D478A">
        <w:rPr>
          <w:rFonts w:ascii="Arial" w:hAnsi="Arial" w:cs="Arial"/>
          <w:lang w:val="mn-MN"/>
        </w:rPr>
        <w:t>5</w:t>
      </w:r>
      <w:r w:rsidR="0093165D" w:rsidRPr="000D478A">
        <w:rPr>
          <w:rFonts w:ascii="Arial" w:hAnsi="Arial" w:cs="Arial"/>
          <w:lang w:val="mn-MN"/>
        </w:rPr>
        <w:t xml:space="preserve"> </w:t>
      </w:r>
      <w:r w:rsidR="003D07DD" w:rsidRPr="000D478A">
        <w:rPr>
          <w:rFonts w:ascii="Arial" w:hAnsi="Arial" w:cs="Arial"/>
          <w:lang w:val="mn-MN"/>
        </w:rPr>
        <w:t>952</w:t>
      </w:r>
      <w:r w:rsidR="0093165D" w:rsidRPr="000D478A">
        <w:rPr>
          <w:rFonts w:ascii="Arial" w:hAnsi="Arial" w:cs="Arial"/>
          <w:lang w:val="mn-MN"/>
        </w:rPr>
        <w:t>.</w:t>
      </w:r>
      <w:r w:rsidR="003D07DD" w:rsidRPr="000D478A">
        <w:rPr>
          <w:rFonts w:ascii="Arial" w:hAnsi="Arial" w:cs="Arial"/>
          <w:lang w:val="mn-MN"/>
        </w:rPr>
        <w:t>4</w:t>
      </w:r>
      <w:r w:rsidR="001C45F8" w:rsidRPr="000D478A">
        <w:rPr>
          <w:rFonts w:ascii="Arial" w:hAnsi="Arial" w:cs="Arial"/>
          <w:lang w:val="mn-MN"/>
        </w:rPr>
        <w:t xml:space="preserve"> төгрөг</w:t>
      </w:r>
    </w:p>
    <w:p w14:paraId="1BF216E8" w14:textId="6C12EE55" w:rsidR="0093165D" w:rsidRPr="000D478A" w:rsidRDefault="001C45F8" w:rsidP="0093165D">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Зардал (</w:t>
      </w:r>
      <w:r w:rsidR="0093165D" w:rsidRPr="000D478A">
        <w:rPr>
          <w:rFonts w:ascii="Arial" w:hAnsi="Arial" w:cs="Arial"/>
          <w:lang w:val="mn-MN"/>
        </w:rPr>
        <w:t xml:space="preserve">тус бүрийн)=Хугацаа × Ажлын хөлс = </w:t>
      </w:r>
      <w:r w:rsidR="003D07DD" w:rsidRPr="000D478A">
        <w:rPr>
          <w:rFonts w:ascii="Arial" w:hAnsi="Arial" w:cs="Arial"/>
          <w:lang w:val="mn-MN"/>
        </w:rPr>
        <w:t xml:space="preserve">5 952.4 </w:t>
      </w:r>
      <w:r w:rsidR="0093165D" w:rsidRPr="000D478A">
        <w:rPr>
          <w:rFonts w:ascii="Arial" w:hAnsi="Arial" w:cs="Arial"/>
          <w:lang w:val="mn-MN"/>
        </w:rPr>
        <w:t xml:space="preserve">*4 цаг = </w:t>
      </w:r>
      <w:r w:rsidR="003D07DD" w:rsidRPr="000D478A">
        <w:rPr>
          <w:rFonts w:ascii="Arial" w:hAnsi="Arial" w:cs="Arial"/>
          <w:lang w:val="mn-MN"/>
        </w:rPr>
        <w:t>23</w:t>
      </w:r>
      <w:r w:rsidR="0093165D" w:rsidRPr="000D478A">
        <w:rPr>
          <w:rFonts w:ascii="Arial" w:hAnsi="Arial" w:cs="Arial"/>
          <w:lang w:val="mn-MN"/>
        </w:rPr>
        <w:t xml:space="preserve"> </w:t>
      </w:r>
      <w:r w:rsidR="003D07DD" w:rsidRPr="000D478A">
        <w:rPr>
          <w:rFonts w:ascii="Arial" w:hAnsi="Arial" w:cs="Arial"/>
          <w:lang w:val="mn-MN"/>
        </w:rPr>
        <w:t>809</w:t>
      </w:r>
      <w:r w:rsidR="0093165D" w:rsidRPr="000D478A">
        <w:rPr>
          <w:rFonts w:ascii="Arial" w:hAnsi="Arial" w:cs="Arial"/>
          <w:lang w:val="mn-MN"/>
        </w:rPr>
        <w:t>.</w:t>
      </w:r>
      <w:r w:rsidR="003D07DD" w:rsidRPr="000D478A">
        <w:rPr>
          <w:rFonts w:ascii="Arial" w:hAnsi="Arial" w:cs="Arial"/>
          <w:lang w:val="mn-MN"/>
        </w:rPr>
        <w:t>5</w:t>
      </w:r>
      <w:r w:rsidR="0093165D" w:rsidRPr="000D478A">
        <w:rPr>
          <w:rFonts w:ascii="Arial" w:hAnsi="Arial" w:cs="Arial"/>
          <w:lang w:val="mn-MN"/>
        </w:rPr>
        <w:t xml:space="preserve"> төгрөг болно.</w:t>
      </w:r>
    </w:p>
    <w:p w14:paraId="31658D83" w14:textId="77777777" w:rsidR="0093165D" w:rsidRPr="000D478A" w:rsidRDefault="0093165D" w:rsidP="00585D08">
      <w:pPr>
        <w:pStyle w:val="NormalWeb"/>
        <w:spacing w:before="0" w:beforeAutospacing="0" w:after="0" w:afterAutospacing="0"/>
        <w:jc w:val="both"/>
        <w:rPr>
          <w:rFonts w:ascii="Arial" w:hAnsi="Arial" w:cs="Arial"/>
          <w:lang w:val="mn-MN"/>
        </w:rPr>
      </w:pPr>
    </w:p>
    <w:p w14:paraId="1FF29C28" w14:textId="77777777" w:rsidR="00E70B3D" w:rsidRPr="000D478A" w:rsidRDefault="0068533B" w:rsidP="00585D08">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1.3.тоон үзүүлэлтийг тооцох</w:t>
      </w:r>
    </w:p>
    <w:p w14:paraId="395D5B89" w14:textId="77777777" w:rsidR="00E70B3D" w:rsidRPr="000D478A" w:rsidRDefault="00E70B3D" w:rsidP="00585D08">
      <w:pPr>
        <w:pStyle w:val="NormalWeb"/>
        <w:spacing w:before="0" w:beforeAutospacing="0" w:after="0" w:afterAutospacing="0"/>
        <w:ind w:left="720"/>
        <w:jc w:val="both"/>
        <w:rPr>
          <w:rFonts w:ascii="Arial" w:hAnsi="Arial" w:cs="Arial"/>
          <w:b/>
          <w:lang w:val="mn-MN"/>
        </w:rPr>
      </w:pPr>
    </w:p>
    <w:p w14:paraId="4D8D68AA" w14:textId="77777777" w:rsidR="00BF5580" w:rsidRPr="000D478A" w:rsidRDefault="00BF5580" w:rsidP="00585D08">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Тоон үзүүлэлт = тохиолдлын </w:t>
      </w:r>
      <w:r w:rsidR="003027D7" w:rsidRPr="000D478A">
        <w:rPr>
          <w:rFonts w:ascii="Arial" w:hAnsi="Arial" w:cs="Arial"/>
          <w:lang w:val="mn-MN"/>
        </w:rPr>
        <w:t>тоо</w:t>
      </w:r>
      <w:r w:rsidRPr="000D478A">
        <w:rPr>
          <w:rFonts w:ascii="Arial" w:hAnsi="Arial" w:cs="Arial"/>
          <w:lang w:val="mn-MN"/>
        </w:rPr>
        <w:t xml:space="preserve"> * давтамжийн тоо</w:t>
      </w:r>
      <w:r w:rsidR="00BD5360" w:rsidRPr="000D478A">
        <w:rPr>
          <w:rFonts w:ascii="Arial" w:hAnsi="Arial" w:cs="Arial"/>
          <w:lang w:val="mn-MN"/>
        </w:rPr>
        <w:t xml:space="preserve"> </w:t>
      </w:r>
    </w:p>
    <w:p w14:paraId="44F5300D" w14:textId="79B06C9E" w:rsidR="003027D7" w:rsidRPr="000D478A" w:rsidRDefault="003027D7" w:rsidP="00585D08">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Тохиолдлын тоо = </w:t>
      </w:r>
      <w:r w:rsidR="00AD154C" w:rsidRPr="000D478A">
        <w:rPr>
          <w:rFonts w:ascii="Arial" w:hAnsi="Arial" w:cs="Arial"/>
          <w:lang w:val="mn-MN"/>
        </w:rPr>
        <w:t>66</w:t>
      </w:r>
      <w:r w:rsidRPr="000D478A">
        <w:rPr>
          <w:rFonts w:ascii="Arial" w:hAnsi="Arial" w:cs="Arial"/>
          <w:lang w:val="mn-MN"/>
        </w:rPr>
        <w:t xml:space="preserve"> (</w:t>
      </w:r>
      <w:r w:rsidR="009754C8" w:rsidRPr="000D478A">
        <w:rPr>
          <w:rFonts w:ascii="Arial" w:hAnsi="Arial" w:cs="Arial"/>
          <w:lang w:val="mn-MN"/>
        </w:rPr>
        <w:t>клирингийн тооцоолол</w:t>
      </w:r>
      <w:r w:rsidRPr="000D478A">
        <w:rPr>
          <w:rFonts w:ascii="Arial" w:hAnsi="Arial" w:cs="Arial"/>
          <w:lang w:val="mn-MN"/>
        </w:rPr>
        <w:t xml:space="preserve">) * </w:t>
      </w:r>
      <w:r w:rsidR="00900BBC" w:rsidRPr="000D478A">
        <w:rPr>
          <w:rFonts w:ascii="Arial" w:hAnsi="Arial" w:cs="Arial"/>
          <w:lang w:val="mn-MN"/>
        </w:rPr>
        <w:t>4</w:t>
      </w:r>
      <w:r w:rsidR="001431B7" w:rsidRPr="000D478A">
        <w:rPr>
          <w:rFonts w:ascii="Arial" w:hAnsi="Arial" w:cs="Arial"/>
          <w:lang w:val="mn-MN"/>
        </w:rPr>
        <w:t xml:space="preserve"> (улирал бүр)</w:t>
      </w:r>
      <w:r w:rsidR="00900BBC" w:rsidRPr="000D478A">
        <w:rPr>
          <w:rFonts w:ascii="Arial" w:hAnsi="Arial" w:cs="Arial"/>
          <w:lang w:val="mn-MN"/>
        </w:rPr>
        <w:t xml:space="preserve"> = </w:t>
      </w:r>
      <w:r w:rsidR="00B361E5" w:rsidRPr="000D478A">
        <w:rPr>
          <w:rFonts w:ascii="Arial" w:hAnsi="Arial" w:cs="Arial"/>
          <w:lang w:val="mn-MN"/>
        </w:rPr>
        <w:t>264</w:t>
      </w:r>
    </w:p>
    <w:p w14:paraId="0D414AF4" w14:textId="77777777" w:rsidR="00956CCC" w:rsidRPr="000D478A" w:rsidRDefault="00956CCC" w:rsidP="00585D08">
      <w:pPr>
        <w:pStyle w:val="NormalWeb"/>
        <w:spacing w:before="0" w:beforeAutospacing="0" w:after="0" w:afterAutospacing="0"/>
        <w:ind w:firstLine="720"/>
        <w:jc w:val="both"/>
        <w:rPr>
          <w:rFonts w:ascii="Arial" w:hAnsi="Arial" w:cs="Arial"/>
          <w:lang w:val="mn-MN"/>
        </w:rPr>
      </w:pPr>
    </w:p>
    <w:p w14:paraId="1CE51928" w14:textId="77777777" w:rsidR="00E70B3D" w:rsidRPr="000D478A" w:rsidRDefault="00E70B3D" w:rsidP="00585D08">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1.4.нийт зардлыг тооцох</w:t>
      </w:r>
    </w:p>
    <w:p w14:paraId="1C02D4F2" w14:textId="77777777" w:rsidR="00E70B3D" w:rsidRPr="000D478A" w:rsidRDefault="00E70B3D" w:rsidP="00585D08">
      <w:pPr>
        <w:pStyle w:val="NormalWeb"/>
        <w:spacing w:before="0" w:beforeAutospacing="0" w:after="0" w:afterAutospacing="0"/>
        <w:ind w:firstLine="720"/>
        <w:jc w:val="both"/>
        <w:rPr>
          <w:rFonts w:ascii="Arial" w:hAnsi="Arial" w:cs="Arial"/>
          <w:lang w:val="mn-MN"/>
        </w:rPr>
      </w:pPr>
    </w:p>
    <w:p w14:paraId="33B01158" w14:textId="5280D137" w:rsidR="00702C6B" w:rsidRPr="000D478A" w:rsidRDefault="00702C6B" w:rsidP="00585D08">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Нийт зардал = зардал * тоон үзүүлэлт = </w:t>
      </w:r>
      <w:r w:rsidR="00981B09" w:rsidRPr="000D478A">
        <w:rPr>
          <w:rFonts w:ascii="Arial" w:hAnsi="Arial" w:cs="Arial"/>
          <w:lang w:val="mn-MN"/>
        </w:rPr>
        <w:t>23</w:t>
      </w:r>
      <w:r w:rsidRPr="000D478A">
        <w:rPr>
          <w:rFonts w:ascii="Arial" w:hAnsi="Arial" w:cs="Arial"/>
          <w:lang w:val="mn-MN"/>
        </w:rPr>
        <w:t xml:space="preserve"> </w:t>
      </w:r>
      <w:r w:rsidR="00981B09" w:rsidRPr="000D478A">
        <w:rPr>
          <w:rFonts w:ascii="Arial" w:hAnsi="Arial" w:cs="Arial"/>
          <w:lang w:val="mn-MN"/>
        </w:rPr>
        <w:t>809</w:t>
      </w:r>
      <w:r w:rsidRPr="000D478A">
        <w:rPr>
          <w:rFonts w:ascii="Arial" w:hAnsi="Arial" w:cs="Arial"/>
          <w:lang w:val="mn-MN"/>
        </w:rPr>
        <w:t>.</w:t>
      </w:r>
      <w:r w:rsidR="00981B09" w:rsidRPr="000D478A">
        <w:rPr>
          <w:rFonts w:ascii="Arial" w:hAnsi="Arial" w:cs="Arial"/>
          <w:lang w:val="mn-MN"/>
        </w:rPr>
        <w:t>52</w:t>
      </w:r>
      <w:r w:rsidR="00CB6956" w:rsidRPr="000D478A">
        <w:rPr>
          <w:rFonts w:ascii="Arial" w:hAnsi="Arial" w:cs="Arial"/>
          <w:lang w:val="mn-MN"/>
        </w:rPr>
        <w:t xml:space="preserve"> төгрөг</w:t>
      </w:r>
      <w:r w:rsidR="00CC4033" w:rsidRPr="000D478A">
        <w:rPr>
          <w:rFonts w:ascii="Arial" w:hAnsi="Arial" w:cs="Arial"/>
          <w:lang w:val="mn-MN"/>
        </w:rPr>
        <w:t xml:space="preserve"> * </w:t>
      </w:r>
      <w:r w:rsidR="00B361E5" w:rsidRPr="000D478A">
        <w:rPr>
          <w:rFonts w:ascii="Arial" w:hAnsi="Arial" w:cs="Arial"/>
          <w:lang w:val="mn-MN"/>
        </w:rPr>
        <w:t>264</w:t>
      </w:r>
      <w:r w:rsidR="00CC4033" w:rsidRPr="000D478A">
        <w:rPr>
          <w:rFonts w:ascii="Arial" w:hAnsi="Arial" w:cs="Arial"/>
          <w:lang w:val="mn-MN"/>
        </w:rPr>
        <w:t xml:space="preserve"> </w:t>
      </w:r>
      <w:r w:rsidRPr="000D478A">
        <w:rPr>
          <w:rFonts w:ascii="Arial" w:hAnsi="Arial" w:cs="Arial"/>
          <w:lang w:val="mn-MN"/>
        </w:rPr>
        <w:t xml:space="preserve"> =</w:t>
      </w:r>
      <w:r w:rsidR="00CC4033" w:rsidRPr="000D478A">
        <w:rPr>
          <w:rFonts w:ascii="Arial" w:hAnsi="Arial" w:cs="Arial"/>
          <w:lang w:val="mn-MN"/>
        </w:rPr>
        <w:t xml:space="preserve"> </w:t>
      </w:r>
      <w:r w:rsidR="00B361E5" w:rsidRPr="000D478A">
        <w:rPr>
          <w:rFonts w:ascii="Arial" w:hAnsi="Arial" w:cs="Arial"/>
          <w:lang w:val="mn-MN"/>
        </w:rPr>
        <w:t>6 2</w:t>
      </w:r>
      <w:r w:rsidR="007053F2" w:rsidRPr="000D478A">
        <w:rPr>
          <w:rFonts w:ascii="Arial" w:hAnsi="Arial" w:cs="Arial"/>
          <w:lang w:val="mn-MN"/>
        </w:rPr>
        <w:t>85 713.2</w:t>
      </w:r>
      <w:r w:rsidR="008A177E" w:rsidRPr="000D478A">
        <w:rPr>
          <w:rFonts w:ascii="Arial" w:hAnsi="Arial" w:cs="Arial"/>
          <w:i/>
          <w:lang w:val="mn-MN"/>
        </w:rPr>
        <w:t xml:space="preserve"> </w:t>
      </w:r>
      <w:r w:rsidR="00CB6956" w:rsidRPr="000D478A">
        <w:rPr>
          <w:rFonts w:ascii="Arial" w:hAnsi="Arial" w:cs="Arial"/>
          <w:i/>
          <w:lang w:val="mn-MN"/>
        </w:rPr>
        <w:t xml:space="preserve">төгрөг </w:t>
      </w:r>
      <w:r w:rsidR="00717686" w:rsidRPr="000D478A">
        <w:rPr>
          <w:rFonts w:ascii="Arial" w:hAnsi="Arial" w:cs="Arial"/>
          <w:i/>
          <w:lang w:val="mn-MN"/>
        </w:rPr>
        <w:t>(жилд)</w:t>
      </w:r>
      <w:r w:rsidRPr="000D478A">
        <w:rPr>
          <w:rFonts w:ascii="Arial" w:hAnsi="Arial" w:cs="Arial"/>
          <w:lang w:val="mn-MN"/>
        </w:rPr>
        <w:t xml:space="preserve"> </w:t>
      </w:r>
    </w:p>
    <w:p w14:paraId="0496371D" w14:textId="77777777" w:rsidR="00DB44D8" w:rsidRPr="000D478A" w:rsidRDefault="00DB44D8" w:rsidP="00585D08">
      <w:pPr>
        <w:pStyle w:val="NormalWeb"/>
        <w:spacing w:before="0" w:beforeAutospacing="0" w:after="0" w:afterAutospacing="0"/>
        <w:ind w:firstLine="720"/>
        <w:jc w:val="both"/>
        <w:rPr>
          <w:rFonts w:ascii="Arial" w:hAnsi="Arial" w:cs="Arial"/>
          <w:lang w:val="mn-MN"/>
        </w:rPr>
      </w:pPr>
    </w:p>
    <w:p w14:paraId="11CCF45B" w14:textId="466C6FBB" w:rsidR="00DB44D8" w:rsidRPr="000D478A" w:rsidRDefault="00312C23" w:rsidP="00585D08">
      <w:pPr>
        <w:pStyle w:val="NormalWeb"/>
        <w:spacing w:before="0" w:beforeAutospacing="0" w:after="0" w:afterAutospacing="0"/>
        <w:ind w:firstLine="720"/>
        <w:jc w:val="both"/>
        <w:rPr>
          <w:rFonts w:ascii="Arial" w:hAnsi="Arial" w:cs="Arial"/>
          <w:b/>
          <w:i/>
          <w:u w:val="single"/>
          <w:lang w:val="mn-MN"/>
        </w:rPr>
      </w:pPr>
      <w:r w:rsidRPr="000D478A">
        <w:rPr>
          <w:rFonts w:ascii="Arial" w:hAnsi="Arial" w:cs="Arial"/>
          <w:b/>
          <w:i/>
          <w:u w:val="single"/>
          <w:lang w:val="mn-MN"/>
        </w:rPr>
        <w:t xml:space="preserve">Хууль хэрэгжиж эхэлснээр үнэт цаасны </w:t>
      </w:r>
      <w:r w:rsidR="0094691B" w:rsidRPr="000D478A">
        <w:rPr>
          <w:rFonts w:ascii="Arial" w:hAnsi="Arial" w:cs="Arial"/>
          <w:b/>
          <w:i/>
          <w:u w:val="single"/>
          <w:lang w:val="mn-MN"/>
        </w:rPr>
        <w:t xml:space="preserve">клирингийн төв </w:t>
      </w:r>
      <w:r w:rsidR="00FE42FD" w:rsidRPr="000D478A">
        <w:rPr>
          <w:rFonts w:ascii="Arial" w:hAnsi="Arial" w:cs="Arial"/>
          <w:b/>
          <w:i/>
          <w:u w:val="single"/>
          <w:lang w:val="mn-MN"/>
        </w:rPr>
        <w:t>н</w:t>
      </w:r>
      <w:r w:rsidR="00EF5B38" w:rsidRPr="000D478A">
        <w:rPr>
          <w:rFonts w:ascii="Arial" w:hAnsi="Arial" w:cs="Arial"/>
          <w:b/>
          <w:i/>
          <w:u w:val="single"/>
          <w:lang w:val="mn-MN"/>
        </w:rPr>
        <w:t xml:space="preserve">ь үнэт цаасны </w:t>
      </w:r>
      <w:r w:rsidRPr="000D478A">
        <w:rPr>
          <w:rFonts w:ascii="Arial" w:hAnsi="Arial" w:cs="Arial"/>
          <w:b/>
          <w:i/>
          <w:u w:val="single"/>
          <w:lang w:val="mn-MN"/>
        </w:rPr>
        <w:t>компаниуд</w:t>
      </w:r>
      <w:r w:rsidR="00EF5B38" w:rsidRPr="000D478A">
        <w:rPr>
          <w:rFonts w:ascii="Arial" w:hAnsi="Arial" w:cs="Arial"/>
          <w:b/>
          <w:i/>
          <w:u w:val="single"/>
          <w:lang w:val="mn-MN"/>
        </w:rPr>
        <w:t>ын</w:t>
      </w:r>
      <w:r w:rsidRPr="000D478A">
        <w:rPr>
          <w:rFonts w:ascii="Arial" w:hAnsi="Arial" w:cs="Arial"/>
          <w:b/>
          <w:i/>
          <w:u w:val="single"/>
          <w:lang w:val="mn-MN"/>
        </w:rPr>
        <w:t xml:space="preserve"> арилжааг </w:t>
      </w:r>
      <w:r w:rsidR="00EF5B38" w:rsidRPr="000D478A">
        <w:rPr>
          <w:rFonts w:ascii="Arial" w:hAnsi="Arial" w:cs="Arial"/>
          <w:b/>
          <w:i/>
          <w:u w:val="single"/>
          <w:lang w:val="mn-MN"/>
        </w:rPr>
        <w:t xml:space="preserve">арилжаа тус бүрээр бус цэвэршүүлсэн дүнгээр </w:t>
      </w:r>
      <w:r w:rsidRPr="000D478A">
        <w:rPr>
          <w:rFonts w:ascii="Arial" w:hAnsi="Arial" w:cs="Arial"/>
          <w:b/>
          <w:i/>
          <w:u w:val="single"/>
          <w:lang w:val="mn-MN"/>
        </w:rPr>
        <w:t xml:space="preserve">хийх тул арилжааны </w:t>
      </w:r>
      <w:r w:rsidR="00F452C2" w:rsidRPr="000D478A">
        <w:rPr>
          <w:rFonts w:ascii="Arial" w:hAnsi="Arial" w:cs="Arial"/>
          <w:b/>
          <w:i/>
          <w:u w:val="single"/>
          <w:lang w:val="mn-MN"/>
        </w:rPr>
        <w:t xml:space="preserve">тоо болон </w:t>
      </w:r>
      <w:r w:rsidRPr="000D478A">
        <w:rPr>
          <w:rFonts w:ascii="Arial" w:hAnsi="Arial" w:cs="Arial"/>
          <w:b/>
          <w:i/>
          <w:u w:val="single"/>
          <w:lang w:val="mn-MN"/>
        </w:rPr>
        <w:t xml:space="preserve">шимтгэлийн зардал буурах </w:t>
      </w:r>
      <w:r w:rsidR="00F452C2" w:rsidRPr="000D478A">
        <w:rPr>
          <w:rFonts w:ascii="Arial" w:hAnsi="Arial" w:cs="Arial"/>
          <w:b/>
          <w:i/>
          <w:u w:val="single"/>
          <w:lang w:val="mn-MN"/>
        </w:rPr>
        <w:t xml:space="preserve">ач холбогдолтой. </w:t>
      </w:r>
    </w:p>
    <w:p w14:paraId="7EC70FF6" w14:textId="77777777" w:rsidR="006718BD" w:rsidRPr="000D478A" w:rsidRDefault="006718BD" w:rsidP="00585D08">
      <w:pPr>
        <w:pStyle w:val="NormalWeb"/>
        <w:spacing w:before="0" w:beforeAutospacing="0" w:after="0" w:afterAutospacing="0"/>
        <w:ind w:firstLine="720"/>
        <w:jc w:val="both"/>
        <w:rPr>
          <w:rFonts w:ascii="Arial" w:hAnsi="Arial" w:cs="Arial"/>
          <w:lang w:val="mn-MN"/>
        </w:rPr>
      </w:pPr>
    </w:p>
    <w:p w14:paraId="35BC4675" w14:textId="77777777" w:rsidR="002C4A76" w:rsidRPr="000D478A" w:rsidRDefault="002C4A76" w:rsidP="00EA3D35">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1.5.хялбарчлах боломж</w:t>
      </w:r>
    </w:p>
    <w:p w14:paraId="12E7B42C" w14:textId="77777777" w:rsidR="00EA3D35" w:rsidRPr="000D478A" w:rsidRDefault="00EA3D35" w:rsidP="00EA3D35">
      <w:pPr>
        <w:pStyle w:val="NormalWeb"/>
        <w:spacing w:before="0" w:beforeAutospacing="0" w:after="0" w:afterAutospacing="0"/>
        <w:ind w:left="720"/>
        <w:jc w:val="both"/>
        <w:rPr>
          <w:rFonts w:ascii="Arial" w:hAnsi="Arial" w:cs="Arial"/>
          <w:b/>
          <w:lang w:val="mn-MN"/>
        </w:rPr>
      </w:pPr>
    </w:p>
    <w:p w14:paraId="5DF7C244" w14:textId="77777777" w:rsidR="002C4A76" w:rsidRPr="000D478A" w:rsidRDefault="00F452C2" w:rsidP="00EA3D35">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Үнэт цаасны зах зээлийн тухай хуульд нэмэлт, өөрчлөлт оруулах </w:t>
      </w:r>
      <w:r w:rsidR="00761332" w:rsidRPr="000D478A">
        <w:rPr>
          <w:rFonts w:ascii="Arial" w:hAnsi="Arial" w:cs="Arial"/>
          <w:lang w:val="mn-MN"/>
        </w:rPr>
        <w:t xml:space="preserve">төсөлтэй </w:t>
      </w:r>
      <w:r w:rsidR="002C4A76" w:rsidRPr="000D478A">
        <w:rPr>
          <w:rFonts w:ascii="Arial" w:hAnsi="Arial" w:cs="Arial"/>
          <w:lang w:val="mn-MN"/>
        </w:rPr>
        <w:t xml:space="preserve">холбоотойгоор </w:t>
      </w:r>
      <w:r w:rsidR="00585D08" w:rsidRPr="000D478A">
        <w:rPr>
          <w:rFonts w:ascii="Arial" w:hAnsi="Arial" w:cs="Arial"/>
          <w:lang w:val="mn-MN"/>
        </w:rPr>
        <w:t>хуулийн этгээдийн</w:t>
      </w:r>
      <w:r w:rsidR="002C4A76" w:rsidRPr="000D478A">
        <w:rPr>
          <w:rFonts w:ascii="Arial" w:hAnsi="Arial" w:cs="Arial"/>
          <w:lang w:val="mn-MN"/>
        </w:rPr>
        <w:t xml:space="preserve"> зардлыг бууруулах боломжийг</w:t>
      </w:r>
      <w:r w:rsidR="003B1C43" w:rsidRPr="000D478A">
        <w:rPr>
          <w:rFonts w:ascii="Arial" w:hAnsi="Arial" w:cs="Arial"/>
          <w:lang w:val="mn-MN"/>
        </w:rPr>
        <w:t xml:space="preserve"> Аргачлалд заасны дагуу</w:t>
      </w:r>
      <w:r w:rsidR="002C4A76" w:rsidRPr="000D478A">
        <w:rPr>
          <w:rFonts w:ascii="Arial" w:hAnsi="Arial" w:cs="Arial"/>
          <w:lang w:val="mn-MN"/>
        </w:rPr>
        <w:t xml:space="preserve"> </w:t>
      </w:r>
      <w:r w:rsidR="00C87162" w:rsidRPr="000D478A">
        <w:rPr>
          <w:rFonts w:ascii="Arial" w:hAnsi="Arial" w:cs="Arial"/>
          <w:lang w:val="mn-MN"/>
        </w:rPr>
        <w:t>дараах шалгууруудаар тодорхойлж үзлээ</w:t>
      </w:r>
      <w:r w:rsidR="002C4A76" w:rsidRPr="000D478A">
        <w:rPr>
          <w:rFonts w:ascii="Arial" w:hAnsi="Arial" w:cs="Arial"/>
          <w:lang w:val="mn-MN"/>
        </w:rPr>
        <w:t>. Үүнд:</w:t>
      </w:r>
    </w:p>
    <w:p w14:paraId="04E49315" w14:textId="77777777" w:rsidR="003B1C43" w:rsidRPr="000D478A" w:rsidRDefault="003B1C43" w:rsidP="00EA3D35">
      <w:pPr>
        <w:pStyle w:val="NormalWeb"/>
        <w:spacing w:before="0" w:beforeAutospacing="0" w:after="0" w:afterAutospacing="0"/>
        <w:ind w:firstLine="720"/>
        <w:jc w:val="both"/>
        <w:rPr>
          <w:rFonts w:ascii="Arial" w:hAnsi="Arial" w:cs="Arial"/>
          <w:lang w:val="mn-MN"/>
        </w:rPr>
      </w:pPr>
    </w:p>
    <w:p w14:paraId="4FEB4114" w14:textId="77777777" w:rsidR="003F3F81" w:rsidRPr="000D478A" w:rsidRDefault="00763B10" w:rsidP="00FD2A68">
      <w:pPr>
        <w:pStyle w:val="NormalWeb"/>
        <w:numPr>
          <w:ilvl w:val="0"/>
          <w:numId w:val="3"/>
        </w:numPr>
        <w:spacing w:before="0" w:beforeAutospacing="0" w:after="0" w:afterAutospacing="0"/>
        <w:jc w:val="both"/>
        <w:rPr>
          <w:rFonts w:ascii="Arial" w:eastAsia="Times New Roman" w:hAnsi="Arial" w:cs="Arial"/>
          <w:color w:val="000000"/>
          <w:lang w:val="mn-MN"/>
        </w:rPr>
      </w:pPr>
      <w:r w:rsidRPr="000D478A">
        <w:rPr>
          <w:rFonts w:ascii="Arial" w:eastAsia="Times New Roman" w:hAnsi="Arial" w:cs="Arial"/>
          <w:b/>
          <w:color w:val="000000"/>
          <w:lang w:val="mn-MN"/>
        </w:rPr>
        <w:lastRenderedPageBreak/>
        <w:t>х</w:t>
      </w:r>
      <w:r w:rsidR="002C4A76" w:rsidRPr="000D478A">
        <w:rPr>
          <w:rFonts w:ascii="Arial" w:eastAsia="Times New Roman" w:hAnsi="Arial" w:cs="Arial"/>
          <w:b/>
          <w:color w:val="000000"/>
          <w:lang w:val="mn-MN"/>
        </w:rPr>
        <w:t>амрагдах хуулийн этгээдийн тоог багасгах боломж байгаа эсэх</w:t>
      </w:r>
      <w:r w:rsidR="0081663D" w:rsidRPr="000D478A">
        <w:rPr>
          <w:rFonts w:ascii="Arial" w:eastAsia="Times New Roman" w:hAnsi="Arial" w:cs="Arial"/>
          <w:color w:val="000000"/>
          <w:lang w:val="mn-MN"/>
        </w:rPr>
        <w:t xml:space="preserve">: </w:t>
      </w:r>
      <w:r w:rsidR="00F452C2" w:rsidRPr="000D478A">
        <w:rPr>
          <w:rFonts w:ascii="Arial" w:eastAsia="Times New Roman" w:hAnsi="Arial" w:cs="Arial"/>
          <w:color w:val="000000"/>
          <w:lang w:val="mn-MN"/>
        </w:rPr>
        <w:t>Хөрөнгийн зах зээлийн төлбөр тооцооны системд олон улсын төлбөрийн эсрэг нийлүүлэлт/</w:t>
      </w:r>
      <w:r w:rsidR="00013B09" w:rsidRPr="000D478A">
        <w:rPr>
          <w:rFonts w:ascii="Arial" w:eastAsia="Times New Roman" w:hAnsi="Arial" w:cs="Arial"/>
          <w:color w:val="000000"/>
          <w:lang w:val="mn-MN"/>
        </w:rPr>
        <w:t xml:space="preserve"> дараа төлбөрт горимд шилжихтэй холбоотойгоор клирингийн төв болон түүний гишүүн байгууллагуудыг үүсгэнэ. Ингэснээр хөрөнгө оруулагчдын үнэт цаасны арилжаанд оролцох шат дамжлага болон зардал шимтгэл буурах өндөр ач холбогдолтой тул </w:t>
      </w:r>
      <w:r w:rsidR="002C4A76" w:rsidRPr="000D478A">
        <w:rPr>
          <w:rFonts w:ascii="Arial" w:eastAsia="Times New Roman" w:hAnsi="Arial" w:cs="Arial"/>
          <w:color w:val="000000"/>
          <w:lang w:val="mn-MN"/>
        </w:rPr>
        <w:t>хамрагдах</w:t>
      </w:r>
      <w:r w:rsidR="00013B09" w:rsidRPr="000D478A">
        <w:rPr>
          <w:rFonts w:ascii="Arial" w:eastAsia="Times New Roman" w:hAnsi="Arial" w:cs="Arial"/>
          <w:color w:val="000000"/>
          <w:lang w:val="mn-MN"/>
        </w:rPr>
        <w:t xml:space="preserve"> үнэт цаасны компаниуд буюу </w:t>
      </w:r>
      <w:r w:rsidR="002C4A76" w:rsidRPr="000D478A">
        <w:rPr>
          <w:rFonts w:ascii="Arial" w:eastAsia="Times New Roman" w:hAnsi="Arial" w:cs="Arial"/>
          <w:color w:val="000000"/>
          <w:lang w:val="mn-MN"/>
        </w:rPr>
        <w:t>хуулийн этгээдийн тоог бууруулах боломжгүй</w:t>
      </w:r>
      <w:r w:rsidR="00013B09" w:rsidRPr="000D478A">
        <w:rPr>
          <w:rFonts w:ascii="Arial" w:eastAsia="Times New Roman" w:hAnsi="Arial" w:cs="Arial"/>
          <w:color w:val="000000"/>
          <w:lang w:val="mn-MN"/>
        </w:rPr>
        <w:t xml:space="preserve"> юм; </w:t>
      </w:r>
    </w:p>
    <w:p w14:paraId="0F2C7BCD" w14:textId="77777777" w:rsidR="00FD2A68" w:rsidRPr="000D478A" w:rsidRDefault="00FD2A68" w:rsidP="00FD2A68">
      <w:pPr>
        <w:pStyle w:val="NormalWeb"/>
        <w:spacing w:before="0" w:beforeAutospacing="0" w:after="0" w:afterAutospacing="0"/>
        <w:ind w:left="720"/>
        <w:jc w:val="both"/>
        <w:rPr>
          <w:rFonts w:ascii="Arial" w:eastAsia="Times New Roman" w:hAnsi="Arial" w:cs="Arial"/>
          <w:color w:val="000000"/>
          <w:lang w:val="mn-MN"/>
        </w:rPr>
      </w:pPr>
    </w:p>
    <w:p w14:paraId="389631A7" w14:textId="5A33A527" w:rsidR="007E192B" w:rsidRPr="000D478A" w:rsidRDefault="003F3F81" w:rsidP="00FD2A68">
      <w:pPr>
        <w:pStyle w:val="NormalWeb"/>
        <w:numPr>
          <w:ilvl w:val="0"/>
          <w:numId w:val="3"/>
        </w:numPr>
        <w:spacing w:before="0" w:beforeAutospacing="0" w:after="0" w:afterAutospacing="0"/>
        <w:jc w:val="both"/>
        <w:rPr>
          <w:rFonts w:ascii="Arial" w:eastAsia="Times New Roman" w:hAnsi="Arial" w:cs="Arial"/>
          <w:b/>
          <w:color w:val="000000"/>
          <w:lang w:val="mn-MN"/>
        </w:rPr>
      </w:pPr>
      <w:r w:rsidRPr="000D478A">
        <w:rPr>
          <w:rFonts w:ascii="Arial" w:eastAsia="Times New Roman" w:hAnsi="Arial" w:cs="Arial"/>
          <w:b/>
          <w:color w:val="000000"/>
          <w:lang w:val="mn-MN"/>
        </w:rPr>
        <w:t>м</w:t>
      </w:r>
      <w:r w:rsidR="002C4A76" w:rsidRPr="000D478A">
        <w:rPr>
          <w:rFonts w:ascii="Arial" w:eastAsia="Times New Roman" w:hAnsi="Arial" w:cs="Arial"/>
          <w:b/>
          <w:color w:val="000000"/>
          <w:lang w:val="mn-MN"/>
        </w:rPr>
        <w:t>эдээллийн агуулга, давтамжийг багасгах боломж байгаа эсэх:</w:t>
      </w:r>
      <w:r w:rsidR="007E192B" w:rsidRPr="000D478A">
        <w:rPr>
          <w:rFonts w:ascii="Arial" w:eastAsia="Times New Roman" w:hAnsi="Arial" w:cs="Arial"/>
          <w:b/>
          <w:color w:val="000000"/>
          <w:lang w:val="mn-MN"/>
        </w:rPr>
        <w:t xml:space="preserve"> </w:t>
      </w:r>
      <w:r w:rsidR="00013B09" w:rsidRPr="000D478A">
        <w:rPr>
          <w:rFonts w:ascii="Arial" w:eastAsia="Times New Roman" w:hAnsi="Arial" w:cs="Arial"/>
          <w:bCs/>
          <w:color w:val="000000"/>
          <w:lang w:val="mn-MN"/>
        </w:rPr>
        <w:t>Хөрөнгийн биржийн арилжаа нь өдөр бүр 10:00-13:00 цагийн хооронд явагдах бөгөөд хөрөнгө оруулагчид тэр хэрээр өдөр бүр арилжаанд оролцох, нөгөө талаас үнэт цаасны компаниуд болон дэд бүтцийн байгууллагууд арилжааны тасралтгүй найдвартай байдлыг ханган ажиллах үндсэн үүргүүдийг хүлээдэг. Иймд арилжааны тохиолдол бүрд боловсруулах мэдээллийн агуул</w:t>
      </w:r>
      <w:r w:rsidR="00310CA5" w:rsidRPr="000D478A">
        <w:rPr>
          <w:rFonts w:ascii="Arial" w:eastAsia="Times New Roman" w:hAnsi="Arial" w:cs="Arial"/>
          <w:bCs/>
          <w:color w:val="000000"/>
          <w:lang w:val="mn-MN"/>
        </w:rPr>
        <w:t>д</w:t>
      </w:r>
      <w:r w:rsidR="00013B09" w:rsidRPr="000D478A">
        <w:rPr>
          <w:rFonts w:ascii="Arial" w:eastAsia="Times New Roman" w:hAnsi="Arial" w:cs="Arial"/>
          <w:bCs/>
          <w:color w:val="000000"/>
          <w:lang w:val="mn-MN"/>
        </w:rPr>
        <w:t xml:space="preserve">аг болон давтамжийг бууруулах боломжгүй боловч мэдээллийг бэлтгэх системийг автоматжуулснаар хуулийн этгээдийн зардлыг хэмнэх бүрэн боломжтой юм;   </w:t>
      </w:r>
      <w:r w:rsidR="00013B09" w:rsidRPr="000D478A">
        <w:rPr>
          <w:rFonts w:ascii="Arial" w:eastAsia="Times New Roman" w:hAnsi="Arial" w:cs="Arial"/>
          <w:color w:val="000000"/>
          <w:lang w:val="mn-MN"/>
        </w:rPr>
        <w:t xml:space="preserve"> </w:t>
      </w:r>
    </w:p>
    <w:p w14:paraId="74FBA6C3" w14:textId="77777777" w:rsidR="00FD2A68" w:rsidRPr="000D478A" w:rsidRDefault="00FD2A68" w:rsidP="00FD2A68">
      <w:pPr>
        <w:pStyle w:val="NormalWeb"/>
        <w:spacing w:before="0" w:beforeAutospacing="0" w:after="0" w:afterAutospacing="0"/>
        <w:jc w:val="both"/>
        <w:rPr>
          <w:rFonts w:ascii="Arial" w:eastAsia="Times New Roman" w:hAnsi="Arial" w:cs="Arial"/>
          <w:b/>
          <w:color w:val="000000"/>
          <w:lang w:val="mn-MN"/>
        </w:rPr>
      </w:pPr>
    </w:p>
    <w:p w14:paraId="75397189" w14:textId="77777777" w:rsidR="00FD2A68" w:rsidRPr="000D478A" w:rsidRDefault="001B28D6" w:rsidP="00FD2A68">
      <w:pPr>
        <w:pStyle w:val="NormalWeb"/>
        <w:numPr>
          <w:ilvl w:val="0"/>
          <w:numId w:val="3"/>
        </w:numPr>
        <w:spacing w:before="0" w:beforeAutospacing="0" w:after="0" w:afterAutospacing="0"/>
        <w:jc w:val="both"/>
        <w:rPr>
          <w:rFonts w:ascii="Arial" w:eastAsia="Times New Roman" w:hAnsi="Arial" w:cs="Arial"/>
          <w:b/>
          <w:color w:val="000000"/>
          <w:lang w:val="mn-MN"/>
        </w:rPr>
      </w:pPr>
      <w:r w:rsidRPr="000D478A">
        <w:rPr>
          <w:rFonts w:ascii="Arial" w:eastAsia="Times New Roman" w:hAnsi="Arial" w:cs="Arial"/>
          <w:b/>
          <w:color w:val="000000"/>
          <w:lang w:val="mn-MN"/>
        </w:rPr>
        <w:t>ш</w:t>
      </w:r>
      <w:r w:rsidR="002C4A76" w:rsidRPr="000D478A">
        <w:rPr>
          <w:rFonts w:ascii="Arial" w:eastAsia="Times New Roman" w:hAnsi="Arial" w:cs="Arial"/>
          <w:b/>
          <w:color w:val="000000"/>
          <w:lang w:val="mn-MN"/>
        </w:rPr>
        <w:t>инээр үүсэх үүргийг урьд байсан үүрэгтэй нэгтг</w:t>
      </w:r>
      <w:r w:rsidR="007E192B" w:rsidRPr="000D478A">
        <w:rPr>
          <w:rFonts w:ascii="Arial" w:eastAsia="Times New Roman" w:hAnsi="Arial" w:cs="Arial"/>
          <w:b/>
          <w:color w:val="000000"/>
          <w:lang w:val="mn-MN"/>
        </w:rPr>
        <w:t>эж болох эсэх</w:t>
      </w:r>
      <w:r w:rsidR="007E192B" w:rsidRPr="000D478A">
        <w:rPr>
          <w:rFonts w:ascii="Arial" w:eastAsia="Times New Roman" w:hAnsi="Arial" w:cs="Arial"/>
          <w:color w:val="000000"/>
          <w:lang w:val="mn-MN"/>
        </w:rPr>
        <w:t>:</w:t>
      </w:r>
      <w:r w:rsidR="007E192B" w:rsidRPr="000D478A">
        <w:rPr>
          <w:rFonts w:ascii="Arial" w:eastAsia="Times New Roman" w:hAnsi="Arial" w:cs="Arial"/>
          <w:b/>
          <w:color w:val="000000"/>
          <w:lang w:val="mn-MN"/>
        </w:rPr>
        <w:t xml:space="preserve"> </w:t>
      </w:r>
      <w:r w:rsidR="00DE7208" w:rsidRPr="000D478A">
        <w:rPr>
          <w:rFonts w:ascii="Arial" w:eastAsia="Times New Roman" w:hAnsi="Arial" w:cs="Arial"/>
          <w:color w:val="000000"/>
          <w:lang w:val="mn-MN"/>
        </w:rPr>
        <w:t>хуулийн этгээдэд шинээр</w:t>
      </w:r>
      <w:r w:rsidR="00013B09" w:rsidRPr="000D478A">
        <w:rPr>
          <w:rFonts w:ascii="Arial" w:eastAsia="Times New Roman" w:hAnsi="Arial" w:cs="Arial"/>
          <w:color w:val="000000"/>
          <w:lang w:val="mn-MN"/>
        </w:rPr>
        <w:t xml:space="preserve"> хүлээх үүргийг 100 хувь автоматжуулах боломжтой бөгөөд үнэт цаасны компанийн зүгээс харилцагчдын эрсдэлийг үнэлэх ажлыг урьд өмнө гүйцэтгэж байсан үүрэгтэй нэгтгэх боломжтой юм;</w:t>
      </w:r>
    </w:p>
    <w:p w14:paraId="37C587C9" w14:textId="77777777" w:rsidR="00FD2A68" w:rsidRPr="000D478A" w:rsidRDefault="00FD2A68" w:rsidP="00FD2A68">
      <w:pPr>
        <w:pStyle w:val="NormalWeb"/>
        <w:spacing w:before="0" w:beforeAutospacing="0" w:after="0" w:afterAutospacing="0"/>
        <w:jc w:val="both"/>
        <w:rPr>
          <w:rFonts w:ascii="Arial" w:eastAsia="Times New Roman" w:hAnsi="Arial" w:cs="Arial"/>
          <w:b/>
          <w:color w:val="000000"/>
          <w:lang w:val="mn-MN"/>
        </w:rPr>
      </w:pPr>
    </w:p>
    <w:p w14:paraId="2FF6FCF7" w14:textId="77777777" w:rsidR="002C4A76" w:rsidRPr="000D478A" w:rsidRDefault="001B28D6" w:rsidP="00FD2A68">
      <w:pPr>
        <w:pStyle w:val="NormalWeb"/>
        <w:numPr>
          <w:ilvl w:val="0"/>
          <w:numId w:val="3"/>
        </w:numPr>
        <w:spacing w:before="0" w:beforeAutospacing="0" w:after="0" w:afterAutospacing="0"/>
        <w:jc w:val="both"/>
        <w:rPr>
          <w:rFonts w:ascii="Arial" w:eastAsia="Times New Roman" w:hAnsi="Arial" w:cs="Arial"/>
          <w:b/>
          <w:color w:val="000000"/>
          <w:lang w:val="mn-MN"/>
        </w:rPr>
      </w:pPr>
      <w:r w:rsidRPr="000D478A">
        <w:rPr>
          <w:rFonts w:ascii="Arial" w:eastAsia="Times New Roman" w:hAnsi="Arial" w:cs="Arial"/>
          <w:b/>
          <w:color w:val="000000"/>
          <w:lang w:val="mn-MN"/>
        </w:rPr>
        <w:t>м</w:t>
      </w:r>
      <w:r w:rsidR="002C4A76" w:rsidRPr="000D478A">
        <w:rPr>
          <w:rFonts w:ascii="Arial" w:eastAsia="Times New Roman" w:hAnsi="Arial" w:cs="Arial"/>
          <w:b/>
          <w:color w:val="000000"/>
          <w:lang w:val="mn-MN"/>
        </w:rPr>
        <w:t>эдээллийг ца</w:t>
      </w:r>
      <w:r w:rsidR="00E13BC9" w:rsidRPr="000D478A">
        <w:rPr>
          <w:rFonts w:ascii="Arial" w:eastAsia="Times New Roman" w:hAnsi="Arial" w:cs="Arial"/>
          <w:b/>
          <w:color w:val="000000"/>
          <w:lang w:val="mn-MN"/>
        </w:rPr>
        <w:t xml:space="preserve">химаар хүргүүлэх боломжтой эсэх: </w:t>
      </w:r>
      <w:r w:rsidR="00013B09" w:rsidRPr="000D478A">
        <w:rPr>
          <w:rFonts w:ascii="Arial" w:hAnsi="Arial" w:cs="Arial"/>
          <w:lang w:val="mn-MN"/>
        </w:rPr>
        <w:t>Хуулийн этгээдийн бэлтгэх мэдээлэл болон мэдээлэл солилцох үйл ажиллагаа бүгд цахимаар гүйцэтгэгдэх болно</w:t>
      </w:r>
      <w:r w:rsidR="00E13BC9" w:rsidRPr="000D478A">
        <w:rPr>
          <w:rFonts w:ascii="Arial" w:eastAsia="Times New Roman" w:hAnsi="Arial" w:cs="Arial"/>
          <w:color w:val="000000"/>
          <w:lang w:val="mn-MN"/>
        </w:rPr>
        <w:t>;</w:t>
      </w:r>
    </w:p>
    <w:p w14:paraId="31536C7E" w14:textId="77777777" w:rsidR="00FD2A68" w:rsidRPr="000D478A" w:rsidRDefault="00FD2A68" w:rsidP="00FD2A68">
      <w:pPr>
        <w:pStyle w:val="NormalWeb"/>
        <w:spacing w:before="0" w:beforeAutospacing="0" w:after="0" w:afterAutospacing="0"/>
        <w:jc w:val="both"/>
        <w:rPr>
          <w:rFonts w:ascii="Arial" w:eastAsia="Times New Roman" w:hAnsi="Arial" w:cs="Arial"/>
          <w:b/>
          <w:color w:val="000000"/>
          <w:lang w:val="mn-MN"/>
        </w:rPr>
      </w:pPr>
    </w:p>
    <w:p w14:paraId="6875F2AA" w14:textId="77777777" w:rsidR="006D7CB0" w:rsidRPr="000D478A" w:rsidRDefault="00403837" w:rsidP="00C63FE9">
      <w:pPr>
        <w:pStyle w:val="NormalWeb"/>
        <w:numPr>
          <w:ilvl w:val="0"/>
          <w:numId w:val="3"/>
        </w:numPr>
        <w:spacing w:before="0" w:beforeAutospacing="0" w:after="0" w:afterAutospacing="0"/>
        <w:jc w:val="both"/>
        <w:rPr>
          <w:rFonts w:ascii="Arial" w:eastAsia="Times New Roman" w:hAnsi="Arial" w:cs="Arial"/>
          <w:b/>
          <w:color w:val="000000"/>
          <w:lang w:val="mn-MN"/>
        </w:rPr>
      </w:pPr>
      <w:r w:rsidRPr="000D478A">
        <w:rPr>
          <w:rFonts w:ascii="Arial" w:eastAsia="Times New Roman" w:hAnsi="Arial" w:cs="Arial"/>
          <w:b/>
          <w:color w:val="000000"/>
          <w:lang w:val="mn-MN"/>
        </w:rPr>
        <w:t>м</w:t>
      </w:r>
      <w:r w:rsidR="002E50A5" w:rsidRPr="000D478A">
        <w:rPr>
          <w:rFonts w:ascii="Arial" w:eastAsia="Times New Roman" w:hAnsi="Arial" w:cs="Arial"/>
          <w:b/>
          <w:color w:val="000000"/>
          <w:lang w:val="mn-MN"/>
        </w:rPr>
        <w:t xml:space="preserve">эдээлэл хүргүүлэх байгууллагын тоог багасгах боломжтой эсэх: </w:t>
      </w:r>
      <w:r w:rsidR="005F4079" w:rsidRPr="000D478A">
        <w:rPr>
          <w:rFonts w:ascii="Arial" w:eastAsia="Times New Roman" w:hAnsi="Arial" w:cs="Arial"/>
          <w:color w:val="000000"/>
          <w:lang w:val="mn-MN"/>
        </w:rPr>
        <w:t>Мэдээлэл хүргүүлэх байгууллагын тоо нь төрийн зохицуулагч байгууллага болон Санхүүгийн зохицуулах хороо болон дэд бүтцийн 3 байгууллага тул багасгах боломжгүй</w:t>
      </w:r>
      <w:r w:rsidR="006D7CB0" w:rsidRPr="000D478A">
        <w:rPr>
          <w:rFonts w:ascii="Arial" w:eastAsia="Times New Roman" w:hAnsi="Arial" w:cs="Arial"/>
          <w:color w:val="000000"/>
          <w:lang w:val="mn-MN"/>
        </w:rPr>
        <w:t>;</w:t>
      </w:r>
    </w:p>
    <w:p w14:paraId="0FEB5C3F" w14:textId="77777777" w:rsidR="00FD2A68" w:rsidRPr="000D478A" w:rsidRDefault="00FD2A68" w:rsidP="00FD2A68">
      <w:pPr>
        <w:pStyle w:val="NormalWeb"/>
        <w:spacing w:before="0" w:beforeAutospacing="0" w:after="0" w:afterAutospacing="0"/>
        <w:ind w:left="720"/>
        <w:jc w:val="both"/>
        <w:rPr>
          <w:rFonts w:ascii="Arial" w:eastAsia="Times New Roman" w:hAnsi="Arial" w:cs="Arial"/>
          <w:b/>
          <w:color w:val="000000"/>
          <w:lang w:val="mn-MN"/>
        </w:rPr>
      </w:pPr>
    </w:p>
    <w:p w14:paraId="533E935C" w14:textId="77777777" w:rsidR="00E13BC9" w:rsidRPr="000D478A" w:rsidRDefault="00E2373C" w:rsidP="00C63FE9">
      <w:pPr>
        <w:pStyle w:val="NormalWeb"/>
        <w:numPr>
          <w:ilvl w:val="0"/>
          <w:numId w:val="3"/>
        </w:numPr>
        <w:spacing w:before="0" w:beforeAutospacing="0" w:after="0" w:afterAutospacing="0"/>
        <w:jc w:val="both"/>
        <w:rPr>
          <w:rFonts w:ascii="Arial" w:eastAsia="Times New Roman" w:hAnsi="Arial" w:cs="Arial"/>
          <w:b/>
          <w:color w:val="000000"/>
          <w:lang w:val="mn-MN"/>
        </w:rPr>
      </w:pPr>
      <w:r w:rsidRPr="000D478A">
        <w:rPr>
          <w:rFonts w:ascii="Arial" w:eastAsia="Times New Roman" w:hAnsi="Arial" w:cs="Arial"/>
          <w:b/>
          <w:color w:val="000000"/>
          <w:lang w:val="mn-MN"/>
        </w:rPr>
        <w:t xml:space="preserve">нэг цэгийн үйлчилгээ бий болгох боломжтой эсэх: </w:t>
      </w:r>
      <w:r w:rsidR="005F4079" w:rsidRPr="000D478A">
        <w:rPr>
          <w:rFonts w:ascii="Arial" w:eastAsia="Times New Roman" w:hAnsi="Arial" w:cs="Arial"/>
          <w:color w:val="000000"/>
          <w:lang w:val="mn-MN"/>
        </w:rPr>
        <w:t xml:space="preserve">Харилцагчид болон дэд бүтцийн байгууллагуудтай цахимаар мэдээлэл солилцох, хүргэх тул нэг цэгийн үйлчилгээ бий болгох шаардлагагүй. </w:t>
      </w:r>
    </w:p>
    <w:p w14:paraId="22A80C49" w14:textId="77777777" w:rsidR="00D56491" w:rsidRPr="000D478A" w:rsidRDefault="00D56491" w:rsidP="00C63FE9">
      <w:pPr>
        <w:pStyle w:val="NormalWeb"/>
        <w:spacing w:before="0" w:beforeAutospacing="0" w:after="0" w:afterAutospacing="0"/>
        <w:ind w:firstLine="720"/>
        <w:jc w:val="both"/>
        <w:rPr>
          <w:rFonts w:ascii="Arial" w:hAnsi="Arial" w:cs="Arial"/>
          <w:lang w:val="mn-MN"/>
        </w:rPr>
      </w:pPr>
    </w:p>
    <w:p w14:paraId="23EC1A86" w14:textId="77777777" w:rsidR="002C4A24" w:rsidRPr="000D478A" w:rsidRDefault="0068533B" w:rsidP="00C63FE9">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1.6.нэмэлт зардлыг тооцох</w:t>
      </w:r>
      <w:r w:rsidR="00C63FE9" w:rsidRPr="000D478A">
        <w:rPr>
          <w:rFonts w:ascii="Arial" w:hAnsi="Arial" w:cs="Arial"/>
          <w:b/>
          <w:lang w:val="mn-MN"/>
        </w:rPr>
        <w:t xml:space="preserve"> </w:t>
      </w:r>
    </w:p>
    <w:p w14:paraId="38748059" w14:textId="77777777" w:rsidR="00E36FD1" w:rsidRPr="000D478A" w:rsidRDefault="00E36FD1" w:rsidP="00E36FD1">
      <w:pPr>
        <w:pStyle w:val="NormalWeb"/>
        <w:spacing w:before="0" w:beforeAutospacing="0" w:after="0" w:afterAutospacing="0"/>
        <w:ind w:firstLine="720"/>
        <w:jc w:val="both"/>
        <w:rPr>
          <w:rFonts w:ascii="Arial" w:hAnsi="Arial" w:cs="Arial"/>
          <w:lang w:val="mn-MN"/>
        </w:rPr>
      </w:pPr>
    </w:p>
    <w:p w14:paraId="686CB078" w14:textId="77777777" w:rsidR="00E36FD1" w:rsidRPr="000D478A" w:rsidRDefault="00E36FD1" w:rsidP="00E36FD1">
      <w:pPr>
        <w:pStyle w:val="NormalWeb"/>
        <w:spacing w:before="0" w:beforeAutospacing="0" w:after="0" w:afterAutospacing="0"/>
        <w:ind w:firstLine="720"/>
        <w:jc w:val="both"/>
        <w:rPr>
          <w:rFonts w:ascii="Arial" w:hAnsi="Arial" w:cs="Arial"/>
          <w:bCs/>
          <w:iCs/>
          <w:lang w:val="mn-MN"/>
        </w:rPr>
      </w:pPr>
      <w:r w:rsidRPr="000D478A">
        <w:rPr>
          <w:rFonts w:ascii="Arial" w:hAnsi="Arial" w:cs="Arial"/>
          <w:bCs/>
          <w:iCs/>
          <w:lang w:val="mn-MN"/>
        </w:rPr>
        <w:t xml:space="preserve">Хууль хэрэгжиж эхэлснээр үнэт цаасны клирингийн төв нь үнэт цаасны компаниудын арилжааг арилжаа тус бүрээр бус цэвэршүүлсэн дүнгээр хийх тул арилжааны тоо болон шимтгэлийн зардал буурах ач холбогдолтой. </w:t>
      </w:r>
    </w:p>
    <w:p w14:paraId="6C7C5B5C" w14:textId="77777777" w:rsidR="00C37ED5" w:rsidRPr="000D478A" w:rsidRDefault="00C37ED5" w:rsidP="001A2B76">
      <w:pPr>
        <w:pStyle w:val="NormalWeb"/>
        <w:spacing w:before="0" w:beforeAutospacing="0" w:after="0" w:afterAutospacing="0"/>
        <w:ind w:firstLine="720"/>
        <w:jc w:val="both"/>
        <w:rPr>
          <w:rFonts w:ascii="Arial" w:eastAsia="Times New Roman" w:hAnsi="Arial" w:cs="Arial"/>
          <w:color w:val="000000"/>
          <w:lang w:val="mn-MN"/>
        </w:rPr>
      </w:pPr>
    </w:p>
    <w:p w14:paraId="79C9B781" w14:textId="77777777" w:rsidR="00847699" w:rsidRPr="000D478A" w:rsidRDefault="00847699" w:rsidP="00847699">
      <w:pPr>
        <w:pStyle w:val="NormalWeb"/>
        <w:spacing w:before="0" w:beforeAutospacing="0" w:after="0" w:afterAutospacing="0"/>
        <w:ind w:firstLine="720"/>
        <w:jc w:val="both"/>
        <w:rPr>
          <w:rStyle w:val="Strong"/>
          <w:rFonts w:ascii="Arial" w:hAnsi="Arial" w:cs="Arial"/>
          <w:lang w:val="mn-MN"/>
        </w:rPr>
      </w:pPr>
      <w:r w:rsidRPr="000D478A">
        <w:rPr>
          <w:rStyle w:val="Strong"/>
          <w:rFonts w:ascii="Arial" w:hAnsi="Arial" w:cs="Arial"/>
          <w:lang w:val="mn-MN"/>
        </w:rPr>
        <w:t>Хоёр. Иргэний зардлыг тооцох</w:t>
      </w:r>
    </w:p>
    <w:p w14:paraId="4A91BD09" w14:textId="77777777" w:rsidR="00847699" w:rsidRPr="000D478A" w:rsidRDefault="00847699" w:rsidP="001A2B76">
      <w:pPr>
        <w:pStyle w:val="NormalWeb"/>
        <w:spacing w:before="0" w:beforeAutospacing="0" w:after="0" w:afterAutospacing="0"/>
        <w:ind w:firstLine="720"/>
        <w:jc w:val="both"/>
        <w:rPr>
          <w:rFonts w:ascii="Arial" w:eastAsia="Times New Roman" w:hAnsi="Arial" w:cs="Arial"/>
          <w:color w:val="000000"/>
          <w:lang w:val="mn-MN"/>
        </w:rPr>
      </w:pPr>
    </w:p>
    <w:p w14:paraId="540DCEC5" w14:textId="5B220ED3" w:rsidR="00D207F8" w:rsidRPr="000D478A" w:rsidRDefault="005F4079" w:rsidP="006C1CD4">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Үнэт цаасны зах зээлийн тухай хуульд нэмэлт, өөрчлөлт оруулах хуулийг хэрэгжүүлэхтэй холбоотойгоор </w:t>
      </w:r>
      <w:r w:rsidR="005303FE" w:rsidRPr="000D478A">
        <w:rPr>
          <w:rFonts w:ascii="Arial" w:hAnsi="Arial" w:cs="Arial"/>
          <w:lang w:val="mn-MN"/>
        </w:rPr>
        <w:t>иргэний зард</w:t>
      </w:r>
      <w:r w:rsidR="00E36FD1" w:rsidRPr="000D478A">
        <w:rPr>
          <w:rFonts w:ascii="Arial" w:hAnsi="Arial" w:cs="Arial"/>
          <w:lang w:val="mn-MN"/>
        </w:rPr>
        <w:t xml:space="preserve">ал гарахгүй бөгөөд арилжаанд оролцох шат дамжлага, шимтгэл улам бүр буурна. </w:t>
      </w:r>
    </w:p>
    <w:p w14:paraId="30C246DD" w14:textId="77777777" w:rsidR="00791FB5" w:rsidRPr="000D478A" w:rsidRDefault="00791FB5" w:rsidP="003D3CCC">
      <w:pPr>
        <w:pStyle w:val="NormalWeb"/>
        <w:spacing w:before="0" w:beforeAutospacing="0" w:after="0" w:afterAutospacing="0"/>
        <w:ind w:firstLine="720"/>
        <w:jc w:val="both"/>
        <w:rPr>
          <w:rFonts w:ascii="Arial" w:hAnsi="Arial" w:cs="Arial"/>
          <w:lang w:val="mn-MN"/>
        </w:rPr>
      </w:pPr>
    </w:p>
    <w:p w14:paraId="28256A52" w14:textId="77777777" w:rsidR="00D207F8" w:rsidRPr="000D478A" w:rsidRDefault="00786E1A" w:rsidP="00E00417">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2</w:t>
      </w:r>
      <w:r w:rsidR="00D207F8" w:rsidRPr="000D478A">
        <w:rPr>
          <w:rFonts w:ascii="Arial" w:hAnsi="Arial" w:cs="Arial"/>
          <w:b/>
          <w:lang w:val="mn-MN"/>
        </w:rPr>
        <w:t>.1.ир</w:t>
      </w:r>
      <w:r w:rsidR="005A2F88" w:rsidRPr="000D478A">
        <w:rPr>
          <w:rFonts w:ascii="Arial" w:hAnsi="Arial" w:cs="Arial"/>
          <w:b/>
          <w:lang w:val="mn-MN"/>
        </w:rPr>
        <w:t>гэний гүйцэтгэх үүргийг тогтоох</w:t>
      </w:r>
    </w:p>
    <w:p w14:paraId="3E6CA40E" w14:textId="77777777" w:rsidR="00E00417" w:rsidRPr="000D478A" w:rsidRDefault="00E00417" w:rsidP="00E00417">
      <w:pPr>
        <w:pStyle w:val="NormalWeb"/>
        <w:spacing w:before="0" w:beforeAutospacing="0" w:after="0" w:afterAutospacing="0"/>
        <w:ind w:left="720"/>
        <w:jc w:val="both"/>
        <w:rPr>
          <w:rFonts w:ascii="Arial" w:hAnsi="Arial" w:cs="Arial"/>
          <w:b/>
          <w:lang w:val="mn-MN"/>
        </w:rPr>
      </w:pPr>
    </w:p>
    <w:p w14:paraId="68DE85E0" w14:textId="77777777" w:rsidR="001B250A" w:rsidRPr="000D478A" w:rsidRDefault="005F4079" w:rsidP="00E00417">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Үнэт цаасны зах зээлийн тухай хуульд нэмэлт, өөрчлөлт оруулах хуулийн</w:t>
      </w:r>
      <w:r w:rsidR="001B250A" w:rsidRPr="000D478A">
        <w:rPr>
          <w:rFonts w:ascii="Arial" w:hAnsi="Arial" w:cs="Arial"/>
          <w:lang w:val="mn-MN"/>
        </w:rPr>
        <w:t xml:space="preserve"> дагуу хувь хүн дараах үүргийг гүйцэтгэнэ:</w:t>
      </w:r>
    </w:p>
    <w:p w14:paraId="3BC2C595" w14:textId="77777777" w:rsidR="00791FB5" w:rsidRPr="000D478A" w:rsidRDefault="005F4079" w:rsidP="00781076">
      <w:pPr>
        <w:pStyle w:val="NormalWeb"/>
        <w:numPr>
          <w:ilvl w:val="0"/>
          <w:numId w:val="1"/>
        </w:numPr>
        <w:spacing w:before="0" w:beforeAutospacing="0" w:after="0" w:afterAutospacing="0"/>
        <w:jc w:val="both"/>
        <w:rPr>
          <w:rFonts w:ascii="Arial" w:hAnsi="Arial" w:cs="Arial"/>
          <w:lang w:val="mn-MN"/>
        </w:rPr>
      </w:pPr>
      <w:r w:rsidRPr="000D478A">
        <w:rPr>
          <w:rFonts w:ascii="Arial" w:hAnsi="Arial" w:cs="Arial"/>
          <w:lang w:val="mn-MN"/>
        </w:rPr>
        <w:lastRenderedPageBreak/>
        <w:t xml:space="preserve">үнэт цаасны компаниудтай харилцагчийн гэрээ анхлан байгуулахдаа харилцагчийн эрсдэлийг үнэлүүлэх зорилгоор өөрийн банкны дансны хуулгыг хүргүүлнэ. </w:t>
      </w:r>
      <w:r w:rsidR="00781076" w:rsidRPr="000D478A">
        <w:rPr>
          <w:rFonts w:ascii="Arial" w:hAnsi="Arial" w:cs="Arial"/>
          <w:lang w:val="mn-MN"/>
        </w:rPr>
        <w:t xml:space="preserve"> </w:t>
      </w:r>
    </w:p>
    <w:p w14:paraId="3A22AB7D" w14:textId="77777777" w:rsidR="00B35FF6" w:rsidRPr="000D478A" w:rsidRDefault="00B35FF6" w:rsidP="00B35FF6">
      <w:pPr>
        <w:pStyle w:val="NormalWeb"/>
        <w:spacing w:before="0" w:beforeAutospacing="0" w:after="0" w:afterAutospacing="0"/>
        <w:ind w:left="2520"/>
        <w:jc w:val="both"/>
        <w:rPr>
          <w:rFonts w:ascii="Arial" w:hAnsi="Arial" w:cs="Arial"/>
          <w:lang w:val="mn-MN"/>
        </w:rPr>
      </w:pPr>
    </w:p>
    <w:p w14:paraId="5F19A364" w14:textId="77777777" w:rsidR="00D207F8" w:rsidRPr="000D478A" w:rsidRDefault="00786E1A" w:rsidP="004F1848">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2</w:t>
      </w:r>
      <w:r w:rsidR="00D207F8" w:rsidRPr="000D478A">
        <w:rPr>
          <w:rFonts w:ascii="Arial" w:hAnsi="Arial" w:cs="Arial"/>
          <w:b/>
          <w:lang w:val="mn-MN"/>
        </w:rPr>
        <w:t xml:space="preserve">.2.цаг хугацаа </w:t>
      </w:r>
      <w:r w:rsidR="00410704" w:rsidRPr="000D478A">
        <w:rPr>
          <w:rFonts w:ascii="Arial" w:hAnsi="Arial" w:cs="Arial"/>
          <w:b/>
          <w:lang w:val="mn-MN"/>
        </w:rPr>
        <w:t>болон гарч болох зардлыг тооцох</w:t>
      </w:r>
    </w:p>
    <w:p w14:paraId="759E0A04" w14:textId="77777777" w:rsidR="004F1848" w:rsidRPr="000D478A" w:rsidRDefault="004F1848" w:rsidP="004F1848">
      <w:pPr>
        <w:pStyle w:val="NormalWeb"/>
        <w:spacing w:before="0" w:beforeAutospacing="0" w:after="0" w:afterAutospacing="0"/>
        <w:ind w:left="720"/>
        <w:jc w:val="both"/>
        <w:rPr>
          <w:rFonts w:ascii="Arial" w:hAnsi="Arial" w:cs="Arial"/>
          <w:b/>
          <w:lang w:val="mn-MN"/>
        </w:rPr>
      </w:pPr>
    </w:p>
    <w:p w14:paraId="4AF341B9" w14:textId="33A19981" w:rsidR="00580436" w:rsidRPr="000D478A" w:rsidRDefault="00845272" w:rsidP="00845272">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Зардлыг тооцохдоо иргэдийн </w:t>
      </w:r>
      <w:r w:rsidR="007D453B" w:rsidRPr="000D478A">
        <w:rPr>
          <w:rFonts w:ascii="Arial" w:hAnsi="Arial" w:cs="Arial"/>
          <w:lang w:val="mn-MN"/>
        </w:rPr>
        <w:t>үнэт цаасны компанитай харилцах</w:t>
      </w:r>
      <w:r w:rsidR="000078C6" w:rsidRPr="000D478A">
        <w:rPr>
          <w:rFonts w:ascii="Arial" w:hAnsi="Arial" w:cs="Arial"/>
          <w:lang w:val="mn-MN"/>
        </w:rPr>
        <w:t>ад үүсдэг харилцаан</w:t>
      </w:r>
      <w:r w:rsidR="00580436" w:rsidRPr="000D478A">
        <w:rPr>
          <w:rFonts w:ascii="Arial" w:hAnsi="Arial" w:cs="Arial"/>
          <w:lang w:val="mn-MN"/>
        </w:rPr>
        <w:t>д үндэслэж хийсэн бөгөөд дараах хугацааг зарцуулна гэж төсөөлөв.</w:t>
      </w:r>
    </w:p>
    <w:p w14:paraId="712D433A" w14:textId="77777777" w:rsidR="00580436" w:rsidRPr="000D478A" w:rsidRDefault="00580436" w:rsidP="00845272">
      <w:pPr>
        <w:pStyle w:val="NormalWeb"/>
        <w:spacing w:before="0" w:beforeAutospacing="0" w:after="0" w:afterAutospacing="0"/>
        <w:ind w:firstLine="720"/>
        <w:jc w:val="both"/>
        <w:rPr>
          <w:rFonts w:ascii="Arial" w:hAnsi="Arial" w:cs="Arial"/>
          <w:lang w:val="mn-MN"/>
        </w:rPr>
      </w:pPr>
    </w:p>
    <w:tbl>
      <w:tblPr>
        <w:tblW w:w="9340" w:type="dxa"/>
        <w:tblInd w:w="93" w:type="dxa"/>
        <w:tblLook w:val="04A0" w:firstRow="1" w:lastRow="0" w:firstColumn="1" w:lastColumn="0" w:noHBand="0" w:noVBand="1"/>
      </w:tblPr>
      <w:tblGrid>
        <w:gridCol w:w="462"/>
        <w:gridCol w:w="5095"/>
        <w:gridCol w:w="1216"/>
        <w:gridCol w:w="1234"/>
        <w:gridCol w:w="1333"/>
      </w:tblGrid>
      <w:tr w:rsidR="002252D0" w:rsidRPr="000D478A" w14:paraId="59746E9C" w14:textId="77777777" w:rsidTr="00B84C18">
        <w:trPr>
          <w:trHeight w:val="300"/>
        </w:trPr>
        <w:tc>
          <w:tcPr>
            <w:tcW w:w="46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078ECEC"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w:t>
            </w:r>
          </w:p>
        </w:tc>
        <w:tc>
          <w:tcPr>
            <w:tcW w:w="509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A260674" w14:textId="77777777" w:rsidR="002252D0" w:rsidRPr="000D478A" w:rsidRDefault="002252D0" w:rsidP="002252D0">
            <w:pPr>
              <w:rPr>
                <w:rFonts w:ascii="Arial" w:eastAsia="Times New Roman" w:hAnsi="Arial" w:cs="Arial"/>
                <w:sz w:val="22"/>
                <w:szCs w:val="22"/>
                <w:lang w:val="mn-MN"/>
              </w:rPr>
            </w:pPr>
            <w:r w:rsidRPr="000D478A">
              <w:rPr>
                <w:rFonts w:ascii="Arial" w:eastAsia="Times New Roman" w:hAnsi="Arial" w:cs="Arial"/>
                <w:sz w:val="22"/>
                <w:szCs w:val="22"/>
                <w:lang w:val="mn-MN"/>
              </w:rPr>
              <w:t>Ерөнхий стандарт үйл ажиллагаа</w:t>
            </w:r>
          </w:p>
        </w:tc>
        <w:tc>
          <w:tcPr>
            <w:tcW w:w="3783"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4FD27F8F" w14:textId="77777777" w:rsidR="002252D0" w:rsidRPr="000D478A" w:rsidRDefault="002252D0" w:rsidP="00A92E1A">
            <w:pPr>
              <w:jc w:val="center"/>
              <w:rPr>
                <w:rFonts w:ascii="Arial" w:eastAsia="Times New Roman" w:hAnsi="Arial" w:cs="Arial"/>
                <w:sz w:val="22"/>
                <w:szCs w:val="22"/>
                <w:lang w:val="mn-MN"/>
              </w:rPr>
            </w:pPr>
            <w:r w:rsidRPr="000D478A">
              <w:rPr>
                <w:rFonts w:ascii="Arial" w:eastAsia="Times New Roman" w:hAnsi="Arial" w:cs="Arial"/>
                <w:sz w:val="22"/>
                <w:szCs w:val="22"/>
                <w:lang w:val="mn-MN"/>
              </w:rPr>
              <w:t>Гүйцэтгэх хугацаа (минут)</w:t>
            </w:r>
          </w:p>
        </w:tc>
      </w:tr>
      <w:tr w:rsidR="002252D0" w:rsidRPr="000D478A" w14:paraId="7709DDEC" w14:textId="77777777" w:rsidTr="00B84C18">
        <w:trPr>
          <w:trHeight w:val="300"/>
        </w:trPr>
        <w:tc>
          <w:tcPr>
            <w:tcW w:w="462" w:type="dxa"/>
            <w:vMerge/>
            <w:tcBorders>
              <w:top w:val="single" w:sz="4" w:space="0" w:color="000000"/>
              <w:left w:val="single" w:sz="4" w:space="0" w:color="000000"/>
              <w:bottom w:val="single" w:sz="4" w:space="0" w:color="000000"/>
              <w:right w:val="single" w:sz="4" w:space="0" w:color="000000"/>
            </w:tcBorders>
            <w:vAlign w:val="center"/>
            <w:hideMark/>
          </w:tcPr>
          <w:p w14:paraId="62C43275" w14:textId="77777777" w:rsidR="002252D0" w:rsidRPr="000D478A" w:rsidRDefault="002252D0" w:rsidP="002252D0">
            <w:pPr>
              <w:jc w:val="center"/>
              <w:rPr>
                <w:rFonts w:ascii="Arial" w:eastAsia="Times New Roman" w:hAnsi="Arial" w:cs="Arial"/>
                <w:sz w:val="22"/>
                <w:szCs w:val="22"/>
                <w:lang w:val="mn-MN"/>
              </w:rPr>
            </w:pPr>
          </w:p>
        </w:tc>
        <w:tc>
          <w:tcPr>
            <w:tcW w:w="5095" w:type="dxa"/>
            <w:vMerge/>
            <w:tcBorders>
              <w:top w:val="single" w:sz="4" w:space="0" w:color="000000"/>
              <w:left w:val="single" w:sz="4" w:space="0" w:color="000000"/>
              <w:bottom w:val="single" w:sz="4" w:space="0" w:color="000000"/>
              <w:right w:val="single" w:sz="4" w:space="0" w:color="000000"/>
            </w:tcBorders>
            <w:vAlign w:val="center"/>
            <w:hideMark/>
          </w:tcPr>
          <w:p w14:paraId="1BD09FE7" w14:textId="77777777" w:rsidR="002252D0" w:rsidRPr="000D478A" w:rsidRDefault="002252D0" w:rsidP="002252D0">
            <w:pPr>
              <w:rPr>
                <w:rFonts w:ascii="Arial" w:eastAsia="Times New Roman" w:hAnsi="Arial" w:cs="Arial"/>
                <w:sz w:val="22"/>
                <w:szCs w:val="22"/>
                <w:lang w:val="mn-MN"/>
              </w:rPr>
            </w:pPr>
          </w:p>
        </w:tc>
        <w:tc>
          <w:tcPr>
            <w:tcW w:w="1216" w:type="dxa"/>
            <w:tcBorders>
              <w:top w:val="nil"/>
              <w:left w:val="nil"/>
              <w:bottom w:val="single" w:sz="4" w:space="0" w:color="000000"/>
              <w:right w:val="single" w:sz="4" w:space="0" w:color="000000"/>
            </w:tcBorders>
            <w:shd w:val="clear" w:color="000000" w:fill="FFFFFF"/>
            <w:vAlign w:val="center"/>
            <w:hideMark/>
          </w:tcPr>
          <w:p w14:paraId="2D931BE3" w14:textId="77777777" w:rsidR="002252D0" w:rsidRPr="000D478A" w:rsidRDefault="002252D0" w:rsidP="002252D0">
            <w:pPr>
              <w:rPr>
                <w:rFonts w:ascii="Arial" w:eastAsia="Times New Roman" w:hAnsi="Arial" w:cs="Arial"/>
                <w:sz w:val="22"/>
                <w:szCs w:val="22"/>
                <w:lang w:val="mn-MN"/>
              </w:rPr>
            </w:pPr>
            <w:r w:rsidRPr="000D478A">
              <w:rPr>
                <w:rFonts w:ascii="Arial" w:eastAsia="Times New Roman" w:hAnsi="Arial" w:cs="Arial"/>
                <w:sz w:val="22"/>
                <w:szCs w:val="22"/>
                <w:lang w:val="mn-MN"/>
              </w:rPr>
              <w:t>Энгийн</w:t>
            </w:r>
          </w:p>
        </w:tc>
        <w:tc>
          <w:tcPr>
            <w:tcW w:w="1234" w:type="dxa"/>
            <w:tcBorders>
              <w:top w:val="nil"/>
              <w:left w:val="nil"/>
              <w:bottom w:val="single" w:sz="4" w:space="0" w:color="000000"/>
              <w:right w:val="single" w:sz="4" w:space="0" w:color="000000"/>
            </w:tcBorders>
            <w:shd w:val="clear" w:color="000000" w:fill="FFFFFF"/>
            <w:vAlign w:val="center"/>
            <w:hideMark/>
          </w:tcPr>
          <w:p w14:paraId="7FA1AB6D" w14:textId="77777777" w:rsidR="002252D0" w:rsidRPr="000D478A" w:rsidRDefault="002252D0" w:rsidP="002252D0">
            <w:pPr>
              <w:rPr>
                <w:rFonts w:ascii="Arial" w:eastAsia="Times New Roman" w:hAnsi="Arial" w:cs="Arial"/>
                <w:sz w:val="22"/>
                <w:szCs w:val="22"/>
                <w:lang w:val="mn-MN"/>
              </w:rPr>
            </w:pPr>
            <w:r w:rsidRPr="000D478A">
              <w:rPr>
                <w:rFonts w:ascii="Arial" w:eastAsia="Times New Roman" w:hAnsi="Arial" w:cs="Arial"/>
                <w:sz w:val="22"/>
                <w:szCs w:val="22"/>
                <w:lang w:val="mn-MN"/>
              </w:rPr>
              <w:t>Дунд</w:t>
            </w:r>
          </w:p>
        </w:tc>
        <w:tc>
          <w:tcPr>
            <w:tcW w:w="1333" w:type="dxa"/>
            <w:tcBorders>
              <w:top w:val="nil"/>
              <w:left w:val="nil"/>
              <w:bottom w:val="single" w:sz="4" w:space="0" w:color="000000"/>
              <w:right w:val="single" w:sz="4" w:space="0" w:color="000000"/>
            </w:tcBorders>
            <w:shd w:val="clear" w:color="000000" w:fill="FFFFFF"/>
            <w:vAlign w:val="center"/>
            <w:hideMark/>
          </w:tcPr>
          <w:p w14:paraId="783A7E3D" w14:textId="77777777" w:rsidR="002252D0" w:rsidRPr="000D478A" w:rsidRDefault="002252D0" w:rsidP="002252D0">
            <w:pPr>
              <w:rPr>
                <w:rFonts w:ascii="Arial" w:eastAsia="Times New Roman" w:hAnsi="Arial" w:cs="Arial"/>
                <w:sz w:val="22"/>
                <w:szCs w:val="22"/>
                <w:lang w:val="mn-MN"/>
              </w:rPr>
            </w:pPr>
            <w:r w:rsidRPr="000D478A">
              <w:rPr>
                <w:rFonts w:ascii="Arial" w:eastAsia="Times New Roman" w:hAnsi="Arial" w:cs="Arial"/>
                <w:sz w:val="22"/>
                <w:szCs w:val="22"/>
                <w:lang w:val="mn-MN"/>
              </w:rPr>
              <w:t>Бүрэн</w:t>
            </w:r>
          </w:p>
        </w:tc>
      </w:tr>
      <w:tr w:rsidR="002252D0" w:rsidRPr="000D478A" w14:paraId="3819FBF7" w14:textId="77777777" w:rsidTr="00B84C18">
        <w:trPr>
          <w:trHeight w:val="300"/>
        </w:trPr>
        <w:tc>
          <w:tcPr>
            <w:tcW w:w="462" w:type="dxa"/>
            <w:tcBorders>
              <w:top w:val="nil"/>
              <w:left w:val="single" w:sz="4" w:space="0" w:color="000000"/>
              <w:bottom w:val="single" w:sz="4" w:space="0" w:color="000000"/>
              <w:right w:val="single" w:sz="4" w:space="0" w:color="000000"/>
            </w:tcBorders>
            <w:shd w:val="clear" w:color="000000" w:fill="FFFFFF"/>
            <w:vAlign w:val="center"/>
            <w:hideMark/>
          </w:tcPr>
          <w:p w14:paraId="50939900"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1</w:t>
            </w:r>
          </w:p>
        </w:tc>
        <w:tc>
          <w:tcPr>
            <w:tcW w:w="5095" w:type="dxa"/>
            <w:tcBorders>
              <w:top w:val="nil"/>
              <w:left w:val="nil"/>
              <w:bottom w:val="single" w:sz="4" w:space="0" w:color="000000"/>
              <w:right w:val="single" w:sz="4" w:space="0" w:color="000000"/>
            </w:tcBorders>
            <w:shd w:val="clear" w:color="000000" w:fill="FFFFFF"/>
            <w:vAlign w:val="center"/>
            <w:hideMark/>
          </w:tcPr>
          <w:p w14:paraId="49616EFD" w14:textId="4B214155" w:rsidR="002252D0" w:rsidRPr="000D478A" w:rsidRDefault="002F317D" w:rsidP="002252D0">
            <w:pPr>
              <w:rPr>
                <w:rFonts w:ascii="Arial" w:eastAsia="Times New Roman" w:hAnsi="Arial" w:cs="Arial"/>
                <w:sz w:val="22"/>
                <w:szCs w:val="22"/>
                <w:lang w:val="mn-MN"/>
              </w:rPr>
            </w:pPr>
            <w:r w:rsidRPr="000D478A">
              <w:rPr>
                <w:rFonts w:ascii="Arial" w:eastAsia="Times New Roman" w:hAnsi="Arial" w:cs="Arial"/>
                <w:sz w:val="22"/>
                <w:szCs w:val="22"/>
                <w:lang w:val="mn-MN"/>
              </w:rPr>
              <w:t>Үнэт цаасны компанийн</w:t>
            </w:r>
            <w:r w:rsidR="00B84C18" w:rsidRPr="000D478A">
              <w:rPr>
                <w:rFonts w:ascii="Arial" w:eastAsia="Times New Roman" w:hAnsi="Arial" w:cs="Arial"/>
                <w:sz w:val="22"/>
                <w:szCs w:val="22"/>
                <w:lang w:val="mn-MN"/>
              </w:rPr>
              <w:t xml:space="preserve"> гэрээтэй</w:t>
            </w:r>
            <w:r w:rsidR="002252D0" w:rsidRPr="000D478A">
              <w:rPr>
                <w:rFonts w:ascii="Arial" w:eastAsia="Times New Roman" w:hAnsi="Arial" w:cs="Arial"/>
                <w:sz w:val="22"/>
                <w:szCs w:val="22"/>
                <w:lang w:val="mn-MN"/>
              </w:rPr>
              <w:t xml:space="preserve"> танилцах</w:t>
            </w:r>
          </w:p>
        </w:tc>
        <w:tc>
          <w:tcPr>
            <w:tcW w:w="1216" w:type="dxa"/>
            <w:tcBorders>
              <w:top w:val="nil"/>
              <w:left w:val="nil"/>
              <w:bottom w:val="single" w:sz="4" w:space="0" w:color="000000"/>
              <w:right w:val="single" w:sz="4" w:space="0" w:color="000000"/>
            </w:tcBorders>
            <w:shd w:val="clear" w:color="000000" w:fill="FFFFFF"/>
            <w:vAlign w:val="center"/>
            <w:hideMark/>
          </w:tcPr>
          <w:p w14:paraId="39EBBF85"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10.0</w:t>
            </w:r>
          </w:p>
        </w:tc>
        <w:tc>
          <w:tcPr>
            <w:tcW w:w="1234" w:type="dxa"/>
            <w:tcBorders>
              <w:top w:val="nil"/>
              <w:left w:val="nil"/>
              <w:bottom w:val="single" w:sz="4" w:space="0" w:color="000000"/>
              <w:right w:val="single" w:sz="4" w:space="0" w:color="000000"/>
            </w:tcBorders>
            <w:shd w:val="clear" w:color="000000" w:fill="FFFFFF"/>
            <w:vAlign w:val="center"/>
            <w:hideMark/>
          </w:tcPr>
          <w:p w14:paraId="241F2277"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12.0</w:t>
            </w:r>
          </w:p>
        </w:tc>
        <w:tc>
          <w:tcPr>
            <w:tcW w:w="1333" w:type="dxa"/>
            <w:tcBorders>
              <w:top w:val="nil"/>
              <w:left w:val="nil"/>
              <w:bottom w:val="single" w:sz="4" w:space="0" w:color="000000"/>
              <w:right w:val="single" w:sz="4" w:space="0" w:color="000000"/>
            </w:tcBorders>
            <w:shd w:val="clear" w:color="000000" w:fill="FFFFFF"/>
            <w:vAlign w:val="center"/>
            <w:hideMark/>
          </w:tcPr>
          <w:p w14:paraId="5979FE34"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15.0</w:t>
            </w:r>
          </w:p>
        </w:tc>
      </w:tr>
      <w:tr w:rsidR="002252D0" w:rsidRPr="000D478A" w14:paraId="40DE8808" w14:textId="77777777" w:rsidTr="00B84C18">
        <w:trPr>
          <w:trHeight w:val="600"/>
        </w:trPr>
        <w:tc>
          <w:tcPr>
            <w:tcW w:w="462" w:type="dxa"/>
            <w:tcBorders>
              <w:top w:val="nil"/>
              <w:left w:val="single" w:sz="4" w:space="0" w:color="000000"/>
              <w:bottom w:val="single" w:sz="4" w:space="0" w:color="000000"/>
              <w:right w:val="single" w:sz="4" w:space="0" w:color="000000"/>
            </w:tcBorders>
            <w:shd w:val="clear" w:color="000000" w:fill="FFFFFF"/>
            <w:vAlign w:val="center"/>
            <w:hideMark/>
          </w:tcPr>
          <w:p w14:paraId="57E3FBDC"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2</w:t>
            </w:r>
          </w:p>
        </w:tc>
        <w:tc>
          <w:tcPr>
            <w:tcW w:w="5095" w:type="dxa"/>
            <w:tcBorders>
              <w:top w:val="nil"/>
              <w:left w:val="nil"/>
              <w:bottom w:val="single" w:sz="4" w:space="0" w:color="000000"/>
              <w:right w:val="single" w:sz="4" w:space="0" w:color="000000"/>
            </w:tcBorders>
            <w:shd w:val="clear" w:color="000000" w:fill="FFFFFF"/>
            <w:vAlign w:val="center"/>
            <w:hideMark/>
          </w:tcPr>
          <w:p w14:paraId="60420B8D" w14:textId="77777777" w:rsidR="002252D0" w:rsidRPr="000D478A" w:rsidRDefault="002252D0" w:rsidP="002252D0">
            <w:pPr>
              <w:rPr>
                <w:rFonts w:ascii="Arial" w:eastAsia="Times New Roman" w:hAnsi="Arial" w:cs="Arial"/>
                <w:sz w:val="22"/>
                <w:szCs w:val="22"/>
                <w:lang w:val="mn-MN"/>
              </w:rPr>
            </w:pPr>
            <w:r w:rsidRPr="000D478A">
              <w:rPr>
                <w:rFonts w:ascii="Arial" w:eastAsia="Times New Roman" w:hAnsi="Arial" w:cs="Arial"/>
                <w:sz w:val="22"/>
                <w:szCs w:val="22"/>
                <w:lang w:val="mn-MN"/>
              </w:rPr>
              <w:t>Мэргэжлийн зөвлөгөө авах                         (холбогдох газраас)</w:t>
            </w:r>
          </w:p>
        </w:tc>
        <w:tc>
          <w:tcPr>
            <w:tcW w:w="1216" w:type="dxa"/>
            <w:tcBorders>
              <w:top w:val="nil"/>
              <w:left w:val="nil"/>
              <w:bottom w:val="single" w:sz="4" w:space="0" w:color="000000"/>
              <w:right w:val="single" w:sz="4" w:space="0" w:color="000000"/>
            </w:tcBorders>
            <w:shd w:val="clear" w:color="000000" w:fill="FFFFFF"/>
            <w:vAlign w:val="center"/>
            <w:hideMark/>
          </w:tcPr>
          <w:p w14:paraId="60C1F7E3"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w:t>
            </w:r>
          </w:p>
        </w:tc>
        <w:tc>
          <w:tcPr>
            <w:tcW w:w="1234" w:type="dxa"/>
            <w:tcBorders>
              <w:top w:val="nil"/>
              <w:left w:val="nil"/>
              <w:bottom w:val="single" w:sz="4" w:space="0" w:color="000000"/>
              <w:right w:val="single" w:sz="4" w:space="0" w:color="000000"/>
            </w:tcBorders>
            <w:shd w:val="clear" w:color="000000" w:fill="FFFFFF"/>
            <w:vAlign w:val="center"/>
            <w:hideMark/>
          </w:tcPr>
          <w:p w14:paraId="0C4FAD3D"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w:t>
            </w:r>
          </w:p>
        </w:tc>
        <w:tc>
          <w:tcPr>
            <w:tcW w:w="1333" w:type="dxa"/>
            <w:tcBorders>
              <w:top w:val="nil"/>
              <w:left w:val="nil"/>
              <w:bottom w:val="single" w:sz="4" w:space="0" w:color="000000"/>
              <w:right w:val="single" w:sz="4" w:space="0" w:color="000000"/>
            </w:tcBorders>
            <w:shd w:val="clear" w:color="000000" w:fill="FFFFFF"/>
            <w:vAlign w:val="center"/>
            <w:hideMark/>
          </w:tcPr>
          <w:p w14:paraId="67B5B49B" w14:textId="77777777" w:rsidR="002252D0" w:rsidRPr="000D478A" w:rsidRDefault="002252D0" w:rsidP="002252D0">
            <w:pPr>
              <w:jc w:val="center"/>
              <w:rPr>
                <w:rFonts w:ascii="Arial" w:eastAsia="Times New Roman" w:hAnsi="Arial" w:cs="Arial"/>
                <w:sz w:val="22"/>
                <w:szCs w:val="22"/>
                <w:lang w:val="mn-MN"/>
              </w:rPr>
            </w:pPr>
            <w:r w:rsidRPr="000D478A">
              <w:rPr>
                <w:rFonts w:ascii="Arial" w:eastAsia="Times New Roman" w:hAnsi="Arial" w:cs="Arial"/>
                <w:sz w:val="22"/>
                <w:szCs w:val="22"/>
                <w:lang w:val="mn-MN"/>
              </w:rPr>
              <w:t>-</w:t>
            </w:r>
          </w:p>
        </w:tc>
      </w:tr>
      <w:tr w:rsidR="00B84C18" w:rsidRPr="000D478A" w14:paraId="641BA492" w14:textId="77777777" w:rsidTr="00B84C18">
        <w:trPr>
          <w:trHeight w:val="600"/>
        </w:trPr>
        <w:tc>
          <w:tcPr>
            <w:tcW w:w="462" w:type="dxa"/>
            <w:tcBorders>
              <w:top w:val="nil"/>
              <w:left w:val="single" w:sz="4" w:space="0" w:color="000000"/>
              <w:bottom w:val="single" w:sz="4" w:space="0" w:color="000000"/>
              <w:right w:val="single" w:sz="4" w:space="0" w:color="000000"/>
            </w:tcBorders>
            <w:shd w:val="clear" w:color="000000" w:fill="FFFFFF"/>
            <w:vAlign w:val="center"/>
            <w:hideMark/>
          </w:tcPr>
          <w:p w14:paraId="3415800F"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3</w:t>
            </w:r>
          </w:p>
        </w:tc>
        <w:tc>
          <w:tcPr>
            <w:tcW w:w="5095" w:type="dxa"/>
            <w:tcBorders>
              <w:top w:val="nil"/>
              <w:left w:val="nil"/>
              <w:bottom w:val="single" w:sz="4" w:space="0" w:color="000000"/>
              <w:right w:val="single" w:sz="4" w:space="0" w:color="000000"/>
            </w:tcBorders>
            <w:shd w:val="clear" w:color="000000" w:fill="FFFFFF"/>
            <w:vAlign w:val="center"/>
          </w:tcPr>
          <w:p w14:paraId="37DEA188" w14:textId="3A72B90F" w:rsidR="00B84C18" w:rsidRPr="000D478A" w:rsidRDefault="00B84C18" w:rsidP="00B84C18">
            <w:pPr>
              <w:rPr>
                <w:rFonts w:ascii="Arial" w:eastAsia="Times New Roman" w:hAnsi="Arial" w:cs="Arial"/>
                <w:sz w:val="22"/>
                <w:szCs w:val="22"/>
                <w:lang w:val="mn-MN"/>
              </w:rPr>
            </w:pPr>
            <w:r w:rsidRPr="000D478A">
              <w:rPr>
                <w:rFonts w:ascii="Arial" w:eastAsia="Times New Roman" w:hAnsi="Arial" w:cs="Arial"/>
                <w:sz w:val="22"/>
                <w:szCs w:val="22"/>
                <w:lang w:val="mn-MN"/>
              </w:rPr>
              <w:t>Маягт</w:t>
            </w:r>
            <w:r w:rsidR="002F317D" w:rsidRPr="000D478A">
              <w:rPr>
                <w:rFonts w:ascii="Arial" w:eastAsia="Times New Roman" w:hAnsi="Arial" w:cs="Arial"/>
                <w:sz w:val="22"/>
                <w:szCs w:val="22"/>
                <w:lang w:val="mn-MN"/>
              </w:rPr>
              <w:t xml:space="preserve">, өргөдөл, гэрээ </w:t>
            </w:r>
            <w:r w:rsidRPr="000D478A">
              <w:rPr>
                <w:rFonts w:ascii="Arial" w:eastAsia="Times New Roman" w:hAnsi="Arial" w:cs="Arial"/>
                <w:sz w:val="22"/>
                <w:szCs w:val="22"/>
                <w:lang w:val="mn-MN"/>
              </w:rPr>
              <w:t>бөглөх</w:t>
            </w:r>
          </w:p>
        </w:tc>
        <w:tc>
          <w:tcPr>
            <w:tcW w:w="1216" w:type="dxa"/>
            <w:tcBorders>
              <w:top w:val="nil"/>
              <w:left w:val="nil"/>
              <w:bottom w:val="single" w:sz="4" w:space="0" w:color="000000"/>
              <w:right w:val="single" w:sz="4" w:space="0" w:color="000000"/>
            </w:tcBorders>
            <w:shd w:val="clear" w:color="000000" w:fill="FFFFFF"/>
            <w:vAlign w:val="center"/>
          </w:tcPr>
          <w:p w14:paraId="72E7AF53" w14:textId="39D62AFE" w:rsidR="00B84C18" w:rsidRPr="000D478A" w:rsidRDefault="002F317D"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w:t>
            </w:r>
            <w:r w:rsidR="00B84C18" w:rsidRPr="000D478A">
              <w:rPr>
                <w:rFonts w:ascii="Arial" w:eastAsia="Times New Roman" w:hAnsi="Arial" w:cs="Arial"/>
                <w:sz w:val="22"/>
                <w:szCs w:val="22"/>
                <w:lang w:val="mn-MN"/>
              </w:rPr>
              <w:t>0.0</w:t>
            </w:r>
          </w:p>
        </w:tc>
        <w:tc>
          <w:tcPr>
            <w:tcW w:w="1234" w:type="dxa"/>
            <w:tcBorders>
              <w:top w:val="nil"/>
              <w:left w:val="nil"/>
              <w:bottom w:val="single" w:sz="4" w:space="0" w:color="000000"/>
              <w:right w:val="single" w:sz="4" w:space="0" w:color="000000"/>
            </w:tcBorders>
            <w:shd w:val="clear" w:color="000000" w:fill="FFFFFF"/>
            <w:vAlign w:val="center"/>
          </w:tcPr>
          <w:p w14:paraId="3D3E09F3" w14:textId="516D428C" w:rsidR="00B84C18" w:rsidRPr="000D478A" w:rsidRDefault="002F317D"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15</w:t>
            </w:r>
            <w:r w:rsidR="00B84C18" w:rsidRPr="000D478A">
              <w:rPr>
                <w:rFonts w:ascii="Arial" w:eastAsia="Times New Roman" w:hAnsi="Arial" w:cs="Arial"/>
                <w:sz w:val="22"/>
                <w:szCs w:val="22"/>
                <w:lang w:val="mn-MN"/>
              </w:rPr>
              <w:t>.0</w:t>
            </w:r>
          </w:p>
        </w:tc>
        <w:tc>
          <w:tcPr>
            <w:tcW w:w="1333" w:type="dxa"/>
            <w:tcBorders>
              <w:top w:val="nil"/>
              <w:left w:val="nil"/>
              <w:bottom w:val="single" w:sz="4" w:space="0" w:color="000000"/>
              <w:right w:val="single" w:sz="4" w:space="0" w:color="000000"/>
            </w:tcBorders>
            <w:shd w:val="clear" w:color="000000" w:fill="FFFFFF"/>
            <w:vAlign w:val="center"/>
          </w:tcPr>
          <w:p w14:paraId="1010806E" w14:textId="4E3B5EBD" w:rsidR="00B84C18" w:rsidRPr="000D478A" w:rsidRDefault="002F317D"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20</w:t>
            </w:r>
            <w:r w:rsidR="00B84C18" w:rsidRPr="000D478A">
              <w:rPr>
                <w:rFonts w:ascii="Arial" w:eastAsia="Times New Roman" w:hAnsi="Arial" w:cs="Arial"/>
                <w:sz w:val="22"/>
                <w:szCs w:val="22"/>
                <w:lang w:val="mn-MN"/>
              </w:rPr>
              <w:t>.0</w:t>
            </w:r>
          </w:p>
        </w:tc>
      </w:tr>
      <w:tr w:rsidR="00B84C18" w:rsidRPr="000D478A" w14:paraId="0DC7BDAE" w14:textId="77777777" w:rsidTr="00B84C18">
        <w:trPr>
          <w:trHeight w:val="600"/>
        </w:trPr>
        <w:tc>
          <w:tcPr>
            <w:tcW w:w="462" w:type="dxa"/>
            <w:tcBorders>
              <w:top w:val="nil"/>
              <w:left w:val="single" w:sz="4" w:space="0" w:color="000000"/>
              <w:bottom w:val="single" w:sz="4" w:space="0" w:color="000000"/>
              <w:right w:val="single" w:sz="4" w:space="0" w:color="000000"/>
            </w:tcBorders>
            <w:shd w:val="clear" w:color="000000" w:fill="FFFFFF"/>
            <w:vAlign w:val="center"/>
            <w:hideMark/>
          </w:tcPr>
          <w:p w14:paraId="1385601D"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4</w:t>
            </w:r>
          </w:p>
        </w:tc>
        <w:tc>
          <w:tcPr>
            <w:tcW w:w="5095" w:type="dxa"/>
            <w:tcBorders>
              <w:top w:val="nil"/>
              <w:left w:val="nil"/>
              <w:bottom w:val="single" w:sz="4" w:space="0" w:color="000000"/>
              <w:right w:val="single" w:sz="4" w:space="0" w:color="000000"/>
            </w:tcBorders>
            <w:shd w:val="clear" w:color="000000" w:fill="FFFFFF"/>
            <w:vAlign w:val="center"/>
          </w:tcPr>
          <w:p w14:paraId="7EC501A9" w14:textId="77777777" w:rsidR="00B84C18" w:rsidRPr="000D478A" w:rsidRDefault="00B84C18" w:rsidP="00B84C18">
            <w:pPr>
              <w:rPr>
                <w:rFonts w:ascii="Arial" w:eastAsia="Times New Roman" w:hAnsi="Arial" w:cs="Arial"/>
                <w:sz w:val="22"/>
                <w:szCs w:val="22"/>
                <w:lang w:val="mn-MN"/>
              </w:rPr>
            </w:pPr>
            <w:r w:rsidRPr="000D478A">
              <w:rPr>
                <w:rFonts w:ascii="Arial" w:eastAsia="Times New Roman" w:hAnsi="Arial" w:cs="Arial"/>
                <w:sz w:val="22"/>
                <w:szCs w:val="22"/>
                <w:lang w:val="mn-MN"/>
              </w:rPr>
              <w:t>Мэдээллээ холбогдох газарт илгээх</w:t>
            </w:r>
          </w:p>
        </w:tc>
        <w:tc>
          <w:tcPr>
            <w:tcW w:w="1216" w:type="dxa"/>
            <w:tcBorders>
              <w:top w:val="nil"/>
              <w:left w:val="nil"/>
              <w:bottom w:val="single" w:sz="4" w:space="0" w:color="000000"/>
              <w:right w:val="single" w:sz="4" w:space="0" w:color="000000"/>
            </w:tcBorders>
            <w:shd w:val="clear" w:color="000000" w:fill="FFFFFF"/>
            <w:vAlign w:val="center"/>
          </w:tcPr>
          <w:p w14:paraId="66DDBB62"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1.0</w:t>
            </w:r>
          </w:p>
        </w:tc>
        <w:tc>
          <w:tcPr>
            <w:tcW w:w="1234" w:type="dxa"/>
            <w:tcBorders>
              <w:top w:val="nil"/>
              <w:left w:val="nil"/>
              <w:bottom w:val="single" w:sz="4" w:space="0" w:color="000000"/>
              <w:right w:val="single" w:sz="4" w:space="0" w:color="000000"/>
            </w:tcBorders>
            <w:shd w:val="clear" w:color="000000" w:fill="FFFFFF"/>
            <w:vAlign w:val="center"/>
          </w:tcPr>
          <w:p w14:paraId="636A9CB4"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1.2</w:t>
            </w:r>
          </w:p>
        </w:tc>
        <w:tc>
          <w:tcPr>
            <w:tcW w:w="1333" w:type="dxa"/>
            <w:tcBorders>
              <w:top w:val="nil"/>
              <w:left w:val="nil"/>
              <w:bottom w:val="single" w:sz="4" w:space="0" w:color="000000"/>
              <w:right w:val="single" w:sz="4" w:space="0" w:color="000000"/>
            </w:tcBorders>
            <w:shd w:val="clear" w:color="000000" w:fill="FFFFFF"/>
            <w:vAlign w:val="center"/>
          </w:tcPr>
          <w:p w14:paraId="0C0A9A22"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1.5</w:t>
            </w:r>
          </w:p>
        </w:tc>
      </w:tr>
      <w:tr w:rsidR="00B84C18" w:rsidRPr="000D478A" w14:paraId="678B51A3" w14:textId="77777777" w:rsidTr="00B84C18">
        <w:trPr>
          <w:trHeight w:val="300"/>
        </w:trPr>
        <w:tc>
          <w:tcPr>
            <w:tcW w:w="462" w:type="dxa"/>
            <w:tcBorders>
              <w:top w:val="nil"/>
              <w:left w:val="single" w:sz="4" w:space="0" w:color="000000"/>
              <w:bottom w:val="single" w:sz="4" w:space="0" w:color="000000"/>
              <w:right w:val="single" w:sz="4" w:space="0" w:color="000000"/>
            </w:tcBorders>
            <w:shd w:val="clear" w:color="000000" w:fill="FFFFFF"/>
            <w:vAlign w:val="center"/>
            <w:hideMark/>
          </w:tcPr>
          <w:p w14:paraId="42C47FF2"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5</w:t>
            </w:r>
          </w:p>
        </w:tc>
        <w:tc>
          <w:tcPr>
            <w:tcW w:w="5095" w:type="dxa"/>
            <w:tcBorders>
              <w:top w:val="nil"/>
              <w:left w:val="nil"/>
              <w:bottom w:val="single" w:sz="4" w:space="0" w:color="000000"/>
              <w:right w:val="single" w:sz="4" w:space="0" w:color="000000"/>
            </w:tcBorders>
            <w:shd w:val="clear" w:color="000000" w:fill="FFFFFF"/>
            <w:vAlign w:val="center"/>
          </w:tcPr>
          <w:p w14:paraId="076D488D" w14:textId="77777777" w:rsidR="00B84C18" w:rsidRPr="000D478A" w:rsidRDefault="00B84C18" w:rsidP="00B84C18">
            <w:pPr>
              <w:rPr>
                <w:rFonts w:ascii="Arial" w:eastAsia="Times New Roman" w:hAnsi="Arial" w:cs="Arial"/>
                <w:sz w:val="22"/>
                <w:szCs w:val="22"/>
                <w:lang w:val="mn-MN"/>
              </w:rPr>
            </w:pPr>
            <w:r w:rsidRPr="000D478A">
              <w:rPr>
                <w:rFonts w:ascii="Arial" w:eastAsia="Times New Roman" w:hAnsi="Arial" w:cs="Arial"/>
                <w:sz w:val="22"/>
                <w:szCs w:val="22"/>
                <w:lang w:val="mn-MN"/>
              </w:rPr>
              <w:t>Төлбөр хийх</w:t>
            </w:r>
          </w:p>
        </w:tc>
        <w:tc>
          <w:tcPr>
            <w:tcW w:w="1216" w:type="dxa"/>
            <w:tcBorders>
              <w:top w:val="nil"/>
              <w:left w:val="nil"/>
              <w:bottom w:val="single" w:sz="4" w:space="0" w:color="000000"/>
              <w:right w:val="single" w:sz="4" w:space="0" w:color="000000"/>
            </w:tcBorders>
            <w:shd w:val="clear" w:color="000000" w:fill="FFFFFF"/>
            <w:vAlign w:val="center"/>
          </w:tcPr>
          <w:p w14:paraId="0684F057"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1.0</w:t>
            </w:r>
          </w:p>
        </w:tc>
        <w:tc>
          <w:tcPr>
            <w:tcW w:w="1234" w:type="dxa"/>
            <w:tcBorders>
              <w:top w:val="nil"/>
              <w:left w:val="nil"/>
              <w:bottom w:val="single" w:sz="4" w:space="0" w:color="000000"/>
              <w:right w:val="single" w:sz="4" w:space="0" w:color="000000"/>
            </w:tcBorders>
            <w:shd w:val="clear" w:color="000000" w:fill="FFFFFF"/>
            <w:vAlign w:val="center"/>
          </w:tcPr>
          <w:p w14:paraId="3504E60A"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1.2</w:t>
            </w:r>
          </w:p>
        </w:tc>
        <w:tc>
          <w:tcPr>
            <w:tcW w:w="1333" w:type="dxa"/>
            <w:tcBorders>
              <w:top w:val="nil"/>
              <w:left w:val="nil"/>
              <w:bottom w:val="single" w:sz="4" w:space="0" w:color="000000"/>
              <w:right w:val="single" w:sz="4" w:space="0" w:color="000000"/>
            </w:tcBorders>
            <w:shd w:val="clear" w:color="000000" w:fill="FFFFFF"/>
            <w:vAlign w:val="center"/>
          </w:tcPr>
          <w:p w14:paraId="17F9DC76" w14:textId="77777777" w:rsidR="00B84C18" w:rsidRPr="000D478A" w:rsidRDefault="00B84C18"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1.5</w:t>
            </w:r>
          </w:p>
        </w:tc>
      </w:tr>
      <w:tr w:rsidR="00B84C18" w:rsidRPr="000D478A" w14:paraId="73611581" w14:textId="77777777" w:rsidTr="00B84C18">
        <w:trPr>
          <w:trHeight w:val="300"/>
        </w:trPr>
        <w:tc>
          <w:tcPr>
            <w:tcW w:w="462" w:type="dxa"/>
            <w:tcBorders>
              <w:top w:val="nil"/>
              <w:left w:val="single" w:sz="4" w:space="0" w:color="000000"/>
              <w:bottom w:val="single" w:sz="4" w:space="0" w:color="000000"/>
              <w:right w:val="single" w:sz="4" w:space="0" w:color="000000"/>
            </w:tcBorders>
            <w:shd w:val="clear" w:color="000000" w:fill="FFFFFF"/>
            <w:vAlign w:val="center"/>
            <w:hideMark/>
          </w:tcPr>
          <w:p w14:paraId="66C7D1F3" w14:textId="77777777" w:rsidR="00B84C18" w:rsidRPr="000D478A" w:rsidRDefault="00B84C18" w:rsidP="00B84C18">
            <w:pPr>
              <w:jc w:val="center"/>
              <w:rPr>
                <w:rFonts w:ascii="Arial" w:eastAsia="Times New Roman" w:hAnsi="Arial" w:cs="Arial"/>
                <w:sz w:val="22"/>
                <w:szCs w:val="22"/>
                <w:lang w:val="mn-MN"/>
              </w:rPr>
            </w:pPr>
          </w:p>
        </w:tc>
        <w:tc>
          <w:tcPr>
            <w:tcW w:w="5095" w:type="dxa"/>
            <w:tcBorders>
              <w:top w:val="nil"/>
              <w:left w:val="nil"/>
              <w:bottom w:val="single" w:sz="4" w:space="0" w:color="000000"/>
              <w:right w:val="single" w:sz="4" w:space="0" w:color="000000"/>
            </w:tcBorders>
            <w:shd w:val="clear" w:color="000000" w:fill="FFFFFF"/>
            <w:vAlign w:val="center"/>
            <w:hideMark/>
          </w:tcPr>
          <w:p w14:paraId="1ACE3B29" w14:textId="77777777" w:rsidR="00B84C18" w:rsidRPr="000D478A" w:rsidRDefault="00B84C18" w:rsidP="00B84C18">
            <w:pPr>
              <w:rPr>
                <w:rFonts w:ascii="Arial" w:eastAsia="Times New Roman" w:hAnsi="Arial" w:cs="Arial"/>
                <w:sz w:val="22"/>
                <w:szCs w:val="22"/>
                <w:lang w:val="mn-MN"/>
              </w:rPr>
            </w:pPr>
            <w:r w:rsidRPr="000D478A">
              <w:rPr>
                <w:rFonts w:ascii="Arial" w:eastAsia="Times New Roman" w:hAnsi="Arial" w:cs="Arial"/>
                <w:sz w:val="22"/>
                <w:szCs w:val="22"/>
                <w:lang w:val="mn-MN"/>
              </w:rPr>
              <w:t>Нийт</w:t>
            </w:r>
          </w:p>
        </w:tc>
        <w:tc>
          <w:tcPr>
            <w:tcW w:w="1216" w:type="dxa"/>
            <w:tcBorders>
              <w:top w:val="nil"/>
              <w:left w:val="nil"/>
              <w:bottom w:val="single" w:sz="4" w:space="0" w:color="000000"/>
              <w:right w:val="single" w:sz="4" w:space="0" w:color="000000"/>
            </w:tcBorders>
            <w:shd w:val="clear" w:color="000000" w:fill="FFFFFF"/>
            <w:vAlign w:val="center"/>
            <w:hideMark/>
          </w:tcPr>
          <w:p w14:paraId="74C04C3D" w14:textId="2D52F52A" w:rsidR="00B84C18" w:rsidRPr="000D478A" w:rsidRDefault="002F317D"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2</w:t>
            </w:r>
            <w:r w:rsidR="00B84C18" w:rsidRPr="000D478A">
              <w:rPr>
                <w:rFonts w:ascii="Arial" w:eastAsia="Times New Roman" w:hAnsi="Arial" w:cs="Arial"/>
                <w:sz w:val="22"/>
                <w:szCs w:val="22"/>
                <w:lang w:val="mn-MN"/>
              </w:rPr>
              <w:t>2.0</w:t>
            </w:r>
          </w:p>
        </w:tc>
        <w:tc>
          <w:tcPr>
            <w:tcW w:w="1234" w:type="dxa"/>
            <w:tcBorders>
              <w:top w:val="nil"/>
              <w:left w:val="nil"/>
              <w:bottom w:val="single" w:sz="4" w:space="0" w:color="000000"/>
              <w:right w:val="single" w:sz="4" w:space="0" w:color="000000"/>
            </w:tcBorders>
            <w:shd w:val="clear" w:color="000000" w:fill="FFFFFF"/>
            <w:vAlign w:val="center"/>
            <w:hideMark/>
          </w:tcPr>
          <w:p w14:paraId="1039B0C8" w14:textId="730FE18C" w:rsidR="00B84C18" w:rsidRPr="000D478A" w:rsidRDefault="00BA789D"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29</w:t>
            </w:r>
            <w:r w:rsidR="00B84C18" w:rsidRPr="000D478A">
              <w:rPr>
                <w:rFonts w:ascii="Arial" w:eastAsia="Times New Roman" w:hAnsi="Arial" w:cs="Arial"/>
                <w:sz w:val="22"/>
                <w:szCs w:val="22"/>
                <w:lang w:val="mn-MN"/>
              </w:rPr>
              <w:t>.</w:t>
            </w:r>
            <w:r w:rsidRPr="000D478A">
              <w:rPr>
                <w:rFonts w:ascii="Arial" w:eastAsia="Times New Roman" w:hAnsi="Arial" w:cs="Arial"/>
                <w:sz w:val="22"/>
                <w:szCs w:val="22"/>
                <w:lang w:val="mn-MN"/>
              </w:rPr>
              <w:t>4</w:t>
            </w:r>
          </w:p>
        </w:tc>
        <w:tc>
          <w:tcPr>
            <w:tcW w:w="1333" w:type="dxa"/>
            <w:tcBorders>
              <w:top w:val="nil"/>
              <w:left w:val="nil"/>
              <w:bottom w:val="single" w:sz="4" w:space="0" w:color="000000"/>
              <w:right w:val="single" w:sz="4" w:space="0" w:color="000000"/>
            </w:tcBorders>
            <w:shd w:val="clear" w:color="000000" w:fill="FFFFFF"/>
            <w:vAlign w:val="center"/>
            <w:hideMark/>
          </w:tcPr>
          <w:p w14:paraId="103F9C6F" w14:textId="6370F111" w:rsidR="00B84C18" w:rsidRPr="000D478A" w:rsidRDefault="00F6763A" w:rsidP="00B84C18">
            <w:pPr>
              <w:jc w:val="center"/>
              <w:rPr>
                <w:rFonts w:ascii="Arial" w:eastAsia="Times New Roman" w:hAnsi="Arial" w:cs="Arial"/>
                <w:sz w:val="22"/>
                <w:szCs w:val="22"/>
                <w:lang w:val="mn-MN"/>
              </w:rPr>
            </w:pPr>
            <w:r w:rsidRPr="000D478A">
              <w:rPr>
                <w:rFonts w:ascii="Arial" w:eastAsia="Times New Roman" w:hAnsi="Arial" w:cs="Arial"/>
                <w:sz w:val="22"/>
                <w:szCs w:val="22"/>
                <w:lang w:val="mn-MN"/>
              </w:rPr>
              <w:t>38</w:t>
            </w:r>
          </w:p>
        </w:tc>
      </w:tr>
    </w:tbl>
    <w:p w14:paraId="6E82E521" w14:textId="77777777" w:rsidR="002252D0" w:rsidRPr="000D478A" w:rsidRDefault="002252D0" w:rsidP="002252D0">
      <w:pPr>
        <w:pStyle w:val="NormalWeb"/>
        <w:spacing w:before="0" w:beforeAutospacing="0" w:after="0" w:afterAutospacing="0"/>
        <w:ind w:firstLine="720"/>
        <w:jc w:val="both"/>
        <w:rPr>
          <w:rFonts w:ascii="Arial" w:hAnsi="Arial" w:cs="Arial"/>
          <w:b/>
          <w:lang w:val="mn-MN"/>
        </w:rPr>
      </w:pPr>
    </w:p>
    <w:p w14:paraId="2E9D1927" w14:textId="77777777" w:rsidR="00081F35" w:rsidRPr="000D478A" w:rsidRDefault="00081F35" w:rsidP="004F1848">
      <w:pPr>
        <w:pStyle w:val="NormalWeb"/>
        <w:spacing w:before="0" w:beforeAutospacing="0" w:after="0" w:afterAutospacing="0"/>
        <w:ind w:firstLine="720"/>
        <w:jc w:val="both"/>
        <w:rPr>
          <w:rFonts w:ascii="Arial" w:hAnsi="Arial" w:cs="Arial"/>
          <w:lang w:val="mn-MN"/>
        </w:rPr>
      </w:pPr>
    </w:p>
    <w:p w14:paraId="5BDAB1E0" w14:textId="77777777" w:rsidR="00D207F8" w:rsidRPr="000D478A" w:rsidRDefault="00076DE9" w:rsidP="00585D08">
      <w:pPr>
        <w:pStyle w:val="NormalWeb"/>
        <w:spacing w:before="0" w:beforeAutospacing="0" w:after="120" w:afterAutospacing="0"/>
        <w:ind w:left="720"/>
        <w:jc w:val="both"/>
        <w:rPr>
          <w:rFonts w:ascii="Arial" w:hAnsi="Arial" w:cs="Arial"/>
          <w:b/>
          <w:lang w:val="mn-MN"/>
        </w:rPr>
      </w:pPr>
      <w:r w:rsidRPr="000D478A">
        <w:rPr>
          <w:rFonts w:ascii="Arial" w:hAnsi="Arial" w:cs="Arial"/>
          <w:b/>
          <w:lang w:val="mn-MN"/>
        </w:rPr>
        <w:t>2</w:t>
      </w:r>
      <w:r w:rsidR="00D207F8" w:rsidRPr="000D478A">
        <w:rPr>
          <w:rFonts w:ascii="Arial" w:hAnsi="Arial" w:cs="Arial"/>
          <w:b/>
          <w:lang w:val="mn-MN"/>
        </w:rPr>
        <w:t>.3.тоон үзүүлэлтийг тооцох;</w:t>
      </w:r>
    </w:p>
    <w:p w14:paraId="6FE6CDDE" w14:textId="77777777" w:rsidR="009E3F27" w:rsidRPr="000D478A" w:rsidRDefault="009E3F27" w:rsidP="00585D08">
      <w:pPr>
        <w:pStyle w:val="NormalWeb"/>
        <w:spacing w:before="0" w:beforeAutospacing="0" w:after="120" w:afterAutospacing="0"/>
        <w:ind w:left="720"/>
        <w:jc w:val="both"/>
        <w:rPr>
          <w:rFonts w:ascii="Arial" w:hAnsi="Arial" w:cs="Arial"/>
          <w:lang w:val="mn-MN"/>
        </w:rPr>
      </w:pPr>
      <w:r w:rsidRPr="000D478A">
        <w:rPr>
          <w:rFonts w:ascii="Arial" w:hAnsi="Arial" w:cs="Arial"/>
          <w:lang w:val="mn-MN"/>
        </w:rPr>
        <w:t>Тоон үзүүлэлт=Тохиолдлын тоо × Давтамжийн тоо</w:t>
      </w:r>
    </w:p>
    <w:p w14:paraId="0474A248" w14:textId="7DD486F3" w:rsidR="009E3F27" w:rsidRPr="000D478A" w:rsidRDefault="00134D1A" w:rsidP="00585D08">
      <w:pPr>
        <w:pStyle w:val="NormalWeb"/>
        <w:spacing w:before="0" w:beforeAutospacing="0" w:after="120" w:afterAutospacing="0"/>
        <w:ind w:left="720"/>
        <w:jc w:val="both"/>
        <w:rPr>
          <w:rFonts w:ascii="Arial" w:hAnsi="Arial" w:cs="Arial"/>
          <w:lang w:val="mn-MN"/>
        </w:rPr>
      </w:pPr>
      <w:r w:rsidRPr="000D478A">
        <w:rPr>
          <w:rFonts w:ascii="Arial" w:hAnsi="Arial" w:cs="Arial"/>
          <w:lang w:val="mn-MN"/>
        </w:rPr>
        <w:t>1</w:t>
      </w:r>
      <w:r w:rsidR="007D518C" w:rsidRPr="000D478A">
        <w:rPr>
          <w:rFonts w:ascii="Arial" w:hAnsi="Arial" w:cs="Arial"/>
          <w:lang w:val="mn-MN"/>
        </w:rPr>
        <w:t xml:space="preserve"> </w:t>
      </w:r>
      <w:r w:rsidR="009E3F27" w:rsidRPr="000D478A">
        <w:rPr>
          <w:rFonts w:ascii="Arial" w:hAnsi="Arial" w:cs="Arial"/>
          <w:lang w:val="mn-MN"/>
        </w:rPr>
        <w:t>=</w:t>
      </w:r>
      <w:r w:rsidR="007D518C" w:rsidRPr="000D478A">
        <w:rPr>
          <w:rFonts w:ascii="Arial" w:hAnsi="Arial" w:cs="Arial"/>
          <w:lang w:val="mn-MN"/>
        </w:rPr>
        <w:t xml:space="preserve"> </w:t>
      </w:r>
      <w:r w:rsidR="00B07C4B" w:rsidRPr="000D478A">
        <w:rPr>
          <w:rFonts w:ascii="Arial" w:hAnsi="Arial" w:cs="Arial"/>
          <w:lang w:val="mn-MN"/>
        </w:rPr>
        <w:t>1</w:t>
      </w:r>
      <w:r w:rsidR="007D518C" w:rsidRPr="000D478A">
        <w:rPr>
          <w:rFonts w:ascii="Arial" w:hAnsi="Arial" w:cs="Arial"/>
          <w:lang w:val="mn-MN"/>
        </w:rPr>
        <w:t xml:space="preserve"> (</w:t>
      </w:r>
      <w:r w:rsidR="00B07C4B" w:rsidRPr="000D478A">
        <w:rPr>
          <w:rFonts w:ascii="Arial" w:hAnsi="Arial" w:cs="Arial"/>
          <w:lang w:val="mn-MN"/>
        </w:rPr>
        <w:t>гэрээ хийх</w:t>
      </w:r>
      <w:r w:rsidR="007D518C" w:rsidRPr="000D478A">
        <w:rPr>
          <w:rFonts w:ascii="Arial" w:hAnsi="Arial" w:cs="Arial"/>
          <w:lang w:val="mn-MN"/>
        </w:rPr>
        <w:t xml:space="preserve"> тоо)</w:t>
      </w:r>
      <w:r w:rsidR="009E3F27" w:rsidRPr="000D478A">
        <w:rPr>
          <w:rFonts w:ascii="Arial" w:hAnsi="Arial" w:cs="Arial"/>
          <w:lang w:val="mn-MN"/>
        </w:rPr>
        <w:t xml:space="preserve"> × 1</w:t>
      </w:r>
      <w:r w:rsidR="007D518C" w:rsidRPr="000D478A">
        <w:rPr>
          <w:rFonts w:ascii="Arial" w:hAnsi="Arial" w:cs="Arial"/>
          <w:lang w:val="mn-MN"/>
        </w:rPr>
        <w:t xml:space="preserve"> (давтамж)</w:t>
      </w:r>
    </w:p>
    <w:p w14:paraId="0982558A" w14:textId="77777777" w:rsidR="00D207F8" w:rsidRPr="000D478A" w:rsidRDefault="00076DE9" w:rsidP="00585D08">
      <w:pPr>
        <w:pStyle w:val="NormalWeb"/>
        <w:spacing w:before="0" w:beforeAutospacing="0" w:after="120" w:afterAutospacing="0"/>
        <w:ind w:left="720"/>
        <w:jc w:val="both"/>
        <w:rPr>
          <w:rFonts w:ascii="Arial" w:hAnsi="Arial" w:cs="Arial"/>
          <w:b/>
          <w:lang w:val="mn-MN"/>
        </w:rPr>
      </w:pPr>
      <w:r w:rsidRPr="000D478A">
        <w:rPr>
          <w:rFonts w:ascii="Arial" w:hAnsi="Arial" w:cs="Arial"/>
          <w:b/>
          <w:lang w:val="mn-MN"/>
        </w:rPr>
        <w:t>2</w:t>
      </w:r>
      <w:r w:rsidR="00D207F8" w:rsidRPr="000D478A">
        <w:rPr>
          <w:rFonts w:ascii="Arial" w:hAnsi="Arial" w:cs="Arial"/>
          <w:b/>
          <w:lang w:val="mn-MN"/>
        </w:rPr>
        <w:t>.4.нийт дүнг тооцож гаргах;</w:t>
      </w:r>
    </w:p>
    <w:p w14:paraId="68183724" w14:textId="77777777" w:rsidR="009E3F27" w:rsidRPr="000D478A" w:rsidRDefault="009E3F27" w:rsidP="00585D08">
      <w:pPr>
        <w:pStyle w:val="NormalWeb"/>
        <w:spacing w:before="0" w:beforeAutospacing="0" w:after="120" w:afterAutospacing="0"/>
        <w:ind w:left="720"/>
        <w:jc w:val="both"/>
        <w:rPr>
          <w:rFonts w:ascii="Arial" w:hAnsi="Arial" w:cs="Arial"/>
          <w:lang w:val="mn-MN"/>
        </w:rPr>
      </w:pPr>
      <w:r w:rsidRPr="000D478A">
        <w:rPr>
          <w:rFonts w:ascii="Arial" w:hAnsi="Arial" w:cs="Arial"/>
          <w:lang w:val="mn-MN"/>
        </w:rPr>
        <w:t>Ачаалал=Цаг хугацаа × Тоон үзүүлэлт</w:t>
      </w:r>
    </w:p>
    <w:p w14:paraId="04086022" w14:textId="53C65898" w:rsidR="009E3F27" w:rsidRPr="000D478A" w:rsidRDefault="00DB044B" w:rsidP="00585D08">
      <w:pPr>
        <w:pStyle w:val="NormalWeb"/>
        <w:spacing w:before="0" w:beforeAutospacing="0" w:after="120" w:afterAutospacing="0"/>
        <w:ind w:left="720"/>
        <w:jc w:val="both"/>
        <w:rPr>
          <w:rFonts w:ascii="Arial" w:hAnsi="Arial" w:cs="Arial"/>
          <w:lang w:val="mn-MN"/>
        </w:rPr>
      </w:pPr>
      <w:r w:rsidRPr="000D478A">
        <w:rPr>
          <w:rFonts w:ascii="Arial" w:hAnsi="Arial" w:cs="Arial"/>
          <w:lang w:val="mn-MN"/>
        </w:rPr>
        <w:t>0,3</w:t>
      </w:r>
      <w:r w:rsidR="00BA12DD" w:rsidRPr="000D478A">
        <w:rPr>
          <w:rFonts w:ascii="Arial" w:hAnsi="Arial" w:cs="Arial"/>
          <w:lang w:val="mn-MN"/>
        </w:rPr>
        <w:t xml:space="preserve"> цаг</w:t>
      </w:r>
      <w:r w:rsidR="001F56A6" w:rsidRPr="000D478A">
        <w:rPr>
          <w:rFonts w:ascii="Arial" w:hAnsi="Arial" w:cs="Arial"/>
          <w:lang w:val="mn-MN"/>
        </w:rPr>
        <w:t xml:space="preserve"> = </w:t>
      </w:r>
      <w:r w:rsidRPr="000D478A">
        <w:rPr>
          <w:rFonts w:ascii="Arial" w:hAnsi="Arial" w:cs="Arial"/>
          <w:lang w:val="mn-MN"/>
        </w:rPr>
        <w:t>0,3</w:t>
      </w:r>
      <w:r w:rsidR="00BA12DD" w:rsidRPr="000D478A">
        <w:rPr>
          <w:rFonts w:ascii="Arial" w:hAnsi="Arial" w:cs="Arial"/>
          <w:lang w:val="mn-MN"/>
        </w:rPr>
        <w:t xml:space="preserve"> цаг</w:t>
      </w:r>
      <w:r w:rsidR="009E3F27" w:rsidRPr="000D478A">
        <w:rPr>
          <w:rFonts w:ascii="Arial" w:hAnsi="Arial" w:cs="Arial"/>
          <w:lang w:val="mn-MN"/>
        </w:rPr>
        <w:t xml:space="preserve"> ×</w:t>
      </w:r>
      <w:r w:rsidR="001F56A6" w:rsidRPr="000D478A">
        <w:rPr>
          <w:rFonts w:ascii="Arial" w:hAnsi="Arial" w:cs="Arial"/>
          <w:lang w:val="mn-MN"/>
        </w:rPr>
        <w:t xml:space="preserve"> </w:t>
      </w:r>
      <w:r w:rsidR="00D46618" w:rsidRPr="000D478A">
        <w:rPr>
          <w:rFonts w:ascii="Arial" w:hAnsi="Arial" w:cs="Arial"/>
          <w:lang w:val="mn-MN"/>
        </w:rPr>
        <w:t>1 гэрээ</w:t>
      </w:r>
    </w:p>
    <w:p w14:paraId="505CBC16" w14:textId="21EB55B6" w:rsidR="00F91708" w:rsidRPr="000D478A" w:rsidRDefault="00F91708" w:rsidP="00585D08">
      <w:pPr>
        <w:pStyle w:val="NormalWeb"/>
        <w:spacing w:before="0" w:beforeAutospacing="0" w:after="120" w:afterAutospacing="0"/>
        <w:ind w:left="720"/>
        <w:jc w:val="both"/>
        <w:rPr>
          <w:rFonts w:ascii="Arial" w:hAnsi="Arial" w:cs="Arial"/>
          <w:b/>
          <w:lang w:val="mn-MN"/>
        </w:rPr>
      </w:pPr>
      <w:r w:rsidRPr="000D478A">
        <w:rPr>
          <w:rFonts w:ascii="Arial" w:hAnsi="Arial" w:cs="Arial"/>
          <w:lang w:val="mn-MN"/>
        </w:rPr>
        <w:t>Нийт зардал=</w:t>
      </w:r>
      <w:r w:rsidR="00560B87" w:rsidRPr="000D478A">
        <w:rPr>
          <w:rFonts w:ascii="Arial" w:hAnsi="Arial" w:cs="Arial"/>
          <w:lang w:val="mn-MN"/>
        </w:rPr>
        <w:t xml:space="preserve"> ачаалал </w:t>
      </w:r>
      <w:r w:rsidRPr="000D478A">
        <w:rPr>
          <w:rFonts w:ascii="Arial" w:hAnsi="Arial" w:cs="Arial"/>
          <w:lang w:val="mn-MN"/>
        </w:rPr>
        <w:t xml:space="preserve">× </w:t>
      </w:r>
      <w:r w:rsidR="00560B87" w:rsidRPr="000D478A">
        <w:rPr>
          <w:rFonts w:ascii="Arial" w:hAnsi="Arial" w:cs="Arial"/>
          <w:lang w:val="mn-MN"/>
        </w:rPr>
        <w:t>зардал</w:t>
      </w:r>
      <w:r w:rsidR="00041739" w:rsidRPr="000D478A">
        <w:rPr>
          <w:rFonts w:ascii="Arial" w:hAnsi="Arial" w:cs="Arial"/>
          <w:lang w:val="mn-MN"/>
        </w:rPr>
        <w:t xml:space="preserve"> = </w:t>
      </w:r>
      <w:r w:rsidR="00DB044B" w:rsidRPr="000D478A">
        <w:rPr>
          <w:rFonts w:ascii="Arial" w:hAnsi="Arial" w:cs="Arial"/>
          <w:lang w:val="mn-MN"/>
        </w:rPr>
        <w:t>0,3</w:t>
      </w:r>
      <w:r w:rsidR="00041739" w:rsidRPr="000D478A">
        <w:rPr>
          <w:rFonts w:ascii="Arial" w:hAnsi="Arial" w:cs="Arial"/>
          <w:lang w:val="mn-MN"/>
        </w:rPr>
        <w:t xml:space="preserve"> * </w:t>
      </w:r>
      <w:r w:rsidR="00DB044B" w:rsidRPr="000D478A">
        <w:rPr>
          <w:rFonts w:ascii="Arial" w:hAnsi="Arial" w:cs="Arial"/>
          <w:lang w:val="mn-MN"/>
        </w:rPr>
        <w:t>5</w:t>
      </w:r>
      <w:r w:rsidR="00041739" w:rsidRPr="000D478A">
        <w:rPr>
          <w:rFonts w:ascii="Arial" w:hAnsi="Arial" w:cs="Arial"/>
          <w:lang w:val="mn-MN"/>
        </w:rPr>
        <w:t xml:space="preserve"> </w:t>
      </w:r>
      <w:r w:rsidR="00244272" w:rsidRPr="000D478A">
        <w:rPr>
          <w:rFonts w:ascii="Arial" w:hAnsi="Arial" w:cs="Arial"/>
          <w:lang w:val="mn-MN"/>
        </w:rPr>
        <w:t>952</w:t>
      </w:r>
      <w:r w:rsidR="00041739" w:rsidRPr="000D478A">
        <w:rPr>
          <w:rFonts w:ascii="Arial" w:hAnsi="Arial" w:cs="Arial"/>
          <w:lang w:val="mn-MN"/>
        </w:rPr>
        <w:t>.</w:t>
      </w:r>
      <w:r w:rsidR="00244272" w:rsidRPr="000D478A">
        <w:rPr>
          <w:rFonts w:ascii="Arial" w:hAnsi="Arial" w:cs="Arial"/>
          <w:lang w:val="mn-MN"/>
        </w:rPr>
        <w:t>4</w:t>
      </w:r>
      <w:r w:rsidR="00041739" w:rsidRPr="000D478A">
        <w:rPr>
          <w:rFonts w:ascii="Arial" w:hAnsi="Arial" w:cs="Arial"/>
          <w:lang w:val="mn-MN"/>
        </w:rPr>
        <w:t xml:space="preserve"> </w:t>
      </w:r>
      <w:r w:rsidR="00D33C84" w:rsidRPr="000D478A">
        <w:rPr>
          <w:rFonts w:ascii="Arial" w:hAnsi="Arial" w:cs="Arial"/>
          <w:lang w:val="mn-MN"/>
        </w:rPr>
        <w:t xml:space="preserve">(цагийн хөлсний өмнөх жишгийг баримтлав) </w:t>
      </w:r>
      <w:r w:rsidR="00041739" w:rsidRPr="000D478A">
        <w:rPr>
          <w:rFonts w:ascii="Arial" w:hAnsi="Arial" w:cs="Arial"/>
          <w:lang w:val="mn-MN"/>
        </w:rPr>
        <w:t xml:space="preserve">= </w:t>
      </w:r>
      <w:r w:rsidR="00244272" w:rsidRPr="000D478A">
        <w:rPr>
          <w:rFonts w:ascii="Arial" w:hAnsi="Arial" w:cs="Arial"/>
          <w:lang w:val="mn-MN"/>
        </w:rPr>
        <w:t>1 785</w:t>
      </w:r>
      <w:r w:rsidR="00041739" w:rsidRPr="000D478A">
        <w:rPr>
          <w:rFonts w:ascii="Arial" w:hAnsi="Arial" w:cs="Arial"/>
          <w:lang w:val="mn-MN"/>
        </w:rPr>
        <w:t>.</w:t>
      </w:r>
      <w:r w:rsidR="00244272" w:rsidRPr="000D478A">
        <w:rPr>
          <w:rFonts w:ascii="Arial" w:hAnsi="Arial" w:cs="Arial"/>
          <w:lang w:val="mn-MN"/>
        </w:rPr>
        <w:t>7</w:t>
      </w:r>
      <w:r w:rsidR="00041739" w:rsidRPr="000D478A">
        <w:rPr>
          <w:rFonts w:ascii="Arial" w:hAnsi="Arial" w:cs="Arial"/>
          <w:lang w:val="mn-MN"/>
        </w:rPr>
        <w:t xml:space="preserve"> төгрөг</w:t>
      </w:r>
      <w:r w:rsidR="00363562" w:rsidRPr="000D478A">
        <w:rPr>
          <w:rFonts w:ascii="Arial" w:hAnsi="Arial" w:cs="Arial"/>
          <w:lang w:val="mn-MN"/>
        </w:rPr>
        <w:t xml:space="preserve"> </w:t>
      </w:r>
    </w:p>
    <w:p w14:paraId="10A879A1" w14:textId="77777777" w:rsidR="00D207F8" w:rsidRPr="000D478A" w:rsidRDefault="00076DE9" w:rsidP="00585D08">
      <w:pPr>
        <w:pStyle w:val="NormalWeb"/>
        <w:spacing w:before="0" w:beforeAutospacing="0" w:after="120" w:afterAutospacing="0"/>
        <w:ind w:left="720"/>
        <w:jc w:val="both"/>
        <w:rPr>
          <w:rFonts w:ascii="Arial" w:hAnsi="Arial" w:cs="Arial"/>
          <w:b/>
          <w:lang w:val="mn-MN"/>
        </w:rPr>
      </w:pPr>
      <w:r w:rsidRPr="000D478A">
        <w:rPr>
          <w:rFonts w:ascii="Arial" w:hAnsi="Arial" w:cs="Arial"/>
          <w:b/>
          <w:lang w:val="mn-MN"/>
        </w:rPr>
        <w:t>2</w:t>
      </w:r>
      <w:r w:rsidR="003E1917" w:rsidRPr="000D478A">
        <w:rPr>
          <w:rFonts w:ascii="Arial" w:hAnsi="Arial" w:cs="Arial"/>
          <w:b/>
          <w:lang w:val="mn-MN"/>
        </w:rPr>
        <w:t>.5.хялбарчлах боломжийг шалгах</w:t>
      </w:r>
    </w:p>
    <w:p w14:paraId="2A4EBC9A" w14:textId="77777777" w:rsidR="004D43F3" w:rsidRPr="000D478A" w:rsidRDefault="008D19D9" w:rsidP="004D43F3">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Хувь хүний</w:t>
      </w:r>
      <w:r w:rsidR="004D43F3" w:rsidRPr="000D478A">
        <w:rPr>
          <w:rFonts w:ascii="Arial" w:hAnsi="Arial" w:cs="Arial"/>
          <w:lang w:val="mn-MN"/>
        </w:rPr>
        <w:t xml:space="preserve"> гаргах</w:t>
      </w:r>
      <w:r w:rsidRPr="000D478A">
        <w:rPr>
          <w:rFonts w:ascii="Arial" w:hAnsi="Arial" w:cs="Arial"/>
          <w:lang w:val="mn-MN"/>
        </w:rPr>
        <w:t xml:space="preserve"> зардлыг бууруулах боломжийг </w:t>
      </w:r>
      <w:r w:rsidR="004D43F3" w:rsidRPr="000D478A">
        <w:rPr>
          <w:rFonts w:ascii="Arial" w:hAnsi="Arial" w:cs="Arial"/>
          <w:lang w:val="mn-MN"/>
        </w:rPr>
        <w:t>Аргачлалд заасны дагуу</w:t>
      </w:r>
      <w:r w:rsidR="009373C0" w:rsidRPr="000D478A">
        <w:rPr>
          <w:rFonts w:ascii="Arial" w:hAnsi="Arial" w:cs="Arial"/>
          <w:lang w:val="mn-MN"/>
        </w:rPr>
        <w:t xml:space="preserve"> дараах шалгуур</w:t>
      </w:r>
      <w:r w:rsidR="00DE69CD" w:rsidRPr="000D478A">
        <w:rPr>
          <w:rFonts w:ascii="Arial" w:hAnsi="Arial" w:cs="Arial"/>
          <w:lang w:val="mn-MN"/>
        </w:rPr>
        <w:t>аар тодорхойлов</w:t>
      </w:r>
      <w:r w:rsidRPr="000D478A">
        <w:rPr>
          <w:rFonts w:ascii="Arial" w:hAnsi="Arial" w:cs="Arial"/>
          <w:lang w:val="mn-MN"/>
        </w:rPr>
        <w:t>. Үүнд</w:t>
      </w:r>
      <w:r w:rsidR="004D43F3" w:rsidRPr="000D478A">
        <w:rPr>
          <w:rFonts w:ascii="Arial" w:hAnsi="Arial" w:cs="Arial"/>
          <w:lang w:val="mn-MN"/>
        </w:rPr>
        <w:t>:</w:t>
      </w:r>
    </w:p>
    <w:p w14:paraId="29A632BE" w14:textId="77777777" w:rsidR="004D43F3" w:rsidRPr="000D478A" w:rsidRDefault="004D43F3" w:rsidP="004D43F3">
      <w:pPr>
        <w:pStyle w:val="NormalWeb"/>
        <w:spacing w:before="0" w:beforeAutospacing="0" w:after="0" w:afterAutospacing="0"/>
        <w:jc w:val="both"/>
        <w:rPr>
          <w:rFonts w:ascii="Arial" w:hAnsi="Arial" w:cs="Arial"/>
          <w:lang w:val="mn-MN"/>
        </w:rPr>
      </w:pPr>
    </w:p>
    <w:p w14:paraId="67F571D9" w14:textId="77777777" w:rsidR="008D19D9" w:rsidRPr="000D478A" w:rsidRDefault="0052576A" w:rsidP="00D1345B">
      <w:pPr>
        <w:pStyle w:val="NormalWeb"/>
        <w:numPr>
          <w:ilvl w:val="0"/>
          <w:numId w:val="1"/>
        </w:numPr>
        <w:spacing w:before="0" w:beforeAutospacing="0" w:after="0" w:afterAutospacing="0"/>
        <w:ind w:left="709" w:hanging="283"/>
        <w:jc w:val="both"/>
        <w:rPr>
          <w:rFonts w:ascii="Arial" w:eastAsia="Times New Roman" w:hAnsi="Arial" w:cs="Arial"/>
          <w:color w:val="000000"/>
          <w:lang w:val="mn-MN"/>
        </w:rPr>
      </w:pPr>
      <w:r w:rsidRPr="000D478A">
        <w:rPr>
          <w:rFonts w:ascii="Arial" w:eastAsia="Times New Roman" w:hAnsi="Arial" w:cs="Arial"/>
          <w:b/>
          <w:color w:val="000000"/>
          <w:lang w:val="mn-MN"/>
        </w:rPr>
        <w:t>х</w:t>
      </w:r>
      <w:r w:rsidR="008D19D9" w:rsidRPr="000D478A">
        <w:rPr>
          <w:rFonts w:ascii="Arial" w:eastAsia="Times New Roman" w:hAnsi="Arial" w:cs="Arial"/>
          <w:b/>
          <w:color w:val="000000"/>
          <w:lang w:val="mn-MN"/>
        </w:rPr>
        <w:t xml:space="preserve">амрагдах </w:t>
      </w:r>
      <w:r w:rsidR="00E5434D" w:rsidRPr="000D478A">
        <w:rPr>
          <w:rFonts w:ascii="Arial" w:eastAsia="Times New Roman" w:hAnsi="Arial" w:cs="Arial"/>
          <w:b/>
          <w:color w:val="000000"/>
          <w:lang w:val="mn-MN"/>
        </w:rPr>
        <w:t xml:space="preserve">иргэний </w:t>
      </w:r>
      <w:r w:rsidR="008D19D9" w:rsidRPr="000D478A">
        <w:rPr>
          <w:rFonts w:ascii="Arial" w:eastAsia="Times New Roman" w:hAnsi="Arial" w:cs="Arial"/>
          <w:b/>
          <w:color w:val="000000"/>
          <w:lang w:val="mn-MN"/>
        </w:rPr>
        <w:t>тоог багасгах боломж байгаа эсэх:</w:t>
      </w:r>
      <w:r w:rsidR="00D1345B" w:rsidRPr="000D478A">
        <w:rPr>
          <w:rFonts w:ascii="Arial" w:eastAsia="Times New Roman" w:hAnsi="Arial" w:cs="Arial"/>
          <w:color w:val="000000"/>
          <w:lang w:val="mn-MN"/>
        </w:rPr>
        <w:t xml:space="preserve"> </w:t>
      </w:r>
      <w:r w:rsidR="0079707E" w:rsidRPr="000D478A">
        <w:rPr>
          <w:rFonts w:ascii="Arial" w:eastAsia="Times New Roman" w:hAnsi="Arial" w:cs="Arial"/>
          <w:color w:val="000000"/>
          <w:lang w:val="mn-MN"/>
        </w:rPr>
        <w:t>хөрөнгийн зах зээл нь хөрөнгө оруулагчдын хүсэл, сонирхол дээр тулгуурлан явагддаг тул хуулийн хэрэгжилтэд хамрагдах иргэдийн тоог зохицуулах, бууруулах боломжгүй юм</w:t>
      </w:r>
      <w:r w:rsidRPr="000D478A">
        <w:rPr>
          <w:rFonts w:ascii="Arial" w:eastAsia="Times New Roman" w:hAnsi="Arial" w:cs="Arial"/>
          <w:color w:val="000000"/>
          <w:lang w:val="mn-MN"/>
        </w:rPr>
        <w:t xml:space="preserve">;  </w:t>
      </w:r>
    </w:p>
    <w:p w14:paraId="4E1D6EF8" w14:textId="77777777" w:rsidR="00D1345B" w:rsidRPr="000D478A" w:rsidRDefault="00D1345B" w:rsidP="0052576A">
      <w:pPr>
        <w:pStyle w:val="NormalWeb"/>
        <w:spacing w:before="0" w:beforeAutospacing="0" w:after="0" w:afterAutospacing="0"/>
        <w:ind w:left="709"/>
        <w:jc w:val="both"/>
        <w:rPr>
          <w:rFonts w:ascii="Arial" w:eastAsia="Times New Roman" w:hAnsi="Arial" w:cs="Arial"/>
          <w:color w:val="000000"/>
          <w:lang w:val="mn-MN"/>
        </w:rPr>
      </w:pPr>
    </w:p>
    <w:p w14:paraId="5A36F177" w14:textId="77777777" w:rsidR="00637FCC" w:rsidRPr="000D478A" w:rsidRDefault="0052576A" w:rsidP="00637FCC">
      <w:pPr>
        <w:pStyle w:val="NormalWeb"/>
        <w:numPr>
          <w:ilvl w:val="0"/>
          <w:numId w:val="1"/>
        </w:numPr>
        <w:spacing w:before="0" w:beforeAutospacing="0" w:after="0" w:afterAutospacing="0"/>
        <w:ind w:left="709" w:hanging="283"/>
        <w:jc w:val="both"/>
        <w:rPr>
          <w:rFonts w:ascii="Arial" w:eastAsia="Times New Roman" w:hAnsi="Arial" w:cs="Arial"/>
          <w:b/>
          <w:color w:val="000000"/>
          <w:lang w:val="mn-MN"/>
        </w:rPr>
      </w:pPr>
      <w:r w:rsidRPr="000D478A">
        <w:rPr>
          <w:rFonts w:ascii="Arial" w:eastAsia="Times New Roman" w:hAnsi="Arial" w:cs="Arial"/>
          <w:b/>
          <w:color w:val="000000"/>
          <w:lang w:val="mn-MN"/>
        </w:rPr>
        <w:t>м</w:t>
      </w:r>
      <w:r w:rsidR="008D19D9" w:rsidRPr="000D478A">
        <w:rPr>
          <w:rFonts w:ascii="Arial" w:eastAsia="Times New Roman" w:hAnsi="Arial" w:cs="Arial"/>
          <w:b/>
          <w:color w:val="000000"/>
          <w:lang w:val="mn-MN"/>
        </w:rPr>
        <w:t>эдээллийн агуулга, давтамжийг багасгах боломж байгаа эсэх</w:t>
      </w:r>
      <w:r w:rsidRPr="000D478A">
        <w:rPr>
          <w:rFonts w:ascii="Arial" w:eastAsia="Times New Roman" w:hAnsi="Arial" w:cs="Arial"/>
          <w:b/>
          <w:color w:val="000000"/>
          <w:lang w:val="mn-MN"/>
        </w:rPr>
        <w:t>:</w:t>
      </w:r>
      <w:r w:rsidR="007B7B37" w:rsidRPr="000D478A">
        <w:rPr>
          <w:rFonts w:ascii="Arial" w:eastAsia="Times New Roman" w:hAnsi="Arial" w:cs="Arial"/>
          <w:b/>
          <w:color w:val="000000"/>
          <w:lang w:val="mn-MN"/>
        </w:rPr>
        <w:t xml:space="preserve"> </w:t>
      </w:r>
      <w:r w:rsidR="0079707E" w:rsidRPr="000D478A">
        <w:rPr>
          <w:rFonts w:ascii="Arial" w:eastAsia="Times New Roman" w:hAnsi="Arial" w:cs="Arial"/>
          <w:color w:val="000000"/>
          <w:lang w:val="mn-MN"/>
        </w:rPr>
        <w:t>Үнэт цаасны зах зээлийн тухай хуульд нэмэлт, өөрчлөлт оруулах тухай хууль хэрэгжиж эхэлснээр үнэт цаасны компаниудын төлбөр тооцооны системийг автоматжуулах үйл ажиллагаа явагдан мэдээллийн давтамжийг автоматжуулах багасгах боломжтой юм</w:t>
      </w:r>
      <w:r w:rsidR="00637FCC" w:rsidRPr="000D478A">
        <w:rPr>
          <w:rFonts w:ascii="Arial" w:eastAsia="Times New Roman" w:hAnsi="Arial" w:cs="Arial"/>
          <w:color w:val="000000"/>
          <w:lang w:val="mn-MN"/>
        </w:rPr>
        <w:t xml:space="preserve">;  </w:t>
      </w:r>
      <w:r w:rsidRPr="000D478A">
        <w:rPr>
          <w:rFonts w:ascii="Arial" w:eastAsia="Times New Roman" w:hAnsi="Arial" w:cs="Arial"/>
          <w:b/>
          <w:color w:val="000000"/>
          <w:lang w:val="mn-MN"/>
        </w:rPr>
        <w:t xml:space="preserve"> </w:t>
      </w:r>
    </w:p>
    <w:p w14:paraId="08DA461D" w14:textId="77777777" w:rsidR="00637FCC" w:rsidRPr="000D478A" w:rsidRDefault="00637FCC" w:rsidP="00637FCC">
      <w:pPr>
        <w:pStyle w:val="ListParagraph"/>
        <w:rPr>
          <w:rFonts w:ascii="Arial" w:eastAsia="Times New Roman" w:hAnsi="Arial" w:cs="Arial"/>
          <w:b/>
          <w:color w:val="000000"/>
          <w:sz w:val="24"/>
          <w:szCs w:val="24"/>
          <w:lang w:val="mn-MN"/>
        </w:rPr>
      </w:pPr>
    </w:p>
    <w:p w14:paraId="38C07EE2" w14:textId="77777777" w:rsidR="00637FCC" w:rsidRPr="000D478A" w:rsidRDefault="00637FCC" w:rsidP="00637FCC">
      <w:pPr>
        <w:pStyle w:val="NormalWeb"/>
        <w:numPr>
          <w:ilvl w:val="0"/>
          <w:numId w:val="1"/>
        </w:numPr>
        <w:spacing w:before="0" w:beforeAutospacing="0" w:after="0" w:afterAutospacing="0"/>
        <w:ind w:left="709" w:hanging="283"/>
        <w:jc w:val="both"/>
        <w:rPr>
          <w:rFonts w:ascii="Arial" w:eastAsia="Times New Roman" w:hAnsi="Arial" w:cs="Arial"/>
          <w:b/>
          <w:color w:val="000000"/>
          <w:lang w:val="mn-MN"/>
        </w:rPr>
      </w:pPr>
      <w:r w:rsidRPr="000D478A">
        <w:rPr>
          <w:rFonts w:ascii="Arial" w:eastAsia="Times New Roman" w:hAnsi="Arial" w:cs="Arial"/>
          <w:b/>
          <w:color w:val="000000"/>
          <w:lang w:val="mn-MN"/>
        </w:rPr>
        <w:t>ш</w:t>
      </w:r>
      <w:r w:rsidR="008D19D9" w:rsidRPr="000D478A">
        <w:rPr>
          <w:rFonts w:ascii="Arial" w:eastAsia="Times New Roman" w:hAnsi="Arial" w:cs="Arial"/>
          <w:b/>
          <w:color w:val="000000"/>
          <w:lang w:val="mn-MN"/>
        </w:rPr>
        <w:t>инээр үүсэх үүргийг урьд бай</w:t>
      </w:r>
      <w:r w:rsidRPr="000D478A">
        <w:rPr>
          <w:rFonts w:ascii="Arial" w:eastAsia="Times New Roman" w:hAnsi="Arial" w:cs="Arial"/>
          <w:b/>
          <w:color w:val="000000"/>
          <w:lang w:val="mn-MN"/>
        </w:rPr>
        <w:t xml:space="preserve">сан үүрэгтэй нэгтгэж болох эсэх: </w:t>
      </w:r>
      <w:r w:rsidR="0079707E" w:rsidRPr="000D478A">
        <w:rPr>
          <w:rFonts w:ascii="Arial" w:hAnsi="Arial" w:cs="Arial"/>
          <w:lang w:val="mn-MN"/>
        </w:rPr>
        <w:t>шинээр үүсгэх үүрэг нь урьд байсан үүргийг улам хялбаршуулсан тул нэгтгэх нь зохисгүй юм</w:t>
      </w:r>
      <w:r w:rsidRPr="000D478A">
        <w:rPr>
          <w:rFonts w:ascii="Arial" w:eastAsia="Times New Roman" w:hAnsi="Arial" w:cs="Arial"/>
          <w:color w:val="000000"/>
          <w:lang w:val="mn-MN"/>
        </w:rPr>
        <w:t>;</w:t>
      </w:r>
    </w:p>
    <w:p w14:paraId="4BD06E5B" w14:textId="77777777" w:rsidR="00637FCC" w:rsidRPr="000D478A" w:rsidRDefault="00637FCC" w:rsidP="00637FCC">
      <w:pPr>
        <w:pStyle w:val="ListParagraph"/>
        <w:rPr>
          <w:rFonts w:ascii="Arial" w:eastAsia="Times New Roman" w:hAnsi="Arial" w:cs="Arial"/>
          <w:b/>
          <w:color w:val="000000"/>
          <w:sz w:val="24"/>
          <w:szCs w:val="24"/>
          <w:lang w:val="mn-MN"/>
        </w:rPr>
      </w:pPr>
    </w:p>
    <w:p w14:paraId="16267320" w14:textId="66D67A82" w:rsidR="008D19D9" w:rsidRPr="000D478A" w:rsidRDefault="00637FCC" w:rsidP="00637FCC">
      <w:pPr>
        <w:pStyle w:val="NormalWeb"/>
        <w:numPr>
          <w:ilvl w:val="0"/>
          <w:numId w:val="1"/>
        </w:numPr>
        <w:spacing w:before="0" w:beforeAutospacing="0" w:after="0" w:afterAutospacing="0"/>
        <w:ind w:left="709" w:hanging="283"/>
        <w:jc w:val="both"/>
        <w:rPr>
          <w:rFonts w:ascii="Arial" w:eastAsia="Times New Roman" w:hAnsi="Arial" w:cs="Arial"/>
          <w:b/>
          <w:color w:val="000000"/>
          <w:lang w:val="mn-MN"/>
        </w:rPr>
      </w:pPr>
      <w:r w:rsidRPr="000D478A">
        <w:rPr>
          <w:rFonts w:ascii="Arial" w:eastAsia="Times New Roman" w:hAnsi="Arial" w:cs="Arial"/>
          <w:b/>
          <w:color w:val="000000"/>
          <w:lang w:val="mn-MN"/>
        </w:rPr>
        <w:lastRenderedPageBreak/>
        <w:t>м</w:t>
      </w:r>
      <w:r w:rsidR="008D19D9" w:rsidRPr="000D478A">
        <w:rPr>
          <w:rFonts w:ascii="Arial" w:eastAsia="Times New Roman" w:hAnsi="Arial" w:cs="Arial"/>
          <w:b/>
          <w:color w:val="000000"/>
          <w:lang w:val="mn-MN"/>
        </w:rPr>
        <w:t>эдээллийг цахимаар хү</w:t>
      </w:r>
      <w:r w:rsidRPr="000D478A">
        <w:rPr>
          <w:rFonts w:ascii="Arial" w:eastAsia="Times New Roman" w:hAnsi="Arial" w:cs="Arial"/>
          <w:b/>
          <w:color w:val="000000"/>
          <w:lang w:val="mn-MN"/>
        </w:rPr>
        <w:t xml:space="preserve">ргүүлэх боломжтой эсэх: </w:t>
      </w:r>
      <w:r w:rsidR="0079707E" w:rsidRPr="000D478A">
        <w:rPr>
          <w:rFonts w:ascii="Arial" w:eastAsia="Times New Roman" w:hAnsi="Arial" w:cs="Arial"/>
          <w:color w:val="000000"/>
          <w:lang w:val="mn-MN"/>
        </w:rPr>
        <w:t xml:space="preserve">Үнэт цаасны зах зээлийн тухай хуульд нэмэлт, өөрчлөлт оруулах тухай хууль хэрэгжиж эхэлснээр үнэт цаасны компаниудын </w:t>
      </w:r>
      <w:r w:rsidR="00F8020B" w:rsidRPr="000D478A">
        <w:rPr>
          <w:rFonts w:ascii="Arial" w:eastAsia="Times New Roman" w:hAnsi="Arial" w:cs="Arial"/>
          <w:color w:val="000000"/>
          <w:lang w:val="mn-MN"/>
        </w:rPr>
        <w:t>үйлчилгээ,</w:t>
      </w:r>
      <w:r w:rsidR="0079707E" w:rsidRPr="000D478A">
        <w:rPr>
          <w:rFonts w:ascii="Arial" w:eastAsia="Times New Roman" w:hAnsi="Arial" w:cs="Arial"/>
          <w:color w:val="000000"/>
          <w:lang w:val="mn-MN"/>
        </w:rPr>
        <w:t xml:space="preserve"> үйл ажиллагаа</w:t>
      </w:r>
      <w:r w:rsidR="00F8020B" w:rsidRPr="000D478A">
        <w:rPr>
          <w:rFonts w:ascii="Arial" w:eastAsia="Times New Roman" w:hAnsi="Arial" w:cs="Arial"/>
          <w:color w:val="000000"/>
          <w:lang w:val="mn-MN"/>
        </w:rPr>
        <w:t xml:space="preserve"> автомат системээр</w:t>
      </w:r>
      <w:r w:rsidR="0079707E" w:rsidRPr="000D478A">
        <w:rPr>
          <w:rFonts w:ascii="Arial" w:eastAsia="Times New Roman" w:hAnsi="Arial" w:cs="Arial"/>
          <w:color w:val="000000"/>
          <w:lang w:val="mn-MN"/>
        </w:rPr>
        <w:t xml:space="preserve"> явагдан мэдээллийг цахимаар хүргүүлэх боломжтой юм;  </w:t>
      </w:r>
      <w:r w:rsidR="0079707E" w:rsidRPr="000D478A">
        <w:rPr>
          <w:rFonts w:ascii="Arial" w:eastAsia="Times New Roman" w:hAnsi="Arial" w:cs="Arial"/>
          <w:b/>
          <w:color w:val="000000"/>
          <w:lang w:val="mn-MN"/>
        </w:rPr>
        <w:t xml:space="preserve"> </w:t>
      </w:r>
    </w:p>
    <w:p w14:paraId="5C1B52D6" w14:textId="77777777" w:rsidR="00414D55" w:rsidRPr="000D478A" w:rsidRDefault="00414D55" w:rsidP="00414D55">
      <w:pPr>
        <w:pStyle w:val="ListParagraph"/>
        <w:rPr>
          <w:rFonts w:ascii="Arial" w:eastAsia="Times New Roman" w:hAnsi="Arial" w:cs="Arial"/>
          <w:b/>
          <w:color w:val="000000"/>
          <w:lang w:val="mn-MN"/>
        </w:rPr>
      </w:pPr>
    </w:p>
    <w:p w14:paraId="1F45CF22" w14:textId="77777777" w:rsidR="00264377" w:rsidRPr="000D478A" w:rsidRDefault="00264377" w:rsidP="00264377">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 xml:space="preserve">2.6.нэмэлт зардлыг тооцох </w:t>
      </w:r>
    </w:p>
    <w:p w14:paraId="54281AB3" w14:textId="77777777" w:rsidR="00264377" w:rsidRPr="000D478A" w:rsidRDefault="00264377" w:rsidP="00264377">
      <w:pPr>
        <w:pStyle w:val="NormalWeb"/>
        <w:spacing w:before="0" w:beforeAutospacing="0" w:after="0" w:afterAutospacing="0"/>
        <w:ind w:left="720"/>
        <w:jc w:val="both"/>
        <w:rPr>
          <w:rFonts w:ascii="Arial" w:hAnsi="Arial" w:cs="Arial"/>
          <w:b/>
          <w:lang w:val="mn-MN"/>
        </w:rPr>
      </w:pPr>
    </w:p>
    <w:p w14:paraId="21952C95" w14:textId="3D8F42FF" w:rsidR="0079707E" w:rsidRPr="000D478A" w:rsidRDefault="00F8020B" w:rsidP="0079707E">
      <w:pPr>
        <w:pStyle w:val="NormalWeb"/>
        <w:spacing w:before="0" w:beforeAutospacing="0" w:after="0" w:afterAutospacing="0"/>
        <w:ind w:firstLine="720"/>
        <w:jc w:val="both"/>
        <w:rPr>
          <w:rFonts w:ascii="Arial" w:hAnsi="Arial" w:cs="Arial"/>
          <w:bCs/>
          <w:iCs/>
          <w:lang w:val="mn-MN"/>
        </w:rPr>
      </w:pPr>
      <w:r w:rsidRPr="000D478A">
        <w:rPr>
          <w:rFonts w:ascii="Arial" w:hAnsi="Arial" w:cs="Arial"/>
          <w:bCs/>
          <w:iCs/>
          <w:lang w:val="mn-MN"/>
        </w:rPr>
        <w:t xml:space="preserve">Хууль хэрэгжиж эхэлснээр хөрөнгийн зах зээлийн арилжаанд оролцох </w:t>
      </w:r>
      <w:r w:rsidR="00FF4518" w:rsidRPr="000D478A">
        <w:rPr>
          <w:rFonts w:ascii="Arial" w:hAnsi="Arial" w:cs="Arial"/>
          <w:bCs/>
          <w:iCs/>
          <w:lang w:val="mn-MN"/>
        </w:rPr>
        <w:t xml:space="preserve">шат, дамжлага, зардал буурна. </w:t>
      </w:r>
    </w:p>
    <w:p w14:paraId="72DC04A7" w14:textId="77777777" w:rsidR="005220B3" w:rsidRPr="000D478A" w:rsidRDefault="005220B3" w:rsidP="00264377">
      <w:pPr>
        <w:pStyle w:val="NormalWeb"/>
        <w:spacing w:before="0" w:beforeAutospacing="0" w:after="0" w:afterAutospacing="0"/>
        <w:ind w:firstLine="720"/>
        <w:jc w:val="both"/>
        <w:rPr>
          <w:rFonts w:ascii="Arial" w:eastAsia="Times New Roman" w:hAnsi="Arial" w:cs="Arial"/>
          <w:color w:val="000000"/>
          <w:lang w:val="mn-MN"/>
        </w:rPr>
      </w:pPr>
    </w:p>
    <w:p w14:paraId="7DAB612B" w14:textId="77777777" w:rsidR="007E5269" w:rsidRPr="000D478A" w:rsidRDefault="007E5269" w:rsidP="007E5269">
      <w:pPr>
        <w:pStyle w:val="NormalWeb"/>
        <w:spacing w:before="0" w:beforeAutospacing="0" w:after="0" w:afterAutospacing="0"/>
        <w:ind w:firstLine="720"/>
        <w:jc w:val="both"/>
        <w:rPr>
          <w:rStyle w:val="Strong"/>
          <w:rFonts w:ascii="Arial" w:hAnsi="Arial" w:cs="Arial"/>
          <w:lang w:val="mn-MN"/>
        </w:rPr>
      </w:pPr>
      <w:r w:rsidRPr="000D478A">
        <w:rPr>
          <w:rStyle w:val="Strong"/>
          <w:rFonts w:ascii="Arial" w:hAnsi="Arial" w:cs="Arial"/>
          <w:lang w:val="mn-MN"/>
        </w:rPr>
        <w:t>Гурав. Төрийн байгууллагын зардлыг тооцох</w:t>
      </w:r>
    </w:p>
    <w:p w14:paraId="32BB9B0B" w14:textId="77777777" w:rsidR="007E5269" w:rsidRPr="000D478A" w:rsidRDefault="007E5269" w:rsidP="007E5269">
      <w:pPr>
        <w:pStyle w:val="NormalWeb"/>
        <w:spacing w:before="0" w:beforeAutospacing="0" w:after="0" w:afterAutospacing="0"/>
        <w:ind w:firstLine="720"/>
        <w:jc w:val="both"/>
        <w:rPr>
          <w:rFonts w:ascii="Arial" w:hAnsi="Arial" w:cs="Arial"/>
          <w:caps/>
          <w:lang w:val="mn-MN"/>
        </w:rPr>
      </w:pPr>
    </w:p>
    <w:p w14:paraId="6237C88A" w14:textId="77777777" w:rsidR="007E5269" w:rsidRPr="000D478A" w:rsidRDefault="00F12958" w:rsidP="007E5269">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Төрийн өмчит хөрөнгийн зах зээлийн дэд бүтцийн байгууллагууд хуулийн дагуу зохих өөрчлөлтийг одоо байгаа нөөц бололцооны хүрээнд зохицуулан ажиллах ба нэмэлт зардал гарахгүй болно. </w:t>
      </w:r>
    </w:p>
    <w:p w14:paraId="11154448" w14:textId="77777777" w:rsidR="00752E7E" w:rsidRPr="000D478A" w:rsidRDefault="00752E7E" w:rsidP="007E5269">
      <w:pPr>
        <w:pStyle w:val="NormalWeb"/>
        <w:spacing w:before="0" w:beforeAutospacing="0" w:after="0" w:afterAutospacing="0"/>
        <w:ind w:firstLine="720"/>
        <w:jc w:val="both"/>
        <w:rPr>
          <w:rFonts w:ascii="Arial" w:hAnsi="Arial" w:cs="Arial"/>
          <w:lang w:val="mn-MN"/>
        </w:rPr>
      </w:pPr>
    </w:p>
    <w:p w14:paraId="77E93214" w14:textId="77777777" w:rsidR="0019686B" w:rsidRPr="000D478A" w:rsidRDefault="0019686B" w:rsidP="007E5269">
      <w:pPr>
        <w:pStyle w:val="NormalWeb"/>
        <w:spacing w:before="0" w:beforeAutospacing="0" w:after="0" w:afterAutospacing="0"/>
        <w:ind w:firstLine="720"/>
        <w:jc w:val="both"/>
        <w:rPr>
          <w:rFonts w:ascii="Arial" w:hAnsi="Arial" w:cs="Arial"/>
          <w:b/>
          <w:lang w:val="mn-MN"/>
        </w:rPr>
      </w:pPr>
      <w:r w:rsidRPr="000D478A">
        <w:rPr>
          <w:rFonts w:ascii="Arial" w:hAnsi="Arial" w:cs="Arial"/>
          <w:b/>
          <w:lang w:val="mn-MN"/>
        </w:rPr>
        <w:t>3.1.байгууллагын гүйцэтгэх үүрэг буюу ажил, үйлчилгээг тодорхойлох:</w:t>
      </w:r>
    </w:p>
    <w:p w14:paraId="483324BF" w14:textId="77777777" w:rsidR="00752E7E" w:rsidRPr="000D478A" w:rsidRDefault="00752E7E" w:rsidP="00752E7E">
      <w:pPr>
        <w:pStyle w:val="NormalWeb"/>
        <w:spacing w:before="0" w:beforeAutospacing="0" w:after="0" w:afterAutospacing="0"/>
        <w:ind w:left="720"/>
        <w:jc w:val="both"/>
        <w:rPr>
          <w:rFonts w:ascii="Arial" w:hAnsi="Arial" w:cs="Arial"/>
          <w:lang w:val="mn-MN"/>
        </w:rPr>
      </w:pPr>
    </w:p>
    <w:p w14:paraId="6D159A69" w14:textId="1306347E" w:rsidR="00FE466A" w:rsidRPr="000D478A" w:rsidRDefault="00FF4518" w:rsidP="009A320F">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Монголын үнэт цаасны клирингийн төв</w:t>
      </w:r>
      <w:r w:rsidR="00F12958" w:rsidRPr="000D478A">
        <w:rPr>
          <w:rFonts w:ascii="Arial" w:hAnsi="Arial" w:cs="Arial"/>
          <w:lang w:val="mn-MN"/>
        </w:rPr>
        <w:t xml:space="preserve"> </w:t>
      </w:r>
      <w:r w:rsidRPr="000D478A">
        <w:rPr>
          <w:rFonts w:ascii="Arial" w:hAnsi="Arial" w:cs="Arial"/>
          <w:lang w:val="mn-MN"/>
        </w:rPr>
        <w:t xml:space="preserve">ХХК </w:t>
      </w:r>
      <w:r w:rsidR="00F12958" w:rsidRPr="000D478A">
        <w:rPr>
          <w:rFonts w:ascii="Arial" w:hAnsi="Arial" w:cs="Arial"/>
          <w:lang w:val="mn-MN"/>
        </w:rPr>
        <w:t xml:space="preserve">болон Үнэт цаасны төвлөрсөн хадгаламжийн төв </w:t>
      </w:r>
      <w:r w:rsidRPr="000D478A">
        <w:rPr>
          <w:rFonts w:ascii="Arial" w:hAnsi="Arial" w:cs="Arial"/>
          <w:lang w:val="mn-MN"/>
        </w:rPr>
        <w:t>ХХК-</w:t>
      </w:r>
      <w:r w:rsidR="00F12958" w:rsidRPr="000D478A">
        <w:rPr>
          <w:rFonts w:ascii="Arial" w:hAnsi="Arial" w:cs="Arial"/>
          <w:lang w:val="mn-MN"/>
        </w:rPr>
        <w:t>иуд нь</w:t>
      </w:r>
      <w:r w:rsidR="00826DD8" w:rsidRPr="000D478A">
        <w:rPr>
          <w:rFonts w:ascii="Arial" w:hAnsi="Arial" w:cs="Arial"/>
          <w:lang w:val="mn-MN"/>
        </w:rPr>
        <w:t xml:space="preserve"> хууль хэрэгжүүлэхтэй холбогдуулж</w:t>
      </w:r>
      <w:r w:rsidR="00FE466A" w:rsidRPr="000D478A">
        <w:rPr>
          <w:rFonts w:ascii="Arial" w:hAnsi="Arial" w:cs="Arial"/>
          <w:lang w:val="mn-MN"/>
        </w:rPr>
        <w:t xml:space="preserve"> дараах чиг үүргийг хэрэгжүүлнэ:</w:t>
      </w:r>
    </w:p>
    <w:p w14:paraId="70D1A4FA" w14:textId="77777777" w:rsidR="00FE466A" w:rsidRPr="000D478A" w:rsidRDefault="00FE466A" w:rsidP="00FE466A">
      <w:pPr>
        <w:pStyle w:val="NormalWeb"/>
        <w:spacing w:before="0" w:beforeAutospacing="0" w:after="0" w:afterAutospacing="0"/>
        <w:jc w:val="both"/>
        <w:rPr>
          <w:rFonts w:ascii="Arial" w:hAnsi="Arial" w:cs="Arial"/>
          <w:lang w:val="mn-MN"/>
        </w:rPr>
      </w:pPr>
    </w:p>
    <w:p w14:paraId="35B30E52" w14:textId="60EBA6F4" w:rsidR="0019686B" w:rsidRPr="000D478A" w:rsidRDefault="00FF4518" w:rsidP="00826DD8">
      <w:pPr>
        <w:pStyle w:val="NormalWeb"/>
        <w:numPr>
          <w:ilvl w:val="0"/>
          <w:numId w:val="4"/>
        </w:numPr>
        <w:spacing w:before="0" w:beforeAutospacing="0" w:after="0" w:afterAutospacing="0"/>
        <w:jc w:val="both"/>
        <w:rPr>
          <w:rFonts w:ascii="Arial" w:hAnsi="Arial" w:cs="Arial"/>
          <w:lang w:val="mn-MN"/>
        </w:rPr>
      </w:pPr>
      <w:r w:rsidRPr="000D478A">
        <w:rPr>
          <w:rFonts w:ascii="Arial" w:hAnsi="Arial" w:cs="Arial"/>
          <w:lang w:val="mn-MN"/>
        </w:rPr>
        <w:t xml:space="preserve">Монголын үнэт цаасны клирингийн төв ХХК </w:t>
      </w:r>
      <w:r w:rsidR="00492A94" w:rsidRPr="000D478A">
        <w:rPr>
          <w:rFonts w:ascii="Arial" w:hAnsi="Arial" w:cs="Arial"/>
          <w:lang w:val="mn-MN"/>
        </w:rPr>
        <w:t xml:space="preserve">нь үнэт цаасны клирингийн төв болж үнэт цаасны клирингийн гишүүн байгууллагын клирингийг цэвэршүүлсэн дүнгээр тооцоолно. </w:t>
      </w:r>
    </w:p>
    <w:p w14:paraId="3139313D" w14:textId="77777777" w:rsidR="00492A94" w:rsidRPr="000D478A" w:rsidRDefault="00492A94" w:rsidP="00826DD8">
      <w:pPr>
        <w:pStyle w:val="NormalWeb"/>
        <w:numPr>
          <w:ilvl w:val="0"/>
          <w:numId w:val="4"/>
        </w:numPr>
        <w:spacing w:before="0" w:beforeAutospacing="0" w:after="0" w:afterAutospacing="0"/>
        <w:jc w:val="both"/>
        <w:rPr>
          <w:rFonts w:ascii="Arial" w:hAnsi="Arial" w:cs="Arial"/>
          <w:lang w:val="mn-MN"/>
        </w:rPr>
      </w:pPr>
      <w:r w:rsidRPr="000D478A">
        <w:rPr>
          <w:rFonts w:ascii="Arial" w:hAnsi="Arial" w:cs="Arial"/>
          <w:lang w:val="mn-MN"/>
        </w:rPr>
        <w:t xml:space="preserve">Үнэт цаасны төвлөрсөн хадгаламжийн төв компани нь үнэт цаасны төлбөрийн эсрэг нийлүүлэлтийг гүйцэтгэнэ. </w:t>
      </w:r>
    </w:p>
    <w:p w14:paraId="7A22B5A4" w14:textId="77777777" w:rsidR="00752E7E" w:rsidRPr="000D478A" w:rsidRDefault="00752E7E" w:rsidP="00752E7E">
      <w:pPr>
        <w:pStyle w:val="NormalWeb"/>
        <w:spacing w:before="0" w:beforeAutospacing="0" w:after="0" w:afterAutospacing="0"/>
        <w:ind w:left="720" w:firstLine="720"/>
        <w:jc w:val="both"/>
        <w:rPr>
          <w:rFonts w:ascii="Arial" w:hAnsi="Arial" w:cs="Arial"/>
          <w:lang w:val="mn-MN"/>
        </w:rPr>
      </w:pPr>
    </w:p>
    <w:p w14:paraId="209F5588" w14:textId="77777777" w:rsidR="0019686B" w:rsidRPr="000D478A" w:rsidRDefault="0019686B" w:rsidP="00752E7E">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3.2.ажил, үйлчилгээг гүйц</w:t>
      </w:r>
      <w:r w:rsidR="008D4B88" w:rsidRPr="000D478A">
        <w:rPr>
          <w:rFonts w:ascii="Arial" w:hAnsi="Arial" w:cs="Arial"/>
          <w:b/>
          <w:lang w:val="mn-MN"/>
        </w:rPr>
        <w:t>этгэх хүний нөөцийг тодорхойлох</w:t>
      </w:r>
    </w:p>
    <w:p w14:paraId="1BA10D1D" w14:textId="77777777" w:rsidR="008D4B88" w:rsidRPr="000D478A" w:rsidRDefault="008D4B88" w:rsidP="00752E7E">
      <w:pPr>
        <w:pStyle w:val="NormalWeb"/>
        <w:spacing w:before="0" w:beforeAutospacing="0" w:after="0" w:afterAutospacing="0"/>
        <w:ind w:left="720"/>
        <w:jc w:val="both"/>
        <w:rPr>
          <w:rFonts w:ascii="Arial" w:hAnsi="Arial" w:cs="Arial"/>
          <w:b/>
          <w:lang w:val="mn-MN"/>
        </w:rPr>
      </w:pPr>
    </w:p>
    <w:p w14:paraId="0C80C8B0" w14:textId="4F741C9B" w:rsidR="00847CC5" w:rsidRPr="000D478A" w:rsidRDefault="00492A94" w:rsidP="007000BB">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Одоогийн байдлаар </w:t>
      </w:r>
      <w:r w:rsidR="000939C9" w:rsidRPr="000D478A">
        <w:rPr>
          <w:rFonts w:ascii="Arial" w:hAnsi="Arial" w:cs="Arial"/>
          <w:lang w:val="mn-MN"/>
        </w:rPr>
        <w:t xml:space="preserve">байдлаар </w:t>
      </w:r>
      <w:r w:rsidRPr="000D478A">
        <w:rPr>
          <w:rFonts w:ascii="Arial" w:hAnsi="Arial" w:cs="Arial"/>
          <w:lang w:val="mn-MN"/>
        </w:rPr>
        <w:t>Үнэт цаасны төвлөрсөн хадгаламжийн төв</w:t>
      </w:r>
      <w:r w:rsidR="00FF4518" w:rsidRPr="000D478A">
        <w:rPr>
          <w:rFonts w:ascii="Arial" w:hAnsi="Arial" w:cs="Arial"/>
          <w:lang w:val="mn-MN"/>
        </w:rPr>
        <w:t xml:space="preserve"> ХХК</w:t>
      </w:r>
      <w:r w:rsidRPr="000D478A">
        <w:rPr>
          <w:rFonts w:ascii="Arial" w:hAnsi="Arial" w:cs="Arial"/>
          <w:lang w:val="mn-MN"/>
        </w:rPr>
        <w:t xml:space="preserve"> дээр 39 ажилчид, </w:t>
      </w:r>
      <w:r w:rsidR="00FF4518" w:rsidRPr="000D478A">
        <w:rPr>
          <w:rFonts w:ascii="Arial" w:hAnsi="Arial" w:cs="Arial"/>
          <w:lang w:val="mn-MN"/>
        </w:rPr>
        <w:t xml:space="preserve">Монголын үнэт цаасны клирингийн төв ХХК </w:t>
      </w:r>
      <w:r w:rsidRPr="000D478A">
        <w:rPr>
          <w:rFonts w:ascii="Arial" w:hAnsi="Arial" w:cs="Arial"/>
          <w:lang w:val="mn-MN"/>
        </w:rPr>
        <w:t xml:space="preserve">дээр 13 ажилчид байгаа үнэт цаасны төлбөр тооцооны үйл ажиллагааг эрхлэн ажиллаж байна. </w:t>
      </w:r>
      <w:r w:rsidR="000939C9" w:rsidRPr="000D478A">
        <w:rPr>
          <w:rFonts w:ascii="Arial" w:hAnsi="Arial" w:cs="Arial"/>
          <w:lang w:val="mn-MN"/>
        </w:rPr>
        <w:t xml:space="preserve">Энэхүү мэдээлэлд үндэслэн хуулийг хэрэгжүүлэх хүний нөөцийн хэрэгцээг тодорхойлсон болно.  </w:t>
      </w:r>
    </w:p>
    <w:p w14:paraId="439FAF6D" w14:textId="77777777" w:rsidR="000939C9" w:rsidRPr="000D478A" w:rsidRDefault="000939C9" w:rsidP="000939C9">
      <w:pPr>
        <w:pStyle w:val="NormalWeb"/>
        <w:spacing w:before="0" w:beforeAutospacing="0" w:after="0" w:afterAutospacing="0"/>
        <w:ind w:firstLine="720"/>
        <w:jc w:val="both"/>
        <w:rPr>
          <w:rFonts w:ascii="Arial" w:hAnsi="Arial" w:cs="Arial"/>
          <w:lang w:val="mn-MN"/>
        </w:rPr>
      </w:pPr>
    </w:p>
    <w:p w14:paraId="6019B7DF" w14:textId="18E2E960" w:rsidR="0019686B" w:rsidRPr="000D478A" w:rsidRDefault="0019686B" w:rsidP="000939C9">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 xml:space="preserve">Хуулийн төсөлд </w:t>
      </w:r>
      <w:r w:rsidR="00FF4518" w:rsidRPr="000D478A">
        <w:rPr>
          <w:rFonts w:ascii="Arial" w:hAnsi="Arial" w:cs="Arial"/>
          <w:lang w:val="mn-MN"/>
        </w:rPr>
        <w:t xml:space="preserve">Монголын үнэт цаасны клирингийн төв ХХК </w:t>
      </w:r>
      <w:r w:rsidR="00492A94" w:rsidRPr="000D478A">
        <w:rPr>
          <w:rFonts w:ascii="Arial" w:hAnsi="Arial" w:cs="Arial"/>
          <w:lang w:val="mn-MN"/>
        </w:rPr>
        <w:t xml:space="preserve">нь клирингийн гишүүдийн эрсдэлийг удирдах зорилгоор төлбөрийн баталгааны сан  байгуулан түүнийг удирдахаар тусгасан бөгөөд сангийн удирдлагыг хэрэгжүүлэх зорилгоор төлбөрийн баталгааны сангийн удирдах хороог холбогдох байгууллагуудын төлөөллүүдийг оролцуулан 9 хүний бүрэлдэхүүнтэйгээр зохион байгуулах юм. </w:t>
      </w:r>
    </w:p>
    <w:p w14:paraId="55AFC698" w14:textId="77777777" w:rsidR="000939C9" w:rsidRPr="000D478A" w:rsidRDefault="000939C9" w:rsidP="000939C9">
      <w:pPr>
        <w:pStyle w:val="NormalWeb"/>
        <w:spacing w:before="0" w:beforeAutospacing="0" w:after="0" w:afterAutospacing="0"/>
        <w:ind w:firstLine="720"/>
        <w:jc w:val="both"/>
        <w:rPr>
          <w:rFonts w:ascii="Arial" w:hAnsi="Arial" w:cs="Arial"/>
          <w:lang w:val="mn-MN"/>
        </w:rPr>
      </w:pPr>
    </w:p>
    <w:p w14:paraId="5362943A" w14:textId="77777777" w:rsidR="0019686B" w:rsidRPr="000D478A" w:rsidRDefault="0019686B" w:rsidP="000939C9">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3.3.гарах зардлыг урьдчилан тооцох;</w:t>
      </w:r>
    </w:p>
    <w:p w14:paraId="07DD5B34" w14:textId="77777777" w:rsidR="000939C9" w:rsidRPr="000D478A" w:rsidRDefault="000939C9" w:rsidP="000939C9">
      <w:pPr>
        <w:pStyle w:val="NormalWeb"/>
        <w:spacing w:before="0" w:beforeAutospacing="0" w:after="0" w:afterAutospacing="0"/>
        <w:ind w:left="720"/>
        <w:jc w:val="both"/>
        <w:rPr>
          <w:rFonts w:ascii="Arial" w:hAnsi="Arial" w:cs="Arial"/>
          <w:b/>
          <w:lang w:val="mn-MN"/>
        </w:rPr>
      </w:pPr>
    </w:p>
    <w:p w14:paraId="52007D1B" w14:textId="77777777" w:rsidR="0019686B" w:rsidRPr="000D478A" w:rsidRDefault="00492A94" w:rsidP="008C49DC">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Эдгээр дэд бүтцийн байгууллагууд</w:t>
      </w:r>
      <w:r w:rsidR="0019686B" w:rsidRPr="000D478A">
        <w:rPr>
          <w:rFonts w:ascii="Arial" w:hAnsi="Arial" w:cs="Arial"/>
          <w:lang w:val="mn-MN"/>
        </w:rPr>
        <w:t xml:space="preserve"> </w:t>
      </w:r>
      <w:r w:rsidR="00B44F4A" w:rsidRPr="000D478A">
        <w:rPr>
          <w:rFonts w:ascii="Arial" w:hAnsi="Arial" w:cs="Arial"/>
          <w:lang w:val="mn-MN"/>
        </w:rPr>
        <w:t xml:space="preserve">хуулийг хэрэгжүүлэхдээ хүний нөөцийн </w:t>
      </w:r>
      <w:r w:rsidR="0019686B" w:rsidRPr="000D478A">
        <w:rPr>
          <w:rFonts w:ascii="Arial" w:hAnsi="Arial" w:cs="Arial"/>
          <w:lang w:val="mn-MN"/>
        </w:rPr>
        <w:t>дотоод зохион байгуулалт хийж</w:t>
      </w:r>
      <w:r w:rsidR="00B44F4A" w:rsidRPr="000D478A">
        <w:rPr>
          <w:rFonts w:ascii="Arial" w:hAnsi="Arial" w:cs="Arial"/>
          <w:lang w:val="mn-MN"/>
        </w:rPr>
        <w:t>,</w:t>
      </w:r>
      <w:r w:rsidR="0019686B" w:rsidRPr="000D478A">
        <w:rPr>
          <w:rFonts w:ascii="Arial" w:hAnsi="Arial" w:cs="Arial"/>
          <w:lang w:val="mn-MN"/>
        </w:rPr>
        <w:t xml:space="preserve"> бусад материаллаг зардлыг нэмэ</w:t>
      </w:r>
      <w:r w:rsidR="00112322" w:rsidRPr="000D478A">
        <w:rPr>
          <w:rFonts w:ascii="Arial" w:hAnsi="Arial" w:cs="Arial"/>
          <w:lang w:val="mn-MN"/>
        </w:rPr>
        <w:t>хгүй</w:t>
      </w:r>
      <w:r w:rsidR="009E5601" w:rsidRPr="000D478A">
        <w:rPr>
          <w:rFonts w:ascii="Arial" w:hAnsi="Arial" w:cs="Arial"/>
          <w:lang w:val="mn-MN"/>
        </w:rPr>
        <w:t xml:space="preserve"> одоогийн хэмжээнд</w:t>
      </w:r>
      <w:r w:rsidR="0019686B" w:rsidRPr="000D478A">
        <w:rPr>
          <w:rFonts w:ascii="Arial" w:hAnsi="Arial" w:cs="Arial"/>
          <w:lang w:val="mn-MN"/>
        </w:rPr>
        <w:t xml:space="preserve"> барьж ажиллах боломжтой.</w:t>
      </w:r>
      <w:r w:rsidR="00FA0257" w:rsidRPr="000D478A">
        <w:rPr>
          <w:rFonts w:ascii="Arial" w:hAnsi="Arial" w:cs="Arial"/>
          <w:lang w:val="mn-MN"/>
        </w:rPr>
        <w:t xml:space="preserve"> </w:t>
      </w:r>
    </w:p>
    <w:p w14:paraId="77CC5CE2" w14:textId="77777777" w:rsidR="00FA0257" w:rsidRPr="000D478A" w:rsidRDefault="00FA0257" w:rsidP="008C49DC">
      <w:pPr>
        <w:pStyle w:val="NormalWeb"/>
        <w:spacing w:before="0" w:beforeAutospacing="0" w:after="0" w:afterAutospacing="0"/>
        <w:ind w:firstLine="720"/>
        <w:jc w:val="both"/>
        <w:rPr>
          <w:rFonts w:ascii="Arial" w:hAnsi="Arial" w:cs="Arial"/>
          <w:lang w:val="mn-MN"/>
        </w:rPr>
      </w:pPr>
    </w:p>
    <w:p w14:paraId="7F6B726F" w14:textId="77777777" w:rsidR="0019686B" w:rsidRPr="000D478A" w:rsidRDefault="0019686B" w:rsidP="001D7ACD">
      <w:pPr>
        <w:pStyle w:val="NormalWeb"/>
        <w:spacing w:before="0" w:beforeAutospacing="0" w:after="0" w:afterAutospacing="0"/>
        <w:jc w:val="both"/>
        <w:rPr>
          <w:rFonts w:ascii="Arial" w:hAnsi="Arial" w:cs="Arial"/>
          <w:b/>
          <w:lang w:val="mn-MN"/>
        </w:rPr>
      </w:pPr>
      <w:r w:rsidRPr="000D478A">
        <w:rPr>
          <w:rFonts w:ascii="Arial" w:hAnsi="Arial" w:cs="Arial"/>
          <w:lang w:val="mn-MN"/>
        </w:rPr>
        <w:tab/>
      </w:r>
      <w:r w:rsidR="005146A3" w:rsidRPr="000D478A">
        <w:rPr>
          <w:rFonts w:ascii="Arial" w:hAnsi="Arial" w:cs="Arial"/>
          <w:b/>
          <w:lang w:val="mn-MN"/>
        </w:rPr>
        <w:t>3.4.зардлыг нэгтгэн тооцох</w:t>
      </w:r>
    </w:p>
    <w:p w14:paraId="5811FB71" w14:textId="77777777" w:rsidR="001D7ACD" w:rsidRPr="000D478A" w:rsidRDefault="001D7ACD" w:rsidP="001D7ACD">
      <w:pPr>
        <w:pStyle w:val="NormalWeb"/>
        <w:spacing w:before="0" w:beforeAutospacing="0" w:after="0" w:afterAutospacing="0"/>
        <w:jc w:val="both"/>
        <w:rPr>
          <w:rFonts w:ascii="Arial" w:hAnsi="Arial" w:cs="Arial"/>
          <w:b/>
          <w:lang w:val="mn-MN"/>
        </w:rPr>
      </w:pPr>
    </w:p>
    <w:p w14:paraId="44E80647" w14:textId="008D1ED7" w:rsidR="0019686B" w:rsidRPr="000D478A" w:rsidRDefault="0019686B" w:rsidP="001D7ACD">
      <w:pPr>
        <w:pStyle w:val="NormalWeb"/>
        <w:spacing w:before="0" w:beforeAutospacing="0" w:after="0" w:afterAutospacing="0"/>
        <w:ind w:firstLine="720"/>
        <w:jc w:val="both"/>
        <w:rPr>
          <w:rFonts w:ascii="Arial" w:hAnsi="Arial" w:cs="Arial"/>
          <w:lang w:val="mn-MN"/>
        </w:rPr>
      </w:pPr>
      <w:r w:rsidRPr="000D478A">
        <w:rPr>
          <w:rFonts w:ascii="Arial" w:hAnsi="Arial" w:cs="Arial"/>
          <w:lang w:val="mn-MN"/>
        </w:rPr>
        <w:t>Нийт зардал = (хүний нөөцийн зардал + бусад зардал)  × хүний нөөцийн хэрэгцээ</w:t>
      </w:r>
      <w:r w:rsidR="00B302D4" w:rsidRPr="000D478A">
        <w:rPr>
          <w:rFonts w:ascii="Arial" w:hAnsi="Arial" w:cs="Arial"/>
          <w:lang w:val="mn-MN"/>
        </w:rPr>
        <w:t xml:space="preserve"> = </w:t>
      </w:r>
      <w:r w:rsidR="00FF4518" w:rsidRPr="000D478A">
        <w:rPr>
          <w:rFonts w:ascii="Arial" w:hAnsi="Arial" w:cs="Arial"/>
          <w:lang w:val="mn-MN"/>
        </w:rPr>
        <w:t>6 285 713.2</w:t>
      </w:r>
      <w:r w:rsidR="00FF4518" w:rsidRPr="000D478A">
        <w:rPr>
          <w:rFonts w:ascii="Arial" w:hAnsi="Arial" w:cs="Arial"/>
          <w:i/>
          <w:lang w:val="mn-MN"/>
        </w:rPr>
        <w:t xml:space="preserve"> </w:t>
      </w:r>
      <w:r w:rsidR="00B302D4" w:rsidRPr="000D478A">
        <w:rPr>
          <w:rFonts w:ascii="Arial" w:hAnsi="Arial" w:cs="Arial"/>
          <w:lang w:val="mn-MN"/>
        </w:rPr>
        <w:t>төгрөг+</w:t>
      </w:r>
      <w:r w:rsidR="00FF4518" w:rsidRPr="000D478A">
        <w:rPr>
          <w:rFonts w:ascii="Arial" w:hAnsi="Arial" w:cs="Arial"/>
          <w:lang w:val="mn-MN"/>
        </w:rPr>
        <w:t xml:space="preserve">1 785.7 төгрөг </w:t>
      </w:r>
      <w:r w:rsidR="00B302D4" w:rsidRPr="000D478A">
        <w:rPr>
          <w:rFonts w:ascii="Arial" w:hAnsi="Arial" w:cs="Arial"/>
          <w:lang w:val="mn-MN"/>
        </w:rPr>
        <w:t xml:space="preserve">төгрөг = </w:t>
      </w:r>
      <w:r w:rsidR="00643071" w:rsidRPr="000D478A">
        <w:rPr>
          <w:rFonts w:ascii="Arial" w:hAnsi="Arial" w:cs="Arial"/>
          <w:lang w:val="mn-MN"/>
        </w:rPr>
        <w:t>6 287 498.9</w:t>
      </w:r>
      <w:r w:rsidR="00B302D4" w:rsidRPr="000D478A">
        <w:rPr>
          <w:rFonts w:ascii="Arial" w:hAnsi="Arial" w:cs="Arial"/>
          <w:lang w:val="mn-MN"/>
        </w:rPr>
        <w:t xml:space="preserve"> төгрөг. </w:t>
      </w:r>
    </w:p>
    <w:p w14:paraId="14459EAC" w14:textId="77777777" w:rsidR="00B302D4" w:rsidRPr="000D478A" w:rsidRDefault="00B302D4" w:rsidP="001D7ACD">
      <w:pPr>
        <w:pStyle w:val="NormalWeb"/>
        <w:spacing w:before="0" w:beforeAutospacing="0" w:after="0" w:afterAutospacing="0"/>
        <w:ind w:firstLine="720"/>
        <w:jc w:val="both"/>
        <w:rPr>
          <w:rFonts w:ascii="Arial" w:hAnsi="Arial" w:cs="Arial"/>
          <w:lang w:val="mn-MN"/>
        </w:rPr>
      </w:pPr>
    </w:p>
    <w:p w14:paraId="4DE4EDE5" w14:textId="77777777" w:rsidR="0019686B" w:rsidRPr="000D478A" w:rsidRDefault="0019686B" w:rsidP="001D7ACD">
      <w:pPr>
        <w:pStyle w:val="NormalWeb"/>
        <w:spacing w:before="0" w:beforeAutospacing="0" w:after="0" w:afterAutospacing="0"/>
        <w:ind w:left="720"/>
        <w:jc w:val="both"/>
        <w:rPr>
          <w:rFonts w:ascii="Arial" w:hAnsi="Arial" w:cs="Arial"/>
          <w:b/>
          <w:lang w:val="mn-MN"/>
        </w:rPr>
      </w:pPr>
      <w:r w:rsidRPr="000D478A">
        <w:rPr>
          <w:rFonts w:ascii="Arial" w:hAnsi="Arial" w:cs="Arial"/>
          <w:b/>
          <w:lang w:val="mn-MN"/>
        </w:rPr>
        <w:t>3.5.хувилбар</w:t>
      </w:r>
      <w:r w:rsidR="006256D9" w:rsidRPr="000D478A">
        <w:rPr>
          <w:rFonts w:ascii="Arial" w:hAnsi="Arial" w:cs="Arial"/>
          <w:b/>
          <w:lang w:val="mn-MN"/>
        </w:rPr>
        <w:t>ыг нягталж, үр дүнг танилцуулах</w:t>
      </w:r>
    </w:p>
    <w:p w14:paraId="628759FC" w14:textId="77777777" w:rsidR="001D7ACD" w:rsidRPr="000D478A" w:rsidRDefault="001D7ACD" w:rsidP="001D7ACD">
      <w:pPr>
        <w:pStyle w:val="NormalWeb"/>
        <w:spacing w:before="0" w:beforeAutospacing="0" w:after="0" w:afterAutospacing="0"/>
        <w:ind w:left="720"/>
        <w:jc w:val="both"/>
        <w:rPr>
          <w:rFonts w:ascii="Arial" w:hAnsi="Arial" w:cs="Arial"/>
          <w:b/>
          <w:lang w:val="mn-MN"/>
        </w:rPr>
      </w:pPr>
    </w:p>
    <w:p w14:paraId="7D93F2AF" w14:textId="77777777" w:rsidR="00942870" w:rsidRPr="000D478A" w:rsidRDefault="00492A94" w:rsidP="001D7ACD">
      <w:pPr>
        <w:pStyle w:val="NormalWeb"/>
        <w:spacing w:before="0" w:beforeAutospacing="0" w:after="0" w:afterAutospacing="0"/>
        <w:ind w:firstLine="720"/>
        <w:jc w:val="both"/>
        <w:rPr>
          <w:rFonts w:ascii="Arial" w:hAnsi="Arial" w:cs="Arial"/>
          <w:bCs/>
          <w:iCs/>
          <w:lang w:val="mn-MN"/>
        </w:rPr>
      </w:pPr>
      <w:r w:rsidRPr="000D478A">
        <w:rPr>
          <w:rFonts w:ascii="Arial" w:hAnsi="Arial" w:cs="Arial"/>
          <w:bCs/>
          <w:iCs/>
          <w:lang w:val="mn-MN"/>
        </w:rPr>
        <w:t xml:space="preserve">Хөрөнгийн зах зээлийн дэд бүтцийн системд олон улсын төлбөрийн эсрэг нийлүүлэлтийн зарчмыг нэвтрүүлэх, үүнтэй холбогдох харилцааны зохицуулалтыг тусгасан. </w:t>
      </w:r>
      <w:r w:rsidR="0017610A" w:rsidRPr="000D478A">
        <w:rPr>
          <w:rFonts w:ascii="Arial" w:hAnsi="Arial" w:cs="Arial"/>
          <w:bCs/>
          <w:iCs/>
          <w:lang w:val="mn-MN"/>
        </w:rPr>
        <w:t xml:space="preserve">Үүнээс үүдэн </w:t>
      </w:r>
      <w:r w:rsidR="00E513E6" w:rsidRPr="000D478A">
        <w:rPr>
          <w:rFonts w:ascii="Arial" w:hAnsi="Arial" w:cs="Arial"/>
          <w:bCs/>
          <w:iCs/>
          <w:lang w:val="mn-MN"/>
        </w:rPr>
        <w:t>Үнэт цаасны зах зээлийн тухай хуульд нэмэлт, өөрчлөлт оруулах</w:t>
      </w:r>
      <w:r w:rsidR="0017610A" w:rsidRPr="000D478A">
        <w:rPr>
          <w:rFonts w:ascii="Arial" w:hAnsi="Arial" w:cs="Arial"/>
          <w:bCs/>
          <w:iCs/>
          <w:lang w:val="mn-MN"/>
        </w:rPr>
        <w:t xml:space="preserve"> тухай хуулийг хэрэгжүүлэх, дагаж мөрдөх зардал </w:t>
      </w:r>
      <w:r w:rsidR="005D01F6" w:rsidRPr="000D478A">
        <w:rPr>
          <w:rFonts w:ascii="Arial" w:hAnsi="Arial" w:cs="Arial"/>
          <w:bCs/>
          <w:iCs/>
          <w:lang w:val="mn-MN"/>
        </w:rPr>
        <w:t>одоогийн хэмжээнээс</w:t>
      </w:r>
      <w:r w:rsidR="0017610A" w:rsidRPr="000D478A">
        <w:rPr>
          <w:rFonts w:ascii="Arial" w:hAnsi="Arial" w:cs="Arial"/>
          <w:bCs/>
          <w:iCs/>
          <w:lang w:val="mn-MN"/>
        </w:rPr>
        <w:t xml:space="preserve"> буурна.</w:t>
      </w:r>
      <w:r w:rsidR="001647B2" w:rsidRPr="000D478A">
        <w:rPr>
          <w:rFonts w:ascii="Arial" w:hAnsi="Arial" w:cs="Arial"/>
          <w:bCs/>
          <w:iCs/>
          <w:lang w:val="mn-MN"/>
        </w:rPr>
        <w:t xml:space="preserve"> </w:t>
      </w:r>
    </w:p>
    <w:p w14:paraId="2FD2111F" w14:textId="77777777" w:rsidR="006D4450" w:rsidRPr="000D478A" w:rsidRDefault="006D4450" w:rsidP="00585D08">
      <w:pPr>
        <w:pStyle w:val="NormalWeb"/>
        <w:spacing w:before="0" w:beforeAutospacing="0" w:after="120" w:afterAutospacing="0"/>
        <w:ind w:firstLine="720"/>
        <w:jc w:val="both"/>
        <w:rPr>
          <w:rFonts w:ascii="Arial" w:hAnsi="Arial" w:cs="Arial"/>
          <w:lang w:val="mn-MN"/>
        </w:rPr>
      </w:pPr>
    </w:p>
    <w:p w14:paraId="28E79B52" w14:textId="77777777" w:rsidR="006D4450" w:rsidRPr="000D478A" w:rsidRDefault="006D4450" w:rsidP="00585D08">
      <w:pPr>
        <w:pStyle w:val="NormalWeb"/>
        <w:spacing w:before="0" w:beforeAutospacing="0" w:after="120" w:afterAutospacing="0"/>
        <w:ind w:firstLine="720"/>
        <w:jc w:val="both"/>
        <w:rPr>
          <w:rFonts w:ascii="Arial" w:hAnsi="Arial" w:cs="Arial"/>
          <w:lang w:val="mn-MN"/>
        </w:rPr>
      </w:pPr>
    </w:p>
    <w:p w14:paraId="583E5016" w14:textId="77777777" w:rsidR="007D5E66" w:rsidRPr="000D478A" w:rsidRDefault="007D5E66" w:rsidP="00585D08">
      <w:pPr>
        <w:pStyle w:val="NormalWeb"/>
        <w:spacing w:before="0" w:beforeAutospacing="0" w:after="120" w:afterAutospacing="0"/>
        <w:jc w:val="both"/>
        <w:rPr>
          <w:rFonts w:ascii="Arial" w:hAnsi="Arial" w:cs="Arial"/>
          <w:b/>
          <w:lang w:val="mn-MN"/>
        </w:rPr>
      </w:pPr>
    </w:p>
    <w:sectPr w:rsidR="007D5E66" w:rsidRPr="000D478A" w:rsidSect="00B83778">
      <w:pgSz w:w="11907" w:h="16840" w:code="9"/>
      <w:pgMar w:top="1134" w:right="992" w:bottom="851"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71D8A" w14:textId="77777777" w:rsidR="00082BAC" w:rsidRDefault="00082BAC" w:rsidP="00BF08AD">
      <w:r>
        <w:separator/>
      </w:r>
    </w:p>
  </w:endnote>
  <w:endnote w:type="continuationSeparator" w:id="0">
    <w:p w14:paraId="75102701" w14:textId="77777777" w:rsidR="00082BAC" w:rsidRDefault="00082BAC" w:rsidP="00BF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游明朝">
    <w:charset w:val="80"/>
    <w:family w:val="auto"/>
    <w:pitch w:val="variable"/>
    <w:sig w:usb0="800002E7" w:usb1="2AC7FCFF" w:usb2="00000012" w:usb3="00000000" w:csb0="0002009F" w:csb1="00000000"/>
  </w:font>
  <w:font w:name="Segoe UI">
    <w:altName w:val="Calibri"/>
    <w:charset w:val="00"/>
    <w:family w:val="swiss"/>
    <w:pitch w:val="variable"/>
    <w:sig w:usb0="E4002EFF" w:usb1="C000E47F"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95DF8" w14:textId="77777777" w:rsidR="00082BAC" w:rsidRDefault="00082BAC" w:rsidP="00BF08AD">
      <w:r>
        <w:separator/>
      </w:r>
    </w:p>
  </w:footnote>
  <w:footnote w:type="continuationSeparator" w:id="0">
    <w:p w14:paraId="0F8BB733" w14:textId="77777777" w:rsidR="00082BAC" w:rsidRDefault="00082BAC" w:rsidP="00BF08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140C"/>
    <w:multiLevelType w:val="hybridMultilevel"/>
    <w:tmpl w:val="7CD2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535CAB"/>
    <w:multiLevelType w:val="hybridMultilevel"/>
    <w:tmpl w:val="A246C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E94313"/>
    <w:multiLevelType w:val="hybridMultilevel"/>
    <w:tmpl w:val="EE68AE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2A0E46"/>
    <w:multiLevelType w:val="hybridMultilevel"/>
    <w:tmpl w:val="7CCADE2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24"/>
    <w:rsid w:val="00000B71"/>
    <w:rsid w:val="000078C6"/>
    <w:rsid w:val="00010BEE"/>
    <w:rsid w:val="00012F4E"/>
    <w:rsid w:val="00013B09"/>
    <w:rsid w:val="00016C46"/>
    <w:rsid w:val="00030514"/>
    <w:rsid w:val="000316CF"/>
    <w:rsid w:val="00032681"/>
    <w:rsid w:val="00034FD1"/>
    <w:rsid w:val="00041739"/>
    <w:rsid w:val="00041985"/>
    <w:rsid w:val="00041A52"/>
    <w:rsid w:val="00042639"/>
    <w:rsid w:val="0004378F"/>
    <w:rsid w:val="00057CC6"/>
    <w:rsid w:val="00064B4C"/>
    <w:rsid w:val="0006537D"/>
    <w:rsid w:val="000747CC"/>
    <w:rsid w:val="00074A8B"/>
    <w:rsid w:val="00076DE9"/>
    <w:rsid w:val="00077397"/>
    <w:rsid w:val="000803AA"/>
    <w:rsid w:val="00081F35"/>
    <w:rsid w:val="000824EB"/>
    <w:rsid w:val="00082BAC"/>
    <w:rsid w:val="00083381"/>
    <w:rsid w:val="00090CD9"/>
    <w:rsid w:val="0009182A"/>
    <w:rsid w:val="000939C9"/>
    <w:rsid w:val="000A0C09"/>
    <w:rsid w:val="000A4C6A"/>
    <w:rsid w:val="000A59A4"/>
    <w:rsid w:val="000C5420"/>
    <w:rsid w:val="000D125E"/>
    <w:rsid w:val="000D1C4D"/>
    <w:rsid w:val="000D478A"/>
    <w:rsid w:val="000D5EF5"/>
    <w:rsid w:val="000E1897"/>
    <w:rsid w:val="000E2370"/>
    <w:rsid w:val="000E68B9"/>
    <w:rsid w:val="000F1A1D"/>
    <w:rsid w:val="000F3B96"/>
    <w:rsid w:val="000F3E70"/>
    <w:rsid w:val="000F7927"/>
    <w:rsid w:val="00102B3B"/>
    <w:rsid w:val="00106BB5"/>
    <w:rsid w:val="00107569"/>
    <w:rsid w:val="001101E3"/>
    <w:rsid w:val="00112322"/>
    <w:rsid w:val="00116937"/>
    <w:rsid w:val="00117159"/>
    <w:rsid w:val="001173F1"/>
    <w:rsid w:val="00122792"/>
    <w:rsid w:val="00125830"/>
    <w:rsid w:val="00126C55"/>
    <w:rsid w:val="00134D1A"/>
    <w:rsid w:val="001431B7"/>
    <w:rsid w:val="00145E1E"/>
    <w:rsid w:val="001647B2"/>
    <w:rsid w:val="00166062"/>
    <w:rsid w:val="00174A9C"/>
    <w:rsid w:val="0017610A"/>
    <w:rsid w:val="0018200F"/>
    <w:rsid w:val="00182AFA"/>
    <w:rsid w:val="00192D36"/>
    <w:rsid w:val="0019550F"/>
    <w:rsid w:val="0019686B"/>
    <w:rsid w:val="001A21A9"/>
    <w:rsid w:val="001A2B76"/>
    <w:rsid w:val="001A3003"/>
    <w:rsid w:val="001A4C6E"/>
    <w:rsid w:val="001A571C"/>
    <w:rsid w:val="001B0AA6"/>
    <w:rsid w:val="001B250A"/>
    <w:rsid w:val="001B28D6"/>
    <w:rsid w:val="001B6576"/>
    <w:rsid w:val="001B6756"/>
    <w:rsid w:val="001B6AFE"/>
    <w:rsid w:val="001C113E"/>
    <w:rsid w:val="001C45F8"/>
    <w:rsid w:val="001C4E85"/>
    <w:rsid w:val="001D0A48"/>
    <w:rsid w:val="001D1BB3"/>
    <w:rsid w:val="001D4980"/>
    <w:rsid w:val="001D7ACD"/>
    <w:rsid w:val="001E45CA"/>
    <w:rsid w:val="001E6DDE"/>
    <w:rsid w:val="001E7468"/>
    <w:rsid w:val="001F56A6"/>
    <w:rsid w:val="002111A3"/>
    <w:rsid w:val="0021191C"/>
    <w:rsid w:val="00214940"/>
    <w:rsid w:val="00214AF4"/>
    <w:rsid w:val="00224CEB"/>
    <w:rsid w:val="002252D0"/>
    <w:rsid w:val="002277FD"/>
    <w:rsid w:val="00236EE8"/>
    <w:rsid w:val="00237EAE"/>
    <w:rsid w:val="00240826"/>
    <w:rsid w:val="00240BD9"/>
    <w:rsid w:val="00244272"/>
    <w:rsid w:val="00244633"/>
    <w:rsid w:val="00245FC6"/>
    <w:rsid w:val="00253D91"/>
    <w:rsid w:val="00261C96"/>
    <w:rsid w:val="00264377"/>
    <w:rsid w:val="00270298"/>
    <w:rsid w:val="002732B4"/>
    <w:rsid w:val="00274D6C"/>
    <w:rsid w:val="00280132"/>
    <w:rsid w:val="002859AD"/>
    <w:rsid w:val="002860C1"/>
    <w:rsid w:val="00286EBE"/>
    <w:rsid w:val="00292D5A"/>
    <w:rsid w:val="002A0A92"/>
    <w:rsid w:val="002A1C9A"/>
    <w:rsid w:val="002B41F5"/>
    <w:rsid w:val="002C1E73"/>
    <w:rsid w:val="002C2619"/>
    <w:rsid w:val="002C4A24"/>
    <w:rsid w:val="002C4A76"/>
    <w:rsid w:val="002E50A5"/>
    <w:rsid w:val="002E6CD3"/>
    <w:rsid w:val="002E7E15"/>
    <w:rsid w:val="002F1007"/>
    <w:rsid w:val="002F1D23"/>
    <w:rsid w:val="002F317D"/>
    <w:rsid w:val="002F63BD"/>
    <w:rsid w:val="003027D7"/>
    <w:rsid w:val="0030364D"/>
    <w:rsid w:val="00310CA5"/>
    <w:rsid w:val="00312A52"/>
    <w:rsid w:val="00312C23"/>
    <w:rsid w:val="00313A66"/>
    <w:rsid w:val="003159B2"/>
    <w:rsid w:val="00330B94"/>
    <w:rsid w:val="003424EB"/>
    <w:rsid w:val="0034389E"/>
    <w:rsid w:val="00344F5D"/>
    <w:rsid w:val="003469FF"/>
    <w:rsid w:val="00347550"/>
    <w:rsid w:val="00347C83"/>
    <w:rsid w:val="0035305E"/>
    <w:rsid w:val="00361820"/>
    <w:rsid w:val="00362D0A"/>
    <w:rsid w:val="0036320B"/>
    <w:rsid w:val="00363562"/>
    <w:rsid w:val="003667F3"/>
    <w:rsid w:val="00372E5D"/>
    <w:rsid w:val="003738B1"/>
    <w:rsid w:val="003747FC"/>
    <w:rsid w:val="00377EDA"/>
    <w:rsid w:val="00390883"/>
    <w:rsid w:val="00394D8E"/>
    <w:rsid w:val="003A0D56"/>
    <w:rsid w:val="003A29C1"/>
    <w:rsid w:val="003B1C43"/>
    <w:rsid w:val="003B1CF8"/>
    <w:rsid w:val="003D07DD"/>
    <w:rsid w:val="003D3CCC"/>
    <w:rsid w:val="003D6F5F"/>
    <w:rsid w:val="003E1917"/>
    <w:rsid w:val="003E1E08"/>
    <w:rsid w:val="003E32A2"/>
    <w:rsid w:val="003E6C98"/>
    <w:rsid w:val="003E7398"/>
    <w:rsid w:val="003F3F81"/>
    <w:rsid w:val="003F61DB"/>
    <w:rsid w:val="00403837"/>
    <w:rsid w:val="00410704"/>
    <w:rsid w:val="00410E54"/>
    <w:rsid w:val="00414D55"/>
    <w:rsid w:val="00420FDF"/>
    <w:rsid w:val="0042327B"/>
    <w:rsid w:val="00427671"/>
    <w:rsid w:val="00433192"/>
    <w:rsid w:val="0043674F"/>
    <w:rsid w:val="0044001F"/>
    <w:rsid w:val="00442D44"/>
    <w:rsid w:val="00442E81"/>
    <w:rsid w:val="00451D8E"/>
    <w:rsid w:val="00453F26"/>
    <w:rsid w:val="00457530"/>
    <w:rsid w:val="0046010D"/>
    <w:rsid w:val="00461EE9"/>
    <w:rsid w:val="004645CF"/>
    <w:rsid w:val="00474BDE"/>
    <w:rsid w:val="00480361"/>
    <w:rsid w:val="00483D8C"/>
    <w:rsid w:val="00485BA9"/>
    <w:rsid w:val="00492A94"/>
    <w:rsid w:val="004B3B52"/>
    <w:rsid w:val="004C54B8"/>
    <w:rsid w:val="004D016C"/>
    <w:rsid w:val="004D43F3"/>
    <w:rsid w:val="004E4247"/>
    <w:rsid w:val="004E623B"/>
    <w:rsid w:val="004F112E"/>
    <w:rsid w:val="004F1848"/>
    <w:rsid w:val="004F3ED3"/>
    <w:rsid w:val="005004AD"/>
    <w:rsid w:val="00500C3D"/>
    <w:rsid w:val="005029E3"/>
    <w:rsid w:val="00505B03"/>
    <w:rsid w:val="0051370A"/>
    <w:rsid w:val="005146A3"/>
    <w:rsid w:val="00515191"/>
    <w:rsid w:val="0052132B"/>
    <w:rsid w:val="005217F2"/>
    <w:rsid w:val="005220B3"/>
    <w:rsid w:val="0052576A"/>
    <w:rsid w:val="00525E6D"/>
    <w:rsid w:val="005303FE"/>
    <w:rsid w:val="0053076D"/>
    <w:rsid w:val="00531139"/>
    <w:rsid w:val="00533445"/>
    <w:rsid w:val="00544018"/>
    <w:rsid w:val="00552946"/>
    <w:rsid w:val="00554DEA"/>
    <w:rsid w:val="00555339"/>
    <w:rsid w:val="00557A97"/>
    <w:rsid w:val="00560B87"/>
    <w:rsid w:val="005614EE"/>
    <w:rsid w:val="0057087F"/>
    <w:rsid w:val="00572505"/>
    <w:rsid w:val="00580436"/>
    <w:rsid w:val="005857D0"/>
    <w:rsid w:val="00585D08"/>
    <w:rsid w:val="005924BD"/>
    <w:rsid w:val="005927E3"/>
    <w:rsid w:val="005A0726"/>
    <w:rsid w:val="005A10FE"/>
    <w:rsid w:val="005A2F88"/>
    <w:rsid w:val="005A4060"/>
    <w:rsid w:val="005A4FCB"/>
    <w:rsid w:val="005B4FED"/>
    <w:rsid w:val="005C34D0"/>
    <w:rsid w:val="005C3ACC"/>
    <w:rsid w:val="005C4BFF"/>
    <w:rsid w:val="005C7927"/>
    <w:rsid w:val="005D01F6"/>
    <w:rsid w:val="005D4199"/>
    <w:rsid w:val="005D4A9C"/>
    <w:rsid w:val="005E6787"/>
    <w:rsid w:val="005F1CA1"/>
    <w:rsid w:val="005F2F27"/>
    <w:rsid w:val="005F3489"/>
    <w:rsid w:val="005F4079"/>
    <w:rsid w:val="005F4F37"/>
    <w:rsid w:val="00602A64"/>
    <w:rsid w:val="0060346C"/>
    <w:rsid w:val="00604947"/>
    <w:rsid w:val="00610EF6"/>
    <w:rsid w:val="00614A9C"/>
    <w:rsid w:val="00621D49"/>
    <w:rsid w:val="006256D9"/>
    <w:rsid w:val="006368F2"/>
    <w:rsid w:val="00636A70"/>
    <w:rsid w:val="00637FCC"/>
    <w:rsid w:val="00641EA8"/>
    <w:rsid w:val="00643071"/>
    <w:rsid w:val="00650368"/>
    <w:rsid w:val="00653186"/>
    <w:rsid w:val="0065459F"/>
    <w:rsid w:val="0065554A"/>
    <w:rsid w:val="006718BD"/>
    <w:rsid w:val="006723A0"/>
    <w:rsid w:val="006805A8"/>
    <w:rsid w:val="0068533B"/>
    <w:rsid w:val="00686CD7"/>
    <w:rsid w:val="006952A5"/>
    <w:rsid w:val="006A0FE1"/>
    <w:rsid w:val="006A3213"/>
    <w:rsid w:val="006A53BE"/>
    <w:rsid w:val="006B109C"/>
    <w:rsid w:val="006B2754"/>
    <w:rsid w:val="006B2A64"/>
    <w:rsid w:val="006B74C3"/>
    <w:rsid w:val="006C1CD4"/>
    <w:rsid w:val="006C7261"/>
    <w:rsid w:val="006D1044"/>
    <w:rsid w:val="006D4450"/>
    <w:rsid w:val="006D7BF3"/>
    <w:rsid w:val="006D7CB0"/>
    <w:rsid w:val="006D7FB0"/>
    <w:rsid w:val="006E0BE9"/>
    <w:rsid w:val="006F242D"/>
    <w:rsid w:val="006F3330"/>
    <w:rsid w:val="006F501A"/>
    <w:rsid w:val="007000BB"/>
    <w:rsid w:val="00702700"/>
    <w:rsid w:val="00702C6B"/>
    <w:rsid w:val="007053F2"/>
    <w:rsid w:val="00717686"/>
    <w:rsid w:val="00721316"/>
    <w:rsid w:val="00721806"/>
    <w:rsid w:val="00722336"/>
    <w:rsid w:val="007277B4"/>
    <w:rsid w:val="0073197D"/>
    <w:rsid w:val="007357FD"/>
    <w:rsid w:val="00737D2F"/>
    <w:rsid w:val="007405AA"/>
    <w:rsid w:val="00750039"/>
    <w:rsid w:val="00752E7E"/>
    <w:rsid w:val="0075324A"/>
    <w:rsid w:val="007555D4"/>
    <w:rsid w:val="00761332"/>
    <w:rsid w:val="00763B10"/>
    <w:rsid w:val="00770153"/>
    <w:rsid w:val="00777083"/>
    <w:rsid w:val="00781076"/>
    <w:rsid w:val="00781AF5"/>
    <w:rsid w:val="00786E1A"/>
    <w:rsid w:val="00791FB5"/>
    <w:rsid w:val="00793690"/>
    <w:rsid w:val="0079471A"/>
    <w:rsid w:val="0079707E"/>
    <w:rsid w:val="007A422C"/>
    <w:rsid w:val="007B403E"/>
    <w:rsid w:val="007B5C74"/>
    <w:rsid w:val="007B7B37"/>
    <w:rsid w:val="007C1B29"/>
    <w:rsid w:val="007C2332"/>
    <w:rsid w:val="007C34F8"/>
    <w:rsid w:val="007C7AE8"/>
    <w:rsid w:val="007D1BD0"/>
    <w:rsid w:val="007D453B"/>
    <w:rsid w:val="007D518C"/>
    <w:rsid w:val="007D5E66"/>
    <w:rsid w:val="007E192B"/>
    <w:rsid w:val="007E3B7B"/>
    <w:rsid w:val="007E5269"/>
    <w:rsid w:val="007E5A35"/>
    <w:rsid w:val="007F5DD7"/>
    <w:rsid w:val="00801280"/>
    <w:rsid w:val="00801798"/>
    <w:rsid w:val="00810131"/>
    <w:rsid w:val="00811E58"/>
    <w:rsid w:val="0081663D"/>
    <w:rsid w:val="00826DD8"/>
    <w:rsid w:val="0082708F"/>
    <w:rsid w:val="00837BE1"/>
    <w:rsid w:val="00845272"/>
    <w:rsid w:val="00847699"/>
    <w:rsid w:val="00847CC5"/>
    <w:rsid w:val="00852163"/>
    <w:rsid w:val="00854ABF"/>
    <w:rsid w:val="008614A9"/>
    <w:rsid w:val="0086535A"/>
    <w:rsid w:val="00872A60"/>
    <w:rsid w:val="008749C3"/>
    <w:rsid w:val="00884045"/>
    <w:rsid w:val="00892AF3"/>
    <w:rsid w:val="008A177E"/>
    <w:rsid w:val="008A7727"/>
    <w:rsid w:val="008B0E50"/>
    <w:rsid w:val="008B129C"/>
    <w:rsid w:val="008B1981"/>
    <w:rsid w:val="008B5231"/>
    <w:rsid w:val="008C0241"/>
    <w:rsid w:val="008C49DC"/>
    <w:rsid w:val="008C76A2"/>
    <w:rsid w:val="008C771E"/>
    <w:rsid w:val="008D19D9"/>
    <w:rsid w:val="008D4B88"/>
    <w:rsid w:val="008D7324"/>
    <w:rsid w:val="008D7E75"/>
    <w:rsid w:val="008E4CF5"/>
    <w:rsid w:val="008F15EA"/>
    <w:rsid w:val="008F4007"/>
    <w:rsid w:val="00900BBC"/>
    <w:rsid w:val="00901207"/>
    <w:rsid w:val="00903652"/>
    <w:rsid w:val="00910D24"/>
    <w:rsid w:val="009131DA"/>
    <w:rsid w:val="009154E3"/>
    <w:rsid w:val="00921EAF"/>
    <w:rsid w:val="0093165D"/>
    <w:rsid w:val="009373C0"/>
    <w:rsid w:val="00942870"/>
    <w:rsid w:val="0094691B"/>
    <w:rsid w:val="00947B04"/>
    <w:rsid w:val="00956663"/>
    <w:rsid w:val="00956CCC"/>
    <w:rsid w:val="00962772"/>
    <w:rsid w:val="00962E28"/>
    <w:rsid w:val="009634E2"/>
    <w:rsid w:val="009678DF"/>
    <w:rsid w:val="00973230"/>
    <w:rsid w:val="009754C8"/>
    <w:rsid w:val="00981B09"/>
    <w:rsid w:val="0098691F"/>
    <w:rsid w:val="009916B8"/>
    <w:rsid w:val="009A320F"/>
    <w:rsid w:val="009A3F9B"/>
    <w:rsid w:val="009B1580"/>
    <w:rsid w:val="009B3F79"/>
    <w:rsid w:val="009B58CA"/>
    <w:rsid w:val="009B7F6A"/>
    <w:rsid w:val="009C564D"/>
    <w:rsid w:val="009E1C49"/>
    <w:rsid w:val="009E1D94"/>
    <w:rsid w:val="009E3F27"/>
    <w:rsid w:val="009E5601"/>
    <w:rsid w:val="009E7410"/>
    <w:rsid w:val="009F68BB"/>
    <w:rsid w:val="00A032F5"/>
    <w:rsid w:val="00A06903"/>
    <w:rsid w:val="00A1034F"/>
    <w:rsid w:val="00A1125F"/>
    <w:rsid w:val="00A264CC"/>
    <w:rsid w:val="00A3683A"/>
    <w:rsid w:val="00A40C22"/>
    <w:rsid w:val="00A47BA4"/>
    <w:rsid w:val="00A5033C"/>
    <w:rsid w:val="00A53E6D"/>
    <w:rsid w:val="00A558AB"/>
    <w:rsid w:val="00A60094"/>
    <w:rsid w:val="00A674BB"/>
    <w:rsid w:val="00A72EE4"/>
    <w:rsid w:val="00A80E7A"/>
    <w:rsid w:val="00A86081"/>
    <w:rsid w:val="00A869AF"/>
    <w:rsid w:val="00A92E1A"/>
    <w:rsid w:val="00A9783B"/>
    <w:rsid w:val="00AA62BA"/>
    <w:rsid w:val="00AB007C"/>
    <w:rsid w:val="00AC1973"/>
    <w:rsid w:val="00AD154C"/>
    <w:rsid w:val="00AD16AE"/>
    <w:rsid w:val="00AD3E58"/>
    <w:rsid w:val="00AD4403"/>
    <w:rsid w:val="00AE1319"/>
    <w:rsid w:val="00AF4F09"/>
    <w:rsid w:val="00AF6554"/>
    <w:rsid w:val="00AF752C"/>
    <w:rsid w:val="00B01EEB"/>
    <w:rsid w:val="00B01FCB"/>
    <w:rsid w:val="00B05204"/>
    <w:rsid w:val="00B07C4B"/>
    <w:rsid w:val="00B11EAF"/>
    <w:rsid w:val="00B21005"/>
    <w:rsid w:val="00B302D4"/>
    <w:rsid w:val="00B309FC"/>
    <w:rsid w:val="00B3223D"/>
    <w:rsid w:val="00B35FF6"/>
    <w:rsid w:val="00B361E5"/>
    <w:rsid w:val="00B363D6"/>
    <w:rsid w:val="00B37CC8"/>
    <w:rsid w:val="00B44F4A"/>
    <w:rsid w:val="00B55528"/>
    <w:rsid w:val="00B626FB"/>
    <w:rsid w:val="00B648A5"/>
    <w:rsid w:val="00B67B28"/>
    <w:rsid w:val="00B67D4B"/>
    <w:rsid w:val="00B72CC9"/>
    <w:rsid w:val="00B748CF"/>
    <w:rsid w:val="00B81146"/>
    <w:rsid w:val="00B8169A"/>
    <w:rsid w:val="00B83778"/>
    <w:rsid w:val="00B84C18"/>
    <w:rsid w:val="00BA12DD"/>
    <w:rsid w:val="00BA515E"/>
    <w:rsid w:val="00BA789D"/>
    <w:rsid w:val="00BB2A6B"/>
    <w:rsid w:val="00BB2A9B"/>
    <w:rsid w:val="00BB3C00"/>
    <w:rsid w:val="00BC174C"/>
    <w:rsid w:val="00BC2703"/>
    <w:rsid w:val="00BC29A1"/>
    <w:rsid w:val="00BC3DF5"/>
    <w:rsid w:val="00BC3FC3"/>
    <w:rsid w:val="00BC54B8"/>
    <w:rsid w:val="00BC632C"/>
    <w:rsid w:val="00BD06C3"/>
    <w:rsid w:val="00BD5360"/>
    <w:rsid w:val="00BE2775"/>
    <w:rsid w:val="00BF08AD"/>
    <w:rsid w:val="00BF161A"/>
    <w:rsid w:val="00BF5580"/>
    <w:rsid w:val="00C059AD"/>
    <w:rsid w:val="00C05BDB"/>
    <w:rsid w:val="00C13F22"/>
    <w:rsid w:val="00C151F9"/>
    <w:rsid w:val="00C1724E"/>
    <w:rsid w:val="00C22696"/>
    <w:rsid w:val="00C2714D"/>
    <w:rsid w:val="00C37ED5"/>
    <w:rsid w:val="00C507D6"/>
    <w:rsid w:val="00C5317F"/>
    <w:rsid w:val="00C565EC"/>
    <w:rsid w:val="00C61652"/>
    <w:rsid w:val="00C63FE9"/>
    <w:rsid w:val="00C70158"/>
    <w:rsid w:val="00C86798"/>
    <w:rsid w:val="00C87162"/>
    <w:rsid w:val="00C8716A"/>
    <w:rsid w:val="00C90411"/>
    <w:rsid w:val="00C926AB"/>
    <w:rsid w:val="00C93EE5"/>
    <w:rsid w:val="00C944F4"/>
    <w:rsid w:val="00CA12BB"/>
    <w:rsid w:val="00CA4D59"/>
    <w:rsid w:val="00CA5191"/>
    <w:rsid w:val="00CB434D"/>
    <w:rsid w:val="00CB6956"/>
    <w:rsid w:val="00CC0174"/>
    <w:rsid w:val="00CC02AC"/>
    <w:rsid w:val="00CC4033"/>
    <w:rsid w:val="00CD0288"/>
    <w:rsid w:val="00CD347D"/>
    <w:rsid w:val="00CD58E7"/>
    <w:rsid w:val="00CE5F78"/>
    <w:rsid w:val="00CF04E3"/>
    <w:rsid w:val="00CF4E32"/>
    <w:rsid w:val="00CF5B10"/>
    <w:rsid w:val="00D00AEC"/>
    <w:rsid w:val="00D0104B"/>
    <w:rsid w:val="00D042DF"/>
    <w:rsid w:val="00D10F19"/>
    <w:rsid w:val="00D11334"/>
    <w:rsid w:val="00D124CE"/>
    <w:rsid w:val="00D1345B"/>
    <w:rsid w:val="00D16F74"/>
    <w:rsid w:val="00D207F8"/>
    <w:rsid w:val="00D22981"/>
    <w:rsid w:val="00D23C46"/>
    <w:rsid w:val="00D23F01"/>
    <w:rsid w:val="00D24A5C"/>
    <w:rsid w:val="00D33C84"/>
    <w:rsid w:val="00D362DD"/>
    <w:rsid w:val="00D367F2"/>
    <w:rsid w:val="00D44710"/>
    <w:rsid w:val="00D46618"/>
    <w:rsid w:val="00D4707E"/>
    <w:rsid w:val="00D532A4"/>
    <w:rsid w:val="00D56491"/>
    <w:rsid w:val="00D65656"/>
    <w:rsid w:val="00D67C14"/>
    <w:rsid w:val="00D82769"/>
    <w:rsid w:val="00D8361D"/>
    <w:rsid w:val="00D85A09"/>
    <w:rsid w:val="00D8665C"/>
    <w:rsid w:val="00D870C2"/>
    <w:rsid w:val="00D87D8E"/>
    <w:rsid w:val="00DA6952"/>
    <w:rsid w:val="00DA7766"/>
    <w:rsid w:val="00DB044B"/>
    <w:rsid w:val="00DB44D8"/>
    <w:rsid w:val="00DC2069"/>
    <w:rsid w:val="00DC2C45"/>
    <w:rsid w:val="00DC7A57"/>
    <w:rsid w:val="00DD02C8"/>
    <w:rsid w:val="00DD69B6"/>
    <w:rsid w:val="00DE69CD"/>
    <w:rsid w:val="00DE7208"/>
    <w:rsid w:val="00DF0ABF"/>
    <w:rsid w:val="00DF1F5B"/>
    <w:rsid w:val="00DF6B68"/>
    <w:rsid w:val="00DF6E0C"/>
    <w:rsid w:val="00E00417"/>
    <w:rsid w:val="00E008A0"/>
    <w:rsid w:val="00E0352C"/>
    <w:rsid w:val="00E05266"/>
    <w:rsid w:val="00E11DAE"/>
    <w:rsid w:val="00E11F7B"/>
    <w:rsid w:val="00E123B9"/>
    <w:rsid w:val="00E135E4"/>
    <w:rsid w:val="00E13BC9"/>
    <w:rsid w:val="00E219F2"/>
    <w:rsid w:val="00E2373C"/>
    <w:rsid w:val="00E269F3"/>
    <w:rsid w:val="00E35826"/>
    <w:rsid w:val="00E36FD1"/>
    <w:rsid w:val="00E37F97"/>
    <w:rsid w:val="00E40797"/>
    <w:rsid w:val="00E44E56"/>
    <w:rsid w:val="00E513E6"/>
    <w:rsid w:val="00E5434D"/>
    <w:rsid w:val="00E55A69"/>
    <w:rsid w:val="00E60CB3"/>
    <w:rsid w:val="00E63C89"/>
    <w:rsid w:val="00E66611"/>
    <w:rsid w:val="00E6762D"/>
    <w:rsid w:val="00E700CA"/>
    <w:rsid w:val="00E70B3D"/>
    <w:rsid w:val="00E77963"/>
    <w:rsid w:val="00E77C20"/>
    <w:rsid w:val="00E812C6"/>
    <w:rsid w:val="00E82CAD"/>
    <w:rsid w:val="00E83F16"/>
    <w:rsid w:val="00E8777F"/>
    <w:rsid w:val="00E95EB4"/>
    <w:rsid w:val="00E96234"/>
    <w:rsid w:val="00E977BF"/>
    <w:rsid w:val="00EA2178"/>
    <w:rsid w:val="00EA3D35"/>
    <w:rsid w:val="00EA4B62"/>
    <w:rsid w:val="00EA5856"/>
    <w:rsid w:val="00EB483F"/>
    <w:rsid w:val="00EB68D4"/>
    <w:rsid w:val="00EC5E80"/>
    <w:rsid w:val="00EC6616"/>
    <w:rsid w:val="00EC6CE8"/>
    <w:rsid w:val="00ED0263"/>
    <w:rsid w:val="00ED44F1"/>
    <w:rsid w:val="00ED4C56"/>
    <w:rsid w:val="00EE423D"/>
    <w:rsid w:val="00EF072C"/>
    <w:rsid w:val="00EF5B38"/>
    <w:rsid w:val="00F032D2"/>
    <w:rsid w:val="00F05B19"/>
    <w:rsid w:val="00F1067F"/>
    <w:rsid w:val="00F1267C"/>
    <w:rsid w:val="00F12958"/>
    <w:rsid w:val="00F13C9A"/>
    <w:rsid w:val="00F16C30"/>
    <w:rsid w:val="00F21CFA"/>
    <w:rsid w:val="00F25C6C"/>
    <w:rsid w:val="00F33F31"/>
    <w:rsid w:val="00F355EA"/>
    <w:rsid w:val="00F452C2"/>
    <w:rsid w:val="00F52F32"/>
    <w:rsid w:val="00F6006B"/>
    <w:rsid w:val="00F6119E"/>
    <w:rsid w:val="00F6525E"/>
    <w:rsid w:val="00F6612A"/>
    <w:rsid w:val="00F6763A"/>
    <w:rsid w:val="00F72EBD"/>
    <w:rsid w:val="00F72FA2"/>
    <w:rsid w:val="00F745F0"/>
    <w:rsid w:val="00F76EBD"/>
    <w:rsid w:val="00F8020B"/>
    <w:rsid w:val="00F81EC6"/>
    <w:rsid w:val="00F91708"/>
    <w:rsid w:val="00F9552F"/>
    <w:rsid w:val="00FA0257"/>
    <w:rsid w:val="00FA1805"/>
    <w:rsid w:val="00FA2AF0"/>
    <w:rsid w:val="00FA4D8E"/>
    <w:rsid w:val="00FB11BC"/>
    <w:rsid w:val="00FB5B8E"/>
    <w:rsid w:val="00FC2C27"/>
    <w:rsid w:val="00FC5E19"/>
    <w:rsid w:val="00FD1F7C"/>
    <w:rsid w:val="00FD2A68"/>
    <w:rsid w:val="00FD439E"/>
    <w:rsid w:val="00FD6605"/>
    <w:rsid w:val="00FE42FD"/>
    <w:rsid w:val="00FE466A"/>
    <w:rsid w:val="00FF34BF"/>
    <w:rsid w:val="00FF4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DAF1"/>
  <w15:docId w15:val="{36AD72FF-55E0-4222-AE8A-2302088E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A24"/>
    <w:pPr>
      <w:spacing w:after="0"/>
    </w:pPr>
    <w:rPr>
      <w:rFonts w:ascii="Verdana" w:eastAsia="Verdana" w:hAnsi="Verdana" w:cs="Times New Roman"/>
      <w:sz w:val="15"/>
      <w:szCs w:val="16"/>
    </w:rPr>
  </w:style>
  <w:style w:type="paragraph" w:styleId="Heading3">
    <w:name w:val="heading 3"/>
    <w:basedOn w:val="Normal"/>
    <w:link w:val="Heading3Char"/>
    <w:uiPriority w:val="9"/>
    <w:qFormat/>
    <w:rsid w:val="00237EAE"/>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A24"/>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2C4A24"/>
    <w:rPr>
      <w:i/>
      <w:iCs/>
    </w:rPr>
  </w:style>
  <w:style w:type="character" w:styleId="Strong">
    <w:name w:val="Strong"/>
    <w:basedOn w:val="DefaultParagraphFont"/>
    <w:uiPriority w:val="22"/>
    <w:qFormat/>
    <w:rsid w:val="002C4A24"/>
    <w:rPr>
      <w:b/>
      <w:bCs/>
    </w:rPr>
  </w:style>
  <w:style w:type="character" w:styleId="Hyperlink">
    <w:name w:val="Hyperlink"/>
    <w:basedOn w:val="DefaultParagraphFont"/>
    <w:uiPriority w:val="99"/>
    <w:semiHidden/>
    <w:unhideWhenUsed/>
    <w:rsid w:val="002C4A24"/>
    <w:rPr>
      <w:color w:val="0000FF"/>
      <w:u w:val="single"/>
    </w:rPr>
  </w:style>
  <w:style w:type="paragraph" w:customStyle="1" w:styleId="Default">
    <w:name w:val="Default"/>
    <w:rsid w:val="00554DEA"/>
    <w:pPr>
      <w:autoSpaceDE w:val="0"/>
      <w:autoSpaceDN w:val="0"/>
      <w:adjustRightInd w:val="0"/>
      <w:spacing w:after="0"/>
    </w:pPr>
    <w:rPr>
      <w:rFonts w:cs="Arial"/>
      <w:color w:val="000000"/>
      <w:szCs w:val="24"/>
    </w:rPr>
  </w:style>
  <w:style w:type="character" w:customStyle="1" w:styleId="Heading3Char">
    <w:name w:val="Heading 3 Char"/>
    <w:basedOn w:val="DefaultParagraphFont"/>
    <w:link w:val="Heading3"/>
    <w:uiPriority w:val="9"/>
    <w:rsid w:val="00237EA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237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EAE"/>
    <w:rPr>
      <w:rFonts w:ascii="Segoe UI" w:eastAsia="Verdana" w:hAnsi="Segoe UI" w:cs="Segoe UI"/>
      <w:sz w:val="18"/>
      <w:szCs w:val="18"/>
    </w:rPr>
  </w:style>
  <w:style w:type="paragraph" w:styleId="Header">
    <w:name w:val="header"/>
    <w:basedOn w:val="Normal"/>
    <w:link w:val="HeaderChar"/>
    <w:uiPriority w:val="99"/>
    <w:unhideWhenUsed/>
    <w:rsid w:val="00BF08AD"/>
    <w:pPr>
      <w:tabs>
        <w:tab w:val="center" w:pos="4680"/>
        <w:tab w:val="right" w:pos="9360"/>
      </w:tabs>
    </w:pPr>
  </w:style>
  <w:style w:type="character" w:customStyle="1" w:styleId="HeaderChar">
    <w:name w:val="Header Char"/>
    <w:basedOn w:val="DefaultParagraphFont"/>
    <w:link w:val="Header"/>
    <w:uiPriority w:val="99"/>
    <w:rsid w:val="00BF08AD"/>
    <w:rPr>
      <w:rFonts w:ascii="Verdana" w:eastAsia="Verdana" w:hAnsi="Verdana" w:cs="Times New Roman"/>
      <w:sz w:val="15"/>
      <w:szCs w:val="16"/>
    </w:rPr>
  </w:style>
  <w:style w:type="paragraph" w:styleId="Footer">
    <w:name w:val="footer"/>
    <w:basedOn w:val="Normal"/>
    <w:link w:val="FooterChar"/>
    <w:uiPriority w:val="99"/>
    <w:unhideWhenUsed/>
    <w:rsid w:val="00BF08AD"/>
    <w:pPr>
      <w:tabs>
        <w:tab w:val="center" w:pos="4680"/>
        <w:tab w:val="right" w:pos="9360"/>
      </w:tabs>
    </w:pPr>
  </w:style>
  <w:style w:type="character" w:customStyle="1" w:styleId="FooterChar">
    <w:name w:val="Footer Char"/>
    <w:basedOn w:val="DefaultParagraphFont"/>
    <w:link w:val="Footer"/>
    <w:uiPriority w:val="99"/>
    <w:rsid w:val="00BF08AD"/>
    <w:rPr>
      <w:rFonts w:ascii="Verdana" w:eastAsia="Verdana" w:hAnsi="Verdana" w:cs="Times New Roman"/>
      <w:sz w:val="15"/>
      <w:szCs w:val="16"/>
    </w:rPr>
  </w:style>
  <w:style w:type="paragraph" w:styleId="ListParagraph">
    <w:name w:val="List Paragraph"/>
    <w:basedOn w:val="Normal"/>
    <w:uiPriority w:val="34"/>
    <w:qFormat/>
    <w:rsid w:val="00FD2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6614">
      <w:bodyDiv w:val="1"/>
      <w:marLeft w:val="0"/>
      <w:marRight w:val="0"/>
      <w:marTop w:val="0"/>
      <w:marBottom w:val="0"/>
      <w:divBdr>
        <w:top w:val="none" w:sz="0" w:space="0" w:color="auto"/>
        <w:left w:val="none" w:sz="0" w:space="0" w:color="auto"/>
        <w:bottom w:val="none" w:sz="0" w:space="0" w:color="auto"/>
        <w:right w:val="none" w:sz="0" w:space="0" w:color="auto"/>
      </w:divBdr>
    </w:div>
    <w:div w:id="280189052">
      <w:bodyDiv w:val="1"/>
      <w:marLeft w:val="0"/>
      <w:marRight w:val="0"/>
      <w:marTop w:val="0"/>
      <w:marBottom w:val="0"/>
      <w:divBdr>
        <w:top w:val="none" w:sz="0" w:space="0" w:color="auto"/>
        <w:left w:val="none" w:sz="0" w:space="0" w:color="auto"/>
        <w:bottom w:val="none" w:sz="0" w:space="0" w:color="auto"/>
        <w:right w:val="none" w:sz="0" w:space="0" w:color="auto"/>
      </w:divBdr>
    </w:div>
    <w:div w:id="366564431">
      <w:bodyDiv w:val="1"/>
      <w:marLeft w:val="0"/>
      <w:marRight w:val="0"/>
      <w:marTop w:val="0"/>
      <w:marBottom w:val="0"/>
      <w:divBdr>
        <w:top w:val="none" w:sz="0" w:space="0" w:color="auto"/>
        <w:left w:val="none" w:sz="0" w:space="0" w:color="auto"/>
        <w:bottom w:val="none" w:sz="0" w:space="0" w:color="auto"/>
        <w:right w:val="none" w:sz="0" w:space="0" w:color="auto"/>
      </w:divBdr>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735905311">
      <w:bodyDiv w:val="1"/>
      <w:marLeft w:val="0"/>
      <w:marRight w:val="0"/>
      <w:marTop w:val="0"/>
      <w:marBottom w:val="0"/>
      <w:divBdr>
        <w:top w:val="none" w:sz="0" w:space="0" w:color="auto"/>
        <w:left w:val="none" w:sz="0" w:space="0" w:color="auto"/>
        <w:bottom w:val="none" w:sz="0" w:space="0" w:color="auto"/>
        <w:right w:val="none" w:sz="0" w:space="0" w:color="auto"/>
      </w:divBdr>
    </w:div>
    <w:div w:id="785469931">
      <w:bodyDiv w:val="1"/>
      <w:marLeft w:val="0"/>
      <w:marRight w:val="0"/>
      <w:marTop w:val="0"/>
      <w:marBottom w:val="0"/>
      <w:divBdr>
        <w:top w:val="none" w:sz="0" w:space="0" w:color="auto"/>
        <w:left w:val="none" w:sz="0" w:space="0" w:color="auto"/>
        <w:bottom w:val="none" w:sz="0" w:space="0" w:color="auto"/>
        <w:right w:val="none" w:sz="0" w:space="0" w:color="auto"/>
      </w:divBdr>
    </w:div>
    <w:div w:id="830950917">
      <w:bodyDiv w:val="1"/>
      <w:marLeft w:val="0"/>
      <w:marRight w:val="0"/>
      <w:marTop w:val="0"/>
      <w:marBottom w:val="0"/>
      <w:divBdr>
        <w:top w:val="none" w:sz="0" w:space="0" w:color="auto"/>
        <w:left w:val="none" w:sz="0" w:space="0" w:color="auto"/>
        <w:bottom w:val="none" w:sz="0" w:space="0" w:color="auto"/>
        <w:right w:val="none" w:sz="0" w:space="0" w:color="auto"/>
      </w:divBdr>
    </w:div>
    <w:div w:id="869146830">
      <w:bodyDiv w:val="1"/>
      <w:marLeft w:val="0"/>
      <w:marRight w:val="0"/>
      <w:marTop w:val="0"/>
      <w:marBottom w:val="0"/>
      <w:divBdr>
        <w:top w:val="none" w:sz="0" w:space="0" w:color="auto"/>
        <w:left w:val="none" w:sz="0" w:space="0" w:color="auto"/>
        <w:bottom w:val="none" w:sz="0" w:space="0" w:color="auto"/>
        <w:right w:val="none" w:sz="0" w:space="0" w:color="auto"/>
      </w:divBdr>
    </w:div>
    <w:div w:id="1020474329">
      <w:bodyDiv w:val="1"/>
      <w:marLeft w:val="0"/>
      <w:marRight w:val="0"/>
      <w:marTop w:val="0"/>
      <w:marBottom w:val="0"/>
      <w:divBdr>
        <w:top w:val="none" w:sz="0" w:space="0" w:color="auto"/>
        <w:left w:val="none" w:sz="0" w:space="0" w:color="auto"/>
        <w:bottom w:val="none" w:sz="0" w:space="0" w:color="auto"/>
        <w:right w:val="none" w:sz="0" w:space="0" w:color="auto"/>
      </w:divBdr>
    </w:div>
    <w:div w:id="1031567053">
      <w:bodyDiv w:val="1"/>
      <w:marLeft w:val="0"/>
      <w:marRight w:val="0"/>
      <w:marTop w:val="0"/>
      <w:marBottom w:val="0"/>
      <w:divBdr>
        <w:top w:val="none" w:sz="0" w:space="0" w:color="auto"/>
        <w:left w:val="none" w:sz="0" w:space="0" w:color="auto"/>
        <w:bottom w:val="none" w:sz="0" w:space="0" w:color="auto"/>
        <w:right w:val="none" w:sz="0" w:space="0" w:color="auto"/>
      </w:divBdr>
    </w:div>
    <w:div w:id="1120220716">
      <w:bodyDiv w:val="1"/>
      <w:marLeft w:val="0"/>
      <w:marRight w:val="0"/>
      <w:marTop w:val="0"/>
      <w:marBottom w:val="0"/>
      <w:divBdr>
        <w:top w:val="none" w:sz="0" w:space="0" w:color="auto"/>
        <w:left w:val="none" w:sz="0" w:space="0" w:color="auto"/>
        <w:bottom w:val="none" w:sz="0" w:space="0" w:color="auto"/>
        <w:right w:val="none" w:sz="0" w:space="0" w:color="auto"/>
      </w:divBdr>
    </w:div>
    <w:div w:id="1136795066">
      <w:bodyDiv w:val="1"/>
      <w:marLeft w:val="0"/>
      <w:marRight w:val="0"/>
      <w:marTop w:val="0"/>
      <w:marBottom w:val="0"/>
      <w:divBdr>
        <w:top w:val="none" w:sz="0" w:space="0" w:color="auto"/>
        <w:left w:val="none" w:sz="0" w:space="0" w:color="auto"/>
        <w:bottom w:val="none" w:sz="0" w:space="0" w:color="auto"/>
        <w:right w:val="none" w:sz="0" w:space="0" w:color="auto"/>
      </w:divBdr>
    </w:div>
    <w:div w:id="1307466938">
      <w:bodyDiv w:val="1"/>
      <w:marLeft w:val="0"/>
      <w:marRight w:val="0"/>
      <w:marTop w:val="0"/>
      <w:marBottom w:val="0"/>
      <w:divBdr>
        <w:top w:val="none" w:sz="0" w:space="0" w:color="auto"/>
        <w:left w:val="none" w:sz="0" w:space="0" w:color="auto"/>
        <w:bottom w:val="none" w:sz="0" w:space="0" w:color="auto"/>
        <w:right w:val="none" w:sz="0" w:space="0" w:color="auto"/>
      </w:divBdr>
    </w:div>
    <w:div w:id="1364593917">
      <w:bodyDiv w:val="1"/>
      <w:marLeft w:val="0"/>
      <w:marRight w:val="0"/>
      <w:marTop w:val="0"/>
      <w:marBottom w:val="0"/>
      <w:divBdr>
        <w:top w:val="none" w:sz="0" w:space="0" w:color="auto"/>
        <w:left w:val="none" w:sz="0" w:space="0" w:color="auto"/>
        <w:bottom w:val="none" w:sz="0" w:space="0" w:color="auto"/>
        <w:right w:val="none" w:sz="0" w:space="0" w:color="auto"/>
      </w:divBdr>
    </w:div>
    <w:div w:id="1619339934">
      <w:bodyDiv w:val="1"/>
      <w:marLeft w:val="0"/>
      <w:marRight w:val="0"/>
      <w:marTop w:val="0"/>
      <w:marBottom w:val="0"/>
      <w:divBdr>
        <w:top w:val="none" w:sz="0" w:space="0" w:color="auto"/>
        <w:left w:val="none" w:sz="0" w:space="0" w:color="auto"/>
        <w:bottom w:val="none" w:sz="0" w:space="0" w:color="auto"/>
        <w:right w:val="none" w:sz="0" w:space="0" w:color="auto"/>
      </w:divBdr>
    </w:div>
    <w:div w:id="1653215393">
      <w:bodyDiv w:val="1"/>
      <w:marLeft w:val="0"/>
      <w:marRight w:val="0"/>
      <w:marTop w:val="0"/>
      <w:marBottom w:val="0"/>
      <w:divBdr>
        <w:top w:val="none" w:sz="0" w:space="0" w:color="auto"/>
        <w:left w:val="none" w:sz="0" w:space="0" w:color="auto"/>
        <w:bottom w:val="none" w:sz="0" w:space="0" w:color="auto"/>
        <w:right w:val="none" w:sz="0" w:space="0" w:color="auto"/>
      </w:divBdr>
    </w:div>
    <w:div w:id="1685980694">
      <w:bodyDiv w:val="1"/>
      <w:marLeft w:val="0"/>
      <w:marRight w:val="0"/>
      <w:marTop w:val="0"/>
      <w:marBottom w:val="0"/>
      <w:divBdr>
        <w:top w:val="none" w:sz="0" w:space="0" w:color="auto"/>
        <w:left w:val="none" w:sz="0" w:space="0" w:color="auto"/>
        <w:bottom w:val="none" w:sz="0" w:space="0" w:color="auto"/>
        <w:right w:val="none" w:sz="0" w:space="0" w:color="auto"/>
      </w:divBdr>
    </w:div>
    <w:div w:id="1727333732">
      <w:bodyDiv w:val="1"/>
      <w:marLeft w:val="0"/>
      <w:marRight w:val="0"/>
      <w:marTop w:val="0"/>
      <w:marBottom w:val="0"/>
      <w:divBdr>
        <w:top w:val="none" w:sz="0" w:space="0" w:color="auto"/>
        <w:left w:val="none" w:sz="0" w:space="0" w:color="auto"/>
        <w:bottom w:val="none" w:sz="0" w:space="0" w:color="auto"/>
        <w:right w:val="none" w:sz="0" w:space="0" w:color="auto"/>
      </w:divBdr>
    </w:div>
    <w:div w:id="1782071289">
      <w:bodyDiv w:val="1"/>
      <w:marLeft w:val="0"/>
      <w:marRight w:val="0"/>
      <w:marTop w:val="0"/>
      <w:marBottom w:val="0"/>
      <w:divBdr>
        <w:top w:val="none" w:sz="0" w:space="0" w:color="auto"/>
        <w:left w:val="none" w:sz="0" w:space="0" w:color="auto"/>
        <w:bottom w:val="none" w:sz="0" w:space="0" w:color="auto"/>
        <w:right w:val="none" w:sz="0" w:space="0" w:color="auto"/>
      </w:divBdr>
    </w:div>
    <w:div w:id="1925071496">
      <w:bodyDiv w:val="1"/>
      <w:marLeft w:val="0"/>
      <w:marRight w:val="0"/>
      <w:marTop w:val="0"/>
      <w:marBottom w:val="0"/>
      <w:divBdr>
        <w:top w:val="none" w:sz="0" w:space="0" w:color="auto"/>
        <w:left w:val="none" w:sz="0" w:space="0" w:color="auto"/>
        <w:bottom w:val="none" w:sz="0" w:space="0" w:color="auto"/>
        <w:right w:val="none" w:sz="0" w:space="0" w:color="auto"/>
      </w:divBdr>
    </w:div>
    <w:div w:id="1975328043">
      <w:bodyDiv w:val="1"/>
      <w:marLeft w:val="0"/>
      <w:marRight w:val="0"/>
      <w:marTop w:val="0"/>
      <w:marBottom w:val="0"/>
      <w:divBdr>
        <w:top w:val="none" w:sz="0" w:space="0" w:color="auto"/>
        <w:left w:val="none" w:sz="0" w:space="0" w:color="auto"/>
        <w:bottom w:val="none" w:sz="0" w:space="0" w:color="auto"/>
        <w:right w:val="none" w:sz="0" w:space="0" w:color="auto"/>
      </w:divBdr>
    </w:div>
    <w:div w:id="198889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SharedWithUsers xmlns="ae4463b2-e8b1-4da3-a06c-0ee4fb348e4b">
      <UserInfo>
        <DisplayName>Чулуун Энхтуяа</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3" ma:contentTypeDescription="Create a new document." ma:contentTypeScope="" ma:versionID="f96698c679d0e9b7658fed4531bcda18">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81860d8b5102cbfd2a2dbb96d0ca4ba5"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c555b-3272-4fe8-a45f-c1764148281d}"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52DF1-D967-4CE7-AD75-3EFC1274E143}">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7F4692B3-28B3-4410-A259-E4DE833D2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FE5B5-3AFF-4BFB-A5FC-167A3389ED98}">
  <ds:schemaRefs>
    <ds:schemaRef ds:uri="http://schemas.microsoft.com/sharepoint/v3/contenttype/forms"/>
  </ds:schemaRefs>
</ds:datastoreItem>
</file>

<file path=customXml/itemProps4.xml><?xml version="1.0" encoding="utf-8"?>
<ds:datastoreItem xmlns:ds="http://schemas.openxmlformats.org/officeDocument/2006/customXml" ds:itemID="{7FA3C182-4E43-6543-B334-AAC3CAB7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9900</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 Б</dc:creator>
  <cp:lastModifiedBy>Microsoft Office User</cp:lastModifiedBy>
  <cp:revision>2</cp:revision>
  <dcterms:created xsi:type="dcterms:W3CDTF">2024-01-02T05:49:00Z</dcterms:created>
  <dcterms:modified xsi:type="dcterms:W3CDTF">2024-01-02T05:49:00Z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GrammarlyDocumentId">
    <vt:lpwstr>0388036c14e94f97c1362408ef66f9270fb861d028d9aae2c7a656eac4bb9bfa</vt:lpwstr>
  </property>
  <property fmtid="{D5CDD505-2E9C-101B-9397-08002B2CF9AE}" pid="4" name="MediaServiceImageTags">
    <vt:lpwstr/>
  </property>
</Properties>
</file>