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0DE4D" w14:textId="23344E0B" w:rsidR="00B7293D" w:rsidRPr="00B33487" w:rsidRDefault="00C70D76" w:rsidP="00F92A9E">
      <w:pPr>
        <w:pStyle w:val="NoSpacing"/>
        <w:spacing w:after="120"/>
        <w:jc w:val="center"/>
        <w:rPr>
          <w:rFonts w:ascii="Arial" w:hAnsi="Arial" w:cs="Arial"/>
          <w:b/>
          <w:sz w:val="24"/>
          <w:szCs w:val="24"/>
          <w:lang w:val="mn-MN"/>
        </w:rPr>
      </w:pPr>
      <w:bookmarkStart w:id="0" w:name="_GoBack"/>
      <w:bookmarkEnd w:id="0"/>
      <w:r w:rsidRPr="00B33487">
        <w:rPr>
          <w:rFonts w:ascii="Arial" w:hAnsi="Arial" w:cs="Arial"/>
          <w:b/>
          <w:sz w:val="24"/>
          <w:szCs w:val="24"/>
          <w:lang w:val="mn-MN"/>
        </w:rPr>
        <w:t xml:space="preserve">ҮНЭТ ЦААСНЫ ЗАХ ЗЭЭЛИЙН ТУХАЙ </w:t>
      </w:r>
      <w:r w:rsidR="00743CEC" w:rsidRPr="00B33487">
        <w:rPr>
          <w:rFonts w:ascii="Arial" w:hAnsi="Arial" w:cs="Arial"/>
          <w:b/>
          <w:sz w:val="24"/>
          <w:szCs w:val="24"/>
          <w:lang w:val="mn-MN"/>
        </w:rPr>
        <w:t>ХУУЛЬД НЭМЭЛТ, ӨӨРЧЛӨЛТ ОРУУЛАХ ТУХАЙ ХУУЛИЙН</w:t>
      </w:r>
      <w:r w:rsidR="00B7293D" w:rsidRPr="00B33487">
        <w:rPr>
          <w:rFonts w:ascii="Arial" w:hAnsi="Arial" w:cs="Arial"/>
          <w:b/>
          <w:sz w:val="24"/>
          <w:szCs w:val="24"/>
          <w:lang w:val="mn-MN"/>
        </w:rPr>
        <w:t xml:space="preserve"> ТӨСЛИЙН ҮР НӨЛӨӨ ҮНЭЛЭХ</w:t>
      </w:r>
      <w:r w:rsidR="00D866FB" w:rsidRPr="00B33487">
        <w:rPr>
          <w:rFonts w:ascii="Arial" w:hAnsi="Arial" w:cs="Arial"/>
          <w:b/>
          <w:sz w:val="24"/>
          <w:szCs w:val="24"/>
          <w:lang w:val="mn-MN"/>
        </w:rPr>
        <w:t xml:space="preserve"> </w:t>
      </w:r>
      <w:r w:rsidR="00B7293D" w:rsidRPr="00B33487">
        <w:rPr>
          <w:rFonts w:ascii="Arial" w:hAnsi="Arial" w:cs="Arial"/>
          <w:b/>
          <w:sz w:val="24"/>
          <w:szCs w:val="24"/>
          <w:lang w:val="mn-MN"/>
        </w:rPr>
        <w:t>СУДАЛГААНЫ ТАЙЛАН</w:t>
      </w:r>
    </w:p>
    <w:p w14:paraId="495D33C5" w14:textId="77777777" w:rsidR="00B7293D" w:rsidRPr="00B33487" w:rsidRDefault="00B7293D" w:rsidP="00F92A9E">
      <w:pPr>
        <w:spacing w:after="120" w:line="240" w:lineRule="auto"/>
        <w:jc w:val="center"/>
        <w:rPr>
          <w:rFonts w:ascii="Arial" w:hAnsi="Arial" w:cs="Arial"/>
          <w:b/>
          <w:sz w:val="24"/>
          <w:szCs w:val="24"/>
          <w:lang w:val="mn-MN"/>
        </w:rPr>
      </w:pPr>
    </w:p>
    <w:p w14:paraId="1797F9E4" w14:textId="77777777" w:rsidR="00B7293D" w:rsidRPr="00B33487" w:rsidRDefault="00B7293D" w:rsidP="00F92A9E">
      <w:pPr>
        <w:spacing w:after="120" w:line="240" w:lineRule="auto"/>
        <w:jc w:val="center"/>
        <w:rPr>
          <w:rFonts w:ascii="Arial" w:hAnsi="Arial" w:cs="Arial"/>
          <w:b/>
          <w:sz w:val="24"/>
          <w:szCs w:val="24"/>
          <w:lang w:val="mn-MN"/>
        </w:rPr>
      </w:pPr>
      <w:r w:rsidRPr="00B33487">
        <w:rPr>
          <w:rFonts w:ascii="Arial" w:hAnsi="Arial" w:cs="Arial"/>
          <w:b/>
          <w:sz w:val="24"/>
          <w:szCs w:val="24"/>
          <w:lang w:val="mn-MN"/>
        </w:rPr>
        <w:t>НЭГ. ЕРӨНХИЙ ЗҮЙЛ</w:t>
      </w:r>
    </w:p>
    <w:p w14:paraId="3C5A53D4" w14:textId="1E55E708" w:rsidR="00B7293D" w:rsidRPr="00B33487" w:rsidRDefault="00B7293D"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 xml:space="preserve">Энэхүү үнэлгээг Сангийн яамнаас боловсруулсан </w:t>
      </w:r>
      <w:r w:rsidR="00A24698" w:rsidRPr="00B33487">
        <w:rPr>
          <w:rFonts w:ascii="Arial" w:hAnsi="Arial" w:cs="Arial"/>
          <w:sz w:val="24"/>
          <w:szCs w:val="24"/>
          <w:lang w:val="mn-MN"/>
        </w:rPr>
        <w:t>Үнэт цаасны зах зээлийн тухай</w:t>
      </w:r>
      <w:r w:rsidR="00A527F5" w:rsidRPr="00B33487">
        <w:rPr>
          <w:rFonts w:ascii="Arial" w:hAnsi="Arial" w:cs="Arial"/>
          <w:sz w:val="24"/>
          <w:szCs w:val="24"/>
          <w:lang w:val="mn-MN"/>
        </w:rPr>
        <w:t xml:space="preserve"> хуульд нэмэлт, өөрчлөлт оруулах тухай</w:t>
      </w:r>
      <w:r w:rsidRPr="00B33487">
        <w:rPr>
          <w:rFonts w:ascii="Arial" w:hAnsi="Arial" w:cs="Arial"/>
          <w:sz w:val="24"/>
          <w:szCs w:val="24"/>
          <w:lang w:val="mn-MN"/>
        </w:rPr>
        <w:t xml:space="preserve"> хуулийн төслийн зүйл,</w:t>
      </w:r>
      <w:r w:rsidR="00194683" w:rsidRPr="00B33487">
        <w:rPr>
          <w:rFonts w:ascii="Arial" w:hAnsi="Arial" w:cs="Arial"/>
          <w:sz w:val="24"/>
          <w:szCs w:val="24"/>
          <w:lang w:val="mn-MN"/>
        </w:rPr>
        <w:t xml:space="preserve"> хэсэг,</w:t>
      </w:r>
      <w:r w:rsidRPr="00B33487">
        <w:rPr>
          <w:rFonts w:ascii="Arial" w:hAnsi="Arial" w:cs="Arial"/>
          <w:sz w:val="24"/>
          <w:szCs w:val="24"/>
          <w:lang w:val="mn-MN"/>
        </w:rPr>
        <w:t xml:space="preserve"> заалтад Хууль тогтоомжийн тухай хуулийн</w:t>
      </w:r>
      <w:r w:rsidRPr="00B33487">
        <w:rPr>
          <w:rStyle w:val="FootnoteReference"/>
          <w:rFonts w:ascii="Arial" w:hAnsi="Arial" w:cs="Arial"/>
          <w:sz w:val="24"/>
          <w:szCs w:val="24"/>
          <w:lang w:val="mn-MN"/>
        </w:rPr>
        <w:footnoteReference w:id="1"/>
      </w:r>
      <w:r w:rsidR="002A4FFB" w:rsidRPr="00B33487">
        <w:rPr>
          <w:rFonts w:ascii="Arial" w:hAnsi="Arial" w:cs="Arial"/>
          <w:sz w:val="24"/>
          <w:szCs w:val="24"/>
          <w:lang w:val="mn-MN"/>
        </w:rPr>
        <w:t xml:space="preserve"> </w:t>
      </w:r>
      <w:r w:rsidRPr="00B33487">
        <w:rPr>
          <w:rFonts w:ascii="Arial" w:hAnsi="Arial" w:cs="Arial"/>
          <w:sz w:val="24"/>
          <w:szCs w:val="24"/>
          <w:lang w:val="mn-MN"/>
        </w:rPr>
        <w:t xml:space="preserve">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7D65FD8A" w14:textId="27CC78BC" w:rsidR="00B7293D" w:rsidRPr="00B33487" w:rsidRDefault="00B7293D"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Үнэлгээ хийхээр сонгож авсан хуулий</w:t>
      </w:r>
      <w:r w:rsidR="00850926" w:rsidRPr="00B33487">
        <w:rPr>
          <w:rFonts w:ascii="Arial" w:hAnsi="Arial" w:cs="Arial"/>
          <w:sz w:val="24"/>
          <w:szCs w:val="24"/>
          <w:lang w:val="mn-MN"/>
        </w:rPr>
        <w:t xml:space="preserve">н төсөл нь </w:t>
      </w:r>
      <w:r w:rsidR="0023155D" w:rsidRPr="00B33487">
        <w:rPr>
          <w:rFonts w:ascii="Arial" w:hAnsi="Arial" w:cs="Arial"/>
          <w:sz w:val="24"/>
          <w:szCs w:val="24"/>
          <w:lang w:val="mn-MN"/>
        </w:rPr>
        <w:t>нэмэлт өөрчлөлт оруулах</w:t>
      </w:r>
      <w:r w:rsidR="002009C9" w:rsidRPr="00B33487">
        <w:rPr>
          <w:rFonts w:ascii="Arial" w:hAnsi="Arial" w:cs="Arial"/>
          <w:sz w:val="24"/>
          <w:szCs w:val="24"/>
          <w:lang w:val="mn-MN"/>
        </w:rPr>
        <w:t xml:space="preserve"> </w:t>
      </w:r>
      <w:r w:rsidRPr="00B33487">
        <w:rPr>
          <w:rFonts w:ascii="Arial" w:hAnsi="Arial" w:cs="Arial"/>
          <w:sz w:val="24"/>
          <w:szCs w:val="24"/>
          <w:lang w:val="mn-MN"/>
        </w:rPr>
        <w:t xml:space="preserve">хуулийн төсөл хэлбэрээр боловсруулагдсан байна. </w:t>
      </w:r>
    </w:p>
    <w:p w14:paraId="79F830B5" w14:textId="38A26FE1" w:rsidR="00B7293D" w:rsidRPr="00B33487" w:rsidRDefault="00EA165E"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Үнэт цаасны зах зээлийн тухай хуульд нэмэлт, өөрчлөлт оруулах тухай</w:t>
      </w:r>
      <w:r w:rsidR="00B7293D" w:rsidRPr="00B33487">
        <w:rPr>
          <w:rFonts w:ascii="Arial" w:hAnsi="Arial" w:cs="Arial"/>
          <w:sz w:val="24"/>
          <w:szCs w:val="24"/>
          <w:lang w:val="mn-MN"/>
        </w:rPr>
        <w:t xml:space="preserve">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sidR="00B7293D" w:rsidRPr="00B33487">
        <w:rPr>
          <w:rFonts w:ascii="Arial" w:hAnsi="Arial" w:cs="Arial"/>
          <w:sz w:val="24"/>
          <w:szCs w:val="24"/>
          <w:vertAlign w:val="superscript"/>
          <w:lang w:val="mn-MN"/>
        </w:rPr>
        <w:footnoteReference w:id="2"/>
      </w:r>
      <w:r w:rsidR="00B7293D" w:rsidRPr="00B33487">
        <w:rPr>
          <w:rFonts w:ascii="Arial" w:hAnsi="Arial" w:cs="Arial"/>
          <w:sz w:val="24"/>
          <w:szCs w:val="24"/>
          <w:lang w:val="mn-MN"/>
        </w:rPr>
        <w:t xml:space="preserve">-д /цаашид “Аргачлал” гэх/ заасны дагуу </w:t>
      </w:r>
      <w:r w:rsidR="00194683" w:rsidRPr="00B33487">
        <w:rPr>
          <w:rFonts w:ascii="Arial" w:hAnsi="Arial" w:cs="Arial"/>
          <w:sz w:val="24"/>
          <w:szCs w:val="24"/>
          <w:lang w:val="mn-MN"/>
        </w:rPr>
        <w:t>дараах</w:t>
      </w:r>
      <w:r w:rsidR="00B7293D" w:rsidRPr="00B33487">
        <w:rPr>
          <w:rFonts w:ascii="Arial" w:hAnsi="Arial" w:cs="Arial"/>
          <w:sz w:val="24"/>
          <w:szCs w:val="24"/>
          <w:lang w:val="mn-MN"/>
        </w:rPr>
        <w:t xml:space="preserve"> үе шатаар хийлээ.</w:t>
      </w:r>
    </w:p>
    <w:p w14:paraId="3C08A333" w14:textId="77777777" w:rsidR="00B7293D" w:rsidRPr="00B33487" w:rsidRDefault="00B7293D" w:rsidP="00F92A9E">
      <w:pPr>
        <w:numPr>
          <w:ilvl w:val="0"/>
          <w:numId w:val="1"/>
        </w:numPr>
        <w:spacing w:after="120" w:line="240" w:lineRule="auto"/>
        <w:jc w:val="both"/>
        <w:rPr>
          <w:rFonts w:ascii="Arial" w:hAnsi="Arial" w:cs="Arial"/>
          <w:sz w:val="24"/>
          <w:szCs w:val="24"/>
          <w:lang w:val="mn-MN"/>
        </w:rPr>
      </w:pPr>
      <w:r w:rsidRPr="00B33487">
        <w:rPr>
          <w:rFonts w:ascii="Arial" w:hAnsi="Arial" w:cs="Arial"/>
          <w:sz w:val="24"/>
          <w:szCs w:val="24"/>
          <w:lang w:val="mn-MN"/>
        </w:rPr>
        <w:t>Шалгуур үзүүлэлтийг сонгох;</w:t>
      </w:r>
    </w:p>
    <w:p w14:paraId="3269A136" w14:textId="77777777" w:rsidR="00B7293D" w:rsidRPr="00B33487" w:rsidRDefault="00B7293D" w:rsidP="00F92A9E">
      <w:pPr>
        <w:numPr>
          <w:ilvl w:val="0"/>
          <w:numId w:val="1"/>
        </w:numPr>
        <w:spacing w:after="120" w:line="240" w:lineRule="auto"/>
        <w:jc w:val="both"/>
        <w:rPr>
          <w:rFonts w:ascii="Arial" w:hAnsi="Arial" w:cs="Arial"/>
          <w:sz w:val="24"/>
          <w:szCs w:val="24"/>
          <w:lang w:val="mn-MN"/>
        </w:rPr>
      </w:pPr>
      <w:r w:rsidRPr="00B33487">
        <w:rPr>
          <w:rFonts w:ascii="Arial" w:hAnsi="Arial" w:cs="Arial"/>
          <w:sz w:val="24"/>
          <w:szCs w:val="24"/>
          <w:lang w:val="mn-MN"/>
        </w:rPr>
        <w:t>Хуулийн төслөөс үр нөлөө тооцох хэсгээ тогтоох;</w:t>
      </w:r>
    </w:p>
    <w:p w14:paraId="195A6B9D" w14:textId="77777777" w:rsidR="00B7293D" w:rsidRPr="00B33487" w:rsidRDefault="00B7293D" w:rsidP="00F92A9E">
      <w:pPr>
        <w:numPr>
          <w:ilvl w:val="0"/>
          <w:numId w:val="1"/>
        </w:numPr>
        <w:spacing w:after="120" w:line="240" w:lineRule="auto"/>
        <w:jc w:val="both"/>
        <w:rPr>
          <w:rFonts w:ascii="Arial" w:hAnsi="Arial" w:cs="Arial"/>
          <w:sz w:val="24"/>
          <w:szCs w:val="24"/>
          <w:lang w:val="mn-MN"/>
        </w:rPr>
      </w:pPr>
      <w:r w:rsidRPr="00B33487">
        <w:rPr>
          <w:rFonts w:ascii="Arial" w:hAnsi="Arial" w:cs="Arial"/>
          <w:sz w:val="24"/>
          <w:szCs w:val="24"/>
          <w:lang w:val="mn-MN"/>
        </w:rPr>
        <w:t>Урьдчилан сонгосон шалгуур үзүүлэлтэд тохирох шалгах хэрэгслийн дагуу үр нөлөөг тооцох;</w:t>
      </w:r>
    </w:p>
    <w:p w14:paraId="3CDF1517" w14:textId="77777777" w:rsidR="00B7293D" w:rsidRPr="00B33487" w:rsidRDefault="00B7293D" w:rsidP="00F92A9E">
      <w:pPr>
        <w:numPr>
          <w:ilvl w:val="0"/>
          <w:numId w:val="1"/>
        </w:numPr>
        <w:spacing w:after="120" w:line="240" w:lineRule="auto"/>
        <w:jc w:val="both"/>
        <w:rPr>
          <w:rFonts w:ascii="Arial" w:hAnsi="Arial" w:cs="Arial"/>
          <w:sz w:val="24"/>
          <w:szCs w:val="24"/>
          <w:lang w:val="mn-MN"/>
        </w:rPr>
      </w:pPr>
      <w:r w:rsidRPr="00B33487">
        <w:rPr>
          <w:rFonts w:ascii="Arial" w:hAnsi="Arial" w:cs="Arial"/>
          <w:sz w:val="24"/>
          <w:szCs w:val="24"/>
          <w:lang w:val="mn-MN"/>
        </w:rPr>
        <w:t>Үр дүнг үнэлэх, зөвлөмж өгөх.</w:t>
      </w:r>
      <w:r w:rsidR="00194683" w:rsidRPr="00B33487">
        <w:rPr>
          <w:rFonts w:ascii="Arial" w:hAnsi="Arial" w:cs="Arial"/>
          <w:sz w:val="24"/>
          <w:szCs w:val="24"/>
          <w:lang w:val="mn-MN"/>
        </w:rPr>
        <w:t xml:space="preserve"> </w:t>
      </w:r>
    </w:p>
    <w:p w14:paraId="5538EFE4" w14:textId="77777777" w:rsidR="00B7293D" w:rsidRPr="00B33487" w:rsidRDefault="00B7293D" w:rsidP="00F92A9E">
      <w:pPr>
        <w:spacing w:after="120" w:line="240" w:lineRule="auto"/>
        <w:jc w:val="center"/>
        <w:rPr>
          <w:rFonts w:ascii="Arial" w:hAnsi="Arial" w:cs="Arial"/>
          <w:b/>
          <w:sz w:val="24"/>
          <w:szCs w:val="24"/>
          <w:lang w:val="mn-MN"/>
        </w:rPr>
      </w:pPr>
      <w:r w:rsidRPr="00B33487">
        <w:rPr>
          <w:rFonts w:ascii="Arial" w:hAnsi="Arial" w:cs="Arial"/>
          <w:b/>
          <w:sz w:val="24"/>
          <w:szCs w:val="24"/>
          <w:lang w:val="mn-MN"/>
        </w:rPr>
        <w:t>ХОЁР. ХУУЛИЙН ТӨСЛИЙН ҮР НӨЛӨӨГ ҮНЭЛЭХ ШАЛГУУР ҮЗҮҮЛЭЛТИЙГ СОНГОСОН БАЙДАЛ, ҮНДЭСЛЭЛ</w:t>
      </w:r>
    </w:p>
    <w:p w14:paraId="0457E42F" w14:textId="77777777" w:rsidR="00B7293D" w:rsidRPr="00B33487" w:rsidRDefault="00B7293D" w:rsidP="008D27E3">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Аргачлалын 2.9-д</w:t>
      </w:r>
      <w:r w:rsidRPr="00B33487">
        <w:rPr>
          <w:rStyle w:val="FootnoteReference"/>
          <w:rFonts w:ascii="Arial" w:hAnsi="Arial" w:cs="Arial"/>
          <w:sz w:val="24"/>
          <w:szCs w:val="24"/>
          <w:lang w:val="mn-MN"/>
        </w:rPr>
        <w:footnoteReference w:id="3"/>
      </w:r>
      <w:r w:rsidRPr="00B33487">
        <w:rPr>
          <w:rFonts w:ascii="Arial" w:hAnsi="Arial" w:cs="Arial"/>
          <w:sz w:val="24"/>
          <w:szCs w:val="24"/>
          <w:lang w:val="mn-MN"/>
        </w:rPr>
        <w:t xml:space="preserve"> заасныг үндэслэн 6 шалгуур үзүүлэлтээс</w:t>
      </w:r>
      <w:r w:rsidR="00AD2D9B" w:rsidRPr="00B33487">
        <w:rPr>
          <w:rFonts w:ascii="Arial" w:hAnsi="Arial" w:cs="Arial"/>
          <w:sz w:val="24"/>
          <w:szCs w:val="24"/>
          <w:lang w:val="mn-MN"/>
        </w:rPr>
        <w:t xml:space="preserve"> дараах</w:t>
      </w:r>
      <w:r w:rsidR="001702B9" w:rsidRPr="00B33487">
        <w:rPr>
          <w:rFonts w:ascii="Arial" w:hAnsi="Arial" w:cs="Arial"/>
          <w:sz w:val="24"/>
          <w:szCs w:val="24"/>
          <w:lang w:val="mn-MN"/>
        </w:rPr>
        <w:t xml:space="preserve"> 5</w:t>
      </w:r>
      <w:r w:rsidRPr="00B33487">
        <w:rPr>
          <w:rFonts w:ascii="Arial" w:hAnsi="Arial" w:cs="Arial"/>
          <w:sz w:val="24"/>
          <w:szCs w:val="24"/>
          <w:lang w:val="mn-MN"/>
        </w:rPr>
        <w:t xml:space="preserve"> шалгуур үзүүлэлтийг сонголоо. </w:t>
      </w:r>
    </w:p>
    <w:p w14:paraId="488A34E0" w14:textId="77777777" w:rsidR="00B7293D" w:rsidRPr="00B33487" w:rsidRDefault="00B7293D" w:rsidP="008D27E3">
      <w:pPr>
        <w:spacing w:after="120" w:line="240" w:lineRule="auto"/>
        <w:ind w:firstLine="709"/>
        <w:jc w:val="both"/>
        <w:rPr>
          <w:rFonts w:ascii="Arial" w:hAnsi="Arial" w:cs="Arial"/>
          <w:sz w:val="24"/>
          <w:szCs w:val="24"/>
          <w:lang w:val="mn-MN"/>
        </w:rPr>
      </w:pPr>
      <w:r w:rsidRPr="00B33487">
        <w:rPr>
          <w:rFonts w:ascii="Arial" w:hAnsi="Arial" w:cs="Arial"/>
          <w:sz w:val="24"/>
          <w:szCs w:val="24"/>
          <w:lang w:val="mn-MN"/>
        </w:rPr>
        <w:t>Үүнд:</w:t>
      </w:r>
    </w:p>
    <w:p w14:paraId="791B5BCC" w14:textId="77777777" w:rsidR="00B7293D" w:rsidRPr="00B33487" w:rsidRDefault="00B7293D" w:rsidP="00F92A9E">
      <w:pPr>
        <w:numPr>
          <w:ilvl w:val="0"/>
          <w:numId w:val="2"/>
        </w:numPr>
        <w:tabs>
          <w:tab w:val="left" w:pos="1134"/>
        </w:tabs>
        <w:spacing w:after="120" w:line="240" w:lineRule="auto"/>
        <w:ind w:hanging="11"/>
        <w:jc w:val="both"/>
        <w:rPr>
          <w:rFonts w:ascii="Arial" w:hAnsi="Arial" w:cs="Arial"/>
          <w:sz w:val="24"/>
          <w:szCs w:val="24"/>
          <w:lang w:val="mn-MN"/>
        </w:rPr>
      </w:pPr>
      <w:r w:rsidRPr="00B33487">
        <w:rPr>
          <w:rFonts w:ascii="Arial" w:hAnsi="Arial" w:cs="Arial"/>
          <w:sz w:val="24"/>
          <w:szCs w:val="24"/>
          <w:lang w:val="mn-MN"/>
        </w:rPr>
        <w:t>Зорилгод хүрэх байдал;</w:t>
      </w:r>
      <w:r w:rsidRPr="00B33487">
        <w:rPr>
          <w:rFonts w:ascii="Arial" w:hAnsi="Arial" w:cs="Arial"/>
          <w:sz w:val="24"/>
          <w:szCs w:val="24"/>
          <w:lang w:val="mn-MN"/>
        </w:rPr>
        <w:tab/>
      </w:r>
      <w:r w:rsidRPr="00B33487">
        <w:rPr>
          <w:rFonts w:ascii="Arial" w:hAnsi="Arial" w:cs="Arial"/>
          <w:sz w:val="24"/>
          <w:szCs w:val="24"/>
          <w:lang w:val="mn-MN"/>
        </w:rPr>
        <w:tab/>
      </w:r>
      <w:r w:rsidRPr="00B33487">
        <w:rPr>
          <w:rFonts w:ascii="Arial" w:hAnsi="Arial" w:cs="Arial"/>
          <w:sz w:val="24"/>
          <w:szCs w:val="24"/>
          <w:lang w:val="mn-MN"/>
        </w:rPr>
        <w:tab/>
      </w:r>
    </w:p>
    <w:p w14:paraId="299DACED" w14:textId="77777777" w:rsidR="00B7293D" w:rsidRPr="00B33487" w:rsidRDefault="00B7293D" w:rsidP="00F92A9E">
      <w:pPr>
        <w:numPr>
          <w:ilvl w:val="0"/>
          <w:numId w:val="2"/>
        </w:numPr>
        <w:tabs>
          <w:tab w:val="left" w:pos="1134"/>
        </w:tabs>
        <w:spacing w:after="120" w:line="240" w:lineRule="auto"/>
        <w:ind w:hanging="11"/>
        <w:jc w:val="both"/>
        <w:rPr>
          <w:rFonts w:ascii="Arial" w:hAnsi="Arial" w:cs="Arial"/>
          <w:sz w:val="24"/>
          <w:szCs w:val="24"/>
          <w:lang w:val="mn-MN"/>
        </w:rPr>
      </w:pPr>
      <w:r w:rsidRPr="00B33487">
        <w:rPr>
          <w:rFonts w:ascii="Arial" w:hAnsi="Arial" w:cs="Arial"/>
          <w:sz w:val="24"/>
          <w:szCs w:val="24"/>
          <w:lang w:val="mn-MN"/>
        </w:rPr>
        <w:t>Практикт хэрэгжих боломж;</w:t>
      </w:r>
    </w:p>
    <w:p w14:paraId="20FFD7D7" w14:textId="77777777" w:rsidR="00B7293D" w:rsidRPr="00B33487" w:rsidRDefault="00B7293D" w:rsidP="00F92A9E">
      <w:pPr>
        <w:numPr>
          <w:ilvl w:val="0"/>
          <w:numId w:val="2"/>
        </w:numPr>
        <w:tabs>
          <w:tab w:val="left" w:pos="1134"/>
        </w:tabs>
        <w:spacing w:after="120" w:line="240" w:lineRule="auto"/>
        <w:ind w:hanging="11"/>
        <w:jc w:val="both"/>
        <w:rPr>
          <w:rFonts w:ascii="Arial" w:hAnsi="Arial" w:cs="Arial"/>
          <w:sz w:val="24"/>
          <w:szCs w:val="24"/>
          <w:lang w:val="mn-MN"/>
        </w:rPr>
      </w:pPr>
      <w:r w:rsidRPr="00B33487">
        <w:rPr>
          <w:rFonts w:ascii="Arial" w:hAnsi="Arial" w:cs="Arial"/>
          <w:sz w:val="24"/>
          <w:szCs w:val="24"/>
          <w:lang w:val="mn-MN"/>
        </w:rPr>
        <w:t>Хүлээн зөвшөөрөгдөх байдал</w:t>
      </w:r>
      <w:r w:rsidR="00194683" w:rsidRPr="00B33487">
        <w:rPr>
          <w:rFonts w:ascii="Arial" w:hAnsi="Arial" w:cs="Arial"/>
          <w:sz w:val="24"/>
          <w:szCs w:val="24"/>
          <w:lang w:val="mn-MN"/>
        </w:rPr>
        <w:t>;</w:t>
      </w:r>
    </w:p>
    <w:p w14:paraId="1208217C" w14:textId="77777777" w:rsidR="00B7293D" w:rsidRPr="00B33487" w:rsidRDefault="00B7293D" w:rsidP="00F92A9E">
      <w:pPr>
        <w:numPr>
          <w:ilvl w:val="0"/>
          <w:numId w:val="2"/>
        </w:numPr>
        <w:tabs>
          <w:tab w:val="left" w:pos="1134"/>
        </w:tabs>
        <w:spacing w:after="120" w:line="240" w:lineRule="auto"/>
        <w:ind w:hanging="11"/>
        <w:jc w:val="both"/>
        <w:rPr>
          <w:rFonts w:ascii="Arial" w:hAnsi="Arial" w:cs="Arial"/>
          <w:sz w:val="24"/>
          <w:szCs w:val="24"/>
          <w:lang w:val="mn-MN"/>
        </w:rPr>
      </w:pPr>
      <w:r w:rsidRPr="00B33487">
        <w:rPr>
          <w:rFonts w:ascii="Arial" w:hAnsi="Arial" w:cs="Arial"/>
          <w:sz w:val="24"/>
          <w:szCs w:val="24"/>
          <w:lang w:val="mn-MN"/>
        </w:rPr>
        <w:t>Ойлгомжтой байдал;</w:t>
      </w:r>
      <w:r w:rsidRPr="00B33487">
        <w:rPr>
          <w:rFonts w:ascii="Arial" w:hAnsi="Arial" w:cs="Arial"/>
          <w:sz w:val="24"/>
          <w:szCs w:val="24"/>
          <w:lang w:val="mn-MN"/>
        </w:rPr>
        <w:tab/>
      </w:r>
      <w:r w:rsidRPr="00B33487">
        <w:rPr>
          <w:rFonts w:ascii="Arial" w:hAnsi="Arial" w:cs="Arial"/>
          <w:sz w:val="24"/>
          <w:szCs w:val="24"/>
          <w:lang w:val="mn-MN"/>
        </w:rPr>
        <w:tab/>
      </w:r>
      <w:r w:rsidRPr="00B33487">
        <w:rPr>
          <w:rFonts w:ascii="Arial" w:hAnsi="Arial" w:cs="Arial"/>
          <w:sz w:val="24"/>
          <w:szCs w:val="24"/>
          <w:lang w:val="mn-MN"/>
        </w:rPr>
        <w:tab/>
      </w:r>
      <w:r w:rsidRPr="00B33487">
        <w:rPr>
          <w:rFonts w:ascii="Arial" w:hAnsi="Arial" w:cs="Arial"/>
          <w:sz w:val="24"/>
          <w:szCs w:val="24"/>
          <w:lang w:val="mn-MN"/>
        </w:rPr>
        <w:tab/>
      </w:r>
    </w:p>
    <w:p w14:paraId="5CF9455F" w14:textId="77777777" w:rsidR="00B7293D" w:rsidRPr="00B33487" w:rsidRDefault="00B7293D" w:rsidP="00F92A9E">
      <w:pPr>
        <w:numPr>
          <w:ilvl w:val="0"/>
          <w:numId w:val="2"/>
        </w:numPr>
        <w:tabs>
          <w:tab w:val="left" w:pos="1134"/>
        </w:tabs>
        <w:spacing w:after="120" w:line="240" w:lineRule="auto"/>
        <w:ind w:hanging="11"/>
        <w:jc w:val="both"/>
        <w:rPr>
          <w:rFonts w:ascii="Arial" w:hAnsi="Arial" w:cs="Arial"/>
          <w:sz w:val="24"/>
          <w:szCs w:val="24"/>
          <w:lang w:val="mn-MN"/>
        </w:rPr>
      </w:pPr>
      <w:r w:rsidRPr="00B33487">
        <w:rPr>
          <w:rFonts w:ascii="Arial" w:hAnsi="Arial" w:cs="Arial"/>
          <w:sz w:val="24"/>
          <w:szCs w:val="24"/>
          <w:lang w:val="mn-MN"/>
        </w:rPr>
        <w:t>Харилцан уялдаа зэрэг болно.</w:t>
      </w:r>
      <w:r w:rsidRPr="00B33487">
        <w:rPr>
          <w:rFonts w:ascii="Arial" w:hAnsi="Arial" w:cs="Arial"/>
          <w:sz w:val="24"/>
          <w:szCs w:val="24"/>
          <w:lang w:val="mn-MN"/>
        </w:rPr>
        <w:tab/>
      </w:r>
    </w:p>
    <w:p w14:paraId="61E7379C" w14:textId="77777777" w:rsidR="00B7293D" w:rsidRPr="00B33487" w:rsidRDefault="00B7293D" w:rsidP="008D27E3">
      <w:pPr>
        <w:spacing w:after="120" w:line="240" w:lineRule="auto"/>
        <w:ind w:firstLine="709"/>
        <w:jc w:val="both"/>
        <w:rPr>
          <w:rFonts w:ascii="Arial" w:hAnsi="Arial" w:cs="Arial"/>
          <w:sz w:val="24"/>
          <w:szCs w:val="24"/>
          <w:lang w:val="mn-MN"/>
        </w:rPr>
      </w:pPr>
      <w:r w:rsidRPr="00B33487">
        <w:rPr>
          <w:rFonts w:ascii="Arial" w:hAnsi="Arial" w:cs="Arial"/>
          <w:b/>
          <w:sz w:val="24"/>
          <w:szCs w:val="24"/>
          <w:lang w:val="mn-MN"/>
        </w:rPr>
        <w:t>Хуулийн төслийн үр нөлөөг үнэлэх шалгуур үзүүлэлтийг сонгосон үндэслэл</w:t>
      </w:r>
      <w:r w:rsidRPr="00B33487">
        <w:rPr>
          <w:rFonts w:ascii="Arial" w:hAnsi="Arial" w:cs="Arial"/>
          <w:sz w:val="24"/>
          <w:szCs w:val="24"/>
          <w:lang w:val="mn-MN"/>
        </w:rPr>
        <w:t xml:space="preserve">: </w:t>
      </w:r>
    </w:p>
    <w:p w14:paraId="7E4D3D4D" w14:textId="77777777" w:rsidR="00B7293D" w:rsidRPr="00B33487" w:rsidRDefault="00B7293D" w:rsidP="008D27E3">
      <w:pPr>
        <w:pStyle w:val="NoSpacing"/>
        <w:spacing w:after="120"/>
        <w:ind w:firstLine="720"/>
        <w:rPr>
          <w:rFonts w:ascii="Arial" w:hAnsi="Arial" w:cs="Arial"/>
          <w:b/>
          <w:sz w:val="24"/>
          <w:szCs w:val="24"/>
          <w:lang w:val="mn-MN"/>
        </w:rPr>
      </w:pPr>
      <w:r w:rsidRPr="00B33487">
        <w:rPr>
          <w:rFonts w:ascii="Arial" w:hAnsi="Arial" w:cs="Arial"/>
          <w:b/>
          <w:sz w:val="24"/>
          <w:szCs w:val="24"/>
          <w:lang w:val="mn-MN"/>
        </w:rPr>
        <w:t xml:space="preserve">1.Зорилгод хүрэх байдал: </w:t>
      </w:r>
    </w:p>
    <w:p w14:paraId="7435A6CF" w14:textId="77777777" w:rsidR="00B7293D" w:rsidRPr="00B33487" w:rsidRDefault="00B7293D" w:rsidP="008D27E3">
      <w:pPr>
        <w:pStyle w:val="NoSpacing"/>
        <w:spacing w:after="120"/>
        <w:ind w:firstLine="720"/>
        <w:jc w:val="both"/>
        <w:rPr>
          <w:rFonts w:ascii="Arial" w:hAnsi="Arial" w:cs="Arial"/>
          <w:sz w:val="24"/>
          <w:szCs w:val="24"/>
          <w:lang w:val="mn-MN"/>
        </w:rPr>
      </w:pPr>
      <w:r w:rsidRPr="00B33487">
        <w:rPr>
          <w:rFonts w:ascii="Arial" w:hAnsi="Arial" w:cs="Arial"/>
          <w:sz w:val="24"/>
          <w:szCs w:val="24"/>
          <w:lang w:val="mn-MN"/>
        </w:rPr>
        <w:t xml:space="preserve">Энэхүү үнэлгээний үндсэн зорилго нь тухай хуулийн төслийн зохицуулалт анх дэвшүүлсэн зорилго буюу тулгамдсан бэрхшээлийг шийдвэрлэж чадах эсэхийг тогтоох </w:t>
      </w:r>
      <w:r w:rsidRPr="00B33487">
        <w:rPr>
          <w:rFonts w:ascii="Arial" w:hAnsi="Arial" w:cs="Arial"/>
          <w:sz w:val="24"/>
          <w:szCs w:val="24"/>
          <w:lang w:val="mn-MN"/>
        </w:rPr>
        <w:lastRenderedPageBreak/>
        <w:t>билээ. Иймд 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w:t>
      </w:r>
    </w:p>
    <w:p w14:paraId="494D4C82" w14:textId="77777777" w:rsidR="00B7293D" w:rsidRPr="00B33487" w:rsidRDefault="00B7293D" w:rsidP="008D27E3">
      <w:pPr>
        <w:pStyle w:val="NoSpacing"/>
        <w:spacing w:after="120"/>
        <w:ind w:firstLine="720"/>
        <w:rPr>
          <w:rFonts w:ascii="Arial" w:hAnsi="Arial" w:cs="Arial"/>
          <w:sz w:val="24"/>
          <w:szCs w:val="24"/>
          <w:lang w:val="mn-MN"/>
        </w:rPr>
      </w:pPr>
      <w:r w:rsidRPr="00B33487">
        <w:rPr>
          <w:rFonts w:ascii="Arial" w:hAnsi="Arial" w:cs="Arial"/>
          <w:b/>
          <w:sz w:val="24"/>
          <w:szCs w:val="24"/>
          <w:lang w:val="mn-MN"/>
        </w:rPr>
        <w:t>2.Практикт хэрэгжих боломж</w:t>
      </w:r>
      <w:r w:rsidRPr="00B33487">
        <w:rPr>
          <w:rFonts w:ascii="Arial" w:hAnsi="Arial" w:cs="Arial"/>
          <w:sz w:val="24"/>
          <w:szCs w:val="24"/>
          <w:lang w:val="mn-MN"/>
        </w:rPr>
        <w:t>:</w:t>
      </w:r>
    </w:p>
    <w:p w14:paraId="357CF410" w14:textId="39A8EDF8" w:rsidR="00D94255" w:rsidRPr="00B33487" w:rsidRDefault="00563C9E" w:rsidP="008D27E3">
      <w:pPr>
        <w:spacing w:after="120" w:line="240" w:lineRule="auto"/>
        <w:ind w:firstLine="720"/>
        <w:jc w:val="both"/>
        <w:rPr>
          <w:rFonts w:ascii="Arial" w:hAnsi="Arial" w:cs="Arial"/>
          <w:bCs/>
          <w:sz w:val="24"/>
          <w:szCs w:val="24"/>
          <w:lang w:val="mn-MN"/>
        </w:rPr>
      </w:pPr>
      <w:r w:rsidRPr="00B33487">
        <w:rPr>
          <w:rFonts w:ascii="Arial" w:hAnsi="Arial" w:cs="Arial"/>
          <w:sz w:val="24"/>
          <w:szCs w:val="24"/>
          <w:lang w:val="mn-MN"/>
        </w:rPr>
        <w:t>Хуулийн төсөлд</w:t>
      </w:r>
      <w:r w:rsidR="00236D05" w:rsidRPr="00B33487">
        <w:rPr>
          <w:rFonts w:ascii="Arial" w:hAnsi="Arial" w:cs="Arial"/>
          <w:sz w:val="24"/>
          <w:szCs w:val="24"/>
          <w:lang w:val="mn-MN"/>
        </w:rPr>
        <w:t xml:space="preserve"> хөрөнгийн зах зээлд шинэ</w:t>
      </w:r>
      <w:r w:rsidR="00ED34A1" w:rsidRPr="00B33487">
        <w:rPr>
          <w:rFonts w:ascii="Arial" w:hAnsi="Arial" w:cs="Arial"/>
          <w:sz w:val="24"/>
          <w:szCs w:val="24"/>
          <w:lang w:val="mn-MN"/>
        </w:rPr>
        <w:t xml:space="preserve"> бүтээгдэхүүн үйлчилгээг</w:t>
      </w:r>
      <w:r w:rsidR="00F020BB" w:rsidRPr="00B33487">
        <w:rPr>
          <w:rFonts w:ascii="Arial" w:hAnsi="Arial" w:cs="Arial"/>
          <w:sz w:val="24"/>
          <w:szCs w:val="24"/>
          <w:lang w:val="mn-MN"/>
        </w:rPr>
        <w:t xml:space="preserve"> нэвтрүүл</w:t>
      </w:r>
      <w:r w:rsidR="00096F70" w:rsidRPr="00B33487">
        <w:rPr>
          <w:rFonts w:ascii="Arial" w:hAnsi="Arial" w:cs="Arial"/>
          <w:sz w:val="24"/>
          <w:szCs w:val="24"/>
          <w:lang w:val="mn-MN"/>
        </w:rPr>
        <w:t xml:space="preserve">ж, зах зээлийн хөрвөх чадварыг нэмэгдүүлэх </w:t>
      </w:r>
      <w:r w:rsidR="00566087" w:rsidRPr="00B33487">
        <w:rPr>
          <w:rFonts w:ascii="Arial" w:hAnsi="Arial" w:cs="Arial"/>
          <w:sz w:val="24"/>
          <w:szCs w:val="24"/>
          <w:lang w:val="mn-MN"/>
        </w:rPr>
        <w:t>зорилгоор</w:t>
      </w:r>
      <w:r w:rsidR="00A50553" w:rsidRPr="00B33487">
        <w:rPr>
          <w:rFonts w:ascii="Arial" w:hAnsi="Arial" w:cs="Arial"/>
          <w:sz w:val="24"/>
          <w:szCs w:val="24"/>
          <w:lang w:val="mn-MN"/>
        </w:rPr>
        <w:t xml:space="preserve"> </w:t>
      </w:r>
      <w:r w:rsidR="00096F70" w:rsidRPr="00B33487">
        <w:rPr>
          <w:rFonts w:ascii="Arial" w:hAnsi="Arial" w:cs="Arial"/>
          <w:sz w:val="24"/>
          <w:szCs w:val="24"/>
          <w:lang w:val="mn-MN"/>
        </w:rPr>
        <w:t xml:space="preserve">нийтэд санал болгон гаргах </w:t>
      </w:r>
      <w:r w:rsidR="00BA6A13" w:rsidRPr="00B33487">
        <w:rPr>
          <w:rFonts w:ascii="Arial" w:hAnsi="Arial" w:cs="Arial"/>
          <w:sz w:val="24"/>
          <w:szCs w:val="24"/>
          <w:lang w:val="mn-MN"/>
        </w:rPr>
        <w:t>үнэт цаас</w:t>
      </w:r>
      <w:r w:rsidR="00096F70" w:rsidRPr="00B33487">
        <w:rPr>
          <w:rFonts w:ascii="Arial" w:hAnsi="Arial" w:cs="Arial"/>
          <w:sz w:val="24"/>
          <w:szCs w:val="24"/>
          <w:lang w:val="mn-MN"/>
        </w:rPr>
        <w:t xml:space="preserve">ны </w:t>
      </w:r>
      <w:r w:rsidR="00BA6A13" w:rsidRPr="00B33487">
        <w:rPr>
          <w:rFonts w:ascii="Arial" w:hAnsi="Arial" w:cs="Arial"/>
          <w:sz w:val="24"/>
          <w:szCs w:val="24"/>
          <w:lang w:val="mn-MN"/>
        </w:rPr>
        <w:t>бүртгэ</w:t>
      </w:r>
      <w:r w:rsidR="00096F70" w:rsidRPr="00B33487">
        <w:rPr>
          <w:rFonts w:ascii="Arial" w:hAnsi="Arial" w:cs="Arial"/>
          <w:sz w:val="24"/>
          <w:szCs w:val="24"/>
          <w:lang w:val="mn-MN"/>
        </w:rPr>
        <w:t>л</w:t>
      </w:r>
      <w:r w:rsidR="00BA6A13" w:rsidRPr="00B33487">
        <w:rPr>
          <w:rFonts w:ascii="Arial" w:hAnsi="Arial" w:cs="Arial"/>
          <w:sz w:val="24"/>
          <w:szCs w:val="24"/>
          <w:lang w:val="mn-MN"/>
        </w:rPr>
        <w:t xml:space="preserve">, </w:t>
      </w:r>
      <w:r w:rsidR="001F1978" w:rsidRPr="00B33487">
        <w:rPr>
          <w:rFonts w:ascii="Arial" w:hAnsi="Arial" w:cs="Arial"/>
          <w:sz w:val="24"/>
          <w:szCs w:val="24"/>
          <w:lang w:val="mn-MN"/>
        </w:rPr>
        <w:t>зөвшөөрөл авах үйл ажиллагааг хялбаршуул</w:t>
      </w:r>
      <w:r w:rsidR="00096F70" w:rsidRPr="00B33487">
        <w:rPr>
          <w:rFonts w:ascii="Arial" w:hAnsi="Arial" w:cs="Arial"/>
          <w:sz w:val="24"/>
          <w:szCs w:val="24"/>
          <w:lang w:val="mn-MN"/>
        </w:rPr>
        <w:t xml:space="preserve">ж, </w:t>
      </w:r>
      <w:r w:rsidR="005C4FBC" w:rsidRPr="00B33487">
        <w:rPr>
          <w:rFonts w:ascii="Arial" w:hAnsi="Arial" w:cs="Arial"/>
          <w:sz w:val="24"/>
          <w:szCs w:val="24"/>
          <w:lang w:val="mn-MN"/>
        </w:rPr>
        <w:t>биржийн болон биржийн бус зах зээл</w:t>
      </w:r>
      <w:r w:rsidR="00370C74" w:rsidRPr="00B33487">
        <w:rPr>
          <w:rFonts w:ascii="Arial" w:hAnsi="Arial" w:cs="Arial"/>
          <w:sz w:val="24"/>
          <w:szCs w:val="24"/>
          <w:lang w:val="mn-MN"/>
        </w:rPr>
        <w:t xml:space="preserve">ийн </w:t>
      </w:r>
      <w:r w:rsidR="006006D1" w:rsidRPr="00B33487">
        <w:rPr>
          <w:rFonts w:ascii="Arial" w:hAnsi="Arial" w:cs="Arial"/>
          <w:sz w:val="24"/>
          <w:szCs w:val="24"/>
          <w:lang w:val="mn-MN"/>
        </w:rPr>
        <w:t xml:space="preserve">ялгааг </w:t>
      </w:r>
      <w:r w:rsidR="007C6BF1" w:rsidRPr="00B33487">
        <w:rPr>
          <w:rFonts w:ascii="Arial" w:hAnsi="Arial" w:cs="Arial"/>
          <w:sz w:val="24"/>
          <w:szCs w:val="24"/>
          <w:lang w:val="mn-MN"/>
        </w:rPr>
        <w:t>тодорхойл</w:t>
      </w:r>
      <w:r w:rsidR="00116061" w:rsidRPr="00B33487">
        <w:rPr>
          <w:rFonts w:ascii="Arial" w:hAnsi="Arial" w:cs="Arial"/>
          <w:sz w:val="24"/>
          <w:szCs w:val="24"/>
          <w:lang w:val="mn-MN"/>
        </w:rPr>
        <w:t>ж</w:t>
      </w:r>
      <w:r w:rsidR="007C6BF1" w:rsidRPr="00B33487">
        <w:rPr>
          <w:rFonts w:ascii="Arial" w:hAnsi="Arial" w:cs="Arial"/>
          <w:sz w:val="24"/>
          <w:szCs w:val="24"/>
          <w:lang w:val="mn-MN"/>
        </w:rPr>
        <w:t xml:space="preserve">, </w:t>
      </w:r>
      <w:r w:rsidR="00E10BD2" w:rsidRPr="00B33487">
        <w:rPr>
          <w:rFonts w:ascii="Arial" w:hAnsi="Arial" w:cs="Arial"/>
          <w:sz w:val="24"/>
          <w:szCs w:val="24"/>
          <w:lang w:val="mn-MN"/>
        </w:rPr>
        <w:t>үнэт цаасны арилжааны төлбөр тооцоо</w:t>
      </w:r>
      <w:r w:rsidR="00246345" w:rsidRPr="00B33487">
        <w:rPr>
          <w:rFonts w:ascii="Arial" w:hAnsi="Arial" w:cs="Arial"/>
          <w:sz w:val="24"/>
          <w:szCs w:val="24"/>
          <w:lang w:val="mn-MN"/>
        </w:rPr>
        <w:t xml:space="preserve">нд </w:t>
      </w:r>
      <w:r w:rsidR="008C3C71" w:rsidRPr="00B33487">
        <w:rPr>
          <w:rFonts w:ascii="Arial" w:hAnsi="Arial" w:cs="Arial"/>
          <w:sz w:val="24"/>
          <w:szCs w:val="24"/>
          <w:lang w:val="mn-MN"/>
        </w:rPr>
        <w:t xml:space="preserve">олон улсын </w:t>
      </w:r>
      <w:r w:rsidR="00246345" w:rsidRPr="00B33487">
        <w:rPr>
          <w:rFonts w:ascii="Arial" w:hAnsi="Arial" w:cs="Arial"/>
          <w:sz w:val="24"/>
          <w:szCs w:val="24"/>
          <w:lang w:val="mn-MN"/>
        </w:rPr>
        <w:t>төлбөрийн эсрэг нийлүүлэлтийн зарчмыг нэвтрүүлэхтэй холбог</w:t>
      </w:r>
      <w:r w:rsidR="00B66F1A" w:rsidRPr="00B33487">
        <w:rPr>
          <w:rFonts w:ascii="Arial" w:hAnsi="Arial" w:cs="Arial"/>
          <w:sz w:val="24"/>
          <w:szCs w:val="24"/>
          <w:lang w:val="mn-MN"/>
        </w:rPr>
        <w:t>д</w:t>
      </w:r>
      <w:r w:rsidR="00246345" w:rsidRPr="00B33487">
        <w:rPr>
          <w:rFonts w:ascii="Arial" w:hAnsi="Arial" w:cs="Arial"/>
          <w:sz w:val="24"/>
          <w:szCs w:val="24"/>
          <w:lang w:val="mn-MN"/>
        </w:rPr>
        <w:t xml:space="preserve">сон </w:t>
      </w:r>
      <w:r w:rsidR="00332AF2" w:rsidRPr="00B33487">
        <w:rPr>
          <w:rFonts w:ascii="Arial" w:hAnsi="Arial" w:cs="Arial"/>
          <w:sz w:val="24"/>
          <w:szCs w:val="24"/>
          <w:lang w:val="mn-MN"/>
        </w:rPr>
        <w:t xml:space="preserve">дэд бүтцийн байгууллагуудыг үйл ажиллагаатай холбогдох </w:t>
      </w:r>
      <w:r w:rsidR="00246345" w:rsidRPr="00B33487">
        <w:rPr>
          <w:rFonts w:ascii="Arial" w:hAnsi="Arial" w:cs="Arial"/>
          <w:sz w:val="24"/>
          <w:szCs w:val="24"/>
          <w:lang w:val="mn-MN"/>
        </w:rPr>
        <w:t>харил</w:t>
      </w:r>
      <w:r w:rsidR="00A50553" w:rsidRPr="00B33487">
        <w:rPr>
          <w:rFonts w:ascii="Arial" w:hAnsi="Arial" w:cs="Arial"/>
          <w:sz w:val="24"/>
          <w:szCs w:val="24"/>
          <w:lang w:val="mn-MN"/>
        </w:rPr>
        <w:t>ц</w:t>
      </w:r>
      <w:r w:rsidR="00246345" w:rsidRPr="00B33487">
        <w:rPr>
          <w:rFonts w:ascii="Arial" w:hAnsi="Arial" w:cs="Arial"/>
          <w:sz w:val="24"/>
          <w:szCs w:val="24"/>
          <w:lang w:val="mn-MN"/>
        </w:rPr>
        <w:t>аа</w:t>
      </w:r>
      <w:r w:rsidR="00FE48A5" w:rsidRPr="00B33487">
        <w:rPr>
          <w:rFonts w:ascii="Arial" w:hAnsi="Arial" w:cs="Arial"/>
          <w:sz w:val="24"/>
          <w:szCs w:val="24"/>
          <w:lang w:val="mn-MN"/>
        </w:rPr>
        <w:t>г тусгах</w:t>
      </w:r>
      <w:r w:rsidR="00246345" w:rsidRPr="00B33487">
        <w:rPr>
          <w:rFonts w:ascii="Arial" w:hAnsi="Arial" w:cs="Arial"/>
          <w:sz w:val="24"/>
          <w:szCs w:val="24"/>
          <w:lang w:val="mn-MN"/>
        </w:rPr>
        <w:t xml:space="preserve">, </w:t>
      </w:r>
      <w:r w:rsidR="009B33B5" w:rsidRPr="00B33487">
        <w:rPr>
          <w:rFonts w:ascii="Arial" w:hAnsi="Arial" w:cs="Arial"/>
          <w:sz w:val="24"/>
          <w:szCs w:val="24"/>
          <w:lang w:val="mn-MN"/>
        </w:rPr>
        <w:t>өөрийгөө зохицуулах байгууллагуудын төрлийг ялга</w:t>
      </w:r>
      <w:r w:rsidR="006D3EB4" w:rsidRPr="00B33487">
        <w:rPr>
          <w:rFonts w:ascii="Arial" w:hAnsi="Arial" w:cs="Arial"/>
          <w:sz w:val="24"/>
          <w:szCs w:val="24"/>
          <w:lang w:val="mn-MN"/>
        </w:rPr>
        <w:t>н тэдгээрийн эрх үүргий</w:t>
      </w:r>
      <w:r w:rsidR="00AE242E" w:rsidRPr="00B33487">
        <w:rPr>
          <w:rFonts w:ascii="Arial" w:hAnsi="Arial" w:cs="Arial"/>
          <w:sz w:val="24"/>
          <w:szCs w:val="24"/>
          <w:lang w:val="mn-MN"/>
        </w:rPr>
        <w:t xml:space="preserve">н хүрээг </w:t>
      </w:r>
      <w:r w:rsidR="001229A1" w:rsidRPr="00B33487">
        <w:rPr>
          <w:rFonts w:ascii="Arial" w:hAnsi="Arial" w:cs="Arial"/>
          <w:sz w:val="24"/>
          <w:szCs w:val="24"/>
          <w:lang w:val="mn-MN"/>
        </w:rPr>
        <w:t xml:space="preserve">ялгах, </w:t>
      </w:r>
      <w:r w:rsidR="00AE242E" w:rsidRPr="00B33487">
        <w:rPr>
          <w:rFonts w:ascii="Arial" w:hAnsi="Arial" w:cs="Arial"/>
          <w:sz w:val="24"/>
          <w:szCs w:val="24"/>
          <w:lang w:val="mn-MN"/>
        </w:rPr>
        <w:t xml:space="preserve">сайжруулах, хувьцаат компанийн </w:t>
      </w:r>
      <w:r w:rsidR="0086627C" w:rsidRPr="00B33487">
        <w:rPr>
          <w:rFonts w:ascii="Arial" w:hAnsi="Arial" w:cs="Arial"/>
          <w:sz w:val="24"/>
          <w:szCs w:val="24"/>
          <w:lang w:val="mn-MN"/>
        </w:rPr>
        <w:t>мэдээллийн ил тод байдал</w:t>
      </w:r>
      <w:r w:rsidR="00EE48BB" w:rsidRPr="00B33487">
        <w:rPr>
          <w:rFonts w:ascii="Arial" w:hAnsi="Arial" w:cs="Arial"/>
          <w:sz w:val="24"/>
          <w:szCs w:val="24"/>
          <w:lang w:val="mn-MN"/>
        </w:rPr>
        <w:t xml:space="preserve">, </w:t>
      </w:r>
      <w:r w:rsidR="00A86A15" w:rsidRPr="00B33487">
        <w:rPr>
          <w:rFonts w:ascii="Arial" w:hAnsi="Arial" w:cs="Arial"/>
          <w:sz w:val="24"/>
          <w:szCs w:val="24"/>
          <w:lang w:val="mn-MN"/>
        </w:rPr>
        <w:t xml:space="preserve">үнэт цаас эзэмшигчдийн </w:t>
      </w:r>
      <w:r w:rsidR="008816E3" w:rsidRPr="00B33487">
        <w:rPr>
          <w:rFonts w:ascii="Arial" w:hAnsi="Arial" w:cs="Arial"/>
          <w:sz w:val="24"/>
          <w:szCs w:val="24"/>
          <w:lang w:val="mn-MN"/>
        </w:rPr>
        <w:t xml:space="preserve">эрх ашгийг хамгаалах </w:t>
      </w:r>
      <w:r w:rsidR="00D45F25" w:rsidRPr="00B33487">
        <w:rPr>
          <w:rFonts w:ascii="Arial" w:hAnsi="Arial" w:cs="Arial"/>
          <w:bCs/>
          <w:sz w:val="24"/>
          <w:szCs w:val="24"/>
          <w:lang w:val="mn-MN"/>
        </w:rPr>
        <w:t>зохиц</w:t>
      </w:r>
      <w:r w:rsidR="006B588D" w:rsidRPr="00B33487">
        <w:rPr>
          <w:rFonts w:ascii="Arial" w:hAnsi="Arial" w:cs="Arial"/>
          <w:bCs/>
          <w:sz w:val="24"/>
          <w:szCs w:val="24"/>
          <w:lang w:val="mn-MN"/>
        </w:rPr>
        <w:t>уулалт</w:t>
      </w:r>
      <w:r w:rsidR="00A86A15" w:rsidRPr="00B33487">
        <w:rPr>
          <w:rFonts w:ascii="Arial" w:hAnsi="Arial" w:cs="Arial"/>
          <w:bCs/>
          <w:sz w:val="24"/>
          <w:szCs w:val="24"/>
          <w:lang w:val="mn-MN"/>
        </w:rPr>
        <w:t>уудыг</w:t>
      </w:r>
      <w:r w:rsidR="006B588D" w:rsidRPr="00B33487">
        <w:rPr>
          <w:rFonts w:ascii="Arial" w:hAnsi="Arial" w:cs="Arial"/>
          <w:bCs/>
          <w:sz w:val="24"/>
          <w:szCs w:val="24"/>
          <w:lang w:val="mn-MN"/>
        </w:rPr>
        <w:t xml:space="preserve"> хэрэгжүүлэхээр тусгасан байна</w:t>
      </w:r>
      <w:r w:rsidR="00D45F25" w:rsidRPr="00B33487">
        <w:rPr>
          <w:rFonts w:ascii="Arial" w:hAnsi="Arial" w:cs="Arial"/>
          <w:bCs/>
          <w:sz w:val="24"/>
          <w:szCs w:val="24"/>
          <w:lang w:val="mn-MN"/>
        </w:rPr>
        <w:t>.</w:t>
      </w:r>
    </w:p>
    <w:p w14:paraId="15ABE5AD" w14:textId="793AF671" w:rsidR="005C1292" w:rsidRPr="00B33487" w:rsidRDefault="00B7293D" w:rsidP="00F92A9E">
      <w:pPr>
        <w:spacing w:after="120" w:line="240" w:lineRule="auto"/>
        <w:ind w:firstLine="540"/>
        <w:jc w:val="both"/>
        <w:rPr>
          <w:rFonts w:ascii="Arial" w:hAnsi="Arial" w:cs="Arial"/>
          <w:sz w:val="24"/>
          <w:szCs w:val="24"/>
          <w:lang w:val="mn-MN"/>
        </w:rPr>
      </w:pPr>
      <w:r w:rsidRPr="00B33487">
        <w:rPr>
          <w:rFonts w:ascii="Arial" w:hAnsi="Arial" w:cs="Arial"/>
          <w:sz w:val="24"/>
          <w:szCs w:val="24"/>
          <w:lang w:val="mn-MN"/>
        </w:rPr>
        <w:t>Энэхүү зохицуулалт</w:t>
      </w:r>
      <w:r w:rsidR="0062055F" w:rsidRPr="00B33487">
        <w:rPr>
          <w:rFonts w:ascii="Arial" w:hAnsi="Arial" w:cs="Arial"/>
          <w:sz w:val="24"/>
          <w:szCs w:val="24"/>
          <w:lang w:val="mn-MN"/>
        </w:rPr>
        <w:t>ууд</w:t>
      </w:r>
      <w:r w:rsidRPr="00B33487">
        <w:rPr>
          <w:rFonts w:ascii="Arial" w:hAnsi="Arial" w:cs="Arial"/>
          <w:sz w:val="24"/>
          <w:szCs w:val="24"/>
          <w:lang w:val="mn-MN"/>
        </w:rPr>
        <w:t xml:space="preserve"> нь</w:t>
      </w:r>
      <w:r w:rsidR="002A691A" w:rsidRPr="00B33487">
        <w:rPr>
          <w:rFonts w:ascii="Arial" w:hAnsi="Arial" w:cs="Arial"/>
          <w:sz w:val="24"/>
          <w:szCs w:val="24"/>
          <w:lang w:val="mn-MN"/>
        </w:rPr>
        <w:t xml:space="preserve"> зохицуулагч байгууллага, өөрийгөө зохицуулах байгууллага, дэд бүтцийн байгууллага, үнэт цаасны </w:t>
      </w:r>
      <w:r w:rsidR="00FE658B" w:rsidRPr="00B33487">
        <w:rPr>
          <w:rFonts w:ascii="Arial" w:hAnsi="Arial" w:cs="Arial"/>
          <w:sz w:val="24"/>
          <w:szCs w:val="24"/>
          <w:lang w:val="mn-MN"/>
        </w:rPr>
        <w:t>компаниуд,</w:t>
      </w:r>
      <w:r w:rsidRPr="00B33487">
        <w:rPr>
          <w:rFonts w:ascii="Arial" w:hAnsi="Arial" w:cs="Arial"/>
          <w:sz w:val="24"/>
          <w:szCs w:val="24"/>
          <w:lang w:val="mn-MN"/>
        </w:rPr>
        <w:t xml:space="preserve"> </w:t>
      </w:r>
      <w:r w:rsidR="002A691A" w:rsidRPr="00B33487">
        <w:rPr>
          <w:rFonts w:ascii="Arial" w:hAnsi="Arial" w:cs="Arial"/>
          <w:sz w:val="24"/>
          <w:szCs w:val="24"/>
          <w:lang w:val="mn-MN"/>
        </w:rPr>
        <w:t xml:space="preserve">үнэт цаас </w:t>
      </w:r>
      <w:r w:rsidR="00093941" w:rsidRPr="00B33487">
        <w:rPr>
          <w:rFonts w:ascii="Arial" w:hAnsi="Arial" w:cs="Arial"/>
          <w:sz w:val="24"/>
          <w:szCs w:val="24"/>
          <w:lang w:val="mn-MN"/>
        </w:rPr>
        <w:t>гаргагчдын</w:t>
      </w:r>
      <w:r w:rsidR="00FE658B" w:rsidRPr="00B33487">
        <w:rPr>
          <w:rFonts w:ascii="Arial" w:hAnsi="Arial" w:cs="Arial"/>
          <w:sz w:val="24"/>
          <w:szCs w:val="24"/>
          <w:lang w:val="mn-MN"/>
        </w:rPr>
        <w:t xml:space="preserve"> зүгээс </w:t>
      </w:r>
      <w:r w:rsidR="006C53D1" w:rsidRPr="00B33487">
        <w:rPr>
          <w:rFonts w:ascii="Arial" w:hAnsi="Arial" w:cs="Arial"/>
          <w:sz w:val="24"/>
          <w:szCs w:val="24"/>
          <w:lang w:val="mn-MN"/>
        </w:rPr>
        <w:t xml:space="preserve">хэрэгжүүлэх боломжтой </w:t>
      </w:r>
      <w:r w:rsidR="00093941" w:rsidRPr="00B33487">
        <w:rPr>
          <w:rFonts w:ascii="Arial" w:hAnsi="Arial" w:cs="Arial"/>
          <w:sz w:val="24"/>
          <w:szCs w:val="24"/>
          <w:lang w:val="mn-MN"/>
        </w:rPr>
        <w:t>эсэхийг</w:t>
      </w:r>
      <w:r w:rsidR="006C53D1" w:rsidRPr="00B33487">
        <w:rPr>
          <w:rFonts w:ascii="Arial" w:hAnsi="Arial" w:cs="Arial"/>
          <w:sz w:val="24"/>
          <w:szCs w:val="24"/>
          <w:lang w:val="mn-MN"/>
        </w:rPr>
        <w:t xml:space="preserve"> тодруулах</w:t>
      </w:r>
      <w:r w:rsidR="00EA4092" w:rsidRPr="00B33487">
        <w:rPr>
          <w:rFonts w:ascii="Arial" w:hAnsi="Arial" w:cs="Arial"/>
          <w:sz w:val="24"/>
          <w:szCs w:val="24"/>
          <w:lang w:val="mn-MN"/>
        </w:rPr>
        <w:t xml:space="preserve">, </w:t>
      </w:r>
      <w:r w:rsidR="00A83AE3" w:rsidRPr="00B33487">
        <w:rPr>
          <w:rFonts w:ascii="Arial" w:hAnsi="Arial" w:cs="Arial"/>
          <w:sz w:val="24"/>
          <w:szCs w:val="24"/>
          <w:lang w:val="mn-MN"/>
        </w:rPr>
        <w:t>төлбөр тооцооны зарчимд өөрчлөлт оруулахтай холбогдуулан үнэт цаасны компани, хөрөнгө оруулагч</w:t>
      </w:r>
      <w:r w:rsidR="00DE679D" w:rsidRPr="00B33487">
        <w:rPr>
          <w:rFonts w:ascii="Arial" w:hAnsi="Arial" w:cs="Arial"/>
          <w:sz w:val="24"/>
          <w:szCs w:val="24"/>
          <w:lang w:val="mn-MN"/>
        </w:rPr>
        <w:t>дын хандлаг</w:t>
      </w:r>
      <w:r w:rsidR="00DB62C5" w:rsidRPr="00B33487">
        <w:rPr>
          <w:rFonts w:ascii="Arial" w:hAnsi="Arial" w:cs="Arial"/>
          <w:sz w:val="24"/>
          <w:szCs w:val="24"/>
          <w:lang w:val="mn-MN"/>
        </w:rPr>
        <w:t xml:space="preserve">ыг </w:t>
      </w:r>
      <w:r w:rsidR="00B940E0" w:rsidRPr="00B33487">
        <w:rPr>
          <w:rFonts w:ascii="Arial" w:hAnsi="Arial" w:cs="Arial"/>
          <w:sz w:val="24"/>
          <w:szCs w:val="24"/>
          <w:lang w:val="mn-MN"/>
        </w:rPr>
        <w:t>харгалзан тус шалгуур үзүүлэлтийг сонгосон.</w:t>
      </w:r>
    </w:p>
    <w:p w14:paraId="7E96EBD8" w14:textId="77777777" w:rsidR="00B7293D" w:rsidRPr="00B33487" w:rsidRDefault="00B7293D" w:rsidP="008D27E3">
      <w:pPr>
        <w:spacing w:after="120" w:line="240" w:lineRule="auto"/>
        <w:ind w:firstLine="720"/>
        <w:jc w:val="both"/>
        <w:rPr>
          <w:rFonts w:ascii="Arial" w:hAnsi="Arial" w:cs="Arial"/>
          <w:b/>
          <w:sz w:val="24"/>
          <w:szCs w:val="24"/>
          <w:lang w:val="mn-MN"/>
        </w:rPr>
      </w:pPr>
      <w:r w:rsidRPr="00B33487">
        <w:rPr>
          <w:rFonts w:ascii="Arial" w:hAnsi="Arial" w:cs="Arial"/>
          <w:b/>
          <w:sz w:val="24"/>
          <w:szCs w:val="24"/>
          <w:lang w:val="mn-MN"/>
        </w:rPr>
        <w:t xml:space="preserve">3.Ойлгомжтой байдал: </w:t>
      </w:r>
    </w:p>
    <w:p w14:paraId="7EE2C10A" w14:textId="77777777" w:rsidR="00B7293D" w:rsidRPr="00B33487" w:rsidRDefault="00B7293D" w:rsidP="008D27E3">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Хуулийг хэрэглэх, хэрэгжүүлэх суб</w:t>
      </w:r>
      <w:r w:rsidR="00194683" w:rsidRPr="00B33487">
        <w:rPr>
          <w:rFonts w:ascii="Arial" w:hAnsi="Arial" w:cs="Arial"/>
          <w:sz w:val="24"/>
          <w:szCs w:val="24"/>
          <w:lang w:val="mn-MN"/>
        </w:rPr>
        <w:t>ъ</w:t>
      </w:r>
      <w:r w:rsidRPr="00B33487">
        <w:rPr>
          <w:rFonts w:ascii="Arial" w:hAnsi="Arial" w:cs="Arial"/>
          <w:sz w:val="24"/>
          <w:szCs w:val="24"/>
          <w:lang w:val="mn-MN"/>
        </w:rPr>
        <w:t xml:space="preserve">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 </w:t>
      </w:r>
    </w:p>
    <w:p w14:paraId="5C149B56" w14:textId="77777777" w:rsidR="00B7293D" w:rsidRPr="00B33487" w:rsidRDefault="00B7293D" w:rsidP="00F92A9E">
      <w:pPr>
        <w:spacing w:after="120" w:line="240" w:lineRule="auto"/>
        <w:ind w:firstLine="540"/>
        <w:jc w:val="both"/>
        <w:rPr>
          <w:rFonts w:ascii="Arial" w:hAnsi="Arial" w:cs="Arial"/>
          <w:sz w:val="24"/>
          <w:szCs w:val="24"/>
          <w:lang w:val="mn-MN"/>
        </w:rPr>
      </w:pPr>
      <w:r w:rsidRPr="00B33487">
        <w:rPr>
          <w:rFonts w:ascii="Arial" w:hAnsi="Arial" w:cs="Arial"/>
          <w:sz w:val="24"/>
          <w:szCs w:val="24"/>
          <w:lang w:val="mn-MN"/>
        </w:rPr>
        <w:t>Энэхүү хуулийн төсөл нь Хууль тогтоомжийн тухай хууль, Хууль тогтоомжийн төсөл боловсруулах аргачлалд</w:t>
      </w:r>
      <w:r w:rsidRPr="00B33487">
        <w:rPr>
          <w:rStyle w:val="FootnoteReference"/>
          <w:rFonts w:ascii="Arial" w:hAnsi="Arial" w:cs="Arial"/>
          <w:sz w:val="24"/>
          <w:szCs w:val="24"/>
          <w:lang w:val="mn-MN"/>
        </w:rPr>
        <w:footnoteReference w:id="4"/>
      </w:r>
      <w:r w:rsidRPr="00B33487">
        <w:rPr>
          <w:rFonts w:ascii="Arial" w:hAnsi="Arial" w:cs="Arial"/>
          <w:sz w:val="24"/>
          <w:szCs w:val="24"/>
          <w:lang w:val="mn-MN"/>
        </w:rPr>
        <w:t xml:space="preserve"> заасан шаардлагыг хангасан эсэхийг хянах</w:t>
      </w:r>
      <w:r w:rsidR="00B57884" w:rsidRPr="00B33487">
        <w:rPr>
          <w:rFonts w:ascii="Arial" w:hAnsi="Arial" w:cs="Arial"/>
          <w:sz w:val="24"/>
          <w:szCs w:val="24"/>
          <w:lang w:val="mn-MN"/>
        </w:rPr>
        <w:t xml:space="preserve"> </w:t>
      </w:r>
      <w:r w:rsidRPr="00B33487">
        <w:rPr>
          <w:rFonts w:ascii="Arial" w:hAnsi="Arial" w:cs="Arial"/>
          <w:sz w:val="24"/>
          <w:szCs w:val="24"/>
          <w:lang w:val="mn-MN"/>
        </w:rPr>
        <w:t xml:space="preserve">тогтоох зорилгоор энэхүү шалгуур үзүүлэлтийг сонгосон болно. </w:t>
      </w:r>
    </w:p>
    <w:p w14:paraId="6DFA48F4" w14:textId="77777777" w:rsidR="00B7293D" w:rsidRPr="00B33487" w:rsidRDefault="00B7293D" w:rsidP="008D27E3">
      <w:pPr>
        <w:spacing w:after="120" w:line="240" w:lineRule="auto"/>
        <w:ind w:firstLine="720"/>
        <w:jc w:val="both"/>
        <w:rPr>
          <w:rFonts w:ascii="Arial" w:hAnsi="Arial" w:cs="Arial"/>
          <w:b/>
          <w:sz w:val="24"/>
          <w:szCs w:val="24"/>
          <w:lang w:val="mn-MN"/>
        </w:rPr>
      </w:pPr>
      <w:r w:rsidRPr="00B33487">
        <w:rPr>
          <w:rFonts w:ascii="Arial" w:hAnsi="Arial" w:cs="Arial"/>
          <w:b/>
          <w:sz w:val="24"/>
          <w:szCs w:val="24"/>
          <w:lang w:val="mn-MN"/>
        </w:rPr>
        <w:t xml:space="preserve">4.Харилцан уялдаа: </w:t>
      </w:r>
    </w:p>
    <w:p w14:paraId="35CDA19E" w14:textId="21320319" w:rsidR="00B7293D" w:rsidRPr="00B33487" w:rsidRDefault="00B7293D" w:rsidP="008D27E3">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w:t>
      </w:r>
      <w:r w:rsidR="00194683" w:rsidRPr="00B33487">
        <w:rPr>
          <w:rFonts w:ascii="Arial" w:hAnsi="Arial" w:cs="Arial"/>
          <w:sz w:val="24"/>
          <w:szCs w:val="24"/>
          <w:lang w:val="mn-MN"/>
        </w:rPr>
        <w:t>ъ</w:t>
      </w:r>
      <w:r w:rsidRPr="00B33487">
        <w:rPr>
          <w:rFonts w:ascii="Arial" w:hAnsi="Arial" w:cs="Arial"/>
          <w:sz w:val="24"/>
          <w:szCs w:val="24"/>
          <w:lang w:val="mn-MN"/>
        </w:rPr>
        <w:t>ектүүдийн чиг үүрэг давхардал, зөрчилдөөнгүй байх шаардлагатай. Иймд хуулийн төсөл нь Хууль тогтоомжийн тухай хуульд заасан агуулгын шаардлагыг</w:t>
      </w:r>
      <w:r w:rsidRPr="00B33487">
        <w:rPr>
          <w:rStyle w:val="FootnoteReference"/>
          <w:rFonts w:ascii="Arial" w:hAnsi="Arial" w:cs="Arial"/>
          <w:sz w:val="24"/>
          <w:szCs w:val="24"/>
          <w:lang w:val="mn-MN"/>
        </w:rPr>
        <w:footnoteReference w:id="5"/>
      </w:r>
      <w:r w:rsidRPr="00B33487">
        <w:rPr>
          <w:rFonts w:ascii="Arial" w:hAnsi="Arial" w:cs="Arial"/>
          <w:sz w:val="24"/>
          <w:szCs w:val="24"/>
          <w:lang w:val="mn-MN"/>
        </w:rPr>
        <w:t xml:space="preserve"> хангасан эсэхийг шалгах зорилгоор тус шалгуур үзүүлэлтийг сонгож байна. </w:t>
      </w:r>
    </w:p>
    <w:p w14:paraId="16AD87FD" w14:textId="3B3A053A" w:rsidR="00F461B8" w:rsidRPr="00B33487" w:rsidRDefault="00F461B8" w:rsidP="008D27E3">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 xml:space="preserve">Үнэт цаасны зах зээлийн тухай хууль нь </w:t>
      </w:r>
      <w:r w:rsidR="00336A44" w:rsidRPr="00B33487">
        <w:rPr>
          <w:rFonts w:ascii="Arial" w:hAnsi="Arial" w:cs="Arial"/>
          <w:sz w:val="24"/>
          <w:szCs w:val="24"/>
          <w:lang w:val="mn-MN"/>
        </w:rPr>
        <w:t xml:space="preserve">нийтэд арилжаалагддаг үнэт цаасны </w:t>
      </w:r>
      <w:r w:rsidR="001C5EA1" w:rsidRPr="00B33487">
        <w:rPr>
          <w:rFonts w:ascii="Arial" w:hAnsi="Arial" w:cs="Arial"/>
          <w:sz w:val="24"/>
          <w:szCs w:val="24"/>
          <w:lang w:val="mn-MN"/>
        </w:rPr>
        <w:t xml:space="preserve">зах зээлийн харилцааг голчлон зохицуулж, </w:t>
      </w:r>
      <w:r w:rsidR="00D65FC6" w:rsidRPr="00B33487">
        <w:rPr>
          <w:rFonts w:ascii="Arial" w:hAnsi="Arial" w:cs="Arial"/>
          <w:sz w:val="24"/>
          <w:szCs w:val="24"/>
          <w:lang w:val="mn-MN"/>
        </w:rPr>
        <w:t xml:space="preserve">санхүүгийн зарим хэрэгслийг </w:t>
      </w:r>
      <w:r w:rsidR="00EE043F" w:rsidRPr="00B33487">
        <w:rPr>
          <w:rFonts w:ascii="Arial" w:hAnsi="Arial" w:cs="Arial"/>
          <w:sz w:val="24"/>
          <w:szCs w:val="24"/>
          <w:lang w:val="mn-MN"/>
        </w:rPr>
        <w:t xml:space="preserve">биржийн бус зах зээл дээр хаалттай хүрээнд </w:t>
      </w:r>
      <w:r w:rsidR="00EB1CD6" w:rsidRPr="00B33487">
        <w:rPr>
          <w:rFonts w:ascii="Arial" w:hAnsi="Arial" w:cs="Arial"/>
          <w:sz w:val="24"/>
          <w:szCs w:val="24"/>
          <w:lang w:val="mn-MN"/>
        </w:rPr>
        <w:t xml:space="preserve">гаргах, баримтжуулах, холбогдох </w:t>
      </w:r>
      <w:r w:rsidR="00F2245E" w:rsidRPr="00B33487">
        <w:rPr>
          <w:rFonts w:ascii="Arial" w:hAnsi="Arial" w:cs="Arial"/>
          <w:sz w:val="24"/>
          <w:szCs w:val="24"/>
          <w:lang w:val="mn-MN"/>
        </w:rPr>
        <w:t xml:space="preserve">эрхийг </w:t>
      </w:r>
      <w:r w:rsidR="001F7C9B" w:rsidRPr="00B33487">
        <w:rPr>
          <w:rFonts w:ascii="Arial" w:hAnsi="Arial" w:cs="Arial"/>
          <w:sz w:val="24"/>
          <w:szCs w:val="24"/>
          <w:lang w:val="mn-MN"/>
        </w:rPr>
        <w:t>бүртг</w:t>
      </w:r>
      <w:r w:rsidR="004A7B78" w:rsidRPr="00B33487">
        <w:rPr>
          <w:rFonts w:ascii="Arial" w:hAnsi="Arial" w:cs="Arial"/>
          <w:sz w:val="24"/>
          <w:szCs w:val="24"/>
          <w:lang w:val="mn-MN"/>
        </w:rPr>
        <w:t>эх, хамтын болон хувийн хөрөнгө оруулалтын санг</w:t>
      </w:r>
      <w:r w:rsidR="006C03C6" w:rsidRPr="00B33487">
        <w:rPr>
          <w:rFonts w:ascii="Arial" w:hAnsi="Arial" w:cs="Arial"/>
          <w:sz w:val="24"/>
          <w:szCs w:val="24"/>
          <w:lang w:val="mn-MN"/>
        </w:rPr>
        <w:t xml:space="preserve">ийн зохицуулалтын ялгааг гаргалгүй </w:t>
      </w:r>
      <w:r w:rsidR="00414DE9" w:rsidRPr="00B33487">
        <w:rPr>
          <w:rFonts w:ascii="Arial" w:hAnsi="Arial" w:cs="Arial"/>
          <w:sz w:val="24"/>
          <w:szCs w:val="24"/>
          <w:lang w:val="mn-MN"/>
        </w:rPr>
        <w:t xml:space="preserve"> орхигдуулсан байгаа</w:t>
      </w:r>
      <w:r w:rsidR="00563ECA" w:rsidRPr="00B33487">
        <w:rPr>
          <w:rFonts w:ascii="Arial" w:hAnsi="Arial" w:cs="Arial"/>
          <w:sz w:val="24"/>
          <w:szCs w:val="24"/>
          <w:lang w:val="mn-MN"/>
        </w:rPr>
        <w:t xml:space="preserve"> зэрэг</w:t>
      </w:r>
      <w:r w:rsidR="00414DE9" w:rsidRPr="00B33487">
        <w:rPr>
          <w:rFonts w:ascii="Arial" w:hAnsi="Arial" w:cs="Arial"/>
          <w:sz w:val="24"/>
          <w:szCs w:val="24"/>
          <w:lang w:val="mn-MN"/>
        </w:rPr>
        <w:t xml:space="preserve"> нь </w:t>
      </w:r>
      <w:r w:rsidR="0066478E" w:rsidRPr="00B33487">
        <w:rPr>
          <w:rFonts w:ascii="Arial" w:hAnsi="Arial" w:cs="Arial"/>
          <w:sz w:val="24"/>
          <w:szCs w:val="24"/>
          <w:lang w:val="mn-MN"/>
        </w:rPr>
        <w:t xml:space="preserve">хуулийг амьдралд хэрэгжүүлэхэд бодит </w:t>
      </w:r>
      <w:r w:rsidR="004A7B78" w:rsidRPr="00B33487">
        <w:rPr>
          <w:rFonts w:ascii="Arial" w:hAnsi="Arial" w:cs="Arial"/>
          <w:sz w:val="24"/>
          <w:szCs w:val="24"/>
          <w:lang w:val="mn-MN"/>
        </w:rPr>
        <w:t xml:space="preserve">хүндрэлүүдийг үүсгэсээр байна. </w:t>
      </w:r>
    </w:p>
    <w:p w14:paraId="057FE2DB" w14:textId="043F4A58" w:rsidR="00B7293D" w:rsidRPr="00B33487" w:rsidRDefault="00926E02" w:rsidP="00F92A9E">
      <w:pPr>
        <w:spacing w:after="120" w:line="240" w:lineRule="auto"/>
        <w:ind w:firstLine="720"/>
        <w:jc w:val="both"/>
        <w:rPr>
          <w:rFonts w:ascii="Arial" w:eastAsia="Calibri" w:hAnsi="Arial" w:cs="Arial"/>
          <w:sz w:val="24"/>
          <w:szCs w:val="24"/>
          <w:lang w:val="mn-MN" w:eastAsia="en-US"/>
        </w:rPr>
      </w:pPr>
      <w:r w:rsidRPr="00B33487">
        <w:rPr>
          <w:rFonts w:ascii="Arial" w:eastAsia="Calibri" w:hAnsi="Arial" w:cs="Arial"/>
          <w:sz w:val="24"/>
          <w:szCs w:val="24"/>
          <w:lang w:val="mn-MN" w:eastAsia="en-US"/>
        </w:rPr>
        <w:t>Мөн</w:t>
      </w:r>
      <w:r w:rsidR="001F43DF" w:rsidRPr="00B33487">
        <w:rPr>
          <w:rFonts w:ascii="Arial" w:eastAsia="Calibri" w:hAnsi="Arial" w:cs="Arial"/>
          <w:sz w:val="24"/>
          <w:szCs w:val="24"/>
          <w:lang w:val="mn-MN" w:eastAsia="en-US"/>
        </w:rPr>
        <w:t xml:space="preserve"> Үнэт цаасны зах зээлийн тухай хуулийн </w:t>
      </w:r>
      <w:r w:rsidR="004800EF" w:rsidRPr="00B33487">
        <w:rPr>
          <w:rFonts w:ascii="Arial" w:eastAsia="Calibri" w:hAnsi="Arial" w:cs="Arial"/>
          <w:sz w:val="24"/>
          <w:szCs w:val="24"/>
          <w:lang w:val="mn-MN" w:eastAsia="en-US"/>
        </w:rPr>
        <w:t xml:space="preserve">зүйл, заалт нь тухайн хууль болон </w:t>
      </w:r>
      <w:r w:rsidR="00D55989" w:rsidRPr="00B33487">
        <w:rPr>
          <w:rFonts w:ascii="Arial" w:eastAsia="Calibri" w:hAnsi="Arial" w:cs="Arial"/>
          <w:sz w:val="24"/>
          <w:szCs w:val="24"/>
          <w:lang w:val="mn-MN" w:eastAsia="en-US"/>
        </w:rPr>
        <w:t xml:space="preserve">Үндэсний төлбөрийн системийн тухай </w:t>
      </w:r>
      <w:r w:rsidR="005D3404" w:rsidRPr="00B33487">
        <w:rPr>
          <w:rFonts w:ascii="Arial" w:eastAsia="Calibri" w:hAnsi="Arial" w:cs="Arial"/>
          <w:sz w:val="24"/>
          <w:szCs w:val="24"/>
          <w:lang w:val="mn-MN" w:eastAsia="en-US"/>
        </w:rPr>
        <w:t>хууль</w:t>
      </w:r>
      <w:r w:rsidR="006B633E" w:rsidRPr="00B33487">
        <w:rPr>
          <w:rFonts w:ascii="Arial" w:eastAsia="Calibri" w:hAnsi="Arial" w:cs="Arial"/>
          <w:sz w:val="24"/>
          <w:szCs w:val="24"/>
          <w:lang w:val="mn-MN" w:eastAsia="en-US"/>
        </w:rPr>
        <w:t>,</w:t>
      </w:r>
      <w:r w:rsidR="005D3404" w:rsidRPr="00B33487">
        <w:rPr>
          <w:rFonts w:ascii="Arial" w:eastAsia="Calibri" w:hAnsi="Arial" w:cs="Arial"/>
          <w:sz w:val="24"/>
          <w:szCs w:val="24"/>
          <w:lang w:val="mn-MN" w:eastAsia="en-US"/>
        </w:rPr>
        <w:t xml:space="preserve"> </w:t>
      </w:r>
      <w:r w:rsidRPr="00B33487">
        <w:rPr>
          <w:rFonts w:ascii="Arial" w:eastAsia="Calibri" w:hAnsi="Arial" w:cs="Arial"/>
          <w:sz w:val="24"/>
          <w:szCs w:val="24"/>
          <w:lang w:val="mn-MN" w:eastAsia="en-US"/>
        </w:rPr>
        <w:t xml:space="preserve">Зөрчлийн тухай хууль, </w:t>
      </w:r>
      <w:r w:rsidR="006B633E" w:rsidRPr="00B33487">
        <w:rPr>
          <w:rFonts w:ascii="Arial" w:eastAsia="Calibri" w:hAnsi="Arial" w:cs="Arial"/>
          <w:sz w:val="24"/>
          <w:szCs w:val="24"/>
          <w:lang w:val="mn-MN" w:eastAsia="en-US"/>
        </w:rPr>
        <w:t xml:space="preserve">Компанийн тухай хууль, </w:t>
      </w:r>
      <w:r w:rsidR="004B6039" w:rsidRPr="00B33487">
        <w:rPr>
          <w:rFonts w:ascii="Arial" w:eastAsia="Calibri" w:hAnsi="Arial" w:cs="Arial"/>
          <w:sz w:val="24"/>
          <w:szCs w:val="24"/>
          <w:lang w:val="mn-MN" w:eastAsia="en-US"/>
        </w:rPr>
        <w:t>Санхүүгийн зохицуулах хорооны эрх зүйн байд</w:t>
      </w:r>
      <w:r w:rsidR="00B16C29" w:rsidRPr="00B33487">
        <w:rPr>
          <w:rFonts w:ascii="Arial" w:eastAsia="Calibri" w:hAnsi="Arial" w:cs="Arial"/>
          <w:sz w:val="24"/>
          <w:szCs w:val="24"/>
          <w:lang w:val="mn-MN" w:eastAsia="en-US"/>
        </w:rPr>
        <w:t>л</w:t>
      </w:r>
      <w:r w:rsidR="004B6039" w:rsidRPr="00B33487">
        <w:rPr>
          <w:rFonts w:ascii="Arial" w:eastAsia="Calibri" w:hAnsi="Arial" w:cs="Arial"/>
          <w:sz w:val="24"/>
          <w:szCs w:val="24"/>
          <w:lang w:val="mn-MN" w:eastAsia="en-US"/>
        </w:rPr>
        <w:t>ын тухай хууль</w:t>
      </w:r>
      <w:r w:rsidR="004A0DED" w:rsidRPr="00B33487">
        <w:rPr>
          <w:rFonts w:ascii="Arial" w:eastAsia="Calibri" w:hAnsi="Arial" w:cs="Arial"/>
          <w:sz w:val="24"/>
          <w:szCs w:val="24"/>
          <w:lang w:val="mn-MN" w:eastAsia="en-US"/>
        </w:rPr>
        <w:t xml:space="preserve"> болон бусад </w:t>
      </w:r>
      <w:r w:rsidR="004A0DED" w:rsidRPr="00B33487">
        <w:rPr>
          <w:rFonts w:ascii="Arial" w:eastAsia="Calibri" w:hAnsi="Arial" w:cs="Arial"/>
          <w:sz w:val="24"/>
          <w:szCs w:val="24"/>
          <w:lang w:val="mn-MN" w:eastAsia="en-US"/>
        </w:rPr>
        <w:lastRenderedPageBreak/>
        <w:t>зарим хуул</w:t>
      </w:r>
      <w:r w:rsidR="00610399" w:rsidRPr="00B33487">
        <w:rPr>
          <w:rFonts w:ascii="Arial" w:eastAsia="Calibri" w:hAnsi="Arial" w:cs="Arial"/>
          <w:sz w:val="24"/>
          <w:szCs w:val="24"/>
          <w:lang w:val="mn-MN" w:eastAsia="en-US"/>
        </w:rPr>
        <w:t xml:space="preserve">иудтай </w:t>
      </w:r>
      <w:r w:rsidR="00BA41BB" w:rsidRPr="00B33487">
        <w:rPr>
          <w:rFonts w:ascii="Arial" w:eastAsia="Calibri" w:hAnsi="Arial" w:cs="Arial"/>
          <w:sz w:val="24"/>
          <w:szCs w:val="24"/>
          <w:lang w:val="mn-MN" w:eastAsia="en-US"/>
        </w:rPr>
        <w:t xml:space="preserve">давхардал, зөрчил, хийдэл үүсгэж </w:t>
      </w:r>
      <w:r w:rsidR="00B7293D" w:rsidRPr="00B33487">
        <w:rPr>
          <w:rFonts w:ascii="Arial" w:eastAsia="Calibri" w:hAnsi="Arial" w:cs="Arial"/>
          <w:sz w:val="24"/>
          <w:szCs w:val="24"/>
          <w:lang w:val="mn-MN" w:eastAsia="en-US"/>
        </w:rPr>
        <w:t xml:space="preserve">тэдгээрийн өөр хоорондын уялдаа, хэрэгжүүлэх механизм хангалтгүй байна. </w:t>
      </w:r>
    </w:p>
    <w:p w14:paraId="162EA2DC" w14:textId="77777777" w:rsidR="00B7293D" w:rsidRPr="00B33487" w:rsidRDefault="00B7293D" w:rsidP="00F92A9E">
      <w:pPr>
        <w:spacing w:after="120" w:line="240" w:lineRule="auto"/>
        <w:jc w:val="center"/>
        <w:rPr>
          <w:rFonts w:ascii="Arial" w:hAnsi="Arial" w:cs="Arial"/>
          <w:b/>
          <w:sz w:val="24"/>
          <w:szCs w:val="24"/>
          <w:lang w:val="mn-MN"/>
        </w:rPr>
      </w:pPr>
      <w:r w:rsidRPr="00B33487">
        <w:rPr>
          <w:rFonts w:ascii="Arial" w:hAnsi="Arial" w:cs="Arial"/>
          <w:b/>
          <w:sz w:val="24"/>
          <w:szCs w:val="24"/>
          <w:lang w:val="mn-MN"/>
        </w:rPr>
        <w:t xml:space="preserve">ГУРАВ. ХУУЛИЙН ТӨСЛӨӨС ҮР НӨЛӨӨГ ҮНЭЛЭХ ХЭСГИЙГ </w:t>
      </w:r>
      <w:r w:rsidR="00F92A9E" w:rsidRPr="00B33487">
        <w:rPr>
          <w:rFonts w:ascii="Arial" w:hAnsi="Arial" w:cs="Arial"/>
          <w:b/>
          <w:sz w:val="24"/>
          <w:szCs w:val="24"/>
          <w:lang w:val="mn-MN"/>
        </w:rPr>
        <w:br/>
      </w:r>
      <w:r w:rsidRPr="00B33487">
        <w:rPr>
          <w:rFonts w:ascii="Arial" w:hAnsi="Arial" w:cs="Arial"/>
          <w:b/>
          <w:sz w:val="24"/>
          <w:szCs w:val="24"/>
          <w:lang w:val="mn-MN"/>
        </w:rPr>
        <w:t>ТОГТООСОН БАЙДАЛ</w:t>
      </w:r>
    </w:p>
    <w:p w14:paraId="162A8759" w14:textId="77777777" w:rsidR="00B7293D" w:rsidRPr="00B33487" w:rsidRDefault="00B7293D"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 байдлаар тогтоолоо.</w:t>
      </w:r>
    </w:p>
    <w:p w14:paraId="7897285C" w14:textId="77777777" w:rsidR="00B7293D" w:rsidRPr="00B33487" w:rsidRDefault="00B7293D" w:rsidP="00F92A9E">
      <w:pPr>
        <w:spacing w:after="120" w:line="240" w:lineRule="auto"/>
        <w:jc w:val="right"/>
        <w:rPr>
          <w:rFonts w:ascii="Arial" w:hAnsi="Arial" w:cs="Arial"/>
          <w:sz w:val="24"/>
          <w:szCs w:val="24"/>
          <w:lang w:val="mn-MN"/>
        </w:rPr>
      </w:pPr>
      <w:r w:rsidRPr="00B33487">
        <w:rPr>
          <w:rFonts w:ascii="Arial" w:hAnsi="Arial" w:cs="Arial"/>
          <w:sz w:val="24"/>
          <w:szCs w:val="24"/>
          <w:lang w:val="mn-MN"/>
        </w:rPr>
        <w:t xml:space="preserve"> Хүснэгт-1</w:t>
      </w:r>
    </w:p>
    <w:tbl>
      <w:tblPr>
        <w:tblStyle w:val="TableGrid"/>
        <w:tblW w:w="9862" w:type="dxa"/>
        <w:tblInd w:w="-34" w:type="dxa"/>
        <w:tblLook w:val="04A0" w:firstRow="1" w:lastRow="0" w:firstColumn="1" w:lastColumn="0" w:noHBand="0" w:noVBand="1"/>
      </w:tblPr>
      <w:tblGrid>
        <w:gridCol w:w="557"/>
        <w:gridCol w:w="2039"/>
        <w:gridCol w:w="2601"/>
        <w:gridCol w:w="4665"/>
      </w:tblGrid>
      <w:tr w:rsidR="00B7293D" w:rsidRPr="00B33487" w14:paraId="7BC2C37F" w14:textId="77777777" w:rsidTr="00721359">
        <w:tc>
          <w:tcPr>
            <w:tcW w:w="534" w:type="dxa"/>
            <w:shd w:val="clear" w:color="auto" w:fill="D9D9D9" w:themeFill="background1" w:themeFillShade="D9"/>
            <w:vAlign w:val="center"/>
          </w:tcPr>
          <w:p w14:paraId="59F4591E" w14:textId="77777777" w:rsidR="00B7293D" w:rsidRPr="00B33487" w:rsidRDefault="00B7293D" w:rsidP="00F92A9E">
            <w:pPr>
              <w:spacing w:after="0" w:line="240" w:lineRule="auto"/>
              <w:jc w:val="center"/>
              <w:rPr>
                <w:rFonts w:ascii="Arial" w:hAnsi="Arial" w:cs="Arial"/>
                <w:b/>
                <w:highlight w:val="yellow"/>
                <w:lang w:val="mn-MN"/>
              </w:rPr>
            </w:pPr>
            <w:r w:rsidRPr="00B33487">
              <w:rPr>
                <w:rFonts w:ascii="Arial" w:hAnsi="Arial" w:cs="Arial"/>
                <w:b/>
                <w:lang w:val="mn-MN"/>
              </w:rPr>
              <w:t>д/д</w:t>
            </w:r>
          </w:p>
        </w:tc>
        <w:tc>
          <w:tcPr>
            <w:tcW w:w="2042" w:type="dxa"/>
            <w:shd w:val="clear" w:color="auto" w:fill="D9D9D9" w:themeFill="background1" w:themeFillShade="D9"/>
            <w:vAlign w:val="center"/>
          </w:tcPr>
          <w:p w14:paraId="0E0BABF1" w14:textId="77777777" w:rsidR="00B7293D" w:rsidRPr="00B33487" w:rsidRDefault="00B7293D" w:rsidP="00F92A9E">
            <w:pPr>
              <w:spacing w:after="0" w:line="240" w:lineRule="auto"/>
              <w:jc w:val="center"/>
              <w:rPr>
                <w:rFonts w:ascii="Arial" w:hAnsi="Arial" w:cs="Arial"/>
                <w:b/>
                <w:lang w:val="mn-MN"/>
              </w:rPr>
            </w:pPr>
            <w:r w:rsidRPr="00B33487">
              <w:rPr>
                <w:rFonts w:ascii="Arial" w:hAnsi="Arial" w:cs="Arial"/>
                <w:b/>
                <w:lang w:val="mn-MN"/>
              </w:rPr>
              <w:t>Шалгуур үзүүлэлт</w:t>
            </w:r>
          </w:p>
        </w:tc>
        <w:tc>
          <w:tcPr>
            <w:tcW w:w="2606" w:type="dxa"/>
            <w:shd w:val="clear" w:color="auto" w:fill="D9D9D9" w:themeFill="background1" w:themeFillShade="D9"/>
            <w:vAlign w:val="center"/>
          </w:tcPr>
          <w:p w14:paraId="70D0006F" w14:textId="77777777" w:rsidR="00B7293D" w:rsidRPr="00B33487" w:rsidRDefault="00B7293D" w:rsidP="00F92A9E">
            <w:pPr>
              <w:spacing w:after="0" w:line="240" w:lineRule="auto"/>
              <w:jc w:val="center"/>
              <w:rPr>
                <w:rFonts w:ascii="Arial" w:hAnsi="Arial" w:cs="Arial"/>
                <w:b/>
                <w:lang w:val="mn-MN"/>
              </w:rPr>
            </w:pPr>
            <w:r w:rsidRPr="00B33487">
              <w:rPr>
                <w:rFonts w:ascii="Arial" w:hAnsi="Arial" w:cs="Arial"/>
                <w:b/>
                <w:lang w:val="mn-MN"/>
              </w:rPr>
              <w:t>Үр нөлөөг үнэлэх хэсэг</w:t>
            </w:r>
          </w:p>
        </w:tc>
        <w:tc>
          <w:tcPr>
            <w:tcW w:w="4680" w:type="dxa"/>
            <w:shd w:val="clear" w:color="auto" w:fill="D9D9D9" w:themeFill="background1" w:themeFillShade="D9"/>
            <w:vAlign w:val="center"/>
          </w:tcPr>
          <w:p w14:paraId="76AD91E4" w14:textId="77777777" w:rsidR="00B7293D" w:rsidRPr="00B33487" w:rsidRDefault="00B7293D" w:rsidP="00F92A9E">
            <w:pPr>
              <w:spacing w:after="0" w:line="240" w:lineRule="auto"/>
              <w:jc w:val="center"/>
              <w:rPr>
                <w:rFonts w:ascii="Arial" w:hAnsi="Arial" w:cs="Arial"/>
                <w:b/>
                <w:lang w:val="mn-MN"/>
              </w:rPr>
            </w:pPr>
            <w:r w:rsidRPr="00B33487">
              <w:rPr>
                <w:rFonts w:ascii="Arial" w:hAnsi="Arial" w:cs="Arial"/>
                <w:b/>
                <w:lang w:val="mn-MN"/>
              </w:rPr>
              <w:t>Шалгах хэрэгсэл</w:t>
            </w:r>
          </w:p>
        </w:tc>
      </w:tr>
      <w:tr w:rsidR="00B7293D" w:rsidRPr="00B33487" w14:paraId="5F93C982" w14:textId="77777777" w:rsidTr="00F92A9E">
        <w:tc>
          <w:tcPr>
            <w:tcW w:w="534" w:type="dxa"/>
            <w:vAlign w:val="center"/>
          </w:tcPr>
          <w:p w14:paraId="79D2E016" w14:textId="77777777" w:rsidR="00B7293D" w:rsidRPr="00B33487" w:rsidRDefault="00B7293D" w:rsidP="00F92A9E">
            <w:pPr>
              <w:spacing w:after="0" w:line="240" w:lineRule="auto"/>
              <w:rPr>
                <w:rFonts w:ascii="Arial" w:hAnsi="Arial" w:cs="Arial"/>
                <w:lang w:val="mn-MN"/>
              </w:rPr>
            </w:pPr>
            <w:r w:rsidRPr="00B33487">
              <w:rPr>
                <w:rFonts w:ascii="Arial" w:hAnsi="Arial" w:cs="Arial"/>
                <w:lang w:val="mn-MN"/>
              </w:rPr>
              <w:t>1</w:t>
            </w:r>
          </w:p>
        </w:tc>
        <w:tc>
          <w:tcPr>
            <w:tcW w:w="2042" w:type="dxa"/>
            <w:vAlign w:val="center"/>
          </w:tcPr>
          <w:p w14:paraId="29EB9D10" w14:textId="77777777" w:rsidR="00B7293D" w:rsidRPr="00B33487" w:rsidRDefault="00B7293D" w:rsidP="00F92A9E">
            <w:pPr>
              <w:spacing w:after="0" w:line="240" w:lineRule="auto"/>
              <w:rPr>
                <w:rFonts w:ascii="Arial" w:hAnsi="Arial" w:cs="Arial"/>
                <w:lang w:val="mn-MN"/>
              </w:rPr>
            </w:pPr>
            <w:r w:rsidRPr="00B33487">
              <w:rPr>
                <w:rFonts w:ascii="Arial" w:hAnsi="Arial" w:cs="Arial"/>
                <w:lang w:val="mn-MN"/>
              </w:rPr>
              <w:t xml:space="preserve">Зорилгод хүрэх байдал </w:t>
            </w:r>
          </w:p>
        </w:tc>
        <w:tc>
          <w:tcPr>
            <w:tcW w:w="2606" w:type="dxa"/>
            <w:vAlign w:val="center"/>
          </w:tcPr>
          <w:p w14:paraId="4EF52609" w14:textId="77777777" w:rsidR="00B7293D" w:rsidRPr="00B33487" w:rsidRDefault="00B7293D" w:rsidP="00F92A9E">
            <w:pPr>
              <w:spacing w:after="0" w:line="240" w:lineRule="auto"/>
              <w:rPr>
                <w:rFonts w:ascii="Arial" w:hAnsi="Arial" w:cs="Arial"/>
                <w:highlight w:val="yellow"/>
                <w:lang w:val="mn-MN"/>
              </w:rPr>
            </w:pPr>
            <w:r w:rsidRPr="00B33487">
              <w:rPr>
                <w:rFonts w:ascii="Arial" w:hAnsi="Arial" w:cs="Arial"/>
                <w:lang w:val="mn-MN"/>
              </w:rPr>
              <w:t xml:space="preserve">Хуулийн төслийн холбогдох зохицуулалт </w:t>
            </w:r>
          </w:p>
        </w:tc>
        <w:tc>
          <w:tcPr>
            <w:tcW w:w="4680" w:type="dxa"/>
            <w:shd w:val="clear" w:color="auto" w:fill="auto"/>
            <w:vAlign w:val="center"/>
          </w:tcPr>
          <w:p w14:paraId="2DC0FC17" w14:textId="77777777" w:rsidR="00B7293D" w:rsidRPr="00B33487" w:rsidRDefault="00B7293D" w:rsidP="00F92A9E">
            <w:pPr>
              <w:spacing w:after="0" w:line="240" w:lineRule="auto"/>
              <w:rPr>
                <w:rFonts w:ascii="Arial" w:hAnsi="Arial" w:cs="Arial"/>
                <w:highlight w:val="yellow"/>
                <w:lang w:val="mn-MN"/>
              </w:rPr>
            </w:pPr>
            <w:r w:rsidRPr="00B33487">
              <w:rPr>
                <w:rFonts w:ascii="Arial" w:hAnsi="Arial" w:cs="Arial"/>
                <w:lang w:val="mn-MN"/>
              </w:rPr>
              <w:t xml:space="preserve">Хуулийн төслийн үзэл баримтлалд дэвшүүлсэн зорилтыг хангах эсэхэд дүн шинжилгээ хийх. </w:t>
            </w:r>
          </w:p>
        </w:tc>
      </w:tr>
      <w:tr w:rsidR="00B7293D" w:rsidRPr="00B33487" w14:paraId="21B099A2" w14:textId="77777777" w:rsidTr="00F92A9E">
        <w:tc>
          <w:tcPr>
            <w:tcW w:w="534" w:type="dxa"/>
            <w:vAlign w:val="center"/>
          </w:tcPr>
          <w:p w14:paraId="43A6612F" w14:textId="77777777" w:rsidR="00B7293D" w:rsidRPr="00B33487" w:rsidRDefault="00B7293D" w:rsidP="00F92A9E">
            <w:pPr>
              <w:spacing w:after="0" w:line="240" w:lineRule="auto"/>
              <w:rPr>
                <w:rFonts w:ascii="Arial" w:hAnsi="Arial" w:cs="Arial"/>
                <w:lang w:val="mn-MN"/>
              </w:rPr>
            </w:pPr>
            <w:r w:rsidRPr="00B33487">
              <w:rPr>
                <w:rFonts w:ascii="Arial" w:hAnsi="Arial" w:cs="Arial"/>
                <w:lang w:val="mn-MN"/>
              </w:rPr>
              <w:t>2</w:t>
            </w:r>
          </w:p>
        </w:tc>
        <w:tc>
          <w:tcPr>
            <w:tcW w:w="2042" w:type="dxa"/>
            <w:vAlign w:val="center"/>
          </w:tcPr>
          <w:p w14:paraId="60EB238F" w14:textId="77777777" w:rsidR="00B7293D" w:rsidRPr="00B33487" w:rsidRDefault="00B7293D" w:rsidP="00F92A9E">
            <w:pPr>
              <w:tabs>
                <w:tab w:val="left" w:pos="1134"/>
              </w:tabs>
              <w:spacing w:after="0" w:line="240" w:lineRule="auto"/>
              <w:rPr>
                <w:rFonts w:ascii="Arial" w:hAnsi="Arial" w:cs="Arial"/>
                <w:lang w:val="mn-MN"/>
              </w:rPr>
            </w:pPr>
            <w:r w:rsidRPr="00B33487">
              <w:rPr>
                <w:rFonts w:ascii="Arial" w:hAnsi="Arial" w:cs="Arial"/>
                <w:lang w:val="mn-MN"/>
              </w:rPr>
              <w:t>Практикт хэрэгжих боломж</w:t>
            </w:r>
            <w:r w:rsidRPr="00B33487">
              <w:rPr>
                <w:rFonts w:ascii="Arial" w:hAnsi="Arial" w:cs="Arial"/>
                <w:lang w:val="mn-MN"/>
              </w:rPr>
              <w:tab/>
            </w:r>
          </w:p>
        </w:tc>
        <w:tc>
          <w:tcPr>
            <w:tcW w:w="2606" w:type="dxa"/>
            <w:vAlign w:val="center"/>
          </w:tcPr>
          <w:p w14:paraId="37C01CD6" w14:textId="1AC745A6" w:rsidR="00B7293D" w:rsidRPr="00B33487" w:rsidRDefault="00CB3A89" w:rsidP="00F92A9E">
            <w:pPr>
              <w:spacing w:after="0" w:line="240" w:lineRule="auto"/>
              <w:rPr>
                <w:rFonts w:ascii="Arial" w:hAnsi="Arial" w:cs="Arial"/>
                <w:lang w:val="mn-MN"/>
              </w:rPr>
            </w:pPr>
            <w:r w:rsidRPr="00B33487">
              <w:rPr>
                <w:rFonts w:ascii="Arial" w:hAnsi="Arial" w:cs="Arial"/>
                <w:lang w:val="mn-MN"/>
              </w:rPr>
              <w:t xml:space="preserve">Хуулийн төслийн </w:t>
            </w:r>
            <w:r w:rsidR="00B53D82" w:rsidRPr="00B33487">
              <w:rPr>
                <w:rFonts w:ascii="Arial" w:hAnsi="Arial" w:cs="Arial"/>
                <w:lang w:val="mn-MN"/>
              </w:rPr>
              <w:t>нэгдүгээр зүйл</w:t>
            </w:r>
            <w:r w:rsidR="00C05BAB" w:rsidRPr="00B33487">
              <w:rPr>
                <w:rFonts w:ascii="Arial" w:hAnsi="Arial" w:cs="Arial"/>
                <w:lang w:val="mn-MN"/>
              </w:rPr>
              <w:t>,</w:t>
            </w:r>
            <w:r w:rsidR="00194683" w:rsidRPr="00B33487">
              <w:rPr>
                <w:rFonts w:ascii="Arial" w:hAnsi="Arial" w:cs="Arial"/>
                <w:lang w:val="mn-MN"/>
              </w:rPr>
              <w:t xml:space="preserve"> </w:t>
            </w:r>
            <w:r w:rsidR="008120C6" w:rsidRPr="00B33487">
              <w:rPr>
                <w:rFonts w:ascii="Arial" w:hAnsi="Arial" w:cs="Arial"/>
                <w:lang w:val="mn-MN"/>
              </w:rPr>
              <w:t>хо</w:t>
            </w:r>
            <w:r w:rsidR="00C05BAB" w:rsidRPr="00B33487">
              <w:rPr>
                <w:rFonts w:ascii="Arial" w:hAnsi="Arial" w:cs="Arial"/>
                <w:lang w:val="mn-MN"/>
              </w:rPr>
              <w:t>ёрдугаар</w:t>
            </w:r>
            <w:r w:rsidR="00B7293D" w:rsidRPr="00B33487">
              <w:rPr>
                <w:rFonts w:ascii="Arial" w:hAnsi="Arial" w:cs="Arial"/>
                <w:lang w:val="mn-MN"/>
              </w:rPr>
              <w:t xml:space="preserve"> </w:t>
            </w:r>
            <w:r w:rsidR="008120C6" w:rsidRPr="00B33487">
              <w:rPr>
                <w:rFonts w:ascii="Arial" w:hAnsi="Arial" w:cs="Arial"/>
                <w:lang w:val="mn-MN"/>
              </w:rPr>
              <w:t>зүйл</w:t>
            </w:r>
            <w:r w:rsidR="00B7293D" w:rsidRPr="00B33487">
              <w:rPr>
                <w:rFonts w:ascii="Arial" w:hAnsi="Arial" w:cs="Arial"/>
                <w:lang w:val="mn-MN"/>
              </w:rPr>
              <w:t>.</w:t>
            </w:r>
            <w:r w:rsidR="00194683" w:rsidRPr="00B33487">
              <w:rPr>
                <w:rFonts w:ascii="Arial" w:hAnsi="Arial" w:cs="Arial"/>
                <w:lang w:val="mn-MN"/>
              </w:rPr>
              <w:t xml:space="preserve"> </w:t>
            </w:r>
          </w:p>
        </w:tc>
        <w:tc>
          <w:tcPr>
            <w:tcW w:w="4680" w:type="dxa"/>
            <w:vAlign w:val="center"/>
          </w:tcPr>
          <w:p w14:paraId="601F0931" w14:textId="663B4EC5" w:rsidR="00B7293D" w:rsidRPr="00B33487" w:rsidRDefault="003B552D" w:rsidP="00F92A9E">
            <w:pPr>
              <w:spacing w:after="0" w:line="240" w:lineRule="auto"/>
              <w:rPr>
                <w:rFonts w:ascii="Arial" w:hAnsi="Arial" w:cs="Arial"/>
                <w:highlight w:val="yellow"/>
                <w:lang w:val="mn-MN"/>
              </w:rPr>
            </w:pPr>
            <w:r w:rsidRPr="00B33487">
              <w:rPr>
                <w:rFonts w:ascii="Arial" w:hAnsi="Arial" w:cs="Arial"/>
                <w:lang w:val="mn-MN"/>
              </w:rPr>
              <w:t xml:space="preserve">Үнэт цаасны төлбөрийн үйл ажиллагаанд </w:t>
            </w:r>
            <w:r w:rsidR="0048548A" w:rsidRPr="00B33487">
              <w:rPr>
                <w:rFonts w:ascii="Arial" w:hAnsi="Arial" w:cs="Arial"/>
                <w:lang w:val="mn-MN"/>
              </w:rPr>
              <w:t>төлбөрийн эсрэг нийлүүлэл</w:t>
            </w:r>
            <w:r w:rsidR="006D058B" w:rsidRPr="00B33487">
              <w:rPr>
                <w:rFonts w:ascii="Arial" w:hAnsi="Arial" w:cs="Arial"/>
                <w:lang w:val="mn-MN"/>
              </w:rPr>
              <w:t xml:space="preserve">тийн зарчмыг нэвтрүүлэхтэй холбоотойгоор клирингийн гишүүн </w:t>
            </w:r>
            <w:r w:rsidR="008F4846" w:rsidRPr="00B33487">
              <w:rPr>
                <w:rFonts w:ascii="Arial" w:hAnsi="Arial" w:cs="Arial"/>
                <w:lang w:val="mn-MN"/>
              </w:rPr>
              <w:t xml:space="preserve">болон төлбөрийн баталгааны сангийн зохицуулалт, </w:t>
            </w:r>
            <w:r w:rsidR="00302B1A" w:rsidRPr="00B33487">
              <w:rPr>
                <w:rFonts w:ascii="Arial" w:hAnsi="Arial" w:cs="Arial"/>
                <w:lang w:val="mn-MN"/>
              </w:rPr>
              <w:t xml:space="preserve">компанийн </w:t>
            </w:r>
            <w:r w:rsidR="00552CAE" w:rsidRPr="00B33487">
              <w:rPr>
                <w:rFonts w:ascii="Arial" w:hAnsi="Arial" w:cs="Arial"/>
                <w:lang w:val="mn-MN"/>
              </w:rPr>
              <w:t>өрийн хэрэгс</w:t>
            </w:r>
            <w:r w:rsidR="00175F49" w:rsidRPr="00B33487">
              <w:rPr>
                <w:rFonts w:ascii="Arial" w:hAnsi="Arial" w:cs="Arial"/>
                <w:lang w:val="mn-MN"/>
              </w:rPr>
              <w:t>эл</w:t>
            </w:r>
            <w:r w:rsidR="00302B1A" w:rsidRPr="00B33487">
              <w:rPr>
                <w:rFonts w:ascii="Arial" w:hAnsi="Arial" w:cs="Arial"/>
                <w:lang w:val="mn-MN"/>
              </w:rPr>
              <w:t xml:space="preserve">, үүсмэл санхүүгийн </w:t>
            </w:r>
            <w:r w:rsidR="00B61E76" w:rsidRPr="00B33487">
              <w:rPr>
                <w:rFonts w:ascii="Arial" w:hAnsi="Arial" w:cs="Arial"/>
                <w:lang w:val="mn-MN"/>
              </w:rPr>
              <w:t xml:space="preserve">хэрэгслийг биржийн болон биржийн бус зах зээлд гаргах, </w:t>
            </w:r>
            <w:r w:rsidR="00AD3EC4" w:rsidRPr="00B33487">
              <w:rPr>
                <w:rFonts w:ascii="Arial" w:hAnsi="Arial" w:cs="Arial"/>
                <w:lang w:val="mn-MN"/>
              </w:rPr>
              <w:t xml:space="preserve">нийтэд санал болгон гаргах үнэт цаасны бүртгэл, зөвшөөрлийн харилцааг хялбаршуулсан </w:t>
            </w:r>
            <w:r w:rsidR="00387048" w:rsidRPr="00B33487">
              <w:rPr>
                <w:rFonts w:ascii="Arial" w:hAnsi="Arial" w:cs="Arial"/>
                <w:lang w:val="mn-MN"/>
              </w:rPr>
              <w:t>зохицуулалт</w:t>
            </w:r>
            <w:r w:rsidR="00B7293D" w:rsidRPr="00B33487">
              <w:rPr>
                <w:rFonts w:ascii="Arial" w:hAnsi="Arial" w:cs="Arial"/>
                <w:lang w:val="mn-MN"/>
              </w:rPr>
              <w:t>.</w:t>
            </w:r>
          </w:p>
        </w:tc>
      </w:tr>
      <w:tr w:rsidR="00B7293D" w:rsidRPr="00B33487" w14:paraId="7EE12802" w14:textId="77777777" w:rsidTr="00943DE7">
        <w:tc>
          <w:tcPr>
            <w:tcW w:w="534" w:type="dxa"/>
            <w:vAlign w:val="center"/>
          </w:tcPr>
          <w:p w14:paraId="0F02A6DC" w14:textId="77777777" w:rsidR="00B7293D" w:rsidRPr="00B33487" w:rsidRDefault="00B7293D" w:rsidP="00F92A9E">
            <w:pPr>
              <w:spacing w:after="0" w:line="240" w:lineRule="auto"/>
              <w:rPr>
                <w:rFonts w:ascii="Arial" w:hAnsi="Arial" w:cs="Arial"/>
                <w:lang w:val="mn-MN"/>
              </w:rPr>
            </w:pPr>
            <w:r w:rsidRPr="00B33487">
              <w:rPr>
                <w:rFonts w:ascii="Arial" w:hAnsi="Arial" w:cs="Arial"/>
                <w:lang w:val="mn-MN"/>
              </w:rPr>
              <w:t>3</w:t>
            </w:r>
          </w:p>
        </w:tc>
        <w:tc>
          <w:tcPr>
            <w:tcW w:w="2042" w:type="dxa"/>
            <w:vAlign w:val="center"/>
          </w:tcPr>
          <w:p w14:paraId="73C7F294" w14:textId="794BA01F" w:rsidR="00B7293D" w:rsidRPr="00B33487" w:rsidRDefault="00B7293D" w:rsidP="00943DE7">
            <w:pPr>
              <w:spacing w:after="0" w:line="240" w:lineRule="auto"/>
              <w:rPr>
                <w:rFonts w:ascii="Arial" w:hAnsi="Arial" w:cs="Arial"/>
                <w:highlight w:val="yellow"/>
                <w:lang w:val="mn-MN"/>
              </w:rPr>
            </w:pPr>
            <w:r w:rsidRPr="00B33487">
              <w:rPr>
                <w:rFonts w:ascii="Arial" w:hAnsi="Arial" w:cs="Arial"/>
                <w:lang w:val="mn-MN"/>
              </w:rPr>
              <w:t>Ойлгомжтой байдал</w:t>
            </w:r>
          </w:p>
        </w:tc>
        <w:tc>
          <w:tcPr>
            <w:tcW w:w="2606" w:type="dxa"/>
            <w:vAlign w:val="center"/>
          </w:tcPr>
          <w:p w14:paraId="58B1FB7E" w14:textId="77777777" w:rsidR="00B7293D" w:rsidRPr="00B33487" w:rsidRDefault="00B7293D" w:rsidP="00194683">
            <w:pPr>
              <w:spacing w:after="0" w:line="240" w:lineRule="auto"/>
              <w:rPr>
                <w:rFonts w:ascii="Arial" w:hAnsi="Arial" w:cs="Arial"/>
                <w:highlight w:val="yellow"/>
                <w:lang w:val="mn-MN"/>
              </w:rPr>
            </w:pPr>
            <w:r w:rsidRPr="00B33487">
              <w:rPr>
                <w:rFonts w:ascii="Arial" w:hAnsi="Arial" w:cs="Arial"/>
                <w:lang w:val="mn-MN"/>
              </w:rPr>
              <w:t>Хуулийн төслий</w:t>
            </w:r>
            <w:r w:rsidR="00194683" w:rsidRPr="00B33487">
              <w:rPr>
                <w:rFonts w:ascii="Arial" w:hAnsi="Arial" w:cs="Arial"/>
                <w:lang w:val="mn-MN"/>
              </w:rPr>
              <w:t>н</w:t>
            </w:r>
            <w:r w:rsidRPr="00B33487">
              <w:rPr>
                <w:rFonts w:ascii="Arial" w:hAnsi="Arial" w:cs="Arial"/>
                <w:lang w:val="mn-MN"/>
              </w:rPr>
              <w:t xml:space="preserve"> зохицуулалтыг бүхэлд нь хамруулах </w:t>
            </w:r>
          </w:p>
        </w:tc>
        <w:tc>
          <w:tcPr>
            <w:tcW w:w="4680" w:type="dxa"/>
            <w:vAlign w:val="center"/>
          </w:tcPr>
          <w:p w14:paraId="3F0A07FC" w14:textId="4015B0A6" w:rsidR="00B7293D" w:rsidRPr="00B33487" w:rsidRDefault="00B7293D" w:rsidP="00F92A9E">
            <w:pPr>
              <w:spacing w:after="0" w:line="240" w:lineRule="auto"/>
              <w:rPr>
                <w:rFonts w:ascii="Arial" w:hAnsi="Arial" w:cs="Arial"/>
                <w:highlight w:val="yellow"/>
                <w:lang w:val="mn-MN"/>
              </w:rPr>
            </w:pPr>
            <w:r w:rsidRPr="00B33487">
              <w:rPr>
                <w:rFonts w:ascii="Arial" w:hAnsi="Arial" w:cs="Arial"/>
                <w:lang w:val="mn-MN"/>
              </w:rPr>
              <w:t xml:space="preserve">Хууль тогтоомжийн тухай хуулийн </w:t>
            </w:r>
            <w:r w:rsidR="00D76CD7" w:rsidRPr="00B33487">
              <w:rPr>
                <w:rFonts w:ascii="Arial" w:hAnsi="Arial" w:cs="Arial"/>
                <w:lang w:val="mn-MN"/>
              </w:rPr>
              <w:t>24</w:t>
            </w:r>
            <w:r w:rsidRPr="00B33487">
              <w:rPr>
                <w:rFonts w:ascii="Arial" w:hAnsi="Arial" w:cs="Arial"/>
                <w:lang w:val="mn-MN"/>
              </w:rPr>
              <w:t>,</w:t>
            </w:r>
            <w:r w:rsidR="00194683" w:rsidRPr="00B33487">
              <w:rPr>
                <w:rFonts w:ascii="Arial" w:hAnsi="Arial" w:cs="Arial"/>
                <w:lang w:val="mn-MN"/>
              </w:rPr>
              <w:t xml:space="preserve"> </w:t>
            </w:r>
            <w:r w:rsidRPr="00B33487">
              <w:rPr>
                <w:rFonts w:ascii="Arial" w:hAnsi="Arial" w:cs="Arial"/>
                <w:lang w:val="mn-MN"/>
              </w:rPr>
              <w:t>28, 29, 30 дугаар зүйл, Хууль тогтоомжийн төсөл боловсруулах аргачлалд заасан шаардлагыг хангасан эсэхийг шалгах.</w:t>
            </w:r>
          </w:p>
        </w:tc>
      </w:tr>
      <w:tr w:rsidR="00B7293D" w:rsidRPr="00B33487" w14:paraId="5D0E0E53" w14:textId="77777777" w:rsidTr="00F92A9E">
        <w:tc>
          <w:tcPr>
            <w:tcW w:w="534" w:type="dxa"/>
            <w:vAlign w:val="center"/>
          </w:tcPr>
          <w:p w14:paraId="1EC8D049" w14:textId="77777777" w:rsidR="00B7293D" w:rsidRPr="00B33487" w:rsidRDefault="00B7293D" w:rsidP="00F92A9E">
            <w:pPr>
              <w:spacing w:after="0" w:line="240" w:lineRule="auto"/>
              <w:rPr>
                <w:rFonts w:ascii="Arial" w:hAnsi="Arial" w:cs="Arial"/>
                <w:lang w:val="mn-MN"/>
              </w:rPr>
            </w:pPr>
            <w:r w:rsidRPr="00B33487">
              <w:rPr>
                <w:rFonts w:ascii="Arial" w:hAnsi="Arial" w:cs="Arial"/>
                <w:lang w:val="mn-MN"/>
              </w:rPr>
              <w:t>4</w:t>
            </w:r>
          </w:p>
        </w:tc>
        <w:tc>
          <w:tcPr>
            <w:tcW w:w="2042" w:type="dxa"/>
            <w:vAlign w:val="center"/>
          </w:tcPr>
          <w:p w14:paraId="18EB483B" w14:textId="77777777" w:rsidR="00B7293D" w:rsidRPr="00B33487" w:rsidRDefault="00194683" w:rsidP="00194683">
            <w:pPr>
              <w:spacing w:after="0" w:line="240" w:lineRule="auto"/>
              <w:rPr>
                <w:rFonts w:ascii="Arial" w:hAnsi="Arial" w:cs="Arial"/>
                <w:highlight w:val="yellow"/>
                <w:lang w:val="mn-MN"/>
              </w:rPr>
            </w:pPr>
            <w:r w:rsidRPr="00B33487">
              <w:rPr>
                <w:rFonts w:ascii="Arial" w:hAnsi="Arial" w:cs="Arial"/>
                <w:lang w:val="mn-MN"/>
              </w:rPr>
              <w:t>Харилцан уялдаа</w:t>
            </w:r>
          </w:p>
        </w:tc>
        <w:tc>
          <w:tcPr>
            <w:tcW w:w="2606" w:type="dxa"/>
            <w:vAlign w:val="center"/>
          </w:tcPr>
          <w:p w14:paraId="153EAC65" w14:textId="77777777" w:rsidR="00B7293D" w:rsidRPr="00B33487" w:rsidRDefault="00B7293D" w:rsidP="00194683">
            <w:pPr>
              <w:spacing w:after="0" w:line="240" w:lineRule="auto"/>
              <w:rPr>
                <w:rFonts w:ascii="Arial" w:hAnsi="Arial" w:cs="Arial"/>
                <w:highlight w:val="yellow"/>
                <w:lang w:val="mn-MN"/>
              </w:rPr>
            </w:pPr>
            <w:r w:rsidRPr="00B33487">
              <w:rPr>
                <w:rFonts w:ascii="Arial" w:hAnsi="Arial" w:cs="Arial"/>
                <w:lang w:val="mn-MN"/>
              </w:rPr>
              <w:t>Хуулийн төслий</w:t>
            </w:r>
            <w:r w:rsidR="00194683" w:rsidRPr="00B33487">
              <w:rPr>
                <w:rFonts w:ascii="Arial" w:hAnsi="Arial" w:cs="Arial"/>
                <w:lang w:val="mn-MN"/>
              </w:rPr>
              <w:t>н</w:t>
            </w:r>
            <w:r w:rsidRPr="00B33487">
              <w:rPr>
                <w:rFonts w:ascii="Arial" w:hAnsi="Arial" w:cs="Arial"/>
                <w:lang w:val="mn-MN"/>
              </w:rPr>
              <w:t xml:space="preserve"> зохицуулалтыг бүхэлд нь хамруулах</w:t>
            </w:r>
          </w:p>
        </w:tc>
        <w:tc>
          <w:tcPr>
            <w:tcW w:w="4680" w:type="dxa"/>
            <w:vAlign w:val="center"/>
          </w:tcPr>
          <w:p w14:paraId="20685192" w14:textId="77777777" w:rsidR="00B7293D" w:rsidRPr="00B33487" w:rsidRDefault="00B7293D" w:rsidP="00F92A9E">
            <w:pPr>
              <w:spacing w:after="0" w:line="240" w:lineRule="auto"/>
              <w:rPr>
                <w:rFonts w:ascii="Arial" w:hAnsi="Arial" w:cs="Arial"/>
                <w:highlight w:val="yellow"/>
                <w:lang w:val="mn-MN"/>
              </w:rPr>
            </w:pPr>
            <w:r w:rsidRPr="00B33487">
              <w:rPr>
                <w:rFonts w:ascii="Arial" w:hAnsi="Arial" w:cs="Arial"/>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02302F86" w14:textId="77777777" w:rsidR="00FE1E10" w:rsidRPr="00B33487" w:rsidRDefault="00FE1E10" w:rsidP="008D27E3">
      <w:pPr>
        <w:spacing w:after="120" w:line="240" w:lineRule="auto"/>
        <w:ind w:firstLine="720"/>
        <w:jc w:val="both"/>
        <w:rPr>
          <w:rFonts w:ascii="Arial" w:hAnsi="Arial" w:cs="Arial"/>
          <w:b/>
          <w:sz w:val="24"/>
          <w:szCs w:val="24"/>
          <w:lang w:val="mn-MN"/>
        </w:rPr>
      </w:pPr>
    </w:p>
    <w:p w14:paraId="7F488082" w14:textId="370627C3" w:rsidR="00B7293D" w:rsidRPr="00B33487" w:rsidRDefault="00B7293D" w:rsidP="008D27E3">
      <w:pPr>
        <w:spacing w:after="120" w:line="240" w:lineRule="auto"/>
        <w:ind w:firstLine="720"/>
        <w:jc w:val="both"/>
        <w:rPr>
          <w:rFonts w:ascii="Arial" w:hAnsi="Arial" w:cs="Arial"/>
          <w:b/>
          <w:sz w:val="24"/>
          <w:szCs w:val="24"/>
          <w:lang w:val="mn-MN"/>
        </w:rPr>
      </w:pPr>
      <w:r w:rsidRPr="00B33487">
        <w:rPr>
          <w:rFonts w:ascii="Arial" w:hAnsi="Arial" w:cs="Arial"/>
          <w:b/>
          <w:sz w:val="24"/>
          <w:szCs w:val="24"/>
          <w:lang w:val="mn-MN"/>
        </w:rPr>
        <w:t>1.Зорилгод хүрэх байдал</w:t>
      </w:r>
    </w:p>
    <w:p w14:paraId="1B76ECD2" w14:textId="0D315B09" w:rsidR="00CB3687" w:rsidRPr="00B33487" w:rsidRDefault="005B3207" w:rsidP="00F92A9E">
      <w:pPr>
        <w:spacing w:after="120" w:line="240" w:lineRule="auto"/>
        <w:ind w:firstLine="720"/>
        <w:jc w:val="both"/>
        <w:rPr>
          <w:rFonts w:ascii="Arial" w:eastAsia="Times New Roman" w:hAnsi="Arial" w:cs="Arial"/>
          <w:sz w:val="24"/>
          <w:szCs w:val="24"/>
          <w:lang w:val="mn-MN"/>
        </w:rPr>
      </w:pPr>
      <w:r w:rsidRPr="00B33487">
        <w:rPr>
          <w:rFonts w:ascii="Arial" w:eastAsia="Times New Roman" w:hAnsi="Arial" w:cs="Arial"/>
          <w:sz w:val="24"/>
          <w:szCs w:val="24"/>
          <w:lang w:val="mn-MN"/>
        </w:rPr>
        <w:t>Х</w:t>
      </w:r>
      <w:r w:rsidR="00CB3687" w:rsidRPr="00B33487">
        <w:rPr>
          <w:rFonts w:ascii="Arial" w:eastAsia="Times New Roman" w:hAnsi="Arial" w:cs="Arial"/>
          <w:sz w:val="24"/>
          <w:szCs w:val="24"/>
          <w:lang w:val="mn-MN"/>
        </w:rPr>
        <w:t>уулийн төслийн бүтэц, зохицуулах харилцаа, хамрах хүрээ, агуулгад дүн шинжилгээ хийж үзвэл Монгол Улс</w:t>
      </w:r>
      <w:r w:rsidR="003E3AEE" w:rsidRPr="00B33487">
        <w:rPr>
          <w:rFonts w:ascii="Arial" w:eastAsia="Times New Roman" w:hAnsi="Arial" w:cs="Arial"/>
          <w:sz w:val="24"/>
          <w:szCs w:val="24"/>
          <w:lang w:val="mn-MN"/>
        </w:rPr>
        <w:t xml:space="preserve">ын хөрөнгийн зах зээлд шинээр бүтээгдэхүүн үйлчилгээг нэмэгдүүлэх, </w:t>
      </w:r>
      <w:r w:rsidR="008603C9" w:rsidRPr="00B33487">
        <w:rPr>
          <w:rFonts w:ascii="Arial" w:eastAsia="Times New Roman" w:hAnsi="Arial" w:cs="Arial"/>
          <w:sz w:val="24"/>
          <w:szCs w:val="24"/>
          <w:lang w:val="mn-MN"/>
        </w:rPr>
        <w:t>биржийн</w:t>
      </w:r>
      <w:r w:rsidR="00A74090" w:rsidRPr="00B33487">
        <w:rPr>
          <w:rFonts w:ascii="Arial" w:eastAsia="Times New Roman" w:hAnsi="Arial" w:cs="Arial"/>
          <w:sz w:val="24"/>
          <w:szCs w:val="24"/>
          <w:lang w:val="mn-MN"/>
        </w:rPr>
        <w:t xml:space="preserve"> болон биржийн </w:t>
      </w:r>
      <w:r w:rsidR="008603C9" w:rsidRPr="00B33487">
        <w:rPr>
          <w:rFonts w:ascii="Arial" w:eastAsia="Times New Roman" w:hAnsi="Arial" w:cs="Arial"/>
          <w:sz w:val="24"/>
          <w:szCs w:val="24"/>
          <w:lang w:val="mn-MN"/>
        </w:rPr>
        <w:t>бус зах зээл</w:t>
      </w:r>
      <w:r w:rsidR="00A74090" w:rsidRPr="00B33487">
        <w:rPr>
          <w:rFonts w:ascii="Arial" w:eastAsia="Times New Roman" w:hAnsi="Arial" w:cs="Arial"/>
          <w:sz w:val="24"/>
          <w:szCs w:val="24"/>
          <w:lang w:val="mn-MN"/>
        </w:rPr>
        <w:t xml:space="preserve">ийн </w:t>
      </w:r>
      <w:r w:rsidR="00943DE7" w:rsidRPr="00B33487">
        <w:rPr>
          <w:rFonts w:ascii="Arial" w:eastAsia="Times New Roman" w:hAnsi="Arial" w:cs="Arial"/>
          <w:sz w:val="24"/>
          <w:szCs w:val="24"/>
          <w:lang w:val="mn-MN"/>
        </w:rPr>
        <w:t xml:space="preserve">зохицуулалтын </w:t>
      </w:r>
      <w:r w:rsidR="00A74090" w:rsidRPr="00B33487">
        <w:rPr>
          <w:rFonts w:ascii="Arial" w:eastAsia="Times New Roman" w:hAnsi="Arial" w:cs="Arial"/>
          <w:sz w:val="24"/>
          <w:szCs w:val="24"/>
          <w:lang w:val="mn-MN"/>
        </w:rPr>
        <w:t xml:space="preserve">харилцааг ялгаатайгаар тогтоох, </w:t>
      </w:r>
      <w:r w:rsidR="00C15597" w:rsidRPr="00B33487">
        <w:rPr>
          <w:rFonts w:ascii="Arial" w:eastAsia="Times New Roman" w:hAnsi="Arial" w:cs="Arial"/>
          <w:sz w:val="24"/>
          <w:szCs w:val="24"/>
          <w:lang w:val="mn-MN"/>
        </w:rPr>
        <w:t xml:space="preserve">үнэт цаасны арилжааны төлбөр тооцооны системд </w:t>
      </w:r>
      <w:r w:rsidR="00D55AC3" w:rsidRPr="00B33487">
        <w:rPr>
          <w:rFonts w:ascii="Arial" w:eastAsia="Times New Roman" w:hAnsi="Arial" w:cs="Arial"/>
          <w:sz w:val="24"/>
          <w:szCs w:val="24"/>
          <w:lang w:val="mn-MN"/>
        </w:rPr>
        <w:t>олон улсын төлбөрийн эсрэг нийлүүлэлтийн зарчмыг нэвтрүүлэх</w:t>
      </w:r>
      <w:r w:rsidR="00206247" w:rsidRPr="00B33487">
        <w:rPr>
          <w:rFonts w:ascii="Arial" w:eastAsia="Times New Roman" w:hAnsi="Arial" w:cs="Arial"/>
          <w:sz w:val="24"/>
          <w:szCs w:val="24"/>
          <w:lang w:val="mn-MN"/>
        </w:rPr>
        <w:t xml:space="preserve">тэй холбогдсон эрх зүйн үндсийг </w:t>
      </w:r>
      <w:r w:rsidR="00E735A0" w:rsidRPr="00B33487">
        <w:rPr>
          <w:rFonts w:ascii="Arial" w:eastAsia="Times New Roman" w:hAnsi="Arial" w:cs="Arial"/>
          <w:sz w:val="24"/>
          <w:szCs w:val="24"/>
          <w:lang w:val="mn-MN"/>
        </w:rPr>
        <w:t xml:space="preserve">тогтоож, зохицуулагч байгууллага, дэд бүтцийн байгууллага, </w:t>
      </w:r>
      <w:r w:rsidR="004176A6" w:rsidRPr="00B33487">
        <w:rPr>
          <w:rFonts w:ascii="Arial" w:eastAsia="Times New Roman" w:hAnsi="Arial" w:cs="Arial"/>
          <w:sz w:val="24"/>
          <w:szCs w:val="24"/>
          <w:lang w:val="mn-MN"/>
        </w:rPr>
        <w:t>мэргэжлийн байгууллаг</w:t>
      </w:r>
      <w:r w:rsidR="00265F1B" w:rsidRPr="00B33487">
        <w:rPr>
          <w:rFonts w:ascii="Arial" w:eastAsia="Times New Roman" w:hAnsi="Arial" w:cs="Arial"/>
          <w:sz w:val="24"/>
          <w:szCs w:val="24"/>
          <w:lang w:val="mn-MN"/>
        </w:rPr>
        <w:t>а</w:t>
      </w:r>
      <w:r w:rsidR="004176A6" w:rsidRPr="00B33487">
        <w:rPr>
          <w:rFonts w:ascii="Arial" w:eastAsia="Times New Roman" w:hAnsi="Arial" w:cs="Arial"/>
          <w:sz w:val="24"/>
          <w:szCs w:val="24"/>
          <w:lang w:val="mn-MN"/>
        </w:rPr>
        <w:t xml:space="preserve">, </w:t>
      </w:r>
      <w:r w:rsidR="007E59B3" w:rsidRPr="00B33487">
        <w:rPr>
          <w:rFonts w:ascii="Arial" w:eastAsia="Times New Roman" w:hAnsi="Arial" w:cs="Arial"/>
          <w:sz w:val="24"/>
          <w:szCs w:val="24"/>
          <w:lang w:val="mn-MN"/>
        </w:rPr>
        <w:t xml:space="preserve">өөрийгөө зохицуулах байгууллага, </w:t>
      </w:r>
      <w:r w:rsidR="00E735A0" w:rsidRPr="00B33487">
        <w:rPr>
          <w:rFonts w:ascii="Arial" w:eastAsia="Times New Roman" w:hAnsi="Arial" w:cs="Arial"/>
          <w:sz w:val="24"/>
          <w:szCs w:val="24"/>
          <w:lang w:val="mn-MN"/>
        </w:rPr>
        <w:t>үнэт цаас гаргагч</w:t>
      </w:r>
      <w:r w:rsidR="00E9044D" w:rsidRPr="00B33487">
        <w:rPr>
          <w:rFonts w:ascii="Arial" w:eastAsia="Times New Roman" w:hAnsi="Arial" w:cs="Arial"/>
          <w:sz w:val="24"/>
          <w:szCs w:val="24"/>
          <w:lang w:val="mn-MN"/>
        </w:rPr>
        <w:t xml:space="preserve">дын </w:t>
      </w:r>
      <w:r w:rsidR="00665E1D" w:rsidRPr="00B33487">
        <w:rPr>
          <w:rFonts w:ascii="Arial" w:eastAsia="Times New Roman" w:hAnsi="Arial" w:cs="Arial"/>
          <w:sz w:val="24"/>
          <w:szCs w:val="24"/>
          <w:lang w:val="mn-MN"/>
        </w:rPr>
        <w:t>эрх үүрэг, хариуцлагыг сайжруулан</w:t>
      </w:r>
      <w:r w:rsidR="00047E3C" w:rsidRPr="00B33487">
        <w:rPr>
          <w:rFonts w:ascii="Arial" w:eastAsia="Times New Roman" w:hAnsi="Arial" w:cs="Arial"/>
          <w:sz w:val="24"/>
          <w:szCs w:val="24"/>
          <w:lang w:val="mn-MN"/>
        </w:rPr>
        <w:t xml:space="preserve">, тэдгээрийн </w:t>
      </w:r>
      <w:r w:rsidR="00CB3687" w:rsidRPr="00B33487">
        <w:rPr>
          <w:rFonts w:ascii="Arial" w:eastAsia="Times New Roman" w:hAnsi="Arial" w:cs="Arial"/>
          <w:sz w:val="24"/>
          <w:szCs w:val="24"/>
          <w:lang w:val="mn-MN"/>
        </w:rPr>
        <w:t xml:space="preserve"> </w:t>
      </w:r>
      <w:r w:rsidR="00047E3C" w:rsidRPr="00B33487">
        <w:rPr>
          <w:rFonts w:ascii="Arial" w:eastAsia="Times New Roman" w:hAnsi="Arial" w:cs="Arial"/>
          <w:sz w:val="24"/>
          <w:szCs w:val="24"/>
          <w:lang w:val="mn-MN"/>
        </w:rPr>
        <w:t>хооронд үүсэх</w:t>
      </w:r>
      <w:r w:rsidR="00265F1B" w:rsidRPr="00B33487">
        <w:rPr>
          <w:rFonts w:ascii="Arial" w:eastAsia="Times New Roman" w:hAnsi="Arial" w:cs="Arial"/>
          <w:sz w:val="24"/>
          <w:szCs w:val="24"/>
          <w:lang w:val="mn-MN"/>
        </w:rPr>
        <w:t xml:space="preserve"> </w:t>
      </w:r>
      <w:r w:rsidR="000C27E6" w:rsidRPr="00B33487">
        <w:rPr>
          <w:rFonts w:ascii="Arial" w:eastAsia="Times New Roman" w:hAnsi="Arial" w:cs="Arial"/>
          <w:sz w:val="24"/>
          <w:szCs w:val="24"/>
          <w:lang w:val="mn-MN"/>
        </w:rPr>
        <w:t xml:space="preserve">харилцааг зохицуулах зорилтын хүрээнд </w:t>
      </w:r>
      <w:r w:rsidR="00047E3C" w:rsidRPr="00B33487">
        <w:rPr>
          <w:rFonts w:ascii="Arial" w:eastAsia="Times New Roman" w:hAnsi="Arial" w:cs="Arial"/>
          <w:sz w:val="24"/>
          <w:szCs w:val="24"/>
          <w:lang w:val="mn-MN"/>
        </w:rPr>
        <w:t xml:space="preserve"> </w:t>
      </w:r>
      <w:r w:rsidR="001F2F53" w:rsidRPr="00B33487">
        <w:rPr>
          <w:rFonts w:ascii="Arial" w:eastAsia="Times New Roman" w:hAnsi="Arial" w:cs="Arial"/>
          <w:sz w:val="24"/>
          <w:szCs w:val="24"/>
          <w:lang w:val="mn-MN"/>
        </w:rPr>
        <w:t xml:space="preserve">Монгол Улсын </w:t>
      </w:r>
      <w:r w:rsidR="000C27E6" w:rsidRPr="00B33487">
        <w:rPr>
          <w:rFonts w:ascii="Arial" w:eastAsia="Times New Roman" w:hAnsi="Arial" w:cs="Arial"/>
          <w:sz w:val="24"/>
          <w:szCs w:val="24"/>
          <w:lang w:val="mn-MN"/>
        </w:rPr>
        <w:t>эдийн засгийг хөгж</w:t>
      </w:r>
      <w:r w:rsidR="005C1031" w:rsidRPr="00B33487">
        <w:rPr>
          <w:rFonts w:ascii="Arial" w:eastAsia="Times New Roman" w:hAnsi="Arial" w:cs="Arial"/>
          <w:sz w:val="24"/>
          <w:szCs w:val="24"/>
          <w:lang w:val="mn-MN"/>
        </w:rPr>
        <w:t xml:space="preserve">лийг дэмжих </w:t>
      </w:r>
      <w:r w:rsidR="001F2F53" w:rsidRPr="00B33487">
        <w:rPr>
          <w:rFonts w:ascii="Arial" w:eastAsia="Times New Roman" w:hAnsi="Arial" w:cs="Arial"/>
          <w:sz w:val="24"/>
          <w:szCs w:val="24"/>
          <w:lang w:val="mn-MN"/>
        </w:rPr>
        <w:t>зорилготой байна.</w:t>
      </w:r>
    </w:p>
    <w:p w14:paraId="3C67F5DA" w14:textId="77777777" w:rsidR="00BA6B95" w:rsidRPr="00B33487" w:rsidRDefault="001F2F53" w:rsidP="00F92A9E">
      <w:pPr>
        <w:spacing w:after="120" w:line="240" w:lineRule="auto"/>
        <w:ind w:firstLine="720"/>
        <w:jc w:val="both"/>
        <w:rPr>
          <w:rFonts w:ascii="Arial" w:eastAsia="Times New Roman" w:hAnsi="Arial" w:cs="Arial"/>
          <w:sz w:val="24"/>
          <w:szCs w:val="24"/>
          <w:lang w:val="mn-MN"/>
        </w:rPr>
      </w:pPr>
      <w:r w:rsidRPr="00B33487">
        <w:rPr>
          <w:rFonts w:ascii="Arial" w:eastAsia="Times New Roman" w:hAnsi="Arial" w:cs="Arial"/>
          <w:sz w:val="24"/>
          <w:szCs w:val="24"/>
          <w:lang w:val="mn-MN"/>
        </w:rPr>
        <w:t xml:space="preserve">Энэ зорилгын хүрээнд </w:t>
      </w:r>
      <w:r w:rsidR="00BE6ED8" w:rsidRPr="00B33487">
        <w:rPr>
          <w:rFonts w:ascii="Arial" w:eastAsia="Times New Roman" w:hAnsi="Arial" w:cs="Arial"/>
          <w:sz w:val="24"/>
          <w:szCs w:val="24"/>
          <w:lang w:val="mn-MN"/>
        </w:rPr>
        <w:t>дараах зохицуулалтыг хуулийн төсөлд тусгажээ.</w:t>
      </w:r>
    </w:p>
    <w:p w14:paraId="4DF02388" w14:textId="3D7E3A81" w:rsidR="0094507C" w:rsidRPr="00B33487" w:rsidRDefault="0094507C" w:rsidP="0094507C">
      <w:pPr>
        <w:pStyle w:val="ListParagraph"/>
        <w:numPr>
          <w:ilvl w:val="0"/>
          <w:numId w:val="15"/>
        </w:numPr>
        <w:tabs>
          <w:tab w:val="left" w:pos="851"/>
          <w:tab w:val="left" w:pos="8364"/>
        </w:tabs>
        <w:spacing w:after="0" w:line="240" w:lineRule="auto"/>
        <w:ind w:left="0" w:firstLine="567"/>
        <w:jc w:val="both"/>
        <w:rPr>
          <w:rFonts w:ascii="Arial" w:hAnsi="Arial" w:cs="Arial"/>
          <w:bCs/>
          <w:sz w:val="24"/>
          <w:szCs w:val="24"/>
          <w:lang w:val="mn-MN"/>
        </w:rPr>
      </w:pPr>
      <w:r w:rsidRPr="00B33487">
        <w:rPr>
          <w:rFonts w:ascii="Arial" w:hAnsi="Arial" w:cs="Arial"/>
          <w:bCs/>
          <w:sz w:val="24"/>
          <w:szCs w:val="24"/>
          <w:lang w:val="mn-MN"/>
        </w:rPr>
        <w:t>Хөрөнгийн зах зээлд шинэ бүтээгдэхүүн үйлчилгээг нэвтрүүлэх, түүний эрх зүйн орчныг бий болгох зорилгоор Үнэт цаасны зах зээлийн зохицуулалтын хүрээг өргөтгөж, биржийн болон биржийн бус зах зээлийг ялгаатайгаар тодорхойлох, түүнтэй холбогдсон харилцааг нэмж зохицуулах;</w:t>
      </w:r>
    </w:p>
    <w:p w14:paraId="108FE8F6" w14:textId="77777777" w:rsidR="0094507C" w:rsidRPr="00B33487" w:rsidRDefault="0094507C" w:rsidP="0094507C">
      <w:pPr>
        <w:spacing w:after="0" w:line="240" w:lineRule="auto"/>
        <w:ind w:firstLine="567"/>
        <w:jc w:val="both"/>
        <w:rPr>
          <w:rFonts w:ascii="Arial" w:hAnsi="Arial" w:cs="Arial"/>
          <w:bCs/>
          <w:sz w:val="24"/>
          <w:szCs w:val="24"/>
          <w:lang w:val="mn-MN"/>
        </w:rPr>
      </w:pPr>
    </w:p>
    <w:p w14:paraId="7BE8D398" w14:textId="7170F330" w:rsidR="0094507C" w:rsidRPr="00B33487" w:rsidRDefault="0094507C" w:rsidP="0094507C">
      <w:pPr>
        <w:pStyle w:val="ListParagraph"/>
        <w:numPr>
          <w:ilvl w:val="0"/>
          <w:numId w:val="15"/>
        </w:numPr>
        <w:tabs>
          <w:tab w:val="left" w:pos="851"/>
        </w:tabs>
        <w:spacing w:after="0" w:line="240" w:lineRule="auto"/>
        <w:ind w:left="0" w:firstLine="567"/>
        <w:jc w:val="both"/>
        <w:rPr>
          <w:rFonts w:ascii="Arial" w:hAnsi="Arial" w:cs="Arial"/>
          <w:bCs/>
          <w:sz w:val="24"/>
          <w:szCs w:val="24"/>
          <w:lang w:val="mn-MN"/>
        </w:rPr>
      </w:pPr>
      <w:r w:rsidRPr="00B33487">
        <w:rPr>
          <w:rFonts w:ascii="Arial" w:eastAsia="Times New Roman" w:hAnsi="Arial" w:cs="Arial"/>
          <w:sz w:val="24"/>
          <w:szCs w:val="24"/>
          <w:lang w:val="mn-MN"/>
        </w:rPr>
        <w:lastRenderedPageBreak/>
        <w:t>Мэргэжлийн, урт хугацаат хөрөнгө оруулагчдыг хөрөнгийн зах зээл дээр бий болгох, тогтвортой ажиллах нөхцөлийг бүрдүүлэх зорилгоор хамтын болон хувийн хөрөнгө оруулалтын сангийн зохицуулалтыг ялгаатай тогтоох, хувийн хөрөнгө оруулалтын сангийн үйл ажиллагааг илүү дэмжсэн зохицуулалтыг бүрдүүлэ</w:t>
      </w:r>
      <w:r w:rsidR="00CF0719" w:rsidRPr="00B33487">
        <w:rPr>
          <w:rFonts w:ascii="Arial" w:eastAsia="Times New Roman" w:hAnsi="Arial" w:cs="Arial"/>
          <w:sz w:val="24"/>
          <w:szCs w:val="24"/>
          <w:lang w:val="mn-MN"/>
        </w:rPr>
        <w:t>х</w:t>
      </w:r>
      <w:r w:rsidRPr="00B33487">
        <w:rPr>
          <w:rFonts w:ascii="Arial" w:eastAsia="Times New Roman" w:hAnsi="Arial" w:cs="Arial"/>
          <w:sz w:val="24"/>
          <w:szCs w:val="24"/>
          <w:lang w:val="mn-MN"/>
        </w:rPr>
        <w:t>;</w:t>
      </w:r>
    </w:p>
    <w:p w14:paraId="2E0A7132" w14:textId="77777777" w:rsidR="0094507C" w:rsidRPr="00B33487" w:rsidRDefault="0094507C" w:rsidP="0094507C">
      <w:pPr>
        <w:spacing w:after="0" w:line="240" w:lineRule="auto"/>
        <w:ind w:firstLine="567"/>
        <w:jc w:val="both"/>
        <w:rPr>
          <w:rFonts w:ascii="Arial" w:eastAsia="Times New Roman" w:hAnsi="Arial" w:cs="Arial"/>
          <w:sz w:val="24"/>
          <w:szCs w:val="24"/>
          <w:lang w:val="mn-MN"/>
        </w:rPr>
      </w:pPr>
    </w:p>
    <w:p w14:paraId="61A5521F" w14:textId="2E422081" w:rsidR="0094507C" w:rsidRPr="00B33487" w:rsidRDefault="0094507C" w:rsidP="0094507C">
      <w:pPr>
        <w:pStyle w:val="ListParagraph"/>
        <w:numPr>
          <w:ilvl w:val="0"/>
          <w:numId w:val="15"/>
        </w:numPr>
        <w:tabs>
          <w:tab w:val="left" w:pos="851"/>
        </w:tabs>
        <w:spacing w:after="0" w:line="240" w:lineRule="auto"/>
        <w:ind w:left="0" w:firstLine="567"/>
        <w:jc w:val="both"/>
        <w:rPr>
          <w:rFonts w:ascii="Arial" w:hAnsi="Arial" w:cs="Arial"/>
          <w:sz w:val="24"/>
          <w:szCs w:val="24"/>
          <w:lang w:val="mn-MN"/>
        </w:rPr>
      </w:pPr>
      <w:r w:rsidRPr="00B33487">
        <w:rPr>
          <w:rFonts w:ascii="Arial" w:eastAsia="Times New Roman" w:hAnsi="Arial" w:cs="Arial"/>
          <w:sz w:val="24"/>
          <w:szCs w:val="24"/>
          <w:lang w:val="mn-MN"/>
        </w:rPr>
        <w:t xml:space="preserve">Монголын хөрөнгийн зах зээл дээр дэд бүтцийн олон улсын </w:t>
      </w:r>
      <w:r w:rsidRPr="00B33487">
        <w:rPr>
          <w:rFonts w:ascii="Arial" w:hAnsi="Arial" w:cs="Arial"/>
          <w:sz w:val="24"/>
          <w:szCs w:val="24"/>
          <w:lang w:val="mn-MN"/>
        </w:rPr>
        <w:t xml:space="preserve"> төлбөрийн эсрэг нийлүүлэлтийн зарчмыг нэвтрүүлэх, төлбөрийн чадваргүйдлийн эрсдэлийг удирдах зорилгоор зах зээл дээр шинээр бий болох клирингийн гишүүн, төлбөрийн баталгааны сан, төлбөр тооцоог эцэслэхтэй холбоотой зохицуулалтуудыг тусга</w:t>
      </w:r>
      <w:r w:rsidR="00CF0719" w:rsidRPr="00B33487">
        <w:rPr>
          <w:rFonts w:ascii="Arial" w:hAnsi="Arial" w:cs="Arial"/>
          <w:sz w:val="24"/>
          <w:szCs w:val="24"/>
          <w:lang w:val="mn-MN"/>
        </w:rPr>
        <w:t>х</w:t>
      </w:r>
      <w:r w:rsidRPr="00B33487">
        <w:rPr>
          <w:rFonts w:ascii="Arial" w:hAnsi="Arial" w:cs="Arial"/>
          <w:sz w:val="24"/>
          <w:szCs w:val="24"/>
          <w:lang w:val="mn-MN"/>
        </w:rPr>
        <w:t xml:space="preserve">; </w:t>
      </w:r>
    </w:p>
    <w:p w14:paraId="1E4C49A1" w14:textId="77777777" w:rsidR="0094507C" w:rsidRPr="00B33487" w:rsidRDefault="0094507C" w:rsidP="0094507C">
      <w:pPr>
        <w:spacing w:after="0" w:line="240" w:lineRule="auto"/>
        <w:ind w:firstLine="567"/>
        <w:jc w:val="both"/>
        <w:rPr>
          <w:rFonts w:ascii="Arial" w:eastAsia="Times New Roman" w:hAnsi="Arial" w:cs="Arial"/>
          <w:sz w:val="24"/>
          <w:szCs w:val="24"/>
          <w:lang w:val="mn-MN"/>
        </w:rPr>
      </w:pPr>
    </w:p>
    <w:p w14:paraId="6FB15B36" w14:textId="3275B8B9" w:rsidR="0094507C" w:rsidRPr="00B33487" w:rsidRDefault="0094507C" w:rsidP="0094507C">
      <w:pPr>
        <w:pStyle w:val="ListParagraph"/>
        <w:numPr>
          <w:ilvl w:val="0"/>
          <w:numId w:val="15"/>
        </w:numPr>
        <w:tabs>
          <w:tab w:val="left" w:pos="851"/>
        </w:tabs>
        <w:spacing w:after="0" w:line="240" w:lineRule="auto"/>
        <w:ind w:left="0" w:firstLine="567"/>
        <w:jc w:val="both"/>
        <w:rPr>
          <w:rFonts w:ascii="Arial" w:eastAsia="Times New Roman" w:hAnsi="Arial" w:cs="Arial"/>
          <w:sz w:val="24"/>
          <w:szCs w:val="24"/>
          <w:lang w:val="mn-MN"/>
        </w:rPr>
      </w:pPr>
      <w:r w:rsidRPr="00B33487">
        <w:rPr>
          <w:rFonts w:ascii="Arial" w:eastAsia="Times New Roman" w:hAnsi="Arial" w:cs="Arial"/>
          <w:sz w:val="24"/>
          <w:szCs w:val="24"/>
          <w:lang w:val="mn-MN"/>
        </w:rPr>
        <w:t>Хөрөнгийн зах зээл дээр технологийн дэвшилд суурилсан бүтээгдэхүүн, үйлчилгээг нэвтрүүлэх, энэ хүрээнд зохицуулалтын туршилтын орчин үүсгэх эрх зүйн орчныг нээлттэй болгохтой уялдуулан зохицуулагч байгууллагын эрхийг нэмэгдүүлэ</w:t>
      </w:r>
      <w:r w:rsidR="00CF0719" w:rsidRPr="00B33487">
        <w:rPr>
          <w:rFonts w:ascii="Arial" w:eastAsia="Times New Roman" w:hAnsi="Arial" w:cs="Arial"/>
          <w:sz w:val="24"/>
          <w:szCs w:val="24"/>
          <w:lang w:val="mn-MN"/>
        </w:rPr>
        <w:t>х</w:t>
      </w:r>
      <w:r w:rsidR="00CF0719" w:rsidRPr="00B33487">
        <w:rPr>
          <w:rFonts w:ascii="Arial" w:hAnsi="Arial" w:cs="Arial"/>
          <w:sz w:val="24"/>
          <w:szCs w:val="24"/>
          <w:lang w:val="mn-MN"/>
        </w:rPr>
        <w:t>;</w:t>
      </w:r>
      <w:r w:rsidRPr="00B33487">
        <w:rPr>
          <w:rFonts w:ascii="Arial" w:eastAsia="Times New Roman" w:hAnsi="Arial" w:cs="Arial"/>
          <w:sz w:val="24"/>
          <w:szCs w:val="24"/>
          <w:lang w:val="mn-MN"/>
        </w:rPr>
        <w:t xml:space="preserve">   </w:t>
      </w:r>
    </w:p>
    <w:p w14:paraId="02050987" w14:textId="77777777" w:rsidR="0094507C" w:rsidRPr="00B33487" w:rsidRDefault="0094507C" w:rsidP="0094507C">
      <w:pPr>
        <w:spacing w:after="0" w:line="240" w:lineRule="auto"/>
        <w:ind w:firstLine="567"/>
        <w:jc w:val="both"/>
        <w:rPr>
          <w:rFonts w:ascii="Arial" w:eastAsia="Times New Roman" w:hAnsi="Arial" w:cs="Arial"/>
          <w:sz w:val="24"/>
          <w:szCs w:val="24"/>
          <w:lang w:val="mn-MN"/>
        </w:rPr>
      </w:pPr>
    </w:p>
    <w:p w14:paraId="164B2A88" w14:textId="7E69F1DC" w:rsidR="0094507C" w:rsidRPr="00B33487" w:rsidRDefault="0094507C" w:rsidP="0094507C">
      <w:pPr>
        <w:pStyle w:val="ListParagraph"/>
        <w:numPr>
          <w:ilvl w:val="0"/>
          <w:numId w:val="15"/>
        </w:numPr>
        <w:tabs>
          <w:tab w:val="left" w:pos="851"/>
        </w:tabs>
        <w:spacing w:after="0" w:line="240" w:lineRule="auto"/>
        <w:ind w:left="0" w:firstLine="567"/>
        <w:jc w:val="both"/>
        <w:rPr>
          <w:rFonts w:ascii="Arial" w:eastAsia="Times New Roman" w:hAnsi="Arial" w:cs="Arial"/>
          <w:sz w:val="24"/>
          <w:szCs w:val="24"/>
          <w:lang w:val="mn-MN"/>
        </w:rPr>
      </w:pPr>
      <w:r w:rsidRPr="00B33487">
        <w:rPr>
          <w:rFonts w:ascii="Arial" w:eastAsia="Times New Roman" w:hAnsi="Arial" w:cs="Arial"/>
          <w:sz w:val="24"/>
          <w:szCs w:val="24"/>
          <w:lang w:val="mn-MN"/>
        </w:rPr>
        <w:t>Хөрөнгийн зах зээл дэх өөрийгөө зохицуулах байгууллагуудын төрлийг ялган тэдгээрийн эрх, үүргийн хүрээг сайжруулан тогтоох замаар зах зээл дээрх төрийн зохицуулагч байгууллага болон өөрийгөө зохицуулах байгууллага хооронд үүсэж буй чиг үүргийн давхардлыг арилга</w:t>
      </w:r>
      <w:r w:rsidR="00CF0719" w:rsidRPr="00B33487">
        <w:rPr>
          <w:rFonts w:ascii="Arial" w:eastAsia="Times New Roman" w:hAnsi="Arial" w:cs="Arial"/>
          <w:sz w:val="24"/>
          <w:szCs w:val="24"/>
          <w:lang w:val="mn-MN"/>
        </w:rPr>
        <w:t>х</w:t>
      </w:r>
      <w:r w:rsidRPr="00B33487">
        <w:rPr>
          <w:rFonts w:ascii="Arial" w:eastAsia="Times New Roman" w:hAnsi="Arial" w:cs="Arial"/>
          <w:sz w:val="24"/>
          <w:szCs w:val="24"/>
          <w:lang w:val="mn-MN"/>
        </w:rPr>
        <w:t>;</w:t>
      </w:r>
    </w:p>
    <w:p w14:paraId="5CAB5682" w14:textId="77777777" w:rsidR="0094507C" w:rsidRPr="00B33487" w:rsidRDefault="0094507C" w:rsidP="0094507C">
      <w:pPr>
        <w:spacing w:after="0" w:line="240" w:lineRule="auto"/>
        <w:ind w:firstLine="567"/>
        <w:jc w:val="both"/>
        <w:rPr>
          <w:rFonts w:ascii="Arial" w:eastAsia="Times New Roman" w:hAnsi="Arial" w:cs="Arial"/>
          <w:sz w:val="24"/>
          <w:szCs w:val="24"/>
          <w:lang w:val="mn-MN"/>
        </w:rPr>
      </w:pPr>
    </w:p>
    <w:p w14:paraId="3422A56D" w14:textId="3E013CB8" w:rsidR="0094507C" w:rsidRPr="00B33487" w:rsidRDefault="0094507C" w:rsidP="0094507C">
      <w:pPr>
        <w:pStyle w:val="ListParagraph"/>
        <w:numPr>
          <w:ilvl w:val="0"/>
          <w:numId w:val="15"/>
        </w:numPr>
        <w:tabs>
          <w:tab w:val="left" w:pos="851"/>
        </w:tabs>
        <w:spacing w:after="0" w:line="240" w:lineRule="auto"/>
        <w:ind w:left="0" w:firstLine="567"/>
        <w:jc w:val="both"/>
        <w:rPr>
          <w:rFonts w:ascii="Arial" w:eastAsia="Times New Roman" w:hAnsi="Arial" w:cs="Arial"/>
          <w:sz w:val="24"/>
          <w:szCs w:val="24"/>
          <w:lang w:val="mn-MN"/>
        </w:rPr>
      </w:pPr>
      <w:r w:rsidRPr="00B33487">
        <w:rPr>
          <w:rFonts w:ascii="Arial" w:eastAsia="Times New Roman" w:hAnsi="Arial" w:cs="Arial"/>
          <w:sz w:val="24"/>
          <w:szCs w:val="24"/>
          <w:lang w:val="mn-MN"/>
        </w:rPr>
        <w:t>Хувьцаат компаниудын мэдээллийн ил тод байдал, компанийн засаглалыг сайжруулах, хувьцаа эзэмшигчдийн эрхийг эдлүүлэх, жижиг хувьцаа эзэмшигчдийн эрх ашгийг хамгаалах зорилгоор зохицуулалтын дүрэм журмыг нэгтгэх, хариуцлагыг өндөржүүлэхтэй холбоотой зохицуулалтыг нэмж тусга</w:t>
      </w:r>
      <w:r w:rsidR="00CF0719" w:rsidRPr="00B33487">
        <w:rPr>
          <w:rFonts w:ascii="Arial" w:eastAsia="Times New Roman" w:hAnsi="Arial" w:cs="Arial"/>
          <w:sz w:val="24"/>
          <w:szCs w:val="24"/>
          <w:lang w:val="mn-MN"/>
        </w:rPr>
        <w:t>х</w:t>
      </w:r>
      <w:r w:rsidRPr="00B33487">
        <w:rPr>
          <w:rFonts w:ascii="Arial" w:eastAsia="Times New Roman" w:hAnsi="Arial" w:cs="Arial"/>
          <w:sz w:val="24"/>
          <w:szCs w:val="24"/>
          <w:lang w:val="mn-MN"/>
        </w:rPr>
        <w:t xml:space="preserve">. </w:t>
      </w:r>
    </w:p>
    <w:p w14:paraId="7C5901C2" w14:textId="77777777" w:rsidR="007C45B4" w:rsidRPr="00B33487" w:rsidRDefault="007C45B4" w:rsidP="00F92A9E">
      <w:pPr>
        <w:spacing w:after="120" w:line="240" w:lineRule="auto"/>
        <w:jc w:val="both"/>
        <w:rPr>
          <w:rFonts w:ascii="Arial" w:hAnsi="Arial" w:cs="Arial"/>
          <w:sz w:val="24"/>
          <w:szCs w:val="24"/>
          <w:lang w:val="mn-MN"/>
        </w:rPr>
      </w:pPr>
    </w:p>
    <w:p w14:paraId="7DA557A0" w14:textId="4A90ACBD" w:rsidR="001F2F53" w:rsidRPr="00B33487" w:rsidRDefault="007C45B4"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Дээр дурдсан зорилтуудыг хангах чиглэлээр тодорхой зохицуулалтыг хуулийн төсөлд тусгасан байдлыг шалгаж үзвэл:</w:t>
      </w:r>
    </w:p>
    <w:p w14:paraId="4B1F818C" w14:textId="37DC47BA" w:rsidR="003C0AE3" w:rsidRPr="00B33487" w:rsidRDefault="003C0AE3" w:rsidP="00F92A9E">
      <w:pPr>
        <w:spacing w:after="120" w:line="240" w:lineRule="auto"/>
        <w:ind w:firstLine="720"/>
        <w:jc w:val="both"/>
        <w:rPr>
          <w:rFonts w:ascii="Arial" w:eastAsia="Times New Roman" w:hAnsi="Arial" w:cs="Arial"/>
          <w:b/>
          <w:i/>
          <w:sz w:val="24"/>
          <w:szCs w:val="24"/>
          <w:lang w:val="mn-MN"/>
        </w:rPr>
      </w:pPr>
      <w:r w:rsidRPr="00B33487">
        <w:rPr>
          <w:rFonts w:ascii="Arial" w:eastAsia="Times New Roman" w:hAnsi="Arial" w:cs="Arial"/>
          <w:b/>
          <w:i/>
          <w:sz w:val="24"/>
          <w:szCs w:val="24"/>
          <w:lang w:val="mn-MN"/>
        </w:rPr>
        <w:t>Зорилт-1.</w:t>
      </w:r>
      <w:r w:rsidR="00C84413" w:rsidRPr="00B33487">
        <w:rPr>
          <w:rFonts w:ascii="Arial" w:hAnsi="Arial" w:cs="Arial"/>
          <w:bCs/>
          <w:sz w:val="24"/>
          <w:szCs w:val="24"/>
          <w:lang w:val="mn-MN"/>
        </w:rPr>
        <w:t xml:space="preserve"> </w:t>
      </w:r>
      <w:r w:rsidR="006A5C3E" w:rsidRPr="00B33487">
        <w:rPr>
          <w:rFonts w:ascii="Arial" w:eastAsia="Times New Roman" w:hAnsi="Arial" w:cs="Arial"/>
          <w:b/>
          <w:i/>
          <w:sz w:val="24"/>
          <w:szCs w:val="24"/>
          <w:lang w:val="mn-MN"/>
        </w:rPr>
        <w:t xml:space="preserve">Хөрөнгийн зах зээлд шинэ бүтээгдэхүүн үйлчилгээг нэвтрүүлэх, түүний эрх зүйн орчныг бий болгох, </w:t>
      </w:r>
      <w:r w:rsidR="00C84413" w:rsidRPr="00B33487">
        <w:rPr>
          <w:rFonts w:ascii="Arial" w:eastAsia="Times New Roman" w:hAnsi="Arial" w:cs="Arial"/>
          <w:b/>
          <w:i/>
          <w:sz w:val="24"/>
          <w:szCs w:val="24"/>
          <w:lang w:val="mn-MN"/>
        </w:rPr>
        <w:t>Үнэт цаасны зах зээлийн зохицуулалтын хүрээг өргөтгөж, биржийн болон биржийн бус зах зээлийг ялгаатайгаар тодорхойлох, түүнтэй холбогдсон харилцааг нэмж зохицуулах</w:t>
      </w:r>
    </w:p>
    <w:p w14:paraId="12B9AB68" w14:textId="459FF1F2" w:rsidR="005D0696" w:rsidRPr="00B33487" w:rsidRDefault="0059529B" w:rsidP="00F92A9E">
      <w:pPr>
        <w:pStyle w:val="ListParagraph"/>
        <w:numPr>
          <w:ilvl w:val="0"/>
          <w:numId w:val="4"/>
        </w:numPr>
        <w:spacing w:after="120" w:line="240" w:lineRule="auto"/>
        <w:ind w:left="720" w:firstLine="0"/>
        <w:contextualSpacing w:val="0"/>
        <w:jc w:val="both"/>
        <w:rPr>
          <w:rFonts w:ascii="Arial" w:hAnsi="Arial" w:cs="Arial"/>
          <w:b/>
          <w:i/>
          <w:sz w:val="24"/>
          <w:szCs w:val="24"/>
          <w:lang w:val="mn-MN"/>
        </w:rPr>
      </w:pPr>
      <w:r w:rsidRPr="00B33487">
        <w:rPr>
          <w:rFonts w:ascii="Arial" w:hAnsi="Arial" w:cs="Arial"/>
          <w:sz w:val="24"/>
          <w:szCs w:val="24"/>
          <w:lang w:val="mn-MN"/>
        </w:rPr>
        <w:t>Хуулийн төслийн</w:t>
      </w:r>
      <w:r w:rsidR="00657E34" w:rsidRPr="00B33487">
        <w:rPr>
          <w:rFonts w:ascii="Arial" w:hAnsi="Arial" w:cs="Arial"/>
          <w:sz w:val="24"/>
          <w:szCs w:val="24"/>
          <w:lang w:val="mn-MN"/>
        </w:rPr>
        <w:t xml:space="preserve"> </w:t>
      </w:r>
      <w:r w:rsidR="00C66DAC" w:rsidRPr="00B33487">
        <w:rPr>
          <w:rFonts w:ascii="Arial" w:hAnsi="Arial" w:cs="Arial"/>
          <w:sz w:val="24"/>
          <w:szCs w:val="24"/>
          <w:lang w:val="mn-MN"/>
        </w:rPr>
        <w:t>1</w:t>
      </w:r>
      <w:r w:rsidR="00657E34" w:rsidRPr="00B33487">
        <w:rPr>
          <w:rFonts w:ascii="Arial" w:hAnsi="Arial" w:cs="Arial"/>
          <w:sz w:val="24"/>
          <w:szCs w:val="24"/>
          <w:lang w:val="mn-MN"/>
        </w:rPr>
        <w:t xml:space="preserve"> д</w:t>
      </w:r>
      <w:r w:rsidR="00C66DAC" w:rsidRPr="00B33487">
        <w:rPr>
          <w:rFonts w:ascii="Arial" w:hAnsi="Arial" w:cs="Arial"/>
          <w:sz w:val="24"/>
          <w:szCs w:val="24"/>
          <w:lang w:val="mn-MN"/>
        </w:rPr>
        <w:t>үгээ</w:t>
      </w:r>
      <w:r w:rsidR="00657E34" w:rsidRPr="00B33487">
        <w:rPr>
          <w:rFonts w:ascii="Arial" w:hAnsi="Arial" w:cs="Arial"/>
          <w:sz w:val="24"/>
          <w:szCs w:val="24"/>
          <w:lang w:val="mn-MN"/>
        </w:rPr>
        <w:t>р зүйлд</w:t>
      </w:r>
      <w:r w:rsidR="00D90EB6" w:rsidRPr="00B33487">
        <w:rPr>
          <w:rFonts w:ascii="Arial" w:hAnsi="Arial" w:cs="Arial"/>
          <w:sz w:val="24"/>
          <w:szCs w:val="24"/>
          <w:lang w:val="mn-MN"/>
        </w:rPr>
        <w:t xml:space="preserve"> </w:t>
      </w:r>
      <w:r w:rsidR="00293BCD" w:rsidRPr="00B33487">
        <w:rPr>
          <w:rFonts w:ascii="Arial" w:hAnsi="Arial" w:cs="Arial"/>
          <w:sz w:val="24"/>
          <w:szCs w:val="24"/>
          <w:lang w:val="mn-MN"/>
        </w:rPr>
        <w:t xml:space="preserve">тус хуулиар зохицуулагдах үнэт цаасны төрөлд шинэ төрлүүд нэмсэн, </w:t>
      </w:r>
      <w:r w:rsidR="008E7764" w:rsidRPr="00B33487">
        <w:rPr>
          <w:rFonts w:ascii="Arial" w:hAnsi="Arial" w:cs="Arial"/>
          <w:sz w:val="24"/>
          <w:szCs w:val="24"/>
          <w:lang w:val="mn-MN"/>
        </w:rPr>
        <w:t>3</w:t>
      </w:r>
      <w:r w:rsidR="00E11AE5" w:rsidRPr="00B33487">
        <w:rPr>
          <w:rFonts w:ascii="Arial" w:hAnsi="Arial" w:cs="Arial"/>
          <w:sz w:val="24"/>
          <w:szCs w:val="24"/>
          <w:lang w:val="mn-MN"/>
        </w:rPr>
        <w:t xml:space="preserve"> д</w:t>
      </w:r>
      <w:r w:rsidR="008E7764" w:rsidRPr="00B33487">
        <w:rPr>
          <w:rFonts w:ascii="Arial" w:hAnsi="Arial" w:cs="Arial"/>
          <w:sz w:val="24"/>
          <w:szCs w:val="24"/>
          <w:lang w:val="mn-MN"/>
        </w:rPr>
        <w:t>угаа</w:t>
      </w:r>
      <w:r w:rsidR="00E11AE5" w:rsidRPr="00B33487">
        <w:rPr>
          <w:rFonts w:ascii="Arial" w:hAnsi="Arial" w:cs="Arial"/>
          <w:sz w:val="24"/>
          <w:szCs w:val="24"/>
          <w:lang w:val="mn-MN"/>
        </w:rPr>
        <w:t>р зүйл</w:t>
      </w:r>
      <w:r w:rsidR="004967B1" w:rsidRPr="00B33487">
        <w:rPr>
          <w:rFonts w:ascii="Arial" w:hAnsi="Arial" w:cs="Arial"/>
          <w:sz w:val="24"/>
          <w:szCs w:val="24"/>
          <w:lang w:val="mn-MN"/>
        </w:rPr>
        <w:t xml:space="preserve">д </w:t>
      </w:r>
      <w:r w:rsidR="00671773" w:rsidRPr="00B33487">
        <w:rPr>
          <w:rFonts w:ascii="Arial" w:hAnsi="Arial" w:cs="Arial"/>
          <w:sz w:val="24"/>
          <w:szCs w:val="24"/>
          <w:lang w:val="mn-MN"/>
        </w:rPr>
        <w:t xml:space="preserve">биржийн болон биржийн бус зах зээлийн </w:t>
      </w:r>
      <w:r w:rsidR="00A13FF7" w:rsidRPr="00B33487">
        <w:rPr>
          <w:rFonts w:ascii="Arial" w:hAnsi="Arial" w:cs="Arial"/>
          <w:sz w:val="24"/>
          <w:szCs w:val="24"/>
          <w:lang w:val="mn-MN"/>
        </w:rPr>
        <w:t>нэр томьёоны тодорхойлолты</w:t>
      </w:r>
      <w:r w:rsidR="00221544" w:rsidRPr="00B33487">
        <w:rPr>
          <w:rFonts w:ascii="Arial" w:hAnsi="Arial" w:cs="Arial"/>
          <w:sz w:val="24"/>
          <w:szCs w:val="24"/>
          <w:lang w:val="mn-MN"/>
        </w:rPr>
        <w:t>г ялга</w:t>
      </w:r>
      <w:r w:rsidR="00722166" w:rsidRPr="00B33487">
        <w:rPr>
          <w:rFonts w:ascii="Arial" w:hAnsi="Arial" w:cs="Arial"/>
          <w:sz w:val="24"/>
          <w:szCs w:val="24"/>
          <w:lang w:val="mn-MN"/>
        </w:rPr>
        <w:t xml:space="preserve">н тодорхойлж, үнэт цаасны </w:t>
      </w:r>
      <w:r w:rsidR="0014233C" w:rsidRPr="00B33487">
        <w:rPr>
          <w:rFonts w:ascii="Arial" w:hAnsi="Arial" w:cs="Arial"/>
          <w:sz w:val="24"/>
          <w:szCs w:val="24"/>
          <w:lang w:val="mn-MN"/>
        </w:rPr>
        <w:t xml:space="preserve">бүртгэлийг ялгаатайгаар тогтоосон </w:t>
      </w:r>
      <w:r w:rsidR="009666C4" w:rsidRPr="00B33487">
        <w:rPr>
          <w:rFonts w:ascii="Arial" w:hAnsi="Arial" w:cs="Arial"/>
          <w:sz w:val="24"/>
          <w:szCs w:val="24"/>
          <w:lang w:val="mn-MN"/>
        </w:rPr>
        <w:t xml:space="preserve">байна. </w:t>
      </w:r>
    </w:p>
    <w:p w14:paraId="77F17C8F" w14:textId="4244125D" w:rsidR="00BF1634" w:rsidRPr="00B33487" w:rsidRDefault="00BF1634"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 xml:space="preserve">Эндээс үзэхэд тус хуулийн төслөөр </w:t>
      </w:r>
      <w:r w:rsidR="0014233C" w:rsidRPr="00B33487">
        <w:rPr>
          <w:rFonts w:ascii="Arial" w:hAnsi="Arial" w:cs="Arial"/>
          <w:sz w:val="24"/>
          <w:szCs w:val="24"/>
          <w:lang w:val="mn-MN"/>
        </w:rPr>
        <w:t xml:space="preserve">нийтэд санал болгон гаргах үнэт цаасны </w:t>
      </w:r>
      <w:r w:rsidR="002B4C83" w:rsidRPr="00B33487">
        <w:rPr>
          <w:rFonts w:ascii="Arial" w:hAnsi="Arial" w:cs="Arial"/>
          <w:sz w:val="24"/>
          <w:szCs w:val="24"/>
          <w:lang w:val="mn-MN"/>
        </w:rPr>
        <w:t>бүртгэл, зөвшөөр</w:t>
      </w:r>
      <w:r w:rsidR="0049768B" w:rsidRPr="00B33487">
        <w:rPr>
          <w:rFonts w:ascii="Arial" w:hAnsi="Arial" w:cs="Arial"/>
          <w:sz w:val="24"/>
          <w:szCs w:val="24"/>
          <w:lang w:val="mn-MN"/>
        </w:rPr>
        <w:t>лийг хялбаршуулж, хаалттай хүрээнд гаргах үнэт цаа</w:t>
      </w:r>
      <w:r w:rsidR="00D84EB7" w:rsidRPr="00B33487">
        <w:rPr>
          <w:rFonts w:ascii="Arial" w:hAnsi="Arial" w:cs="Arial"/>
          <w:sz w:val="24"/>
          <w:szCs w:val="24"/>
          <w:lang w:val="mn-MN"/>
        </w:rPr>
        <w:t>с болон</w:t>
      </w:r>
      <w:r w:rsidR="00EA33A3" w:rsidRPr="00B33487">
        <w:rPr>
          <w:rFonts w:ascii="Arial" w:hAnsi="Arial" w:cs="Arial"/>
          <w:sz w:val="24"/>
          <w:szCs w:val="24"/>
          <w:lang w:val="mn-MN"/>
        </w:rPr>
        <w:t xml:space="preserve"> нээлттэй хувьцаат компанийн гаргах </w:t>
      </w:r>
      <w:r w:rsidR="00B4772E" w:rsidRPr="00B33487">
        <w:rPr>
          <w:rFonts w:ascii="Arial" w:hAnsi="Arial" w:cs="Arial"/>
          <w:sz w:val="24"/>
          <w:szCs w:val="24"/>
          <w:lang w:val="mn-MN"/>
        </w:rPr>
        <w:t xml:space="preserve">үнэт цаасны бүртгэлийг </w:t>
      </w:r>
      <w:r w:rsidRPr="00B33487">
        <w:rPr>
          <w:rFonts w:ascii="Arial" w:eastAsia="Times New Roman" w:hAnsi="Arial" w:cs="Arial"/>
          <w:sz w:val="24"/>
          <w:szCs w:val="24"/>
          <w:lang w:val="mn-MN"/>
        </w:rPr>
        <w:t>хялбаршуулсан журмаар</w:t>
      </w:r>
      <w:r w:rsidR="004158C5" w:rsidRPr="00B33487">
        <w:rPr>
          <w:rFonts w:ascii="Arial" w:eastAsia="Times New Roman" w:hAnsi="Arial" w:cs="Arial"/>
          <w:sz w:val="24"/>
          <w:szCs w:val="24"/>
          <w:lang w:val="mn-MN"/>
        </w:rPr>
        <w:t xml:space="preserve"> гаргахаар тогтоож</w:t>
      </w:r>
      <w:r w:rsidR="00B4772E" w:rsidRPr="00B33487">
        <w:rPr>
          <w:rFonts w:ascii="Arial" w:eastAsia="Times New Roman" w:hAnsi="Arial" w:cs="Arial"/>
          <w:sz w:val="24"/>
          <w:szCs w:val="24"/>
          <w:lang w:val="mn-MN"/>
        </w:rPr>
        <w:t xml:space="preserve">, </w:t>
      </w:r>
      <w:r w:rsidR="006E1949" w:rsidRPr="00B33487">
        <w:rPr>
          <w:rFonts w:ascii="Arial" w:eastAsia="Times New Roman" w:hAnsi="Arial" w:cs="Arial"/>
          <w:sz w:val="24"/>
          <w:szCs w:val="24"/>
          <w:lang w:val="mn-MN"/>
        </w:rPr>
        <w:t>биржийн бус зах зээл</w:t>
      </w:r>
      <w:r w:rsidR="004158C5" w:rsidRPr="00B33487">
        <w:rPr>
          <w:rFonts w:ascii="Arial" w:eastAsia="Times New Roman" w:hAnsi="Arial" w:cs="Arial"/>
          <w:sz w:val="24"/>
          <w:szCs w:val="24"/>
          <w:lang w:val="mn-MN"/>
        </w:rPr>
        <w:t xml:space="preserve">тэй холбогдох </w:t>
      </w:r>
      <w:r w:rsidRPr="00B33487">
        <w:rPr>
          <w:rFonts w:ascii="Arial" w:hAnsi="Arial" w:cs="Arial"/>
          <w:sz w:val="24"/>
          <w:szCs w:val="24"/>
          <w:lang w:val="mn-MN"/>
        </w:rPr>
        <w:t xml:space="preserve">эрх зүйн үндсийг </w:t>
      </w:r>
      <w:r w:rsidR="00445DED" w:rsidRPr="00B33487">
        <w:rPr>
          <w:rFonts w:ascii="Arial" w:hAnsi="Arial" w:cs="Arial"/>
          <w:sz w:val="24"/>
          <w:szCs w:val="24"/>
          <w:lang w:val="mn-MN"/>
        </w:rPr>
        <w:t xml:space="preserve">тодорхойлсон гэж </w:t>
      </w:r>
      <w:r w:rsidRPr="00B33487">
        <w:rPr>
          <w:rFonts w:ascii="Arial" w:hAnsi="Arial" w:cs="Arial"/>
          <w:sz w:val="24"/>
          <w:szCs w:val="24"/>
          <w:lang w:val="mn-MN"/>
        </w:rPr>
        <w:t xml:space="preserve">дүгнэж байна. </w:t>
      </w:r>
    </w:p>
    <w:p w14:paraId="06447A9B" w14:textId="30A2202D" w:rsidR="00AD7583" w:rsidRPr="00B33487" w:rsidRDefault="00AD7583" w:rsidP="00F92A9E">
      <w:pPr>
        <w:spacing w:after="120" w:line="240" w:lineRule="auto"/>
        <w:ind w:firstLine="720"/>
        <w:jc w:val="both"/>
        <w:rPr>
          <w:rFonts w:ascii="Arial" w:eastAsia="Times New Roman" w:hAnsi="Arial" w:cs="Arial"/>
          <w:b/>
          <w:i/>
          <w:sz w:val="24"/>
          <w:szCs w:val="24"/>
          <w:lang w:val="mn-MN"/>
        </w:rPr>
      </w:pPr>
      <w:r w:rsidRPr="00B33487">
        <w:rPr>
          <w:rFonts w:ascii="Arial" w:hAnsi="Arial" w:cs="Arial"/>
          <w:b/>
          <w:i/>
          <w:sz w:val="24"/>
          <w:szCs w:val="24"/>
          <w:lang w:val="mn-MN"/>
        </w:rPr>
        <w:t>Зорилт-2</w:t>
      </w:r>
      <w:r w:rsidRPr="00B33487">
        <w:rPr>
          <w:rFonts w:ascii="Arial" w:eastAsia="Times New Roman" w:hAnsi="Arial" w:cs="Arial"/>
          <w:b/>
          <w:i/>
          <w:sz w:val="24"/>
          <w:szCs w:val="24"/>
          <w:lang w:val="mn-MN"/>
        </w:rPr>
        <w:t xml:space="preserve">. </w:t>
      </w:r>
      <w:r w:rsidR="004158C5" w:rsidRPr="00B33487">
        <w:rPr>
          <w:rFonts w:ascii="Arial" w:eastAsia="Times New Roman" w:hAnsi="Arial" w:cs="Arial"/>
          <w:b/>
          <w:i/>
          <w:sz w:val="24"/>
          <w:szCs w:val="24"/>
          <w:lang w:val="mn-MN"/>
        </w:rPr>
        <w:t>Мэргэжлийн, урт хугацаат хөрөнгө оруулагчдыг хөрөнгийн зах зээл дээр бий болгох, тогтвортой ажиллах нөхцөлийг бүрдүүлэх зорилгоор хамтын болон хувийн хөрөнгө оруулалтын сангийн зохицуулалтыг ялгаатай тогтоох, хувийн хөрөнгө оруулалтын сангийн үйл ажиллагааг илүү дэмжсэн зохицуулалтыг бүрдүүлэх</w:t>
      </w:r>
    </w:p>
    <w:p w14:paraId="0C203B24" w14:textId="2C3AEAA6" w:rsidR="00BC47E1" w:rsidRPr="00B33487" w:rsidRDefault="005B3207" w:rsidP="00F92A9E">
      <w:pPr>
        <w:pStyle w:val="ListParagraph"/>
        <w:numPr>
          <w:ilvl w:val="0"/>
          <w:numId w:val="4"/>
        </w:numPr>
        <w:spacing w:after="120" w:line="240" w:lineRule="auto"/>
        <w:ind w:left="720" w:firstLine="0"/>
        <w:contextualSpacing w:val="0"/>
        <w:jc w:val="both"/>
        <w:rPr>
          <w:rFonts w:ascii="Arial" w:hAnsi="Arial" w:cs="Arial"/>
          <w:sz w:val="24"/>
          <w:szCs w:val="24"/>
          <w:lang w:val="mn-MN"/>
        </w:rPr>
      </w:pPr>
      <w:r w:rsidRPr="00B33487">
        <w:rPr>
          <w:rFonts w:ascii="Arial" w:hAnsi="Arial" w:cs="Arial"/>
          <w:bCs/>
          <w:sz w:val="24"/>
          <w:szCs w:val="24"/>
          <w:lang w:val="mn-MN"/>
        </w:rPr>
        <w:t>Хуулийн</w:t>
      </w:r>
      <w:r w:rsidR="00194683" w:rsidRPr="00B33487">
        <w:rPr>
          <w:rFonts w:ascii="Arial" w:hAnsi="Arial" w:cs="Arial"/>
          <w:bCs/>
          <w:sz w:val="24"/>
          <w:szCs w:val="24"/>
          <w:lang w:val="mn-MN"/>
        </w:rPr>
        <w:t xml:space="preserve"> </w:t>
      </w:r>
      <w:r w:rsidRPr="00B33487">
        <w:rPr>
          <w:rFonts w:ascii="Arial" w:hAnsi="Arial" w:cs="Arial"/>
          <w:bCs/>
          <w:sz w:val="24"/>
          <w:szCs w:val="24"/>
          <w:lang w:val="mn-MN"/>
        </w:rPr>
        <w:t xml:space="preserve">төслийн </w:t>
      </w:r>
      <w:r w:rsidR="005A244F" w:rsidRPr="00B33487">
        <w:rPr>
          <w:rFonts w:ascii="Arial" w:hAnsi="Arial" w:cs="Arial"/>
          <w:bCs/>
          <w:sz w:val="24"/>
          <w:szCs w:val="24"/>
          <w:lang w:val="mn-MN"/>
        </w:rPr>
        <w:t>1 дүгээр</w:t>
      </w:r>
      <w:r w:rsidRPr="00B33487">
        <w:rPr>
          <w:rFonts w:ascii="Arial" w:hAnsi="Arial" w:cs="Arial"/>
          <w:bCs/>
          <w:sz w:val="24"/>
          <w:szCs w:val="24"/>
          <w:lang w:val="mn-MN"/>
        </w:rPr>
        <w:t xml:space="preserve"> бүлэгт </w:t>
      </w:r>
      <w:r w:rsidR="00AF61E2" w:rsidRPr="00B33487">
        <w:rPr>
          <w:rFonts w:ascii="Arial" w:hAnsi="Arial" w:cs="Arial"/>
          <w:bCs/>
          <w:sz w:val="24"/>
          <w:szCs w:val="24"/>
          <w:lang w:val="mn-MN"/>
        </w:rPr>
        <w:t>тус хуулиар зохицуулагдах хөрөнгө оруулалтын санг</w:t>
      </w:r>
      <w:r w:rsidR="005A7DFD" w:rsidRPr="00B33487">
        <w:rPr>
          <w:rFonts w:ascii="Arial" w:hAnsi="Arial" w:cs="Arial"/>
          <w:bCs/>
          <w:sz w:val="24"/>
          <w:szCs w:val="24"/>
          <w:lang w:val="mn-MN"/>
        </w:rPr>
        <w:t xml:space="preserve"> хамтын хөрөнгө оруулалтын сан болгож өөрчилсөн, мөн тус хуулийг дагалдан өөрчлөгдөх  хуулийн төслөөр Хөрөнгө оруулалтын сангийн </w:t>
      </w:r>
      <w:r w:rsidR="005A7DFD" w:rsidRPr="00B33487">
        <w:rPr>
          <w:rFonts w:ascii="Arial" w:hAnsi="Arial" w:cs="Arial"/>
          <w:bCs/>
          <w:sz w:val="24"/>
          <w:szCs w:val="24"/>
          <w:lang w:val="mn-MN"/>
        </w:rPr>
        <w:lastRenderedPageBreak/>
        <w:t xml:space="preserve">тухай хуульд нэмэлт, өөрчлөлт оруулж хамтын болон хувийн хөрөнгө оруулалтын сангийн үйл ажиллагааг ялгаатайгаар зохицуулсан байна. </w:t>
      </w:r>
    </w:p>
    <w:p w14:paraId="4B899BB6" w14:textId="6C928208" w:rsidR="0042015B" w:rsidRPr="00B33487" w:rsidRDefault="00B04BFB" w:rsidP="00F92A9E">
      <w:pPr>
        <w:spacing w:after="120" w:line="240" w:lineRule="auto"/>
        <w:ind w:firstLine="720"/>
        <w:jc w:val="both"/>
        <w:rPr>
          <w:rFonts w:ascii="Arial" w:eastAsia="Times New Roman" w:hAnsi="Arial" w:cs="Arial"/>
          <w:b/>
          <w:i/>
          <w:sz w:val="24"/>
          <w:szCs w:val="24"/>
          <w:lang w:val="mn-MN"/>
        </w:rPr>
      </w:pPr>
      <w:r w:rsidRPr="00B33487">
        <w:rPr>
          <w:rFonts w:ascii="Arial" w:hAnsi="Arial" w:cs="Arial"/>
          <w:b/>
          <w:i/>
          <w:sz w:val="24"/>
          <w:szCs w:val="24"/>
          <w:lang w:val="mn-MN"/>
        </w:rPr>
        <w:t>Зорилт-3</w:t>
      </w:r>
      <w:r w:rsidRPr="00B33487">
        <w:rPr>
          <w:rFonts w:ascii="Arial" w:hAnsi="Arial" w:cs="Arial"/>
          <w:sz w:val="24"/>
          <w:szCs w:val="24"/>
          <w:lang w:val="mn-MN"/>
        </w:rPr>
        <w:t>.</w:t>
      </w:r>
      <w:r w:rsidR="005A7DFD" w:rsidRPr="00B33487">
        <w:rPr>
          <w:rFonts w:ascii="Arial" w:eastAsia="Times New Roman" w:hAnsi="Arial" w:cs="Arial"/>
          <w:sz w:val="24"/>
          <w:szCs w:val="24"/>
          <w:lang w:val="mn-MN"/>
        </w:rPr>
        <w:t xml:space="preserve"> </w:t>
      </w:r>
      <w:r w:rsidR="005A7DFD" w:rsidRPr="00B33487">
        <w:rPr>
          <w:rFonts w:ascii="Arial" w:hAnsi="Arial" w:cs="Arial"/>
          <w:b/>
          <w:i/>
          <w:sz w:val="24"/>
          <w:szCs w:val="24"/>
          <w:lang w:val="mn-MN"/>
        </w:rPr>
        <w:t>Монголын хөрөнгийн зах зээл дээр дэд бүтцийн олон улсын  төлбөрийн эсрэг нийлүүлэлтийн зарчмыг нэвтрүүлэх, төлбөрийн чадваргүйдлийн эрсдэлийг удирдах зорилгоор зах зээл дээр шинээр бий болох клирингийн гишүүн, төлбөрийн баталгааны сан, төлбөр тооцоог эцэслэхтэй холбоотой зохицуулалтуудыг тусгах</w:t>
      </w:r>
    </w:p>
    <w:p w14:paraId="79276177" w14:textId="6E32586E" w:rsidR="0042015B" w:rsidRPr="00B33487" w:rsidRDefault="007764AC" w:rsidP="00F92A9E">
      <w:pPr>
        <w:pStyle w:val="ListParagraph"/>
        <w:numPr>
          <w:ilvl w:val="0"/>
          <w:numId w:val="4"/>
        </w:numPr>
        <w:spacing w:after="120" w:line="240" w:lineRule="auto"/>
        <w:ind w:left="720" w:firstLine="0"/>
        <w:contextualSpacing w:val="0"/>
        <w:jc w:val="both"/>
        <w:rPr>
          <w:rFonts w:ascii="Arial" w:eastAsia="Times New Roman" w:hAnsi="Arial" w:cs="Arial"/>
          <w:b/>
          <w:i/>
          <w:sz w:val="24"/>
          <w:szCs w:val="24"/>
          <w:lang w:val="mn-MN"/>
        </w:rPr>
      </w:pPr>
      <w:r w:rsidRPr="00B33487">
        <w:rPr>
          <w:rFonts w:ascii="Arial" w:eastAsia="Times New Roman" w:hAnsi="Arial" w:cs="Arial"/>
          <w:bCs/>
          <w:sz w:val="24"/>
          <w:szCs w:val="24"/>
          <w:lang w:val="mn-MN"/>
        </w:rPr>
        <w:t xml:space="preserve">Хуулийн төслийн </w:t>
      </w:r>
      <w:r w:rsidR="0087675B" w:rsidRPr="00B33487">
        <w:rPr>
          <w:rFonts w:ascii="Arial" w:eastAsia="Times New Roman" w:hAnsi="Arial" w:cs="Arial"/>
          <w:bCs/>
          <w:sz w:val="24"/>
          <w:szCs w:val="24"/>
          <w:lang w:val="mn-MN"/>
        </w:rPr>
        <w:t xml:space="preserve">гуравдугаар бүлэгт </w:t>
      </w:r>
      <w:r w:rsidR="005B4C51" w:rsidRPr="00B33487">
        <w:rPr>
          <w:rFonts w:ascii="Arial" w:eastAsia="Times New Roman" w:hAnsi="Arial" w:cs="Arial"/>
          <w:bCs/>
          <w:sz w:val="24"/>
          <w:szCs w:val="24"/>
          <w:lang w:val="mn-MN"/>
        </w:rPr>
        <w:t>үнэт цаасн</w:t>
      </w:r>
      <w:r w:rsidR="00BD0502" w:rsidRPr="00B33487">
        <w:rPr>
          <w:rFonts w:ascii="Arial" w:eastAsia="Times New Roman" w:hAnsi="Arial" w:cs="Arial"/>
          <w:bCs/>
          <w:sz w:val="24"/>
          <w:szCs w:val="24"/>
          <w:lang w:val="mn-MN"/>
        </w:rPr>
        <w:t>ы</w:t>
      </w:r>
      <w:r w:rsidR="005B4C51" w:rsidRPr="00B33487">
        <w:rPr>
          <w:rFonts w:ascii="Arial" w:eastAsia="Times New Roman" w:hAnsi="Arial" w:cs="Arial"/>
          <w:bCs/>
          <w:sz w:val="24"/>
          <w:szCs w:val="24"/>
          <w:lang w:val="mn-MN"/>
        </w:rPr>
        <w:t xml:space="preserve"> тооцооны үйл ажиллагааг Үндэсний төлбөрийн системийн тухай хуульд нийцүүлэн </w:t>
      </w:r>
      <w:r w:rsidR="00F755BD" w:rsidRPr="00B33487">
        <w:rPr>
          <w:rFonts w:ascii="Arial" w:eastAsia="Times New Roman" w:hAnsi="Arial" w:cs="Arial"/>
          <w:bCs/>
          <w:sz w:val="24"/>
          <w:szCs w:val="24"/>
          <w:lang w:val="mn-MN"/>
        </w:rPr>
        <w:t>клирингийн болгон өөрчилж, мөн олон улсын төлбөр тооцооны зарчим болон төлбөрийн эсрэг нийлүүлэлттэй холбоотойгоор зах зээл дээр шинээр клирингийн гишүүн байгууллага бий болгох, тэдний эрсдэлийг удирдах зорилгоор төлбөрийн баталгааны санг үүсгэх</w:t>
      </w:r>
      <w:r w:rsidR="00876F96" w:rsidRPr="00B33487">
        <w:rPr>
          <w:rFonts w:ascii="Arial" w:eastAsia="Times New Roman" w:hAnsi="Arial" w:cs="Arial"/>
          <w:bCs/>
          <w:sz w:val="24"/>
          <w:szCs w:val="24"/>
          <w:lang w:val="mn-MN"/>
        </w:rPr>
        <w:t>, төлбөр тооцоог эцэслэн гүйцэтгэх зэрэгтэй холбогдсон харилцаа</w:t>
      </w:r>
      <w:r w:rsidR="00C36A1D" w:rsidRPr="00B33487">
        <w:rPr>
          <w:rFonts w:ascii="Arial" w:eastAsia="Times New Roman" w:hAnsi="Arial" w:cs="Arial"/>
          <w:bCs/>
          <w:sz w:val="24"/>
          <w:szCs w:val="24"/>
          <w:lang w:val="mn-MN"/>
        </w:rPr>
        <w:t>ны зо</w:t>
      </w:r>
      <w:r w:rsidR="002E2491" w:rsidRPr="00B33487">
        <w:rPr>
          <w:rFonts w:ascii="Arial" w:eastAsia="Times New Roman" w:hAnsi="Arial" w:cs="Arial"/>
          <w:bCs/>
          <w:sz w:val="24"/>
          <w:szCs w:val="24"/>
          <w:lang w:val="mn-MN"/>
        </w:rPr>
        <w:t>хицуулалтыг тусгажээ.</w:t>
      </w:r>
    </w:p>
    <w:p w14:paraId="59C0B8C0" w14:textId="2789D84A" w:rsidR="00C36A1D" w:rsidRPr="00B33487" w:rsidRDefault="00C36A1D" w:rsidP="00C36A1D">
      <w:pPr>
        <w:spacing w:after="120" w:line="240" w:lineRule="auto"/>
        <w:ind w:firstLine="720"/>
        <w:jc w:val="both"/>
        <w:rPr>
          <w:rFonts w:ascii="Arial" w:eastAsia="Times New Roman" w:hAnsi="Arial" w:cs="Arial"/>
          <w:b/>
          <w:i/>
          <w:sz w:val="24"/>
          <w:szCs w:val="24"/>
          <w:lang w:val="mn-MN"/>
        </w:rPr>
      </w:pPr>
      <w:r w:rsidRPr="00B33487">
        <w:rPr>
          <w:rFonts w:ascii="Arial" w:hAnsi="Arial" w:cs="Arial"/>
          <w:b/>
          <w:i/>
          <w:sz w:val="24"/>
          <w:szCs w:val="24"/>
          <w:lang w:val="mn-MN"/>
        </w:rPr>
        <w:t>Зорилт-4</w:t>
      </w:r>
      <w:r w:rsidRPr="00B33487">
        <w:rPr>
          <w:rFonts w:ascii="Arial" w:hAnsi="Arial" w:cs="Arial"/>
          <w:sz w:val="24"/>
          <w:szCs w:val="24"/>
          <w:lang w:val="mn-MN"/>
        </w:rPr>
        <w:t>.</w:t>
      </w:r>
      <w:r w:rsidRPr="00B33487">
        <w:rPr>
          <w:rFonts w:ascii="Arial" w:eastAsia="Times New Roman" w:hAnsi="Arial" w:cs="Arial"/>
          <w:sz w:val="24"/>
          <w:szCs w:val="24"/>
          <w:lang w:val="mn-MN"/>
        </w:rPr>
        <w:t xml:space="preserve"> </w:t>
      </w:r>
      <w:r w:rsidR="00C1157B" w:rsidRPr="00B33487">
        <w:rPr>
          <w:rFonts w:ascii="Arial" w:hAnsi="Arial" w:cs="Arial"/>
          <w:b/>
          <w:i/>
          <w:sz w:val="24"/>
          <w:szCs w:val="24"/>
          <w:lang w:val="mn-MN"/>
        </w:rPr>
        <w:t>Хөрөнгийн зах зээл дээр технологийн дэвшилд суурилсан бүтээгдэхүүн, үйлчилгээг нэвтрүүлэх, энэ хүрээнд зохицуулалтын туршилтын орчин үүсгэх эрх зүйн орчныг нээлттэй болгохтой уялдуулан зохицуулагч байгууллагын эрхийг нэмэгдүүлэх</w:t>
      </w:r>
    </w:p>
    <w:p w14:paraId="517C83CD" w14:textId="17F23AE1" w:rsidR="00C36A1D" w:rsidRPr="00B33487" w:rsidRDefault="00C36A1D" w:rsidP="00C36A1D">
      <w:pPr>
        <w:pStyle w:val="ListParagraph"/>
        <w:numPr>
          <w:ilvl w:val="0"/>
          <w:numId w:val="4"/>
        </w:numPr>
        <w:spacing w:after="120" w:line="240" w:lineRule="auto"/>
        <w:ind w:left="720" w:firstLine="0"/>
        <w:contextualSpacing w:val="0"/>
        <w:jc w:val="both"/>
        <w:rPr>
          <w:rFonts w:ascii="Arial" w:eastAsia="Times New Roman" w:hAnsi="Arial" w:cs="Arial"/>
          <w:b/>
          <w:i/>
          <w:sz w:val="24"/>
          <w:szCs w:val="24"/>
          <w:lang w:val="mn-MN"/>
        </w:rPr>
      </w:pPr>
      <w:r w:rsidRPr="00B33487">
        <w:rPr>
          <w:rFonts w:ascii="Arial" w:eastAsia="Times New Roman" w:hAnsi="Arial" w:cs="Arial"/>
          <w:bCs/>
          <w:sz w:val="24"/>
          <w:szCs w:val="24"/>
          <w:lang w:val="mn-MN"/>
        </w:rPr>
        <w:t xml:space="preserve">Хуулийн төслийн </w:t>
      </w:r>
      <w:r w:rsidR="00347470" w:rsidRPr="00B33487">
        <w:rPr>
          <w:rFonts w:ascii="Arial" w:eastAsia="Times New Roman" w:hAnsi="Arial" w:cs="Arial"/>
          <w:bCs/>
          <w:sz w:val="24"/>
          <w:szCs w:val="24"/>
          <w:lang w:val="mn-MN"/>
        </w:rPr>
        <w:t xml:space="preserve">1 дүгээр </w:t>
      </w:r>
      <w:r w:rsidR="001D76FA" w:rsidRPr="00B33487">
        <w:rPr>
          <w:rFonts w:ascii="Arial" w:eastAsia="Times New Roman" w:hAnsi="Arial" w:cs="Arial"/>
          <w:bCs/>
          <w:sz w:val="24"/>
          <w:szCs w:val="24"/>
          <w:lang w:val="mn-MN"/>
        </w:rPr>
        <w:t xml:space="preserve">бүлэгт </w:t>
      </w:r>
      <w:r w:rsidR="00927865" w:rsidRPr="00B33487">
        <w:rPr>
          <w:rFonts w:ascii="Arial" w:eastAsia="Times New Roman" w:hAnsi="Arial" w:cs="Arial"/>
          <w:bCs/>
          <w:sz w:val="24"/>
          <w:szCs w:val="24"/>
          <w:lang w:val="mn-MN"/>
        </w:rPr>
        <w:t>Санхүүгий</w:t>
      </w:r>
      <w:r w:rsidR="00A054C5" w:rsidRPr="00B33487">
        <w:rPr>
          <w:rFonts w:ascii="Arial" w:eastAsia="Times New Roman" w:hAnsi="Arial" w:cs="Arial"/>
          <w:bCs/>
          <w:sz w:val="24"/>
          <w:szCs w:val="24"/>
          <w:lang w:val="mn-MN"/>
        </w:rPr>
        <w:t>н</w:t>
      </w:r>
      <w:r w:rsidR="00927865" w:rsidRPr="00B33487">
        <w:rPr>
          <w:rFonts w:ascii="Arial" w:eastAsia="Times New Roman" w:hAnsi="Arial" w:cs="Arial"/>
          <w:bCs/>
          <w:sz w:val="24"/>
          <w:szCs w:val="24"/>
          <w:lang w:val="mn-MN"/>
        </w:rPr>
        <w:t xml:space="preserve"> зохицуулах</w:t>
      </w:r>
      <w:r w:rsidR="00444B5E" w:rsidRPr="00B33487">
        <w:rPr>
          <w:rFonts w:ascii="Arial" w:eastAsia="Times New Roman" w:hAnsi="Arial" w:cs="Arial"/>
          <w:bCs/>
          <w:sz w:val="24"/>
          <w:szCs w:val="24"/>
          <w:lang w:val="mn-MN"/>
        </w:rPr>
        <w:t xml:space="preserve"> хорооны</w:t>
      </w:r>
      <w:r w:rsidR="00C9644F" w:rsidRPr="00B33487">
        <w:rPr>
          <w:rFonts w:ascii="Arial" w:eastAsia="Times New Roman" w:hAnsi="Arial" w:cs="Arial"/>
          <w:bCs/>
          <w:sz w:val="24"/>
          <w:szCs w:val="24"/>
          <w:lang w:val="mn-MN"/>
        </w:rPr>
        <w:t xml:space="preserve"> эрх үүрэг дээр </w:t>
      </w:r>
      <w:r w:rsidR="00444B5E" w:rsidRPr="00B33487">
        <w:rPr>
          <w:rFonts w:ascii="Arial" w:eastAsia="Times New Roman" w:hAnsi="Arial" w:cs="Arial"/>
          <w:bCs/>
          <w:sz w:val="24"/>
          <w:szCs w:val="24"/>
          <w:lang w:val="mn-MN"/>
        </w:rPr>
        <w:t xml:space="preserve"> </w:t>
      </w:r>
      <w:r w:rsidR="00380CC0" w:rsidRPr="00B33487">
        <w:rPr>
          <w:rFonts w:ascii="Arial" w:eastAsia="Times New Roman" w:hAnsi="Arial" w:cs="Arial"/>
          <w:bCs/>
          <w:sz w:val="24"/>
          <w:szCs w:val="24"/>
          <w:lang w:val="mn-MN"/>
        </w:rPr>
        <w:t>үнэт цаасны зах зээлд</w:t>
      </w:r>
      <w:r w:rsidR="00E63045" w:rsidRPr="00B33487">
        <w:rPr>
          <w:rFonts w:ascii="Arial" w:eastAsia="Times New Roman" w:hAnsi="Arial" w:cs="Arial"/>
          <w:bCs/>
          <w:sz w:val="24"/>
          <w:szCs w:val="24"/>
          <w:lang w:val="mn-MN"/>
        </w:rPr>
        <w:t xml:space="preserve"> технологийн дэвшилд суурилсан </w:t>
      </w:r>
      <w:r w:rsidR="00771C44" w:rsidRPr="00B33487">
        <w:rPr>
          <w:rFonts w:ascii="Arial" w:eastAsia="Times New Roman" w:hAnsi="Arial" w:cs="Arial"/>
          <w:bCs/>
          <w:sz w:val="24"/>
          <w:szCs w:val="24"/>
          <w:lang w:val="mn-MN"/>
        </w:rPr>
        <w:t xml:space="preserve">шинэлэг бүтээгдэхүүн, үйлчилгээг нэвтрүүлэхтэй холбоотойгоор зохицуулалтын туршилтын орчин үүсгэх, түүнтэй холбогдсон харилцааг зохицуулах эрх </w:t>
      </w:r>
      <w:r w:rsidR="00371215" w:rsidRPr="00B33487">
        <w:rPr>
          <w:rFonts w:ascii="Arial" w:eastAsia="Times New Roman" w:hAnsi="Arial" w:cs="Arial"/>
          <w:bCs/>
          <w:sz w:val="24"/>
          <w:szCs w:val="24"/>
          <w:lang w:val="mn-MN"/>
        </w:rPr>
        <w:t xml:space="preserve">нэмж өгсөн байна. </w:t>
      </w:r>
    </w:p>
    <w:p w14:paraId="30D93873" w14:textId="23F1443B" w:rsidR="00C36A1D" w:rsidRPr="00B33487" w:rsidRDefault="00C36A1D" w:rsidP="00C36A1D">
      <w:pPr>
        <w:spacing w:after="120" w:line="240" w:lineRule="auto"/>
        <w:ind w:firstLine="720"/>
        <w:jc w:val="both"/>
        <w:rPr>
          <w:rFonts w:ascii="Arial" w:eastAsia="Times New Roman" w:hAnsi="Arial" w:cs="Arial"/>
          <w:b/>
          <w:i/>
          <w:sz w:val="24"/>
          <w:szCs w:val="24"/>
          <w:lang w:val="mn-MN"/>
        </w:rPr>
      </w:pPr>
      <w:r w:rsidRPr="00B33487">
        <w:rPr>
          <w:rFonts w:ascii="Arial" w:hAnsi="Arial" w:cs="Arial"/>
          <w:b/>
          <w:i/>
          <w:sz w:val="24"/>
          <w:szCs w:val="24"/>
          <w:lang w:val="mn-MN"/>
        </w:rPr>
        <w:t>Зорилт-5</w:t>
      </w:r>
      <w:r w:rsidRPr="00B33487">
        <w:rPr>
          <w:rFonts w:ascii="Arial" w:hAnsi="Arial" w:cs="Arial"/>
          <w:sz w:val="24"/>
          <w:szCs w:val="24"/>
          <w:lang w:val="mn-MN"/>
        </w:rPr>
        <w:t>.</w:t>
      </w:r>
      <w:r w:rsidRPr="00B33487">
        <w:rPr>
          <w:rFonts w:ascii="Arial" w:eastAsia="Times New Roman" w:hAnsi="Arial" w:cs="Arial"/>
          <w:sz w:val="24"/>
          <w:szCs w:val="24"/>
          <w:lang w:val="mn-MN"/>
        </w:rPr>
        <w:t xml:space="preserve"> </w:t>
      </w:r>
      <w:r w:rsidR="00C1157B" w:rsidRPr="00B33487">
        <w:rPr>
          <w:rFonts w:ascii="Arial" w:hAnsi="Arial" w:cs="Arial"/>
          <w:b/>
          <w:i/>
          <w:sz w:val="24"/>
          <w:szCs w:val="24"/>
          <w:lang w:val="mn-MN"/>
        </w:rPr>
        <w:t>Хөрөнгийн зах зээл дэх өөрийгөө зохицуулах байгууллагуудын төрлийг ялган тэдгээрийн эрх, үүргийн хүрээг сайжруулан тогтоох замаар зах зээл дээрх төрийн зохицуулагч байгууллага болон өөрийгөө зохицуулах байгууллага хооронд үүсэж буй чиг үүргийн давхардлыг арилгах</w:t>
      </w:r>
    </w:p>
    <w:p w14:paraId="1857599D" w14:textId="2C1595E4" w:rsidR="00C36A1D" w:rsidRPr="00B33487" w:rsidRDefault="00C36A1D" w:rsidP="00C36A1D">
      <w:pPr>
        <w:pStyle w:val="ListParagraph"/>
        <w:numPr>
          <w:ilvl w:val="0"/>
          <w:numId w:val="4"/>
        </w:numPr>
        <w:spacing w:after="120" w:line="240" w:lineRule="auto"/>
        <w:ind w:left="720" w:firstLine="0"/>
        <w:contextualSpacing w:val="0"/>
        <w:jc w:val="both"/>
        <w:rPr>
          <w:rFonts w:ascii="Arial" w:eastAsia="Times New Roman" w:hAnsi="Arial" w:cs="Arial"/>
          <w:b/>
          <w:i/>
          <w:sz w:val="24"/>
          <w:szCs w:val="24"/>
          <w:lang w:val="mn-MN"/>
        </w:rPr>
      </w:pPr>
      <w:r w:rsidRPr="00B33487">
        <w:rPr>
          <w:rFonts w:ascii="Arial" w:eastAsia="Times New Roman" w:hAnsi="Arial" w:cs="Arial"/>
          <w:bCs/>
          <w:sz w:val="24"/>
          <w:szCs w:val="24"/>
          <w:lang w:val="mn-MN"/>
        </w:rPr>
        <w:t xml:space="preserve">Хуулийн төслийн гуравдугаар бүлэгт </w:t>
      </w:r>
      <w:r w:rsidR="00623CD7" w:rsidRPr="00B33487">
        <w:rPr>
          <w:rFonts w:ascii="Arial" w:eastAsia="Times New Roman" w:hAnsi="Arial" w:cs="Arial"/>
          <w:bCs/>
          <w:sz w:val="24"/>
          <w:szCs w:val="24"/>
          <w:lang w:val="mn-MN"/>
        </w:rPr>
        <w:t>өөрийгөө зохицуулах байгууллаг</w:t>
      </w:r>
      <w:r w:rsidR="00446002" w:rsidRPr="00B33487">
        <w:rPr>
          <w:rFonts w:ascii="Arial" w:eastAsia="Times New Roman" w:hAnsi="Arial" w:cs="Arial"/>
          <w:bCs/>
          <w:sz w:val="24"/>
          <w:szCs w:val="24"/>
          <w:lang w:val="mn-MN"/>
        </w:rPr>
        <w:t xml:space="preserve">ын төрлийг ялгаатайгаар тогтоож, түүний эрх үүргийн </w:t>
      </w:r>
      <w:r w:rsidR="00C52AF1" w:rsidRPr="00B33487">
        <w:rPr>
          <w:rFonts w:ascii="Arial" w:eastAsia="Times New Roman" w:hAnsi="Arial" w:cs="Arial"/>
          <w:bCs/>
          <w:sz w:val="24"/>
          <w:szCs w:val="24"/>
          <w:lang w:val="mn-MN"/>
        </w:rPr>
        <w:t xml:space="preserve">хүрээг өөрчлөн тогтоосноор </w:t>
      </w:r>
      <w:r w:rsidR="002A2165" w:rsidRPr="00B33487">
        <w:rPr>
          <w:rFonts w:ascii="Arial" w:eastAsia="Times New Roman" w:hAnsi="Arial" w:cs="Arial"/>
          <w:bCs/>
          <w:sz w:val="24"/>
          <w:szCs w:val="24"/>
          <w:lang w:val="mn-MN"/>
        </w:rPr>
        <w:t>өөрийгөө зохицуулах байгууллагын үүрэг тодорхой болж, төрийн зохицуулагч байгууллагын зарим үүргийг хөнгөвчлөх зохицуулалтыг тусгажээ.</w:t>
      </w:r>
    </w:p>
    <w:p w14:paraId="6A159A99" w14:textId="03F6ACF5" w:rsidR="00C36A1D" w:rsidRPr="00B33487" w:rsidRDefault="00C36A1D" w:rsidP="00C36A1D">
      <w:pPr>
        <w:spacing w:after="120" w:line="240" w:lineRule="auto"/>
        <w:ind w:firstLine="720"/>
        <w:jc w:val="both"/>
        <w:rPr>
          <w:rFonts w:ascii="Arial" w:eastAsia="Times New Roman" w:hAnsi="Arial" w:cs="Arial"/>
          <w:b/>
          <w:i/>
          <w:sz w:val="24"/>
          <w:szCs w:val="24"/>
          <w:lang w:val="mn-MN"/>
        </w:rPr>
      </w:pPr>
      <w:r w:rsidRPr="00B33487">
        <w:rPr>
          <w:rFonts w:ascii="Arial" w:hAnsi="Arial" w:cs="Arial"/>
          <w:b/>
          <w:i/>
          <w:sz w:val="24"/>
          <w:szCs w:val="24"/>
          <w:lang w:val="mn-MN"/>
        </w:rPr>
        <w:t>Зорилт-6</w:t>
      </w:r>
      <w:r w:rsidRPr="00B33487">
        <w:rPr>
          <w:rFonts w:ascii="Arial" w:hAnsi="Arial" w:cs="Arial"/>
          <w:sz w:val="24"/>
          <w:szCs w:val="24"/>
          <w:lang w:val="mn-MN"/>
        </w:rPr>
        <w:t>.</w:t>
      </w:r>
      <w:r w:rsidRPr="00B33487">
        <w:rPr>
          <w:rFonts w:ascii="Arial" w:eastAsia="Times New Roman" w:hAnsi="Arial" w:cs="Arial"/>
          <w:sz w:val="24"/>
          <w:szCs w:val="24"/>
          <w:lang w:val="mn-MN"/>
        </w:rPr>
        <w:t xml:space="preserve"> </w:t>
      </w:r>
      <w:r w:rsidR="00C1157B" w:rsidRPr="00B33487">
        <w:rPr>
          <w:rFonts w:ascii="Arial" w:hAnsi="Arial" w:cs="Arial"/>
          <w:b/>
          <w:i/>
          <w:sz w:val="24"/>
          <w:szCs w:val="24"/>
          <w:lang w:val="mn-MN"/>
        </w:rPr>
        <w:t>Хувьцаат компаниудын мэдээллийн ил тод байдал, компанийн засаглалыг сайжруулах, хувьцаа эзэмшигчдийн эрхийг эдлүүлэх, жижиг хувьцаа эзэмшигчдийн эрх ашгийг хамгаалах зорилгоор зохицуулалтын дүрэм журмыг нэгтгэх, хариуцлагыг өндөржүүлэхтэй холбоотой зохицуулалтыг нэмж тусгах</w:t>
      </w:r>
    </w:p>
    <w:p w14:paraId="59D8D31F" w14:textId="410EADC3" w:rsidR="00C36A1D" w:rsidRPr="00B33487" w:rsidRDefault="00C36A1D" w:rsidP="00C36A1D">
      <w:pPr>
        <w:pStyle w:val="ListParagraph"/>
        <w:numPr>
          <w:ilvl w:val="0"/>
          <w:numId w:val="4"/>
        </w:numPr>
        <w:spacing w:after="120" w:line="240" w:lineRule="auto"/>
        <w:ind w:left="720" w:firstLine="0"/>
        <w:contextualSpacing w:val="0"/>
        <w:jc w:val="both"/>
        <w:rPr>
          <w:rFonts w:ascii="Arial" w:eastAsia="Times New Roman" w:hAnsi="Arial" w:cs="Arial"/>
          <w:b/>
          <w:i/>
          <w:sz w:val="24"/>
          <w:szCs w:val="24"/>
          <w:lang w:val="mn-MN"/>
        </w:rPr>
      </w:pPr>
      <w:r w:rsidRPr="00B33487">
        <w:rPr>
          <w:rFonts w:ascii="Arial" w:eastAsia="Times New Roman" w:hAnsi="Arial" w:cs="Arial"/>
          <w:bCs/>
          <w:sz w:val="24"/>
          <w:szCs w:val="24"/>
          <w:lang w:val="mn-MN"/>
        </w:rPr>
        <w:t xml:space="preserve">Хуулийн төслийн </w:t>
      </w:r>
      <w:r w:rsidR="00AB0259" w:rsidRPr="00B33487">
        <w:rPr>
          <w:rFonts w:ascii="Arial" w:eastAsia="Times New Roman" w:hAnsi="Arial" w:cs="Arial"/>
          <w:bCs/>
          <w:sz w:val="24"/>
          <w:szCs w:val="24"/>
          <w:lang w:val="mn-MN"/>
        </w:rPr>
        <w:t xml:space="preserve">2 дугаар зүйлд </w:t>
      </w:r>
      <w:r w:rsidR="00432814" w:rsidRPr="00B33487">
        <w:rPr>
          <w:rFonts w:ascii="Arial" w:eastAsia="Times New Roman" w:hAnsi="Arial" w:cs="Arial"/>
          <w:bCs/>
          <w:sz w:val="24"/>
          <w:szCs w:val="24"/>
          <w:lang w:val="mn-MN"/>
        </w:rPr>
        <w:t xml:space="preserve">үнэт цаас гаргагчийн үүрэг хариуцлага дээр компани бүх төрлийн үнэт цаас эзэмшигчдэд бодит өөрчлөлт бүхий нөлөө үзүүлэх мэдээллийг зохицуулагч байгууллагаас гаргасан журмын дагуу </w:t>
      </w:r>
      <w:r w:rsidR="001A7467" w:rsidRPr="00B33487">
        <w:rPr>
          <w:rFonts w:ascii="Arial" w:eastAsia="Times New Roman" w:hAnsi="Arial" w:cs="Arial"/>
          <w:bCs/>
          <w:sz w:val="24"/>
          <w:szCs w:val="24"/>
          <w:lang w:val="mn-MN"/>
        </w:rPr>
        <w:t>т</w:t>
      </w:r>
      <w:r w:rsidR="00432814" w:rsidRPr="00B33487">
        <w:rPr>
          <w:rFonts w:ascii="Arial" w:eastAsia="Times New Roman" w:hAnsi="Arial" w:cs="Arial"/>
          <w:bCs/>
          <w:sz w:val="24"/>
          <w:szCs w:val="24"/>
          <w:lang w:val="mn-MN"/>
        </w:rPr>
        <w:t xml:space="preserve">ухай бүр мэдээлэх үүрэг нэмж тусгасан.  </w:t>
      </w:r>
    </w:p>
    <w:p w14:paraId="379752AC" w14:textId="77777777" w:rsidR="00C36A1D" w:rsidRPr="00B33487" w:rsidRDefault="00C36A1D" w:rsidP="00333BC6">
      <w:pPr>
        <w:spacing w:after="120" w:line="240" w:lineRule="auto"/>
        <w:jc w:val="both"/>
        <w:rPr>
          <w:rFonts w:ascii="Arial" w:eastAsia="Times New Roman" w:hAnsi="Arial" w:cs="Arial"/>
          <w:b/>
          <w:i/>
          <w:sz w:val="24"/>
          <w:szCs w:val="24"/>
          <w:lang w:val="mn-MN"/>
        </w:rPr>
      </w:pPr>
    </w:p>
    <w:p w14:paraId="76D315F4" w14:textId="77777777" w:rsidR="00C62DDB" w:rsidRPr="00B33487" w:rsidRDefault="00C62DDB" w:rsidP="00F92A9E">
      <w:pPr>
        <w:spacing w:after="120" w:line="240" w:lineRule="auto"/>
        <w:ind w:firstLine="720"/>
        <w:jc w:val="both"/>
        <w:rPr>
          <w:rFonts w:ascii="Arial" w:eastAsia="Calibri" w:hAnsi="Arial" w:cs="Arial"/>
          <w:b/>
          <w:sz w:val="24"/>
          <w:lang w:val="mn-MN"/>
        </w:rPr>
      </w:pPr>
      <w:r w:rsidRPr="00B33487">
        <w:rPr>
          <w:rFonts w:ascii="Arial" w:eastAsia="Calibri" w:hAnsi="Arial" w:cs="Arial"/>
          <w:b/>
          <w:sz w:val="24"/>
          <w:lang w:val="mn-MN"/>
        </w:rPr>
        <w:t xml:space="preserve">Практикт хэрэгжих боломжтой эсэх: </w:t>
      </w:r>
    </w:p>
    <w:p w14:paraId="1AFE1812" w14:textId="5A6A3007" w:rsidR="00C62DDB" w:rsidRPr="00B33487" w:rsidRDefault="00377D1B"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 xml:space="preserve">Төслийн </w:t>
      </w:r>
      <w:r w:rsidR="00432814" w:rsidRPr="00B33487">
        <w:rPr>
          <w:rFonts w:ascii="Arial" w:hAnsi="Arial" w:cs="Arial"/>
          <w:sz w:val="24"/>
          <w:szCs w:val="24"/>
          <w:lang w:val="mn-MN"/>
        </w:rPr>
        <w:t>1</w:t>
      </w:r>
      <w:r w:rsidR="00143727" w:rsidRPr="00B33487">
        <w:rPr>
          <w:rFonts w:ascii="Arial" w:hAnsi="Arial" w:cs="Arial"/>
          <w:sz w:val="24"/>
          <w:szCs w:val="24"/>
          <w:lang w:val="mn-MN"/>
        </w:rPr>
        <w:t>,</w:t>
      </w:r>
      <w:r w:rsidR="00432814" w:rsidRPr="00B33487">
        <w:rPr>
          <w:rFonts w:ascii="Arial" w:hAnsi="Arial" w:cs="Arial"/>
          <w:sz w:val="24"/>
          <w:szCs w:val="24"/>
          <w:lang w:val="mn-MN"/>
        </w:rPr>
        <w:t xml:space="preserve">2,3 дугаар зүйлд </w:t>
      </w:r>
      <w:r w:rsidR="00C62DDB" w:rsidRPr="00B33487">
        <w:rPr>
          <w:rFonts w:ascii="Arial" w:hAnsi="Arial" w:cs="Arial"/>
          <w:sz w:val="24"/>
          <w:szCs w:val="24"/>
          <w:lang w:val="mn-MN"/>
        </w:rPr>
        <w:t>заасан зохицуулалтуудыг</w:t>
      </w:r>
      <w:r w:rsidR="000C1315" w:rsidRPr="00B33487">
        <w:rPr>
          <w:rFonts w:ascii="Arial" w:hAnsi="Arial" w:cs="Arial"/>
          <w:sz w:val="24"/>
          <w:szCs w:val="24"/>
          <w:lang w:val="mn-MN"/>
        </w:rPr>
        <w:t xml:space="preserve"> </w:t>
      </w:r>
      <w:r w:rsidR="00C62DDB" w:rsidRPr="00B33487">
        <w:rPr>
          <w:rFonts w:ascii="Arial" w:hAnsi="Arial" w:cs="Arial"/>
          <w:b/>
          <w:sz w:val="24"/>
          <w:szCs w:val="24"/>
          <w:lang w:val="mn-MN"/>
        </w:rPr>
        <w:t>“Практикт хэрэгжих боломж”</w:t>
      </w:r>
      <w:r w:rsidR="00C62DDB" w:rsidRPr="00B33487">
        <w:rPr>
          <w:rFonts w:ascii="Arial" w:hAnsi="Arial" w:cs="Arial"/>
          <w:sz w:val="24"/>
          <w:szCs w:val="24"/>
          <w:lang w:val="mn-MN"/>
        </w:rPr>
        <w:t xml:space="preserve"> шалгуур үзүүлэлтээр шалган бодит байдалд хэрэгжих бол</w:t>
      </w:r>
      <w:r w:rsidR="00E53D65" w:rsidRPr="00B33487">
        <w:rPr>
          <w:rFonts w:ascii="Arial" w:hAnsi="Arial" w:cs="Arial"/>
          <w:sz w:val="24"/>
          <w:szCs w:val="24"/>
          <w:lang w:val="mn-MN"/>
        </w:rPr>
        <w:t>омжтой эсэхийг тодруулахыг</w:t>
      </w:r>
      <w:r w:rsidR="00194683" w:rsidRPr="00B33487">
        <w:rPr>
          <w:rFonts w:ascii="Arial" w:hAnsi="Arial" w:cs="Arial"/>
          <w:sz w:val="24"/>
          <w:szCs w:val="24"/>
          <w:lang w:val="mn-MN"/>
        </w:rPr>
        <w:t xml:space="preserve"> </w:t>
      </w:r>
      <w:r w:rsidR="00E53D65" w:rsidRPr="00B33487">
        <w:rPr>
          <w:rFonts w:ascii="Arial" w:hAnsi="Arial" w:cs="Arial"/>
          <w:sz w:val="24"/>
          <w:szCs w:val="24"/>
          <w:lang w:val="mn-MN"/>
        </w:rPr>
        <w:t>зори</w:t>
      </w:r>
      <w:r w:rsidR="00C62DDB" w:rsidRPr="00B33487">
        <w:rPr>
          <w:rFonts w:ascii="Arial" w:hAnsi="Arial" w:cs="Arial"/>
          <w:sz w:val="24"/>
          <w:szCs w:val="24"/>
          <w:lang w:val="mn-MN"/>
        </w:rPr>
        <w:t>лоо.</w:t>
      </w:r>
    </w:p>
    <w:p w14:paraId="4BDB2D6C" w14:textId="77777777" w:rsidR="00333BC6" w:rsidRPr="00B33487" w:rsidRDefault="00DA0B04" w:rsidP="00333BC6">
      <w:pPr>
        <w:spacing w:after="0" w:line="240" w:lineRule="auto"/>
        <w:ind w:firstLine="720"/>
        <w:jc w:val="both"/>
        <w:rPr>
          <w:rStyle w:val="normaltextrun"/>
          <w:rFonts w:ascii="Arial" w:hAnsi="Arial"/>
          <w:color w:val="000000"/>
          <w:sz w:val="24"/>
          <w:shd w:val="clear" w:color="auto" w:fill="FFFFFF"/>
          <w:lang w:val="mn-MN"/>
        </w:rPr>
      </w:pPr>
      <w:r w:rsidRPr="00B33487">
        <w:rPr>
          <w:rFonts w:ascii="Arial" w:hAnsi="Arial" w:cs="Arial"/>
          <w:sz w:val="24"/>
          <w:szCs w:val="24"/>
          <w:lang w:val="mn-MN"/>
        </w:rPr>
        <w:lastRenderedPageBreak/>
        <w:t xml:space="preserve">Энэхүү </w:t>
      </w:r>
      <w:r w:rsidR="002B362F" w:rsidRPr="00B33487">
        <w:rPr>
          <w:rFonts w:ascii="Arial" w:hAnsi="Arial" w:cs="Arial"/>
          <w:sz w:val="24"/>
          <w:szCs w:val="24"/>
          <w:lang w:val="mn-MN"/>
        </w:rPr>
        <w:t xml:space="preserve">шалгуур үзүүлэлтийн хүрээнд </w:t>
      </w:r>
      <w:r w:rsidR="00333BC6" w:rsidRPr="00B33487">
        <w:rPr>
          <w:rFonts w:ascii="Arial" w:hAnsi="Arial" w:cs="Arial"/>
          <w:sz w:val="24"/>
          <w:szCs w:val="24"/>
          <w:lang w:val="mn-MN"/>
        </w:rPr>
        <w:t>Сангийн яамнаас 2019.10.09-ний өдөр Санхүүгийн салбарын  бодлого боловсруулагчид, зохицуулагч байгууллага, салбарын мэргэжлийн холбоод болон зах зээлд оролцогчдын төлөөллүүдийн хооронд “Банкнаас бусад санхүүгийн салбарыг тэнцвэртэйгээр хөгжүүлэх, түүний өнөөгийн тулгамдсан асуудлуудыг ярилцах, шийдэл гаргах” уулзалт, хэлэлцүүлгийг зохион байгуулсан.</w:t>
      </w:r>
      <w:r w:rsidR="00333BC6" w:rsidRPr="00B33487">
        <w:rPr>
          <w:rStyle w:val="normaltextrun"/>
          <w:rFonts w:ascii="Arial" w:hAnsi="Arial"/>
          <w:color w:val="000000"/>
          <w:sz w:val="24"/>
          <w:shd w:val="clear" w:color="auto" w:fill="FFFFFF"/>
          <w:lang w:val="mn-MN"/>
        </w:rPr>
        <w:t xml:space="preserve"> </w:t>
      </w:r>
    </w:p>
    <w:p w14:paraId="326A7841" w14:textId="77777777" w:rsidR="00333BC6" w:rsidRPr="00B33487" w:rsidRDefault="00333BC6" w:rsidP="00333BC6">
      <w:pPr>
        <w:spacing w:after="0" w:line="240" w:lineRule="auto"/>
        <w:jc w:val="both"/>
        <w:rPr>
          <w:rFonts w:ascii="Arial" w:hAnsi="Arial" w:cs="Arial"/>
          <w:sz w:val="24"/>
          <w:szCs w:val="24"/>
          <w:lang w:val="mn-MN"/>
        </w:rPr>
      </w:pPr>
    </w:p>
    <w:p w14:paraId="39941E4B" w14:textId="77777777" w:rsidR="00333BC6" w:rsidRPr="00B33487" w:rsidRDefault="00333BC6" w:rsidP="00333BC6">
      <w:pPr>
        <w:spacing w:after="0" w:line="240" w:lineRule="auto"/>
        <w:jc w:val="both"/>
        <w:rPr>
          <w:rFonts w:ascii="Arial" w:hAnsi="Arial" w:cs="Arial"/>
          <w:sz w:val="24"/>
          <w:szCs w:val="24"/>
          <w:lang w:val="mn-MN"/>
        </w:rPr>
      </w:pPr>
      <w:r w:rsidRPr="00B33487">
        <w:rPr>
          <w:rFonts w:ascii="Arial" w:hAnsi="Arial" w:cs="Arial"/>
          <w:sz w:val="24"/>
          <w:szCs w:val="24"/>
          <w:lang w:val="mn-MN"/>
        </w:rPr>
        <w:tab/>
        <w:t xml:space="preserve">Хэлэлцүүлэгт оролцогчид Хөрөнгийн зах зээлийн хөгжлийг дэмжих хүрээнд доорх асуудлуудыг шийдвэрлэх нь зүйтэй гэдэг дээр нэгдсэн санал дүгнэлтэд хүрээд байна. Үүнд: </w:t>
      </w:r>
    </w:p>
    <w:p w14:paraId="025B046F" w14:textId="77777777" w:rsidR="00333BC6" w:rsidRPr="00B33487" w:rsidRDefault="00333BC6" w:rsidP="00333BC6">
      <w:pPr>
        <w:spacing w:after="0" w:line="240" w:lineRule="auto"/>
        <w:jc w:val="both"/>
        <w:rPr>
          <w:rFonts w:ascii="Arial" w:hAnsi="Arial" w:cs="Arial"/>
          <w:sz w:val="24"/>
          <w:szCs w:val="24"/>
          <w:lang w:val="mn-MN"/>
        </w:rPr>
      </w:pPr>
    </w:p>
    <w:p w14:paraId="78C5B9FD"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 xml:space="preserve">Засгийн газрын дотоод үнэт цаасыг Өрийн удирдлагын тухай хуулийн 12.1.3-д заасан зориулалт буюу Засгийн газрын дотоод үнэт цаасны зах зээлийн хөгжлийг дэмжих зориулалтаар гаргах, зах зээлийн суурь хүүгийн өгөөжийн муруйг тогтоох; </w:t>
      </w:r>
    </w:p>
    <w:p w14:paraId="547D0A6F"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 xml:space="preserve">Хөрөнгийн зах зээлийн дэд бүтцийн байгууллагуудын систем болон төлбөр тооцооны горимыг олон улсын стандартад нийцүүлэн, төлбөрийн эсрэг нийлүүлэлт, дундын зохицуулагч байгууллага, төлбөрийн баталгааны сан, клирингийн гишүүн, төлбөрийн чадваргүйдлийн удирдлагын зохицуулалтыг холбогдох хууль, эрх зүйн орчинд тусгах; </w:t>
      </w:r>
    </w:p>
    <w:p w14:paraId="7335B21D"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Зах зээл дээр мэргэжлийн хөрөнгө оруулагчид буюу урт хугацаат хөрөнгө оруулагчид бий болгох, ингэхдээ хувийн тэтгэврийн сангийн эрх зүйн орчныг бүрдүүлэх. Одоо байгаа нөөц боломжоо ашиглан хөрөнгийн зах зээлд урт хугацаат хөрөнгө оруулагчийг бий болгох. Үүнд: Хувийн даатгалын сангийн хөрөнгө, нийгмийн даатгал сангийн хөрөнгө, даатгалын компаниудын нөөц санг хөрөнгийн зах зээлд хөрөнгө оруулах сувгийг нээж өгөх;</w:t>
      </w:r>
    </w:p>
    <w:p w14:paraId="6B3B5CDA"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Компанийн өрийн хэрэгслийн хаалттай болон нээлттэй зах зээлийн үйл ажиллагааг хөгжүүлэх, ингэх нь дотоодын хувийн аж ахуйн нэгжүүдэд урт хугацаат хөрөнгө оруулалт татах маш том гарцыг бий болгох юм. Үүнтэй холбогдуулан компанийн зээлжих зэрэглэл тогтоох байгууллага, үйлчилгээг бий болгох;</w:t>
      </w:r>
    </w:p>
    <w:p w14:paraId="5F6612E6"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 xml:space="preserve">Хөрөнгийн зах зээлд оролцох шат дамжлага, шимтгэл хураамжийг бууруулах. </w:t>
      </w:r>
    </w:p>
    <w:p w14:paraId="69EFFD8F" w14:textId="77777777" w:rsidR="00333BC6" w:rsidRPr="00B33487" w:rsidRDefault="00333BC6" w:rsidP="00333BC6">
      <w:pPr>
        <w:spacing w:after="0" w:line="240" w:lineRule="auto"/>
        <w:jc w:val="both"/>
        <w:rPr>
          <w:rFonts w:ascii="Arial" w:hAnsi="Arial" w:cs="Arial"/>
          <w:sz w:val="24"/>
          <w:szCs w:val="24"/>
          <w:lang w:val="mn-MN"/>
        </w:rPr>
      </w:pPr>
    </w:p>
    <w:p w14:paraId="36DF4864" w14:textId="2A04435C" w:rsidR="00333BC6" w:rsidRPr="00B33487" w:rsidRDefault="00333BC6" w:rsidP="00333BC6">
      <w:pPr>
        <w:spacing w:after="0" w:line="240" w:lineRule="auto"/>
        <w:ind w:firstLine="720"/>
        <w:jc w:val="both"/>
        <w:rPr>
          <w:rFonts w:ascii="Arial" w:hAnsi="Arial" w:cs="Arial"/>
          <w:sz w:val="24"/>
          <w:szCs w:val="24"/>
          <w:lang w:val="mn-MN"/>
        </w:rPr>
      </w:pPr>
      <w:r w:rsidRPr="00B33487">
        <w:rPr>
          <w:rFonts w:ascii="Arial" w:hAnsi="Arial" w:cs="Arial"/>
          <w:sz w:val="24"/>
          <w:szCs w:val="24"/>
          <w:lang w:val="mn-MN"/>
        </w:rPr>
        <w:t>Мөн Санхүүгийн зохицуулах хорооны зүгээс зах зээлийн мэргэжлийн байгууллагууд болох брокер, дилер, андеррайтер, хөрөнгө оруулалтын зөвлөх болон менежментийн компаниуд, хөрөнгийн биржүүд, төлбөр, тооцоо, хадгаламжийн байгууллагууд, кастодиан банкнууд, мэргэжлийн холбоод зэрэг байгууллагуудын төлөөллийг хамруулан “Хөрөнгийн зах зээлийн эрх зүйн шинэчлэлийг эрчимжүүлж, зохицуулалтын орчныг боловсронгуй болгох” хэлэлцүүлгийг 20</w:t>
      </w:r>
      <w:r w:rsidR="00265D46" w:rsidRPr="00B33487">
        <w:rPr>
          <w:rFonts w:ascii="Arial" w:hAnsi="Arial" w:cs="Arial"/>
          <w:sz w:val="24"/>
          <w:szCs w:val="24"/>
          <w:lang w:val="mn-MN"/>
        </w:rPr>
        <w:t>22</w:t>
      </w:r>
      <w:r w:rsidRPr="00B33487">
        <w:rPr>
          <w:rFonts w:ascii="Arial" w:hAnsi="Arial" w:cs="Arial"/>
          <w:sz w:val="24"/>
          <w:szCs w:val="24"/>
          <w:lang w:val="mn-MN"/>
        </w:rPr>
        <w:t xml:space="preserve"> оны 1</w:t>
      </w:r>
      <w:r w:rsidR="00265D46" w:rsidRPr="00B33487">
        <w:rPr>
          <w:rFonts w:ascii="Arial" w:hAnsi="Arial" w:cs="Arial"/>
          <w:sz w:val="24"/>
          <w:szCs w:val="24"/>
          <w:lang w:val="mn-MN"/>
        </w:rPr>
        <w:t>0</w:t>
      </w:r>
      <w:r w:rsidRPr="00B33487">
        <w:rPr>
          <w:rFonts w:ascii="Arial" w:hAnsi="Arial" w:cs="Arial"/>
          <w:sz w:val="24"/>
          <w:szCs w:val="24"/>
          <w:lang w:val="mn-MN"/>
        </w:rPr>
        <w:t xml:space="preserve"> д</w:t>
      </w:r>
      <w:r w:rsidR="00265D46" w:rsidRPr="00B33487">
        <w:rPr>
          <w:rFonts w:ascii="Arial" w:hAnsi="Arial" w:cs="Arial"/>
          <w:sz w:val="24"/>
          <w:szCs w:val="24"/>
          <w:lang w:val="mn-MN"/>
        </w:rPr>
        <w:t xml:space="preserve">угаар </w:t>
      </w:r>
      <w:r w:rsidRPr="00B33487">
        <w:rPr>
          <w:rFonts w:ascii="Arial" w:hAnsi="Arial" w:cs="Arial"/>
          <w:sz w:val="24"/>
          <w:szCs w:val="24"/>
          <w:lang w:val="mn-MN"/>
        </w:rPr>
        <w:t xml:space="preserve"> сарын </w:t>
      </w:r>
      <w:r w:rsidR="00265D46" w:rsidRPr="00B33487">
        <w:rPr>
          <w:rFonts w:ascii="Arial" w:hAnsi="Arial" w:cs="Arial"/>
          <w:sz w:val="24"/>
          <w:szCs w:val="24"/>
          <w:lang w:val="mn-MN"/>
        </w:rPr>
        <w:t xml:space="preserve">7-ны өдөр </w:t>
      </w:r>
      <w:r w:rsidRPr="00B33487">
        <w:rPr>
          <w:rFonts w:ascii="Arial" w:hAnsi="Arial" w:cs="Arial"/>
          <w:sz w:val="24"/>
          <w:szCs w:val="24"/>
          <w:lang w:val="mn-MN"/>
        </w:rPr>
        <w:t xml:space="preserve">зохион байгуулж, хууль, эрх зүйн орчны шинэчлэлийн талаар санал солилцсон. </w:t>
      </w:r>
    </w:p>
    <w:p w14:paraId="2EE8FE52" w14:textId="77777777" w:rsidR="00333BC6" w:rsidRPr="00B33487" w:rsidRDefault="00333BC6" w:rsidP="00333BC6">
      <w:pPr>
        <w:spacing w:after="0" w:line="240" w:lineRule="auto"/>
        <w:ind w:firstLine="720"/>
        <w:jc w:val="both"/>
        <w:rPr>
          <w:rFonts w:ascii="Arial" w:hAnsi="Arial" w:cs="Arial"/>
          <w:sz w:val="24"/>
          <w:szCs w:val="24"/>
          <w:lang w:val="mn-MN"/>
        </w:rPr>
      </w:pPr>
    </w:p>
    <w:p w14:paraId="3B714909" w14:textId="77777777" w:rsidR="00333BC6" w:rsidRPr="00B33487" w:rsidRDefault="00333BC6" w:rsidP="00333BC6">
      <w:pPr>
        <w:spacing w:after="0" w:line="240" w:lineRule="auto"/>
        <w:ind w:firstLine="720"/>
        <w:jc w:val="both"/>
        <w:rPr>
          <w:rFonts w:ascii="Arial" w:hAnsi="Arial" w:cs="Arial"/>
          <w:sz w:val="24"/>
          <w:szCs w:val="24"/>
          <w:lang w:val="mn-MN"/>
        </w:rPr>
      </w:pPr>
      <w:r w:rsidRPr="00B33487">
        <w:rPr>
          <w:rFonts w:ascii="Arial" w:hAnsi="Arial" w:cs="Arial"/>
          <w:sz w:val="24"/>
          <w:szCs w:val="24"/>
          <w:lang w:val="mn-MN"/>
        </w:rPr>
        <w:t>Үүнээс гадна салбарын эрх зүйн орчны шинэчлэлийн хэрэгцээ, шаардлагын талаар хамаарал бүхий этгээдүүдээс албан бичгээр санал авсан бөгөөд хэлэлцүүлэг болон албан бичгээр хүлээн авсан саналуудыг нэгтгэн дүгнэвэл, хуулийг шинэчлэн боловсруулах дараах практик шаардлага үүсжээ. Үүнд:</w:t>
      </w:r>
    </w:p>
    <w:p w14:paraId="040BAF6C"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 xml:space="preserve">Зохицуулалттай үйл ажиллагаа, тэдгээрийн онцлог, ялгаа, үйл ажиллагааны хүрээг тодорхой болгох; </w:t>
      </w:r>
    </w:p>
    <w:p w14:paraId="4F556AD8"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 xml:space="preserve">Үнэт цаас гаргах үйл ажиллагаанд оролцогч талуудын хариуцах асуудлын хүрээг ялгаатай тогтоох; </w:t>
      </w:r>
    </w:p>
    <w:p w14:paraId="1AF0CB8B"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lastRenderedPageBreak/>
        <w:t>Өрийн хэрэгслийн зах зээлийг хөгжүүлэх зорилгоор бүртгэлийн үйл ажиллагааг хялбаршуулах, хязгаарлалтыг багасгах;</w:t>
      </w:r>
    </w:p>
    <w:p w14:paraId="22BD5CA1"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Дэд бүтцийн байгууллагуудын гишүүддээ тавих хяналт, хариуцлагын тогтолцоог сайжруулах;</w:t>
      </w:r>
    </w:p>
    <w:p w14:paraId="55974AC1" w14:textId="77777777" w:rsidR="00333BC6" w:rsidRPr="00B33487" w:rsidRDefault="00333BC6" w:rsidP="00333BC6">
      <w:pPr>
        <w:pStyle w:val="ListParagraph"/>
        <w:numPr>
          <w:ilvl w:val="0"/>
          <w:numId w:val="16"/>
        </w:numPr>
        <w:spacing w:after="0" w:line="240" w:lineRule="auto"/>
        <w:ind w:left="993"/>
        <w:jc w:val="both"/>
        <w:rPr>
          <w:rFonts w:ascii="Arial" w:hAnsi="Arial" w:cs="Arial"/>
          <w:sz w:val="24"/>
          <w:szCs w:val="24"/>
          <w:lang w:val="mn-MN"/>
        </w:rPr>
      </w:pPr>
      <w:r w:rsidRPr="00B33487">
        <w:rPr>
          <w:rFonts w:ascii="Arial" w:hAnsi="Arial" w:cs="Arial"/>
          <w:sz w:val="24"/>
          <w:szCs w:val="24"/>
          <w:lang w:val="mn-MN"/>
        </w:rPr>
        <w:t>Зохицуулагч байгууллага болон өөрийгөө зохицуулах байгууллагын харилцан уялдаа, хариуцан хэрэгжүүлэх эрх хэмжээг илүү тодорхой болгох саналуудыг ирүүлсэн.</w:t>
      </w:r>
    </w:p>
    <w:p w14:paraId="38650D7C" w14:textId="77777777" w:rsidR="00333BC6" w:rsidRPr="00B33487" w:rsidRDefault="00333BC6" w:rsidP="00333BC6">
      <w:pPr>
        <w:spacing w:after="0" w:line="240" w:lineRule="auto"/>
        <w:ind w:left="603"/>
        <w:jc w:val="both"/>
        <w:rPr>
          <w:rFonts w:ascii="Arial" w:hAnsi="Arial" w:cs="Arial"/>
          <w:sz w:val="24"/>
          <w:szCs w:val="24"/>
          <w:lang w:val="mn-MN"/>
        </w:rPr>
      </w:pPr>
    </w:p>
    <w:p w14:paraId="7213D162" w14:textId="5E6C961D" w:rsidR="00D50BC6" w:rsidRPr="00B33487" w:rsidRDefault="0037681A" w:rsidP="00333BC6">
      <w:pPr>
        <w:spacing w:after="0" w:line="240" w:lineRule="auto"/>
        <w:ind w:firstLine="603"/>
        <w:jc w:val="both"/>
        <w:rPr>
          <w:rFonts w:ascii="Arial" w:hAnsi="Arial" w:cs="Arial"/>
          <w:sz w:val="24"/>
          <w:szCs w:val="24"/>
          <w:lang w:val="mn-MN"/>
        </w:rPr>
      </w:pPr>
      <w:r w:rsidRPr="00B33487">
        <w:rPr>
          <w:rFonts w:ascii="Arial" w:hAnsi="Arial" w:cs="Arial"/>
          <w:sz w:val="24"/>
          <w:szCs w:val="24"/>
          <w:lang w:val="mn-MN"/>
        </w:rPr>
        <w:t xml:space="preserve">Үүнээс үзэхэд </w:t>
      </w:r>
      <w:r w:rsidR="00333BC6" w:rsidRPr="00B33487">
        <w:rPr>
          <w:rFonts w:ascii="Arial" w:eastAsia="Times New Roman" w:hAnsi="Arial" w:cs="Arial"/>
          <w:sz w:val="24"/>
          <w:szCs w:val="24"/>
          <w:lang w:val="mn-MN"/>
        </w:rPr>
        <w:t xml:space="preserve">хөрөнгийн зах зээлд шинээр бүтээгдэхүүн үйлчилгээг нэмэгдүүлэх, биржийн болон биржийн бус зах зээлийн харилцааг ялгаатайгаар тогтоох, үнэт цаасны арилжааны төлбөр тооцооны системд олон улсын төлбөрийн эсрэг нийлүүлэлтийн зарчмыг нэвтрүүлэхтэй холбогдсон эрх зүйн үндсийг тогтоож, зохицуулагч байгууллага, дэд бүтцийн байгууллага, мэргэжлийн байгууллага, өөрийгөө зохицуулах байгууллага, үнэт цаас гаргагчдын эрх үүрэг, хариуцлагыг сайжруулан, тэдгээрийн  хооронд үүсэх харилцааг зохицуулахад </w:t>
      </w:r>
      <w:r w:rsidR="00DC4249" w:rsidRPr="00B33487">
        <w:rPr>
          <w:rFonts w:ascii="Arial" w:hAnsi="Arial" w:cs="Arial"/>
          <w:sz w:val="24"/>
          <w:szCs w:val="24"/>
          <w:lang w:val="mn-MN"/>
        </w:rPr>
        <w:t>зохих өөрчлөлтийг хийх нь зүйтэй гэж дүгнэв.</w:t>
      </w:r>
    </w:p>
    <w:p w14:paraId="53DAAD62" w14:textId="77777777" w:rsidR="00333BC6" w:rsidRPr="00B33487" w:rsidRDefault="00333BC6" w:rsidP="00333BC6">
      <w:pPr>
        <w:spacing w:after="0" w:line="240" w:lineRule="auto"/>
        <w:jc w:val="both"/>
        <w:rPr>
          <w:rFonts w:ascii="Arial" w:hAnsi="Arial" w:cs="Arial"/>
          <w:sz w:val="24"/>
          <w:szCs w:val="24"/>
          <w:lang w:val="mn-MN"/>
        </w:rPr>
      </w:pPr>
    </w:p>
    <w:p w14:paraId="7D548965" w14:textId="6F59A0DD" w:rsidR="00DB1162" w:rsidRPr="00B33487" w:rsidRDefault="008C365D" w:rsidP="008D27E3">
      <w:pPr>
        <w:pStyle w:val="NormalWeb"/>
        <w:shd w:val="clear" w:color="auto" w:fill="FFFFFF"/>
        <w:spacing w:before="0" w:beforeAutospacing="0" w:after="120" w:afterAutospacing="0"/>
        <w:ind w:firstLine="720"/>
        <w:textAlignment w:val="top"/>
        <w:rPr>
          <w:rFonts w:ascii="Arial" w:hAnsi="Arial" w:cs="Arial"/>
          <w:b/>
          <w:lang w:val="mn-MN"/>
        </w:rPr>
      </w:pPr>
      <w:r w:rsidRPr="00B33487">
        <w:rPr>
          <w:rFonts w:ascii="Arial" w:hAnsi="Arial" w:cs="Arial"/>
          <w:b/>
          <w:lang w:val="mn-MN"/>
        </w:rPr>
        <w:t>3.Ойлгомжтой эсэх</w:t>
      </w:r>
      <w:r w:rsidR="00117EAC" w:rsidRPr="00B33487">
        <w:rPr>
          <w:rFonts w:ascii="Arial" w:hAnsi="Arial" w:cs="Arial"/>
          <w:b/>
          <w:lang w:val="mn-MN"/>
        </w:rPr>
        <w:t xml:space="preserve"> </w:t>
      </w:r>
    </w:p>
    <w:p w14:paraId="2F27DE01" w14:textId="2B475CE9" w:rsidR="00D476B6" w:rsidRPr="00B33487" w:rsidRDefault="00D476B6" w:rsidP="00F92A9E">
      <w:pPr>
        <w:spacing w:after="120" w:line="240" w:lineRule="auto"/>
        <w:ind w:firstLine="720"/>
        <w:jc w:val="both"/>
        <w:rPr>
          <w:rFonts w:ascii="Arial" w:eastAsia="Calibri" w:hAnsi="Arial" w:cs="Arial"/>
          <w:i/>
          <w:sz w:val="24"/>
          <w:szCs w:val="24"/>
          <w:lang w:val="mn-MN"/>
        </w:rPr>
      </w:pPr>
      <w:r w:rsidRPr="00B33487">
        <w:rPr>
          <w:rFonts w:ascii="Arial" w:hAnsi="Arial" w:cs="Arial"/>
          <w:b/>
          <w:sz w:val="24"/>
          <w:szCs w:val="24"/>
          <w:lang w:val="mn-MN"/>
        </w:rPr>
        <w:t>“Ойлгомжтой байдал”</w:t>
      </w:r>
      <w:r w:rsidRPr="00B33487">
        <w:rPr>
          <w:rFonts w:ascii="Arial" w:hAnsi="Arial" w:cs="Arial"/>
          <w:sz w:val="24"/>
          <w:szCs w:val="24"/>
          <w:lang w:val="mn-MN"/>
        </w:rPr>
        <w:t xml:space="preserve"> гэсэн шалгуур үзүүлэлтийн хүрээнд “</w:t>
      </w:r>
      <w:r w:rsidR="00333BC6" w:rsidRPr="00B33487">
        <w:rPr>
          <w:rFonts w:ascii="Arial" w:hAnsi="Arial" w:cs="Arial"/>
          <w:sz w:val="24"/>
          <w:szCs w:val="24"/>
          <w:lang w:val="mn-MN"/>
        </w:rPr>
        <w:t>Үнэт цаасны зах зээлийн тухай хуульд нэмэлт өөрчлөлт оруулах тухай хууль</w:t>
      </w:r>
      <w:r w:rsidRPr="00B33487">
        <w:rPr>
          <w:rFonts w:ascii="Arial" w:hAnsi="Arial" w:cs="Arial"/>
          <w:sz w:val="24"/>
          <w:szCs w:val="24"/>
          <w:lang w:val="mn-MN"/>
        </w:rPr>
        <w:t xml:space="preserve">”-ийн төсөл боловсруулалтын хувьд Хууль тогтоомжийн тухай хуулийн 26, 28, 29, 30 дугаар зүйл, Хууль тогтоомжийн төсөл боловсруулах аргачлалд заасан шаардлагыг хангасан эсэхийг хянах байдлаар үнэлгээг гүйцэтгэлээ. Мөн хуулийн төсөлд холбогдох байгууллагуудаас ойлгомжтой болгох чиглэлээр ирүүлсэн санал байгаа эсэхийг нягтлан, дүн шинжилгээ хийсэн болно. </w:t>
      </w:r>
    </w:p>
    <w:p w14:paraId="277C9F03" w14:textId="16388D93" w:rsidR="00D476B6" w:rsidRPr="00B33487" w:rsidRDefault="00333BC6"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 xml:space="preserve">Үнэт цаасны зах зээлийн тухай хуульд нэмэлт өөрчлөлт оруулах тухай </w:t>
      </w:r>
      <w:r w:rsidR="004F35B8" w:rsidRPr="00B33487">
        <w:rPr>
          <w:rFonts w:ascii="Arial" w:hAnsi="Arial" w:cs="Arial"/>
          <w:sz w:val="24"/>
          <w:szCs w:val="24"/>
          <w:lang w:val="mn-MN"/>
        </w:rPr>
        <w:t xml:space="preserve">хуулийн </w:t>
      </w:r>
      <w:r w:rsidR="00D476B6" w:rsidRPr="00B33487">
        <w:rPr>
          <w:rFonts w:ascii="Arial" w:hAnsi="Arial" w:cs="Arial"/>
          <w:sz w:val="24"/>
          <w:szCs w:val="24"/>
          <w:lang w:val="mn-MN"/>
        </w:rPr>
        <w:t>төслийг хэрэгжүүлэхэд ойлгомжтой байдлаар томьёологдсон эсэхийг шалгах үүднээс хуулийн төслийн үзэл баримтлалд санал авахаар Засгийн</w:t>
      </w:r>
      <w:r w:rsidR="00A05782" w:rsidRPr="00B33487">
        <w:rPr>
          <w:rFonts w:ascii="Arial" w:hAnsi="Arial" w:cs="Arial"/>
          <w:sz w:val="24"/>
          <w:szCs w:val="24"/>
          <w:lang w:val="mn-MN"/>
        </w:rPr>
        <w:t xml:space="preserve"> газрын бүх гишүүд /13</w:t>
      </w:r>
      <w:r w:rsidR="00D476B6" w:rsidRPr="00B33487">
        <w:rPr>
          <w:rFonts w:ascii="Arial" w:hAnsi="Arial" w:cs="Arial"/>
          <w:sz w:val="24"/>
          <w:szCs w:val="24"/>
          <w:lang w:val="mn-MN"/>
        </w:rPr>
        <w:t xml:space="preserve"> яамд/</w:t>
      </w:r>
      <w:r w:rsidR="00B53593" w:rsidRPr="00B33487">
        <w:rPr>
          <w:rFonts w:ascii="Arial" w:hAnsi="Arial" w:cs="Arial"/>
          <w:sz w:val="24"/>
          <w:szCs w:val="24"/>
          <w:lang w:val="mn-MN"/>
        </w:rPr>
        <w:t>-ээ</w:t>
      </w:r>
      <w:r w:rsidR="00D476B6" w:rsidRPr="00B33487">
        <w:rPr>
          <w:rFonts w:ascii="Arial" w:hAnsi="Arial" w:cs="Arial"/>
          <w:sz w:val="24"/>
          <w:szCs w:val="24"/>
          <w:lang w:val="mn-MN"/>
        </w:rPr>
        <w:t>с санал авах тухай албан бичгийг хуулийн төслийн үзэл баримтлал, танилцуулгын хамтаар хавсарган хүргүүлж, санал авсан.</w:t>
      </w:r>
    </w:p>
    <w:p w14:paraId="72ECF6FA" w14:textId="77777777" w:rsidR="006400EE" w:rsidRPr="00B33487" w:rsidRDefault="00D476B6"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Яамдаас ирүүлсэн саналаас хуулийн төслийн үзэл баримтлалын ойлгомжтой байдал гэсэн шалгах хэрэгслийн хүрээнд өгсөн саналыг нэгтгэн судлаад хуулийн төсөлд холбогдох саналыг тусган оруулсан.</w:t>
      </w:r>
    </w:p>
    <w:p w14:paraId="07CBBA34" w14:textId="702E6153" w:rsidR="00EF2989" w:rsidRPr="00B33487" w:rsidRDefault="005D58F2"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 xml:space="preserve">Үнэт цаасны зах зээлийн тухай хуульд нэмэлт өөрчлөлт оруулах тухай </w:t>
      </w:r>
      <w:r w:rsidR="009155AA" w:rsidRPr="00B33487">
        <w:rPr>
          <w:rFonts w:ascii="Arial" w:hAnsi="Arial" w:cs="Arial"/>
          <w:sz w:val="24"/>
          <w:szCs w:val="24"/>
          <w:lang w:val="mn-MN"/>
        </w:rPr>
        <w:t xml:space="preserve">хуулийн төсөл нь </w:t>
      </w:r>
      <w:r w:rsidRPr="00B33487">
        <w:rPr>
          <w:rFonts w:ascii="Arial" w:eastAsia="Times New Roman" w:hAnsi="Arial" w:cs="Arial"/>
          <w:sz w:val="24"/>
          <w:szCs w:val="24"/>
          <w:lang w:val="mn-MN"/>
        </w:rPr>
        <w:t xml:space="preserve">хөрөнгийн зах зээлд шинээр бүтээгдэхүүн үйлчилгээг нэмэгдүүлэх, биржийн болон биржийн бус зах зээлийн харилцааг ялгаатайгаар тогтоох, үнэт цаасны арилжааны төлбөр тооцооны системд олон улсын төлбөрийн эсрэг нийлүүлэлтийн зарчмыг нэвтрүүлэхтэй холбогдсон эрх зүйн үндсийг тогтоож, зохицуулагч байгууллага, дэд бүтцийн байгууллага, мэргэжлийн байгууллага, өөрийгөө зохицуулах байгууллага, үнэт цаас гаргагчдын эрх үүрэг, хариуцлагыг сайжруулан, тэдгээрийн  хооронд үүсэх харилцааг зохицуулах </w:t>
      </w:r>
      <w:r w:rsidR="009155AA" w:rsidRPr="00B33487">
        <w:rPr>
          <w:rFonts w:ascii="Arial" w:hAnsi="Arial" w:cs="Arial"/>
          <w:sz w:val="24"/>
          <w:szCs w:val="24"/>
          <w:lang w:val="mn-MN"/>
        </w:rPr>
        <w:t xml:space="preserve">эрх зүйн </w:t>
      </w:r>
      <w:r w:rsidR="00EF2989" w:rsidRPr="00B33487">
        <w:rPr>
          <w:rFonts w:ascii="Arial" w:hAnsi="Arial" w:cs="Arial"/>
          <w:sz w:val="24"/>
          <w:szCs w:val="24"/>
          <w:lang w:val="mn-MN"/>
        </w:rPr>
        <w:t xml:space="preserve">суурь </w:t>
      </w:r>
      <w:r w:rsidR="00D7627A" w:rsidRPr="00B33487">
        <w:rPr>
          <w:rFonts w:ascii="Arial" w:hAnsi="Arial" w:cs="Arial"/>
          <w:sz w:val="24"/>
          <w:szCs w:val="24"/>
          <w:lang w:val="mn-MN"/>
        </w:rPr>
        <w:t>зохицуулалт</w:t>
      </w:r>
      <w:r w:rsidR="001A2122" w:rsidRPr="00B33487">
        <w:rPr>
          <w:rFonts w:ascii="Arial" w:hAnsi="Arial" w:cs="Arial"/>
          <w:sz w:val="24"/>
          <w:szCs w:val="24"/>
          <w:lang w:val="mn-MN"/>
        </w:rPr>
        <w:t>ыг</w:t>
      </w:r>
      <w:r w:rsidR="00D7627A" w:rsidRPr="00B33487">
        <w:rPr>
          <w:rFonts w:ascii="Arial" w:hAnsi="Arial" w:cs="Arial"/>
          <w:sz w:val="24"/>
          <w:szCs w:val="24"/>
          <w:lang w:val="mn-MN"/>
        </w:rPr>
        <w:t xml:space="preserve"> агуулсан.</w:t>
      </w:r>
      <w:r w:rsidR="009155AA" w:rsidRPr="00B33487">
        <w:rPr>
          <w:rFonts w:ascii="Arial" w:hAnsi="Arial" w:cs="Arial"/>
          <w:sz w:val="24"/>
          <w:szCs w:val="24"/>
          <w:lang w:val="mn-MN"/>
        </w:rPr>
        <w:t xml:space="preserve"> </w:t>
      </w:r>
    </w:p>
    <w:p w14:paraId="2DB3073A" w14:textId="40A39306" w:rsidR="009155AA" w:rsidRPr="00B33487" w:rsidRDefault="009155AA"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 xml:space="preserve">Хууль тогтоомжийн тухай хуулийн </w:t>
      </w:r>
      <w:r w:rsidR="00CA385E" w:rsidRPr="00B33487">
        <w:rPr>
          <w:rFonts w:ascii="Arial" w:hAnsi="Arial" w:cs="Arial"/>
          <w:sz w:val="24"/>
          <w:szCs w:val="24"/>
          <w:lang w:val="mn-MN"/>
        </w:rPr>
        <w:t>2</w:t>
      </w:r>
      <w:r w:rsidR="005D58F2" w:rsidRPr="00B33487">
        <w:rPr>
          <w:rFonts w:ascii="Arial" w:hAnsi="Arial" w:cs="Arial"/>
          <w:sz w:val="24"/>
          <w:szCs w:val="24"/>
          <w:lang w:val="mn-MN"/>
        </w:rPr>
        <w:t>4</w:t>
      </w:r>
      <w:r w:rsidRPr="00B33487">
        <w:rPr>
          <w:rFonts w:ascii="Arial" w:hAnsi="Arial" w:cs="Arial"/>
          <w:sz w:val="24"/>
          <w:szCs w:val="24"/>
          <w:lang w:val="mn-MN"/>
        </w:rPr>
        <w:t xml:space="preserve"> дугаар зүйлд зааснаар</w:t>
      </w:r>
      <w:r w:rsidR="00CA385E" w:rsidRPr="00B33487">
        <w:rPr>
          <w:rFonts w:ascii="Arial" w:hAnsi="Arial" w:cs="Arial"/>
          <w:sz w:val="24"/>
          <w:szCs w:val="24"/>
          <w:lang w:val="mn-MN"/>
        </w:rPr>
        <w:t xml:space="preserve"> </w:t>
      </w:r>
      <w:r w:rsidRPr="00B33487">
        <w:rPr>
          <w:rFonts w:ascii="Arial" w:hAnsi="Arial" w:cs="Arial"/>
          <w:sz w:val="24"/>
          <w:szCs w:val="24"/>
          <w:lang w:val="mn-MN"/>
        </w:rPr>
        <w:t>хуул</w:t>
      </w:r>
      <w:r w:rsidR="005D58F2" w:rsidRPr="00B33487">
        <w:rPr>
          <w:rFonts w:ascii="Arial" w:hAnsi="Arial" w:cs="Arial"/>
          <w:sz w:val="24"/>
          <w:szCs w:val="24"/>
          <w:lang w:val="mn-MN"/>
        </w:rPr>
        <w:t xml:space="preserve">ьд нэмэлт, өөрчлөлт оруулах тухай хуулийн </w:t>
      </w:r>
      <w:r w:rsidRPr="00B33487">
        <w:rPr>
          <w:rFonts w:ascii="Arial" w:hAnsi="Arial" w:cs="Arial"/>
          <w:sz w:val="24"/>
          <w:szCs w:val="24"/>
          <w:lang w:val="mn-MN"/>
        </w:rPr>
        <w:t xml:space="preserve">төслийн хэлбэрээр бичигдсэн </w:t>
      </w:r>
      <w:r w:rsidR="005D58F2" w:rsidRPr="00B33487">
        <w:rPr>
          <w:rFonts w:ascii="Arial" w:hAnsi="Arial" w:cs="Arial"/>
          <w:sz w:val="24"/>
          <w:szCs w:val="24"/>
          <w:lang w:val="mn-MN"/>
        </w:rPr>
        <w:t>5</w:t>
      </w:r>
      <w:r w:rsidRPr="00B33487">
        <w:rPr>
          <w:rFonts w:ascii="Arial" w:hAnsi="Arial" w:cs="Arial"/>
          <w:sz w:val="24"/>
          <w:szCs w:val="24"/>
          <w:lang w:val="mn-MN"/>
        </w:rPr>
        <w:t xml:space="preserve"> зүйлтэй хуулийн төслийн бүтцийн дугаарлалт хуульд заасан шаардлагыг хангасан байна. </w:t>
      </w:r>
    </w:p>
    <w:p w14:paraId="48290799" w14:textId="77777777" w:rsidR="009155AA" w:rsidRPr="00B33487" w:rsidRDefault="009155AA"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Хуулийн төсөл нь Хуу</w:t>
      </w:r>
      <w:r w:rsidR="00E16D60" w:rsidRPr="00B33487">
        <w:rPr>
          <w:rFonts w:ascii="Arial" w:hAnsi="Arial" w:cs="Arial"/>
          <w:sz w:val="24"/>
          <w:szCs w:val="24"/>
          <w:lang w:val="mn-MN"/>
        </w:rPr>
        <w:t>ль тогтоо</w:t>
      </w:r>
      <w:r w:rsidRPr="00B33487">
        <w:rPr>
          <w:rFonts w:ascii="Arial" w:hAnsi="Arial" w:cs="Arial"/>
          <w:sz w:val="24"/>
          <w:szCs w:val="24"/>
          <w:lang w:val="mn-MN"/>
        </w:rPr>
        <w:t>м</w:t>
      </w:r>
      <w:r w:rsidR="00E16D60" w:rsidRPr="00B33487">
        <w:rPr>
          <w:rFonts w:ascii="Arial" w:hAnsi="Arial" w:cs="Arial"/>
          <w:sz w:val="24"/>
          <w:szCs w:val="24"/>
          <w:lang w:val="mn-MN"/>
        </w:rPr>
        <w:t>ж</w:t>
      </w:r>
      <w:r w:rsidRPr="00B33487">
        <w:rPr>
          <w:rFonts w:ascii="Arial" w:hAnsi="Arial" w:cs="Arial"/>
          <w:sz w:val="24"/>
          <w:szCs w:val="24"/>
          <w:lang w:val="mn-MN"/>
        </w:rPr>
        <w:t xml:space="preserve">ийн тухай хуулийн 28 дугаар зүйлд заасан хуулийн бүтэц, хэлбэрт нийцсэн байна. </w:t>
      </w:r>
    </w:p>
    <w:p w14:paraId="5D33DA6C" w14:textId="6CAE0C2A" w:rsidR="009155AA" w:rsidRPr="00B33487" w:rsidRDefault="009155AA" w:rsidP="00F92A9E">
      <w:pPr>
        <w:spacing w:after="120" w:line="240" w:lineRule="auto"/>
        <w:ind w:firstLine="720"/>
        <w:jc w:val="both"/>
        <w:rPr>
          <w:rFonts w:ascii="Arial" w:eastAsia="Calibri" w:hAnsi="Arial" w:cs="Arial"/>
          <w:sz w:val="24"/>
          <w:szCs w:val="24"/>
          <w:lang w:val="mn-MN"/>
        </w:rPr>
      </w:pPr>
      <w:r w:rsidRPr="00B33487">
        <w:rPr>
          <w:rFonts w:ascii="Arial" w:eastAsia="Calibri" w:hAnsi="Arial" w:cs="Arial"/>
          <w:sz w:val="24"/>
          <w:szCs w:val="24"/>
          <w:lang w:val="mn-MN"/>
        </w:rPr>
        <w:t xml:space="preserve">Хуулийн төсөлд холбогдох мэргэжлийн холбоо, </w:t>
      </w:r>
      <w:r w:rsidR="005D58F2" w:rsidRPr="00B33487">
        <w:rPr>
          <w:rFonts w:ascii="Arial" w:eastAsia="Calibri" w:hAnsi="Arial" w:cs="Arial"/>
          <w:sz w:val="24"/>
          <w:szCs w:val="24"/>
          <w:lang w:val="mn-MN"/>
        </w:rPr>
        <w:t>дэд бүтцийн</w:t>
      </w:r>
      <w:r w:rsidRPr="00B33487">
        <w:rPr>
          <w:rFonts w:ascii="Arial" w:eastAsia="Calibri" w:hAnsi="Arial" w:cs="Arial"/>
          <w:sz w:val="24"/>
          <w:szCs w:val="24"/>
          <w:lang w:val="mn-MN"/>
        </w:rPr>
        <w:t xml:space="preserve"> байгууллага, </w:t>
      </w:r>
      <w:r w:rsidR="005D58F2" w:rsidRPr="00B33487">
        <w:rPr>
          <w:rFonts w:ascii="Arial" w:eastAsia="Calibri" w:hAnsi="Arial" w:cs="Arial"/>
          <w:sz w:val="24"/>
          <w:szCs w:val="24"/>
          <w:lang w:val="mn-MN"/>
        </w:rPr>
        <w:t>үнэт цаасны компаниудаас</w:t>
      </w:r>
      <w:r w:rsidRPr="00B33487">
        <w:rPr>
          <w:rFonts w:ascii="Arial" w:eastAsia="Calibri" w:hAnsi="Arial" w:cs="Arial"/>
          <w:sz w:val="24"/>
          <w:szCs w:val="24"/>
          <w:lang w:val="mn-MN"/>
        </w:rPr>
        <w:t xml:space="preserve"> ирүүлсэн саналд шүүлт хийж үзвэл төслийн бичвэрийн </w:t>
      </w:r>
      <w:r w:rsidRPr="00B33487">
        <w:rPr>
          <w:rFonts w:ascii="Arial" w:eastAsia="Calibri" w:hAnsi="Arial" w:cs="Arial"/>
          <w:sz w:val="24"/>
          <w:szCs w:val="24"/>
          <w:lang w:val="mn-MN"/>
        </w:rPr>
        <w:lastRenderedPageBreak/>
        <w:t>том</w:t>
      </w:r>
      <w:r w:rsidR="00194683" w:rsidRPr="00B33487">
        <w:rPr>
          <w:rFonts w:ascii="Arial" w:eastAsia="Calibri" w:hAnsi="Arial" w:cs="Arial"/>
          <w:sz w:val="24"/>
          <w:szCs w:val="24"/>
          <w:lang w:val="mn-MN"/>
        </w:rPr>
        <w:t>ь</w:t>
      </w:r>
      <w:r w:rsidRPr="00B33487">
        <w:rPr>
          <w:rFonts w:ascii="Arial" w:eastAsia="Calibri" w:hAnsi="Arial" w:cs="Arial"/>
          <w:sz w:val="24"/>
          <w:szCs w:val="24"/>
          <w:lang w:val="mn-MN"/>
        </w:rPr>
        <w:t>ёоллын ойлг</w:t>
      </w:r>
      <w:r w:rsidR="000D1508" w:rsidRPr="00B33487">
        <w:rPr>
          <w:rFonts w:ascii="Arial" w:eastAsia="Calibri" w:hAnsi="Arial" w:cs="Arial"/>
          <w:sz w:val="24"/>
          <w:szCs w:val="24"/>
          <w:lang w:val="mn-MN"/>
        </w:rPr>
        <w:t>омжтой байдал, логик уялдааг</w:t>
      </w:r>
      <w:r w:rsidR="00D15DED" w:rsidRPr="00B33487">
        <w:rPr>
          <w:rFonts w:ascii="Arial" w:eastAsia="Calibri" w:hAnsi="Arial" w:cs="Arial"/>
          <w:sz w:val="24"/>
          <w:szCs w:val="24"/>
          <w:lang w:val="mn-MN"/>
        </w:rPr>
        <w:t xml:space="preserve"> сайжруулах тал дээр ирүүлсэн</w:t>
      </w:r>
      <w:r w:rsidR="00631E4E" w:rsidRPr="00B33487">
        <w:rPr>
          <w:rFonts w:ascii="Arial" w:eastAsia="Calibri" w:hAnsi="Arial" w:cs="Arial"/>
          <w:sz w:val="24"/>
          <w:szCs w:val="24"/>
          <w:lang w:val="mn-MN"/>
        </w:rPr>
        <w:t xml:space="preserve"> саналыг харгалзан үзэх нь зүйтэй гэж үзэж байна.</w:t>
      </w:r>
    </w:p>
    <w:p w14:paraId="294F4185" w14:textId="23B356C2" w:rsidR="00112B01" w:rsidRPr="00B33487" w:rsidRDefault="007E3318" w:rsidP="00F92A9E">
      <w:pPr>
        <w:spacing w:after="120" w:line="240" w:lineRule="auto"/>
        <w:ind w:firstLine="720"/>
        <w:jc w:val="both"/>
        <w:rPr>
          <w:rFonts w:ascii="Arial" w:eastAsia="Times New Roman" w:hAnsi="Arial" w:cs="Arial"/>
          <w:b/>
          <w:sz w:val="24"/>
          <w:szCs w:val="24"/>
          <w:lang w:val="mn-MN"/>
        </w:rPr>
      </w:pPr>
      <w:r w:rsidRPr="00B33487">
        <w:rPr>
          <w:rFonts w:ascii="Arial" w:eastAsia="Times New Roman" w:hAnsi="Arial" w:cs="Arial"/>
          <w:b/>
          <w:sz w:val="24"/>
          <w:szCs w:val="24"/>
          <w:lang w:val="mn-MN"/>
        </w:rPr>
        <w:t>4.</w:t>
      </w:r>
      <w:r w:rsidR="00C0403D" w:rsidRPr="00B33487">
        <w:rPr>
          <w:rFonts w:ascii="Arial" w:eastAsia="Times New Roman" w:hAnsi="Arial" w:cs="Arial"/>
          <w:b/>
          <w:sz w:val="24"/>
          <w:szCs w:val="24"/>
          <w:lang w:val="mn-MN"/>
        </w:rPr>
        <w:t xml:space="preserve"> </w:t>
      </w:r>
      <w:r w:rsidR="00112B01" w:rsidRPr="00B33487">
        <w:rPr>
          <w:rFonts w:ascii="Arial" w:eastAsia="Times New Roman" w:hAnsi="Arial" w:cs="Arial"/>
          <w:b/>
          <w:sz w:val="24"/>
          <w:szCs w:val="24"/>
          <w:lang w:val="mn-MN"/>
        </w:rPr>
        <w:t>Хүлээн зөвшөөрөгдөх байдал</w:t>
      </w:r>
      <w:r w:rsidR="00DB69CD" w:rsidRPr="00B33487">
        <w:rPr>
          <w:rFonts w:ascii="Arial" w:eastAsia="Times New Roman" w:hAnsi="Arial" w:cs="Arial"/>
          <w:b/>
          <w:sz w:val="24"/>
          <w:szCs w:val="24"/>
          <w:lang w:val="mn-MN"/>
        </w:rPr>
        <w:t xml:space="preserve"> шалгуур үзүүлэлтийн хүрээнд </w:t>
      </w:r>
      <w:r w:rsidR="000A6EB9" w:rsidRPr="00B33487">
        <w:rPr>
          <w:rFonts w:ascii="Arial" w:eastAsia="Times New Roman" w:hAnsi="Arial" w:cs="Arial"/>
          <w:b/>
          <w:sz w:val="24"/>
          <w:szCs w:val="24"/>
          <w:lang w:val="mn-MN"/>
        </w:rPr>
        <w:t xml:space="preserve">хуулийн төслөөс үр нөлөөг тооцох хэсгээ тогтоосон байдал </w:t>
      </w:r>
    </w:p>
    <w:p w14:paraId="60914E73" w14:textId="7098126F" w:rsidR="00BE538D" w:rsidRPr="00B33487" w:rsidRDefault="004336CF" w:rsidP="00F92A9E">
      <w:pPr>
        <w:spacing w:after="120" w:line="240" w:lineRule="auto"/>
        <w:ind w:firstLine="720"/>
        <w:jc w:val="both"/>
        <w:rPr>
          <w:rFonts w:ascii="Arial" w:eastAsia="Times New Roman" w:hAnsi="Arial" w:cs="Arial"/>
          <w:sz w:val="24"/>
          <w:szCs w:val="24"/>
          <w:lang w:val="mn-MN"/>
        </w:rPr>
      </w:pPr>
      <w:r w:rsidRPr="00B33487">
        <w:rPr>
          <w:rFonts w:ascii="Arial" w:eastAsia="Times New Roman" w:hAnsi="Arial" w:cs="Arial"/>
          <w:sz w:val="24"/>
          <w:szCs w:val="24"/>
          <w:lang w:val="mn-MN"/>
        </w:rPr>
        <w:t>Т</w:t>
      </w:r>
      <w:r w:rsidR="004B350E" w:rsidRPr="00B33487">
        <w:rPr>
          <w:rFonts w:ascii="Arial" w:eastAsia="Times New Roman" w:hAnsi="Arial" w:cs="Arial"/>
          <w:sz w:val="24"/>
          <w:szCs w:val="24"/>
          <w:lang w:val="mn-MN"/>
        </w:rPr>
        <w:t xml:space="preserve">ус шалгуурын хүрээнд </w:t>
      </w:r>
      <w:r w:rsidR="00387170" w:rsidRPr="00B33487">
        <w:rPr>
          <w:rFonts w:ascii="Arial" w:eastAsia="Times New Roman" w:hAnsi="Arial" w:cs="Arial"/>
          <w:sz w:val="24"/>
          <w:szCs w:val="24"/>
          <w:lang w:val="mn-MN"/>
        </w:rPr>
        <w:t xml:space="preserve">хөрөнгийн зах зээлийн дэд бүтцийн системд олон улсын төлбөр тооцооны төлбөрийн эсрэг нийлүүлэлтийн зарчим нэвтрүүлэх, түүний </w:t>
      </w:r>
      <w:r w:rsidR="00807E3E" w:rsidRPr="00B33487">
        <w:rPr>
          <w:rFonts w:ascii="Arial" w:eastAsia="Times New Roman" w:hAnsi="Arial" w:cs="Arial"/>
          <w:sz w:val="24"/>
          <w:szCs w:val="24"/>
          <w:lang w:val="mn-MN"/>
        </w:rPr>
        <w:t xml:space="preserve"> зохицуулалтыг </w:t>
      </w:r>
      <w:r w:rsidR="00492366" w:rsidRPr="00B33487">
        <w:rPr>
          <w:rFonts w:ascii="Arial" w:eastAsia="Times New Roman" w:hAnsi="Arial" w:cs="Arial"/>
          <w:sz w:val="24"/>
          <w:szCs w:val="24"/>
          <w:lang w:val="mn-MN"/>
        </w:rPr>
        <w:t xml:space="preserve">сонгож авсан. </w:t>
      </w:r>
    </w:p>
    <w:p w14:paraId="71B0746C" w14:textId="667DC34C" w:rsidR="00B22D9B" w:rsidRPr="00B33487" w:rsidRDefault="006157EB" w:rsidP="00F92A9E">
      <w:pPr>
        <w:pStyle w:val="NormalWeb"/>
        <w:shd w:val="clear" w:color="auto" w:fill="FFFFFF"/>
        <w:spacing w:before="0" w:beforeAutospacing="0" w:after="120" w:afterAutospacing="0"/>
        <w:ind w:firstLine="720"/>
        <w:jc w:val="both"/>
        <w:textAlignment w:val="top"/>
        <w:rPr>
          <w:rFonts w:ascii="Arial" w:hAnsi="Arial" w:cs="Arial"/>
          <w:lang w:val="mn-MN"/>
        </w:rPr>
      </w:pPr>
      <w:r w:rsidRPr="00B33487">
        <w:rPr>
          <w:rFonts w:ascii="Arial" w:hAnsi="Arial" w:cs="Arial"/>
          <w:lang w:val="mn-MN"/>
        </w:rPr>
        <w:t xml:space="preserve">Монгол Улсын Засгийн газрын </w:t>
      </w:r>
      <w:r w:rsidR="00387170" w:rsidRPr="00B33487">
        <w:rPr>
          <w:rFonts w:ascii="Arial" w:hAnsi="Arial" w:cs="Arial"/>
          <w:lang w:val="mn-MN"/>
        </w:rPr>
        <w:t>“Үндэсний хөтөлбөр батлах тухай” 2017 оны 299 дүгээр тогтоол</w:t>
      </w:r>
      <w:r w:rsidR="007F1EA5" w:rsidRPr="00B33487">
        <w:rPr>
          <w:rFonts w:ascii="Arial" w:hAnsi="Arial" w:cs="Arial"/>
          <w:lang w:val="mn-MN"/>
        </w:rPr>
        <w:t xml:space="preserve">оор батлагдсан “Санхүүгийн </w:t>
      </w:r>
      <w:r w:rsidR="006221FF" w:rsidRPr="00B33487">
        <w:rPr>
          <w:rFonts w:ascii="Arial" w:hAnsi="Arial" w:cs="Arial"/>
          <w:lang w:val="mn-MN"/>
        </w:rPr>
        <w:t>зах зээлий</w:t>
      </w:r>
      <w:r w:rsidR="007F1EA5" w:rsidRPr="00B33487">
        <w:rPr>
          <w:rFonts w:ascii="Arial" w:hAnsi="Arial" w:cs="Arial"/>
          <w:lang w:val="mn-MN"/>
        </w:rPr>
        <w:t xml:space="preserve">г 2025 он </w:t>
      </w:r>
      <w:r w:rsidR="00AF44FA" w:rsidRPr="00B33487">
        <w:rPr>
          <w:rFonts w:ascii="Arial" w:hAnsi="Arial" w:cs="Arial"/>
          <w:lang w:val="mn-MN"/>
        </w:rPr>
        <w:t>хүртэл хөгжүүлэх хөтөлбөр</w:t>
      </w:r>
      <w:r w:rsidR="007F1EA5" w:rsidRPr="00B33487">
        <w:rPr>
          <w:rFonts w:ascii="Arial" w:hAnsi="Arial" w:cs="Arial"/>
          <w:lang w:val="mn-MN"/>
        </w:rPr>
        <w:t>”</w:t>
      </w:r>
      <w:r w:rsidR="00142469" w:rsidRPr="00B33487">
        <w:rPr>
          <w:rFonts w:ascii="Arial" w:hAnsi="Arial" w:cs="Arial"/>
          <w:lang w:val="mn-MN"/>
        </w:rPr>
        <w:t>-</w:t>
      </w:r>
      <w:r w:rsidR="006221FF" w:rsidRPr="00B33487">
        <w:rPr>
          <w:rFonts w:ascii="Arial" w:hAnsi="Arial" w:cs="Arial"/>
          <w:lang w:val="mn-MN"/>
        </w:rPr>
        <w:t xml:space="preserve">ын </w:t>
      </w:r>
      <w:r w:rsidR="00142469" w:rsidRPr="00B33487">
        <w:rPr>
          <w:rFonts w:ascii="Arial" w:hAnsi="Arial" w:cs="Arial"/>
          <w:lang w:val="mn-MN"/>
        </w:rPr>
        <w:t xml:space="preserve"> </w:t>
      </w:r>
      <w:r w:rsidR="00B22D9B" w:rsidRPr="00B33487">
        <w:rPr>
          <w:rFonts w:ascii="Arial" w:hAnsi="Arial" w:cs="Arial"/>
          <w:lang w:val="mn-MN"/>
        </w:rPr>
        <w:t xml:space="preserve"> </w:t>
      </w:r>
      <w:r w:rsidR="006221FF" w:rsidRPr="00B33487">
        <w:rPr>
          <w:rFonts w:ascii="Arial" w:hAnsi="Arial" w:cs="Arial"/>
          <w:lang w:val="mn-MN"/>
        </w:rPr>
        <w:t xml:space="preserve">хүрээнд авч хэрэгжүүлэх бодлогын зорилт, арга хэмжээний 2.2.4-т “Арилжааны төлбөр тооцооны системийн олон улсын стандартад нийцсэн хөрөнгийн зах зээлийн дэд бүтцийг хөгжүүлж, өргөжүүлэх цогц бодлогыг хэрэгжүүлнэ” гэж тусгасан. </w:t>
      </w:r>
      <w:r w:rsidR="00AF44FA" w:rsidRPr="00B33487">
        <w:rPr>
          <w:rFonts w:ascii="Arial" w:hAnsi="Arial" w:cs="Arial"/>
          <w:lang w:val="mn-MN"/>
        </w:rPr>
        <w:t xml:space="preserve"> </w:t>
      </w:r>
      <w:r w:rsidR="004D0D7E" w:rsidRPr="00B33487">
        <w:rPr>
          <w:rFonts w:ascii="Arial" w:hAnsi="Arial" w:cs="Arial"/>
          <w:lang w:val="mn-MN"/>
        </w:rPr>
        <w:t>Мөн Сангийн яам 2017 онд нь Европын Сэргээн Босголт Хөгжлийн Банк (цаашид ЕСБХБ гэх )-тай хамтран “Хөрөнгийн болон мөнгөний зах зээлийн үнэлгээ”-ний төслийг хэрэгжүүлсэн. Төслийн үр дүнд Монголын хөрөнгийн зах зээлийг хөгжүүлэхэд богино хугацаанд нэн тэргүүнд яаралтай авч хэрэгжүүлэх шаардлагатай 2 арга хэмжээний зөвлөмжийг өгсөн. Энэ нь нэгдүгээрт, “Хөрөнгийн зах зээлийн хууль, эрх зүйн орчныг сайжруулах”, хоёрдугаарт, “Хөрөнгийн зах зээлийн дэд бүтцийн системд Олон улсын төлбөр тооцооны суурь зарчим болох DvP/T+2 буюу Төлбөрийн эсрэг нийлүүлэлт/ Төлбөр тооцоог арилжаа явагдсанаас хойш 2 дахь өдөрт гүйцэтгэх” зарчмыг нэвтрүүлэх зөвлөмж юм.</w:t>
      </w:r>
      <w:r w:rsidR="00AF44FA" w:rsidRPr="00B33487">
        <w:rPr>
          <w:rFonts w:ascii="Arial" w:hAnsi="Arial" w:cs="Arial"/>
          <w:lang w:val="mn-MN"/>
        </w:rPr>
        <w:t xml:space="preserve"> </w:t>
      </w:r>
    </w:p>
    <w:p w14:paraId="3B2C2C69" w14:textId="3358211C" w:rsidR="00146B48" w:rsidRPr="00B33487" w:rsidRDefault="009369BF" w:rsidP="00F92A9E">
      <w:pPr>
        <w:pStyle w:val="NormalWeb"/>
        <w:shd w:val="clear" w:color="auto" w:fill="FFFFFF"/>
        <w:spacing w:before="0" w:beforeAutospacing="0" w:after="120" w:afterAutospacing="0"/>
        <w:ind w:firstLine="720"/>
        <w:jc w:val="both"/>
        <w:textAlignment w:val="top"/>
        <w:rPr>
          <w:rFonts w:ascii="Arial" w:hAnsi="Arial" w:cs="Arial"/>
          <w:lang w:val="mn-MN"/>
        </w:rPr>
      </w:pPr>
      <w:r w:rsidRPr="00B33487">
        <w:rPr>
          <w:rFonts w:ascii="Arial" w:hAnsi="Arial" w:cs="Arial"/>
          <w:lang w:val="mn-MN"/>
        </w:rPr>
        <w:t xml:space="preserve">Үүнтэй холбогдуулан энэ хуульд хамрагдах ашиг сонирхол нь </w:t>
      </w:r>
      <w:r w:rsidR="00F77D36" w:rsidRPr="00B33487">
        <w:rPr>
          <w:rFonts w:ascii="Arial" w:hAnsi="Arial" w:cs="Arial"/>
          <w:lang w:val="mn-MN"/>
        </w:rPr>
        <w:t>хөндөгдөж болохуйц заалтыг доорх хүснэгтээр авч үзье.</w:t>
      </w:r>
    </w:p>
    <w:tbl>
      <w:tblPr>
        <w:tblStyle w:val="TableGrid"/>
        <w:tblW w:w="9629" w:type="dxa"/>
        <w:tblLook w:val="04A0" w:firstRow="1" w:lastRow="0" w:firstColumn="1" w:lastColumn="0" w:noHBand="0" w:noVBand="1"/>
      </w:tblPr>
      <w:tblGrid>
        <w:gridCol w:w="567"/>
        <w:gridCol w:w="3937"/>
        <w:gridCol w:w="5125"/>
      </w:tblGrid>
      <w:tr w:rsidR="00CE5A9D" w:rsidRPr="00B33487" w14:paraId="5082F41C" w14:textId="77777777" w:rsidTr="00CE5A9D">
        <w:tc>
          <w:tcPr>
            <w:tcW w:w="567" w:type="dxa"/>
            <w:shd w:val="clear" w:color="auto" w:fill="BFBFBF" w:themeFill="background1" w:themeFillShade="BF"/>
          </w:tcPr>
          <w:p w14:paraId="785900F7" w14:textId="77777777" w:rsidR="00CE5A9D" w:rsidRPr="00B33487" w:rsidRDefault="00CE5A9D" w:rsidP="00AD6CA7">
            <w:pPr>
              <w:jc w:val="both"/>
              <w:rPr>
                <w:rFonts w:ascii="Arial" w:eastAsia="Times New Roman" w:hAnsi="Arial" w:cs="Arial"/>
                <w:b/>
                <w:color w:val="000000" w:themeColor="text1"/>
                <w:sz w:val="24"/>
                <w:szCs w:val="24"/>
                <w:lang w:val="mn-MN"/>
              </w:rPr>
            </w:pPr>
          </w:p>
        </w:tc>
        <w:tc>
          <w:tcPr>
            <w:tcW w:w="3937" w:type="dxa"/>
            <w:shd w:val="clear" w:color="auto" w:fill="BFBFBF" w:themeFill="background1" w:themeFillShade="BF"/>
          </w:tcPr>
          <w:p w14:paraId="0986F7CC" w14:textId="77777777" w:rsidR="00CE5A9D" w:rsidRPr="00B33487" w:rsidRDefault="00CE5A9D" w:rsidP="00AD6CA7">
            <w:pPr>
              <w:jc w:val="both"/>
              <w:rPr>
                <w:rFonts w:ascii="Arial" w:eastAsia="Times New Roman" w:hAnsi="Arial" w:cs="Arial"/>
                <w:b/>
                <w:color w:val="000000" w:themeColor="text1"/>
                <w:sz w:val="24"/>
                <w:szCs w:val="24"/>
                <w:lang w:val="mn-MN"/>
              </w:rPr>
            </w:pPr>
            <w:r w:rsidRPr="00B33487">
              <w:rPr>
                <w:rFonts w:ascii="Arial" w:eastAsia="Times New Roman" w:hAnsi="Arial" w:cs="Arial"/>
                <w:b/>
                <w:color w:val="000000" w:themeColor="text1"/>
                <w:sz w:val="24"/>
                <w:szCs w:val="24"/>
                <w:lang w:val="mn-MN"/>
              </w:rPr>
              <w:t>Эрх ашиг нь хөндөгдөх бүлэг</w:t>
            </w:r>
          </w:p>
        </w:tc>
        <w:tc>
          <w:tcPr>
            <w:tcW w:w="5125" w:type="dxa"/>
            <w:shd w:val="clear" w:color="auto" w:fill="BFBFBF" w:themeFill="background1" w:themeFillShade="BF"/>
          </w:tcPr>
          <w:p w14:paraId="19DD0E86" w14:textId="77777777" w:rsidR="00CE5A9D" w:rsidRPr="00B33487" w:rsidRDefault="00CE5A9D" w:rsidP="00AD6CA7">
            <w:pPr>
              <w:jc w:val="both"/>
              <w:rPr>
                <w:rFonts w:ascii="Arial" w:eastAsia="Times New Roman" w:hAnsi="Arial" w:cs="Arial"/>
                <w:b/>
                <w:color w:val="000000" w:themeColor="text1"/>
                <w:sz w:val="24"/>
                <w:szCs w:val="24"/>
                <w:lang w:val="mn-MN"/>
              </w:rPr>
            </w:pPr>
            <w:r w:rsidRPr="00B33487">
              <w:rPr>
                <w:rFonts w:ascii="Arial" w:eastAsia="Times New Roman" w:hAnsi="Arial" w:cs="Arial"/>
                <w:b/>
                <w:color w:val="000000" w:themeColor="text1"/>
                <w:sz w:val="24"/>
                <w:szCs w:val="24"/>
                <w:lang w:val="mn-MN"/>
              </w:rPr>
              <w:t>Нөлөөлж буй хэлбэр</w:t>
            </w:r>
          </w:p>
        </w:tc>
      </w:tr>
      <w:tr w:rsidR="00CE5A9D" w:rsidRPr="00B33487" w14:paraId="72053E57" w14:textId="77777777" w:rsidTr="00CE5A9D">
        <w:tc>
          <w:tcPr>
            <w:tcW w:w="567" w:type="dxa"/>
          </w:tcPr>
          <w:p w14:paraId="4ADBB04F"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1</w:t>
            </w:r>
          </w:p>
        </w:tc>
        <w:tc>
          <w:tcPr>
            <w:tcW w:w="3937" w:type="dxa"/>
          </w:tcPr>
          <w:p w14:paraId="6907B43E"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Хөрөнгө оруулагчид </w:t>
            </w:r>
          </w:p>
          <w:p w14:paraId="679A9DCA"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w:t>
            </w:r>
            <w:r w:rsidRPr="00B33487">
              <w:rPr>
                <w:rFonts w:ascii="Arial" w:hAnsi="Arial" w:cs="Arial"/>
                <w:color w:val="000000" w:themeColor="text1"/>
                <w:sz w:val="24"/>
                <w:szCs w:val="24"/>
                <w:lang w:val="mn-MN"/>
              </w:rPr>
              <w:t>гадаадын болон дотоодын иргэн, хуулийн этгээд</w:t>
            </w:r>
            <w:r w:rsidRPr="00B33487">
              <w:rPr>
                <w:rFonts w:ascii="Arial" w:eastAsia="Times New Roman" w:hAnsi="Arial" w:cs="Arial"/>
                <w:color w:val="000000" w:themeColor="text1"/>
                <w:sz w:val="24"/>
                <w:szCs w:val="24"/>
                <w:lang w:val="mn-MN"/>
              </w:rPr>
              <w:t>)</w:t>
            </w:r>
          </w:p>
        </w:tc>
        <w:tc>
          <w:tcPr>
            <w:tcW w:w="5125" w:type="dxa"/>
          </w:tcPr>
          <w:p w14:paraId="31A44479"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Хөрөнгө оруулагчдын эрх ашигт эергээр нөлөөлнө.</w:t>
            </w:r>
          </w:p>
          <w:p w14:paraId="05E393A0"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1.  Одоо мөрдөгдөж буй хууль эрх зүйн орчинд үнэт цаас (</w:t>
            </w:r>
            <w:r w:rsidRPr="00B33487">
              <w:rPr>
                <w:rFonts w:ascii="Arial" w:hAnsi="Arial" w:cs="Arial"/>
                <w:color w:val="000000" w:themeColor="text1"/>
                <w:sz w:val="24"/>
                <w:szCs w:val="24"/>
                <w:lang w:val="mn-MN"/>
              </w:rPr>
              <w:t>хувьцаа, бонд</w:t>
            </w:r>
            <w:r w:rsidRPr="00B33487">
              <w:rPr>
                <w:rFonts w:ascii="Arial" w:eastAsia="Times New Roman" w:hAnsi="Arial" w:cs="Arial"/>
                <w:color w:val="000000" w:themeColor="text1"/>
                <w:sz w:val="24"/>
                <w:szCs w:val="24"/>
                <w:lang w:val="mn-MN"/>
              </w:rPr>
              <w:t xml:space="preserve">) өмчлөгчийн эрх ашгийг хамгаалсан зохицуулалт муу байна. Хөрөнгө оруулагчид үнэт цаас гаргагч төлбөрийн чадваргүй болсон тохиолдолд оруулсан хөрөнгө оруулалтаа хэрхэн нэхэмжлэх талаар зохицуулалт тодорхойгүй байгаагаас энэ зах зээлд орох итгэл төрдөггүй байна. </w:t>
            </w:r>
          </w:p>
          <w:p w14:paraId="06A32769"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2. Мэдээллийн ил тод байдлыг сайжруулах зорилгоор хуульд оруулах өөрчлөлт нь хөрөнгө оруулагчид хөрөнгө оруулсан компанийн үйл ажиллагаатай холбоотой мэдээллийг тогтсон стандартын дагуу тогтмол авах давуу тал үүснэ. </w:t>
            </w:r>
          </w:p>
          <w:p w14:paraId="3C2BA928"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3.  Хөрөнгийн зах зээлийн дэд бүтцийн системд “Төлбөрийн эсрэг нийлүүлэлт/Т+2 </w:t>
            </w:r>
            <w:r w:rsidRPr="00B33487">
              <w:rPr>
                <w:rFonts w:ascii="Arial" w:eastAsia="Times New Roman" w:hAnsi="Arial" w:cs="Arial"/>
                <w:color w:val="000000" w:themeColor="text1"/>
                <w:sz w:val="24"/>
                <w:szCs w:val="24"/>
                <w:lang w:val="mn-MN"/>
              </w:rPr>
              <w:lastRenderedPageBreak/>
              <w:t xml:space="preserve">горим” олон улсын зарчим нэвтэрснээр үнэт цаасны арилжаанд оролцохдоо өмнө нь төлбөрөө урьдчилж байршуулдаг байсан бол одоо эрсдэлийн маржингийн тодорхой хувийг урьдчилж үлдсэн төлбөрийг арилжаа явагдсанаас хойш 2 хоногийн дараа байршуулдаг болох юм. Энэ нь хөрөнгө оруулагчид мөнгөн хөрөнгөө олон хоног нэг дансанд үр ашиггүй байршуулж мөнгөний үнэ цэнийг алдагдуулах эрсдэлээс сэргийлж төлбөрөө төлсөн даруйдаа үнэт цаасаа өмчлөх давуу эрхийг олгох юм.  </w:t>
            </w:r>
          </w:p>
        </w:tc>
      </w:tr>
      <w:tr w:rsidR="00CE5A9D" w:rsidRPr="00B33487" w14:paraId="49C9A3AE" w14:textId="77777777" w:rsidTr="00CE5A9D">
        <w:tc>
          <w:tcPr>
            <w:tcW w:w="567" w:type="dxa"/>
          </w:tcPr>
          <w:p w14:paraId="4E359580"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lastRenderedPageBreak/>
              <w:t>2</w:t>
            </w:r>
          </w:p>
        </w:tc>
        <w:tc>
          <w:tcPr>
            <w:tcW w:w="3937" w:type="dxa"/>
          </w:tcPr>
          <w:p w14:paraId="78B5401D" w14:textId="77777777" w:rsidR="00CE5A9D" w:rsidRPr="00B33487" w:rsidRDefault="00CE5A9D" w:rsidP="00AD6CA7">
            <w:pPr>
              <w:pBdr>
                <w:top w:val="nil"/>
                <w:left w:val="nil"/>
                <w:bottom w:val="nil"/>
                <w:right w:val="nil"/>
                <w:between w:val="nil"/>
              </w:pBd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Үнэт цаас гаргагч </w:t>
            </w:r>
          </w:p>
        </w:tc>
        <w:tc>
          <w:tcPr>
            <w:tcW w:w="5125" w:type="dxa"/>
          </w:tcPr>
          <w:p w14:paraId="5C6998F6"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1. Компанийн биржийн зах зээл дээр үнэт цаасыг олон нийтэд нээлттэй гаргах, түүнийг зохицуулагч байгууллага болон арилжаа эрхлэх байгууллага дээр бүртгүүлэхтэй холбогдсон харилцааг хялбаршуулсан. Ингэснээр үнэт цаас гаргагч хувьцаагаа олон нийтэд санал болгоход цаг хугацаа хэмнэх, шат шатны зөвшөөрөл зохицуулагч байгууллагаас авах, түүний хүнд суртал арилах эерэг ач холбогдолтой юм. </w:t>
            </w:r>
          </w:p>
          <w:p w14:paraId="5A1DFC18"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2. Хуулийн нэмэлт, өөрчлөлтөөр биржийн болон биржийн бус зах зээлийн тодорхой бус зохицуулалтын орчныг сайжруулах ба ингэснээр үнэт цаас гаргагч өөрсдийн хэрэгцээ шаардлага дээр үндэслэн зах зээл, хөрөнгө оруулагчдын бүлэг, үнэт цаасны төрлөө сонгох өргөн боломж нээгдэх юм.     </w:t>
            </w:r>
          </w:p>
          <w:p w14:paraId="4B5CFFAE"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3. Хуулийн төсөлд хөрөнгө оруулагчийн эрхийг хамгаалах үүднээс мэдээллийн ил тод байдлыг зохицуулагч байгууллагаас тогтоосон шаардлагын дагуу мэдээлж байх үүргийг оруулж өгсөн. Энэхүү зохицуулалт орсноор хувьцаат компаниуд болон үнэт цаас гаргагч хөрөнгө оруулагчдын итгэлийг хүлээх, үүргээ биелүүлдэггүй үнэт цаас гаргагчийн гаргасан үнэт цаасанд хөрөнгө оруулахгүй байх зэрэг сонголт хийнэ. Ингэснээр цаашид хөрөнгө оруулагчдын итгэлийг хүлээсэн үнэт цаас гаргагч нь бага хүүтэйгээр санхүүжилт татах итгэлцэл зах </w:t>
            </w:r>
            <w:r w:rsidRPr="00B33487">
              <w:rPr>
                <w:rFonts w:ascii="Arial" w:eastAsia="Times New Roman" w:hAnsi="Arial" w:cs="Arial"/>
                <w:color w:val="000000" w:themeColor="text1"/>
                <w:sz w:val="24"/>
                <w:szCs w:val="24"/>
                <w:lang w:val="mn-MN"/>
              </w:rPr>
              <w:lastRenderedPageBreak/>
              <w:t xml:space="preserve">зээл дээр үүсэх, зах зээл хөгжих чухал ач холбогдолтой юм. </w:t>
            </w:r>
          </w:p>
        </w:tc>
      </w:tr>
      <w:tr w:rsidR="00CE5A9D" w:rsidRPr="00B33487" w14:paraId="76C14516" w14:textId="77777777" w:rsidTr="00CE5A9D">
        <w:tc>
          <w:tcPr>
            <w:tcW w:w="567" w:type="dxa"/>
          </w:tcPr>
          <w:p w14:paraId="57993283"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lastRenderedPageBreak/>
              <w:t>3</w:t>
            </w:r>
          </w:p>
        </w:tc>
        <w:tc>
          <w:tcPr>
            <w:tcW w:w="3937" w:type="dxa"/>
          </w:tcPr>
          <w:p w14:paraId="2B339F70" w14:textId="77777777" w:rsidR="00CE5A9D" w:rsidRPr="00B33487" w:rsidRDefault="00CE5A9D" w:rsidP="00AD6CA7">
            <w:pPr>
              <w:pBdr>
                <w:top w:val="nil"/>
                <w:left w:val="nil"/>
                <w:bottom w:val="nil"/>
                <w:right w:val="nil"/>
                <w:between w:val="nil"/>
              </w:pBd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Зах зээл дээр зохицуулалттай этгээдийн үйл ажиллагаа эрхэлж буй хуулийн этгээд </w:t>
            </w:r>
          </w:p>
          <w:p w14:paraId="767848FA" w14:textId="77777777" w:rsidR="00CE5A9D" w:rsidRPr="00B33487" w:rsidRDefault="00CE5A9D" w:rsidP="00AD6CA7">
            <w:pPr>
              <w:pBdr>
                <w:top w:val="nil"/>
                <w:left w:val="nil"/>
                <w:bottom w:val="nil"/>
                <w:right w:val="nil"/>
                <w:between w:val="nil"/>
              </w:pBd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w:t>
            </w:r>
            <w:r w:rsidRPr="00B33487">
              <w:rPr>
                <w:rFonts w:ascii="Arial" w:hAnsi="Arial" w:cs="Arial"/>
                <w:color w:val="000000" w:themeColor="text1"/>
                <w:sz w:val="24"/>
                <w:szCs w:val="24"/>
                <w:lang w:val="mn-MN"/>
              </w:rPr>
              <w:t>брокер, дилер, андеррайтер, арилжаа эрхлэгч, арилжааны төлбөрийн үйл ажиллагаа эрхлэгч, арилжааны тооцооны үйл ажиллагаа эрхлэгч, үнэт цаасны хадгаламжийн үйл ажиллагаа эрхлэгч, төлбөр  мэргэжлийн холбоод гэх мэт...</w:t>
            </w:r>
            <w:r w:rsidRPr="00B33487">
              <w:rPr>
                <w:rFonts w:ascii="Arial" w:eastAsia="Times New Roman" w:hAnsi="Arial" w:cs="Arial"/>
                <w:color w:val="000000" w:themeColor="text1"/>
                <w:sz w:val="24"/>
                <w:szCs w:val="24"/>
                <w:lang w:val="mn-MN"/>
              </w:rPr>
              <w:t>)</w:t>
            </w:r>
          </w:p>
        </w:tc>
        <w:tc>
          <w:tcPr>
            <w:tcW w:w="5125" w:type="dxa"/>
          </w:tcPr>
          <w:p w14:paraId="7F948EFC"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1.Хөрөнгийн зах зээлийн дэд бүтцийн системд “Төлбөрийн эсрэг нийлүүлэлт/Т+2 горим” олон улсын зарчим нэвтрэхтэй холбоотойгоор үнэт цаасны арилжаанд оролцоход хөрөнгө оруулагч мөнгөн төлбөрийг 100 хувь урьдчилж байршуулдаг байсан системийг хална. Ингэснээр үнэт цаасны арилжааны төлбөр тооцоог арилжаа явагдсанаас хойш 2 өдрийн дараа гүйцэтгэхтэй холбоотойгоор дэд бүтцийн байгууллагууд болох үнэт цаасны тооцооны, төлбөрийн, төвлөрсөн хадгаламжийн  байгууллага, үнэт цаасны брокерын компаниудад харилцагчдын төлбөрийн чадваргүйдлийн эрсдэлийг удирдах, үүнтэй холбоотойгоор зах зээлд төлбөрийн баталгааны сан байгуулах зэрэг нэмэлт үүргүүд үнэт цаасны компаниуд болон тооцоо эрхлэх байгууллага, төвлөрсөн хадгаламжийн байгууллагын чиг үүрэгт өөрчлөлт орох юм. </w:t>
            </w:r>
          </w:p>
          <w:p w14:paraId="013E569B"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2. Үнэт цаас гаргах үйл ажиллагааг үр ашигтай болгох, арилжаа эрхлэгч байгууллага болон зохицуулагч байгууллагын бүртгэлийн үйл ажиллагааг үр ашигтай давхардалгүй болгох хүрээнд үнэт цаас гаргах үйл ажиллагааг хялбаршуулж байгаатай холбогдуулан арилжаа эрхлэх байгууллага нь үнэт цаасны анхдагч зах зээлийн арилжааны амжилттай болсон. байдалд хяналт хийх, дүгнэлт гаргах, мөн зах зээлийг урвуулан ашиглах, хөрөнгө оруулагчдыг хамгаалахад чиглэсэн арга хэмжээ болох арилжаа зогсоох чиг үүргийг арилжаа эрхлэх байгууллагад шинээр өгөхтэй холбогдуулан тэдний үүрэг, хариуцлага нэмэгдэх. </w:t>
            </w:r>
          </w:p>
          <w:p w14:paraId="4F8D31EE" w14:textId="77777777" w:rsidR="00CE5A9D" w:rsidRPr="00B33487" w:rsidRDefault="00CE5A9D" w:rsidP="00AD6CA7">
            <w:pPr>
              <w:jc w:val="both"/>
              <w:rPr>
                <w:rFonts w:ascii="Arial" w:eastAsia="Times New Roman" w:hAnsi="Arial" w:cs="Arial"/>
                <w:color w:val="000000" w:themeColor="text1"/>
                <w:sz w:val="24"/>
                <w:szCs w:val="24"/>
                <w:lang w:val="mn-MN"/>
              </w:rPr>
            </w:pPr>
            <w:r w:rsidRPr="00B33487">
              <w:rPr>
                <w:rFonts w:ascii="Arial" w:eastAsia="Times New Roman" w:hAnsi="Arial" w:cs="Arial"/>
                <w:color w:val="000000" w:themeColor="text1"/>
                <w:sz w:val="24"/>
                <w:szCs w:val="24"/>
                <w:lang w:val="mn-MN"/>
              </w:rPr>
              <w:t xml:space="preserve">3. Одоо мөрдөгдөж буй Үнэт цаасны зах зээлийн тухай хууль нь биржийн зах зээлийн үйл ажиллагааг голчлон зохицуулж байгаатай холбогдуулан биржийн бус зах зээлийн харилцаа, түүн дээр гарах бүтээгдэхүүн үйлчилгээ хөгжих эрх зүйн </w:t>
            </w:r>
            <w:r w:rsidRPr="00B33487">
              <w:rPr>
                <w:rFonts w:ascii="Arial" w:eastAsia="Times New Roman" w:hAnsi="Arial" w:cs="Arial"/>
                <w:color w:val="000000" w:themeColor="text1"/>
                <w:sz w:val="24"/>
                <w:szCs w:val="24"/>
                <w:lang w:val="mn-MN"/>
              </w:rPr>
              <w:lastRenderedPageBreak/>
              <w:t xml:space="preserve">зохицуулалт дутагдаж байсан. Хуульд оруулах нэмэлт, өөрчлөлтөөр биржийн болон биржийн бус зах зээлийн зохицуулалтын ялгааг гаргаж өгсөнтэй холбогдуулан зохицуулалттай этгээдүүд өөрсдийн үйл ажиллагааны чиглэлийн хүрээнд цаашид шинэ бүтээгдэхүүн үйлчилгээг зах зээлд нэвтрүүлэх боломж шинээр нээгдэж байгаа болно.   </w:t>
            </w:r>
          </w:p>
        </w:tc>
      </w:tr>
    </w:tbl>
    <w:p w14:paraId="268CF028" w14:textId="77777777" w:rsidR="00CE5A9D" w:rsidRPr="00B33487" w:rsidRDefault="00CE5A9D" w:rsidP="00F92A9E">
      <w:pPr>
        <w:spacing w:after="120" w:line="240" w:lineRule="auto"/>
        <w:ind w:firstLine="720"/>
        <w:jc w:val="both"/>
        <w:rPr>
          <w:rFonts w:ascii="Arial" w:eastAsia="Calibri" w:hAnsi="Arial" w:cs="Arial"/>
          <w:b/>
          <w:sz w:val="24"/>
          <w:szCs w:val="24"/>
          <w:lang w:val="mn-MN"/>
        </w:rPr>
      </w:pPr>
    </w:p>
    <w:p w14:paraId="414F4E48" w14:textId="457EA501" w:rsidR="00974866" w:rsidRPr="00B33487" w:rsidRDefault="00974866" w:rsidP="00F92A9E">
      <w:pPr>
        <w:spacing w:after="120" w:line="240" w:lineRule="auto"/>
        <w:ind w:firstLine="720"/>
        <w:jc w:val="both"/>
        <w:rPr>
          <w:rFonts w:ascii="Arial" w:eastAsia="Calibri" w:hAnsi="Arial" w:cs="Arial"/>
          <w:sz w:val="24"/>
          <w:szCs w:val="24"/>
          <w:lang w:val="mn-MN"/>
        </w:rPr>
      </w:pPr>
      <w:r w:rsidRPr="00B33487">
        <w:rPr>
          <w:rFonts w:ascii="Arial" w:eastAsia="Calibri" w:hAnsi="Arial" w:cs="Arial"/>
          <w:b/>
          <w:sz w:val="24"/>
          <w:szCs w:val="24"/>
          <w:lang w:val="mn-MN"/>
        </w:rPr>
        <w:t>Харилцан уялдаатай байдлыг хангасан эсэх</w:t>
      </w:r>
      <w:r w:rsidRPr="00B33487">
        <w:rPr>
          <w:rFonts w:ascii="Arial" w:eastAsia="Calibri" w:hAnsi="Arial" w:cs="Arial"/>
          <w:sz w:val="24"/>
          <w:szCs w:val="24"/>
          <w:lang w:val="mn-MN"/>
        </w:rPr>
        <w:t xml:space="preserve">: </w:t>
      </w:r>
    </w:p>
    <w:p w14:paraId="1A7AFCD8" w14:textId="77777777" w:rsidR="00974866" w:rsidRPr="00B33487" w:rsidRDefault="00974866" w:rsidP="00F92A9E">
      <w:pPr>
        <w:spacing w:after="120" w:line="240" w:lineRule="auto"/>
        <w:ind w:firstLine="720"/>
        <w:jc w:val="both"/>
        <w:rPr>
          <w:rFonts w:ascii="Arial" w:eastAsia="Calibri" w:hAnsi="Arial" w:cs="Arial"/>
          <w:sz w:val="24"/>
          <w:szCs w:val="24"/>
          <w:lang w:val="mn-MN"/>
        </w:rPr>
      </w:pPr>
      <w:r w:rsidRPr="00B33487">
        <w:rPr>
          <w:rFonts w:ascii="Arial" w:eastAsia="Calibri" w:hAnsi="Arial" w:cs="Arial"/>
          <w:b/>
          <w:sz w:val="24"/>
          <w:szCs w:val="24"/>
          <w:lang w:val="mn-MN"/>
        </w:rPr>
        <w:t>“Харилцан уялдаа”</w:t>
      </w:r>
      <w:r w:rsidRPr="00B33487">
        <w:rPr>
          <w:rFonts w:ascii="Arial" w:eastAsia="Calibri"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7B42B864" w14:textId="77777777" w:rsidR="00974866" w:rsidRPr="00B33487" w:rsidRDefault="00974866" w:rsidP="00F92A9E">
      <w:pPr>
        <w:spacing w:after="120" w:line="240" w:lineRule="auto"/>
        <w:ind w:firstLine="720"/>
        <w:jc w:val="both"/>
        <w:rPr>
          <w:rFonts w:ascii="Arial" w:hAnsi="Arial" w:cs="Arial"/>
          <w:sz w:val="24"/>
          <w:szCs w:val="24"/>
          <w:lang w:val="mn-MN"/>
        </w:rPr>
      </w:pPr>
      <w:r w:rsidRPr="00B33487">
        <w:rPr>
          <w:rFonts w:ascii="Arial" w:hAnsi="Arial" w:cs="Arial"/>
          <w:sz w:val="24"/>
          <w:szCs w:val="24"/>
          <w:lang w:val="mn-MN"/>
        </w:rPr>
        <w:t>Хууль тогтоомжийн тухай хуулийн 29 дүгээр зүйлийн 29.1-д дурдагдсан нийтлэг шаардлагуудаас харилцан уялдаатай холбогдох 29.1.1, 29.1.5, 29.1.7, 29.1.10-т заасан нийтлэг шаардлагууд болон Хууль тогтоомжийн төслийн үр нөлөөг үнэлэх аргачлалын 4.10-т заасан шалгах хэрэгслийн дагуу үнэллээ:</w:t>
      </w:r>
    </w:p>
    <w:p w14:paraId="49A8D0EF" w14:textId="77777777" w:rsidR="00974866" w:rsidRPr="00B33487" w:rsidRDefault="00974866" w:rsidP="00F92A9E">
      <w:pPr>
        <w:pStyle w:val="ListParagraph"/>
        <w:numPr>
          <w:ilvl w:val="0"/>
          <w:numId w:val="8"/>
        </w:numPr>
        <w:spacing w:after="120" w:line="240" w:lineRule="auto"/>
        <w:contextualSpacing w:val="0"/>
        <w:jc w:val="both"/>
        <w:rPr>
          <w:rFonts w:ascii="Arial" w:hAnsi="Arial" w:cs="Arial"/>
          <w:i/>
          <w:sz w:val="24"/>
          <w:szCs w:val="24"/>
          <w:lang w:val="mn-MN"/>
        </w:rPr>
      </w:pPr>
      <w:r w:rsidRPr="00B33487">
        <w:rPr>
          <w:rFonts w:ascii="Arial" w:hAnsi="Arial" w:cs="Arial"/>
          <w:i/>
          <w:sz w:val="24"/>
          <w:szCs w:val="24"/>
          <w:lang w:val="mn-MN"/>
        </w:rPr>
        <w:t xml:space="preserve">Хууль тогтоомжийн тухай хуулийн 29 дүгээр зүйлд заасан шаардлагыг хангасан эсэх: </w:t>
      </w:r>
    </w:p>
    <w:tbl>
      <w:tblPr>
        <w:tblStyle w:val="TableGrid"/>
        <w:tblW w:w="0" w:type="auto"/>
        <w:tblLayout w:type="fixed"/>
        <w:tblLook w:val="04A0" w:firstRow="1" w:lastRow="0" w:firstColumn="1" w:lastColumn="0" w:noHBand="0" w:noVBand="1"/>
      </w:tblPr>
      <w:tblGrid>
        <w:gridCol w:w="412"/>
        <w:gridCol w:w="6446"/>
        <w:gridCol w:w="2827"/>
      </w:tblGrid>
      <w:tr w:rsidR="00974866" w:rsidRPr="00B33487" w14:paraId="0AD637F7" w14:textId="77777777" w:rsidTr="00721359">
        <w:tc>
          <w:tcPr>
            <w:tcW w:w="412" w:type="dxa"/>
            <w:shd w:val="clear" w:color="auto" w:fill="D9D9D9" w:themeFill="background1" w:themeFillShade="D9"/>
            <w:vAlign w:val="center"/>
          </w:tcPr>
          <w:p w14:paraId="6C643D5C" w14:textId="77777777" w:rsidR="00974866" w:rsidRPr="00B33487" w:rsidRDefault="00974866" w:rsidP="007250E3">
            <w:pPr>
              <w:spacing w:after="0" w:line="240" w:lineRule="auto"/>
              <w:jc w:val="center"/>
              <w:rPr>
                <w:rFonts w:ascii="Arial" w:eastAsia="Times New Roman" w:hAnsi="Arial" w:cs="Arial"/>
                <w:b/>
                <w:sz w:val="20"/>
                <w:szCs w:val="20"/>
                <w:lang w:val="mn-MN"/>
              </w:rPr>
            </w:pPr>
            <w:r w:rsidRPr="00B33487">
              <w:rPr>
                <w:rFonts w:ascii="Arial" w:eastAsia="Times New Roman" w:hAnsi="Arial" w:cs="Arial"/>
                <w:b/>
                <w:sz w:val="20"/>
                <w:szCs w:val="20"/>
                <w:lang w:val="mn-MN"/>
              </w:rPr>
              <w:t>№</w:t>
            </w:r>
          </w:p>
        </w:tc>
        <w:tc>
          <w:tcPr>
            <w:tcW w:w="6446" w:type="dxa"/>
            <w:shd w:val="clear" w:color="auto" w:fill="D9D9D9" w:themeFill="background1" w:themeFillShade="D9"/>
            <w:vAlign w:val="center"/>
          </w:tcPr>
          <w:p w14:paraId="5C92D8C6" w14:textId="77777777" w:rsidR="00974866" w:rsidRPr="00B33487" w:rsidRDefault="00974866" w:rsidP="007250E3">
            <w:pPr>
              <w:spacing w:after="0" w:line="240" w:lineRule="auto"/>
              <w:jc w:val="center"/>
              <w:rPr>
                <w:rFonts w:ascii="Arial" w:eastAsia="Times New Roman" w:hAnsi="Arial" w:cs="Arial"/>
                <w:b/>
                <w:lang w:val="mn-MN"/>
              </w:rPr>
            </w:pPr>
            <w:r w:rsidRPr="00B33487">
              <w:rPr>
                <w:rFonts w:ascii="Arial" w:eastAsia="Times New Roman" w:hAnsi="Arial" w:cs="Arial"/>
                <w:b/>
                <w:lang w:val="mn-MN"/>
              </w:rPr>
              <w:t>Шалгах асуулт</w:t>
            </w:r>
          </w:p>
        </w:tc>
        <w:tc>
          <w:tcPr>
            <w:tcW w:w="2827" w:type="dxa"/>
            <w:shd w:val="clear" w:color="auto" w:fill="D9D9D9" w:themeFill="background1" w:themeFillShade="D9"/>
            <w:vAlign w:val="center"/>
          </w:tcPr>
          <w:p w14:paraId="08930291" w14:textId="77777777" w:rsidR="00974866" w:rsidRPr="00B33487" w:rsidRDefault="00974866" w:rsidP="007250E3">
            <w:pPr>
              <w:spacing w:after="0" w:line="240" w:lineRule="auto"/>
              <w:jc w:val="center"/>
              <w:rPr>
                <w:rFonts w:ascii="Arial" w:eastAsia="Times New Roman" w:hAnsi="Arial" w:cs="Arial"/>
                <w:b/>
                <w:lang w:val="mn-MN"/>
              </w:rPr>
            </w:pPr>
            <w:r w:rsidRPr="00B33487">
              <w:rPr>
                <w:rFonts w:ascii="Arial" w:eastAsia="Times New Roman" w:hAnsi="Arial" w:cs="Arial"/>
                <w:b/>
                <w:lang w:val="mn-MN"/>
              </w:rPr>
              <w:t>Шаардлагыг хангасан эсэх</w:t>
            </w:r>
          </w:p>
        </w:tc>
      </w:tr>
      <w:tr w:rsidR="00974866" w:rsidRPr="00B33487" w14:paraId="5A444A65" w14:textId="77777777" w:rsidTr="007250E3">
        <w:tc>
          <w:tcPr>
            <w:tcW w:w="412" w:type="dxa"/>
            <w:vAlign w:val="center"/>
          </w:tcPr>
          <w:p w14:paraId="572DB68D" w14:textId="77777777" w:rsidR="00974866" w:rsidRPr="00B33487" w:rsidRDefault="00974866" w:rsidP="00BA5DF6">
            <w:pPr>
              <w:pStyle w:val="ListParagraph"/>
              <w:spacing w:after="0" w:line="240" w:lineRule="auto"/>
              <w:ind w:left="0"/>
              <w:contextualSpacing w:val="0"/>
              <w:jc w:val="center"/>
              <w:rPr>
                <w:rFonts w:ascii="Arial" w:hAnsi="Arial" w:cs="Arial"/>
                <w:lang w:val="mn-MN"/>
              </w:rPr>
            </w:pPr>
            <w:r w:rsidRPr="00B33487">
              <w:rPr>
                <w:rFonts w:ascii="Arial" w:hAnsi="Arial" w:cs="Arial"/>
                <w:lang w:val="mn-MN"/>
              </w:rPr>
              <w:t>1</w:t>
            </w:r>
          </w:p>
        </w:tc>
        <w:tc>
          <w:tcPr>
            <w:tcW w:w="6446" w:type="dxa"/>
            <w:vAlign w:val="center"/>
          </w:tcPr>
          <w:p w14:paraId="0FC1256E" w14:textId="77777777" w:rsidR="00974866" w:rsidRPr="00B33487" w:rsidRDefault="00974866" w:rsidP="007250E3">
            <w:pPr>
              <w:spacing w:after="0" w:line="240" w:lineRule="auto"/>
              <w:rPr>
                <w:rFonts w:ascii="Arial" w:eastAsia="Times New Roman" w:hAnsi="Arial" w:cs="Arial"/>
                <w:lang w:val="mn-MN"/>
              </w:rPr>
            </w:pPr>
            <w:r w:rsidRPr="00B33487">
              <w:rPr>
                <w:rFonts w:ascii="Arial" w:eastAsia="Times New Roman"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827" w:type="dxa"/>
            <w:vAlign w:val="center"/>
          </w:tcPr>
          <w:p w14:paraId="7FC59724" w14:textId="66A1111A" w:rsidR="00974866" w:rsidRPr="00B33487" w:rsidRDefault="009467B8" w:rsidP="007250E3">
            <w:pPr>
              <w:pStyle w:val="ListParagraph"/>
              <w:spacing w:after="0" w:line="240" w:lineRule="auto"/>
              <w:ind w:left="0"/>
              <w:contextualSpacing w:val="0"/>
              <w:rPr>
                <w:rFonts w:ascii="Arial" w:hAnsi="Arial" w:cs="Arial"/>
                <w:lang w:val="mn-MN"/>
              </w:rPr>
            </w:pPr>
            <w:r w:rsidRPr="00B33487">
              <w:rPr>
                <w:rFonts w:ascii="Arial" w:hAnsi="Arial" w:cs="Arial"/>
                <w:lang w:val="mn-MN"/>
              </w:rPr>
              <w:t xml:space="preserve">Хуулийн төсөл нь </w:t>
            </w:r>
            <w:r w:rsidRPr="00B33487">
              <w:rPr>
                <w:rFonts w:ascii="Arial" w:eastAsia="Times New Roman" w:hAnsi="Arial" w:cs="Arial"/>
                <w:lang w:val="mn-MN"/>
              </w:rPr>
              <w:t xml:space="preserve">Монгол Улсын Үндсэн хууль, Монгол Улсын олон улсын гэрээнд нийцсэн, бусад хууль, үндэсний аюулгүй байдлын үзэл баримтлалтай уялдсан байна. </w:t>
            </w:r>
          </w:p>
        </w:tc>
      </w:tr>
      <w:tr w:rsidR="00974866" w:rsidRPr="00B33487" w14:paraId="3A53F4B3" w14:textId="77777777" w:rsidTr="007250E3">
        <w:tc>
          <w:tcPr>
            <w:tcW w:w="412" w:type="dxa"/>
            <w:vAlign w:val="center"/>
          </w:tcPr>
          <w:p w14:paraId="08E6EA86" w14:textId="77777777" w:rsidR="00974866" w:rsidRPr="00B33487" w:rsidRDefault="00974866" w:rsidP="00BA5DF6">
            <w:pPr>
              <w:pStyle w:val="ListParagraph"/>
              <w:spacing w:after="0" w:line="240" w:lineRule="auto"/>
              <w:ind w:left="0"/>
              <w:contextualSpacing w:val="0"/>
              <w:jc w:val="center"/>
              <w:rPr>
                <w:rFonts w:ascii="Arial" w:hAnsi="Arial" w:cs="Arial"/>
                <w:lang w:val="mn-MN"/>
              </w:rPr>
            </w:pPr>
            <w:r w:rsidRPr="00B33487">
              <w:rPr>
                <w:rFonts w:ascii="Arial" w:hAnsi="Arial" w:cs="Arial"/>
                <w:lang w:val="mn-MN"/>
              </w:rPr>
              <w:t>2</w:t>
            </w:r>
          </w:p>
        </w:tc>
        <w:tc>
          <w:tcPr>
            <w:tcW w:w="6446" w:type="dxa"/>
            <w:vAlign w:val="center"/>
          </w:tcPr>
          <w:p w14:paraId="1DBFC463" w14:textId="77777777" w:rsidR="00974866" w:rsidRPr="00B33487" w:rsidRDefault="00974866" w:rsidP="007250E3">
            <w:pPr>
              <w:spacing w:after="0" w:line="240" w:lineRule="auto"/>
              <w:rPr>
                <w:rFonts w:ascii="Arial" w:eastAsia="Times New Roman" w:hAnsi="Arial" w:cs="Arial"/>
                <w:lang w:val="mn-MN"/>
              </w:rPr>
            </w:pPr>
            <w:r w:rsidRPr="00B33487">
              <w:rPr>
                <w:rFonts w:ascii="Arial" w:eastAsia="Times New Roman" w:hAnsi="Arial" w:cs="Arial"/>
                <w:lang w:val="mn-MN"/>
              </w:rPr>
              <w:t>29.1.5.зүйл, хэсэг, заалт нь хоорондоо зөрчилгүй байх;</w:t>
            </w:r>
          </w:p>
        </w:tc>
        <w:tc>
          <w:tcPr>
            <w:tcW w:w="2827" w:type="dxa"/>
            <w:vAlign w:val="center"/>
          </w:tcPr>
          <w:p w14:paraId="60DDDC29" w14:textId="77777777" w:rsidR="00974866" w:rsidRPr="00B33487" w:rsidRDefault="00974866" w:rsidP="007250E3">
            <w:pPr>
              <w:pStyle w:val="ListParagraph"/>
              <w:spacing w:after="0" w:line="240" w:lineRule="auto"/>
              <w:ind w:left="0"/>
              <w:contextualSpacing w:val="0"/>
              <w:rPr>
                <w:rFonts w:ascii="Arial" w:hAnsi="Arial" w:cs="Arial"/>
                <w:lang w:val="mn-MN"/>
              </w:rPr>
            </w:pPr>
            <w:r w:rsidRPr="00B33487">
              <w:rPr>
                <w:rFonts w:ascii="Arial" w:hAnsi="Arial" w:cs="Arial"/>
                <w:lang w:val="mn-MN"/>
              </w:rPr>
              <w:t xml:space="preserve">Төслийн зүйл, хэсэг, заалт хоорондоо зөрчилдөөгүй байна. </w:t>
            </w:r>
          </w:p>
        </w:tc>
      </w:tr>
      <w:tr w:rsidR="00974866" w:rsidRPr="00B33487" w14:paraId="49587A42" w14:textId="77777777" w:rsidTr="007250E3">
        <w:tc>
          <w:tcPr>
            <w:tcW w:w="412" w:type="dxa"/>
            <w:vAlign w:val="center"/>
          </w:tcPr>
          <w:p w14:paraId="41DF4EC5" w14:textId="77777777" w:rsidR="00974866" w:rsidRPr="00B33487" w:rsidRDefault="00974866" w:rsidP="00BA5DF6">
            <w:pPr>
              <w:pStyle w:val="ListParagraph"/>
              <w:spacing w:after="0" w:line="240" w:lineRule="auto"/>
              <w:ind w:left="0"/>
              <w:contextualSpacing w:val="0"/>
              <w:jc w:val="center"/>
              <w:rPr>
                <w:rFonts w:ascii="Arial" w:hAnsi="Arial" w:cs="Arial"/>
                <w:lang w:val="mn-MN"/>
              </w:rPr>
            </w:pPr>
            <w:r w:rsidRPr="00B33487">
              <w:rPr>
                <w:rFonts w:ascii="Arial" w:hAnsi="Arial" w:cs="Arial"/>
                <w:lang w:val="mn-MN"/>
              </w:rPr>
              <w:t>3</w:t>
            </w:r>
          </w:p>
        </w:tc>
        <w:tc>
          <w:tcPr>
            <w:tcW w:w="6446" w:type="dxa"/>
            <w:vAlign w:val="center"/>
          </w:tcPr>
          <w:p w14:paraId="2EDDA9F1" w14:textId="77777777" w:rsidR="00974866" w:rsidRPr="00B33487" w:rsidRDefault="00974866" w:rsidP="007250E3">
            <w:pPr>
              <w:spacing w:after="0" w:line="240" w:lineRule="auto"/>
              <w:rPr>
                <w:rFonts w:ascii="Arial" w:eastAsia="Times New Roman" w:hAnsi="Arial" w:cs="Arial"/>
                <w:lang w:val="mn-MN"/>
              </w:rPr>
            </w:pPr>
            <w:r w:rsidRPr="00B33487">
              <w:rPr>
                <w:rFonts w:ascii="Arial" w:eastAsia="Times New Roman" w:hAnsi="Arial" w:cs="Arial"/>
                <w:lang w:val="mn-MN"/>
              </w:rPr>
              <w:t xml:space="preserve">29.1.7.бусад хуулийн заалтыг давхардуулан заахгүйгээр шаардлагатай бол түүнийг </w:t>
            </w:r>
            <w:r w:rsidR="00B53593" w:rsidRPr="00B33487">
              <w:rPr>
                <w:rFonts w:ascii="Arial" w:eastAsia="Times New Roman" w:hAnsi="Arial" w:cs="Arial"/>
                <w:lang w:val="mn-MN"/>
              </w:rPr>
              <w:t>и</w:t>
            </w:r>
            <w:r w:rsidRPr="00B33487">
              <w:rPr>
                <w:rFonts w:ascii="Arial" w:eastAsia="Times New Roman" w:hAnsi="Arial" w:cs="Arial"/>
                <w:lang w:val="mn-MN"/>
              </w:rPr>
              <w:t xml:space="preserve">ш татах, энэ тохиолдолд </w:t>
            </w:r>
            <w:r w:rsidR="00B53593" w:rsidRPr="00B33487">
              <w:rPr>
                <w:rFonts w:ascii="Arial" w:eastAsia="Times New Roman" w:hAnsi="Arial" w:cs="Arial"/>
                <w:lang w:val="mn-MN"/>
              </w:rPr>
              <w:t>и</w:t>
            </w:r>
            <w:r w:rsidRPr="00B33487">
              <w:rPr>
                <w:rFonts w:ascii="Arial" w:eastAsia="Times New Roman" w:hAnsi="Arial" w:cs="Arial"/>
                <w:lang w:val="mn-MN"/>
              </w:rPr>
              <w:t>шлэлийг тодорхой</w:t>
            </w:r>
            <w:r w:rsidR="001E389F" w:rsidRPr="00B33487">
              <w:rPr>
                <w:rFonts w:ascii="Arial" w:eastAsia="Times New Roman" w:hAnsi="Arial" w:cs="Arial"/>
                <w:lang w:val="mn-MN"/>
              </w:rPr>
              <w:t xml:space="preserve"> </w:t>
            </w:r>
            <w:r w:rsidRPr="00B33487">
              <w:rPr>
                <w:rFonts w:ascii="Arial" w:eastAsia="Times New Roman" w:hAnsi="Arial" w:cs="Arial"/>
                <w:lang w:val="mn-MN"/>
              </w:rPr>
              <w:t>хийж, хуулийн нэр болон хэвлэн нийтэлсэн албан ёсны эх сурвалжийг бүрэн гүйцэд заасан байх;</w:t>
            </w:r>
          </w:p>
        </w:tc>
        <w:tc>
          <w:tcPr>
            <w:tcW w:w="2827" w:type="dxa"/>
            <w:vAlign w:val="center"/>
          </w:tcPr>
          <w:p w14:paraId="08CD5C3E" w14:textId="77777777" w:rsidR="00974866" w:rsidRPr="00B33487" w:rsidRDefault="00974866" w:rsidP="007250E3">
            <w:pPr>
              <w:pStyle w:val="ListParagraph"/>
              <w:spacing w:after="0" w:line="240" w:lineRule="auto"/>
              <w:ind w:left="0"/>
              <w:contextualSpacing w:val="0"/>
              <w:rPr>
                <w:rFonts w:ascii="Arial" w:hAnsi="Arial" w:cs="Arial"/>
                <w:lang w:val="mn-MN"/>
              </w:rPr>
            </w:pPr>
            <w:r w:rsidRPr="00B33487">
              <w:rPr>
                <w:rFonts w:ascii="Arial" w:hAnsi="Arial" w:cs="Arial"/>
                <w:lang w:val="mn-MN"/>
              </w:rPr>
              <w:t xml:space="preserve">Энэхүү хуулийн төслийн зүйл, заалт бусад хуулиудтай давхардаагүй бөгөөд шаардлагатай тохиолдолд </w:t>
            </w:r>
            <w:r w:rsidR="004459AE" w:rsidRPr="00B33487">
              <w:rPr>
                <w:rFonts w:ascii="Arial" w:hAnsi="Arial" w:cs="Arial"/>
                <w:lang w:val="mn-MN"/>
              </w:rPr>
              <w:t xml:space="preserve">бусад </w:t>
            </w:r>
            <w:r w:rsidRPr="00B33487">
              <w:rPr>
                <w:rFonts w:ascii="Arial" w:hAnsi="Arial" w:cs="Arial"/>
                <w:lang w:val="mn-MN"/>
              </w:rPr>
              <w:t xml:space="preserve">хуулиас </w:t>
            </w:r>
            <w:r w:rsidR="00B53593" w:rsidRPr="00B33487">
              <w:rPr>
                <w:rFonts w:ascii="Arial" w:hAnsi="Arial" w:cs="Arial"/>
                <w:lang w:val="mn-MN"/>
              </w:rPr>
              <w:t>и</w:t>
            </w:r>
            <w:r w:rsidRPr="00B33487">
              <w:rPr>
                <w:rFonts w:ascii="Arial" w:hAnsi="Arial" w:cs="Arial"/>
                <w:lang w:val="mn-MN"/>
              </w:rPr>
              <w:t>ш татсан байна.</w:t>
            </w:r>
          </w:p>
        </w:tc>
      </w:tr>
      <w:tr w:rsidR="00864B5D" w:rsidRPr="00B33487" w14:paraId="727F67C4" w14:textId="77777777" w:rsidTr="007250E3">
        <w:tc>
          <w:tcPr>
            <w:tcW w:w="412" w:type="dxa"/>
            <w:vAlign w:val="center"/>
          </w:tcPr>
          <w:p w14:paraId="6257179B" w14:textId="77777777" w:rsidR="00864B5D" w:rsidRPr="00B33487" w:rsidRDefault="00864B5D" w:rsidP="00BA5DF6">
            <w:pPr>
              <w:pStyle w:val="ListParagraph"/>
              <w:spacing w:after="0" w:line="240" w:lineRule="auto"/>
              <w:ind w:left="0"/>
              <w:contextualSpacing w:val="0"/>
              <w:jc w:val="center"/>
              <w:rPr>
                <w:rFonts w:ascii="Arial" w:hAnsi="Arial" w:cs="Arial"/>
                <w:lang w:val="mn-MN"/>
              </w:rPr>
            </w:pPr>
            <w:r w:rsidRPr="00B33487">
              <w:rPr>
                <w:rFonts w:ascii="Arial" w:hAnsi="Arial" w:cs="Arial"/>
                <w:lang w:val="mn-MN"/>
              </w:rPr>
              <w:t>4</w:t>
            </w:r>
          </w:p>
        </w:tc>
        <w:tc>
          <w:tcPr>
            <w:tcW w:w="6446" w:type="dxa"/>
            <w:vAlign w:val="center"/>
          </w:tcPr>
          <w:p w14:paraId="42318926" w14:textId="77777777" w:rsidR="00864B5D" w:rsidRPr="00B33487" w:rsidRDefault="00864B5D" w:rsidP="007250E3">
            <w:pPr>
              <w:spacing w:after="0" w:line="240" w:lineRule="auto"/>
              <w:rPr>
                <w:rFonts w:ascii="Arial" w:eastAsia="Times New Roman" w:hAnsi="Arial" w:cs="Arial"/>
                <w:lang w:val="mn-MN"/>
              </w:rPr>
            </w:pPr>
            <w:r w:rsidRPr="00B33487">
              <w:rPr>
                <w:rFonts w:ascii="Arial" w:eastAsia="Times New Roman"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w:t>
            </w:r>
            <w:r w:rsidR="00E06687" w:rsidRPr="00B33487">
              <w:rPr>
                <w:rFonts w:ascii="Arial" w:eastAsia="Times New Roman" w:hAnsi="Arial" w:cs="Arial"/>
                <w:lang w:val="mn-MN"/>
              </w:rPr>
              <w:t xml:space="preserve"> </w:t>
            </w:r>
            <w:r w:rsidRPr="00B33487">
              <w:rPr>
                <w:rFonts w:ascii="Arial" w:eastAsia="Times New Roman" w:hAnsi="Arial" w:cs="Arial"/>
                <w:lang w:val="mn-MN"/>
              </w:rPr>
              <w:t>байх;</w:t>
            </w:r>
          </w:p>
        </w:tc>
        <w:tc>
          <w:tcPr>
            <w:tcW w:w="2827" w:type="dxa"/>
            <w:vAlign w:val="center"/>
          </w:tcPr>
          <w:p w14:paraId="0167499B" w14:textId="47D96861" w:rsidR="00864B5D" w:rsidRPr="00B33487" w:rsidRDefault="00864B5D" w:rsidP="007250E3">
            <w:pPr>
              <w:pStyle w:val="ListParagraph"/>
              <w:spacing w:after="0" w:line="240" w:lineRule="auto"/>
              <w:ind w:left="0"/>
              <w:contextualSpacing w:val="0"/>
              <w:rPr>
                <w:rFonts w:ascii="Arial" w:hAnsi="Arial" w:cs="Arial"/>
                <w:lang w:val="mn-MN"/>
              </w:rPr>
            </w:pPr>
            <w:r w:rsidRPr="00B33487">
              <w:rPr>
                <w:rFonts w:ascii="Arial" w:hAnsi="Arial" w:cs="Arial"/>
                <w:lang w:val="mn-MN"/>
              </w:rPr>
              <w:t>Тус хуулий</w:t>
            </w:r>
            <w:r w:rsidR="002A352E" w:rsidRPr="00B33487">
              <w:rPr>
                <w:rFonts w:ascii="Arial" w:hAnsi="Arial" w:cs="Arial"/>
                <w:lang w:val="mn-MN"/>
              </w:rPr>
              <w:t>н төслийг дагаж нэмэлт</w:t>
            </w:r>
            <w:r w:rsidR="009467B8" w:rsidRPr="00B33487">
              <w:rPr>
                <w:rFonts w:ascii="Arial" w:hAnsi="Arial" w:cs="Arial"/>
                <w:lang w:val="mn-MN"/>
              </w:rPr>
              <w:t xml:space="preserve">, өөрчлөлт </w:t>
            </w:r>
            <w:r w:rsidR="002A352E" w:rsidRPr="00B33487">
              <w:rPr>
                <w:rFonts w:ascii="Arial" w:hAnsi="Arial" w:cs="Arial"/>
                <w:lang w:val="mn-MN"/>
              </w:rPr>
              <w:t xml:space="preserve"> оруулах </w:t>
            </w:r>
            <w:r w:rsidR="009467B8" w:rsidRPr="00B33487">
              <w:rPr>
                <w:rFonts w:ascii="Arial" w:hAnsi="Arial" w:cs="Arial"/>
                <w:lang w:val="mn-MN"/>
              </w:rPr>
              <w:t xml:space="preserve">9 хуулийн төслийг </w:t>
            </w:r>
            <w:r w:rsidRPr="00B33487">
              <w:rPr>
                <w:rFonts w:ascii="Arial" w:hAnsi="Arial" w:cs="Arial"/>
                <w:lang w:val="mn-MN"/>
              </w:rPr>
              <w:t xml:space="preserve">боловсруулсан байна. </w:t>
            </w:r>
          </w:p>
        </w:tc>
      </w:tr>
    </w:tbl>
    <w:p w14:paraId="1CBCCDB5" w14:textId="77777777" w:rsidR="00625A77" w:rsidRPr="00B33487" w:rsidRDefault="00625A77" w:rsidP="00F92A9E">
      <w:pPr>
        <w:pStyle w:val="ListParagraph"/>
        <w:numPr>
          <w:ilvl w:val="0"/>
          <w:numId w:val="8"/>
        </w:numPr>
        <w:spacing w:after="120" w:line="240" w:lineRule="auto"/>
        <w:contextualSpacing w:val="0"/>
        <w:jc w:val="both"/>
        <w:rPr>
          <w:rFonts w:ascii="Arial" w:hAnsi="Arial" w:cs="Arial"/>
          <w:sz w:val="24"/>
          <w:szCs w:val="24"/>
          <w:lang w:val="mn-MN"/>
        </w:rPr>
      </w:pPr>
      <w:r w:rsidRPr="00B33487">
        <w:rPr>
          <w:rFonts w:ascii="Arial" w:hAnsi="Arial" w:cs="Arial"/>
          <w:sz w:val="24"/>
          <w:szCs w:val="24"/>
          <w:lang w:val="mn-MN"/>
        </w:rPr>
        <w:lastRenderedPageBreak/>
        <w:t xml:space="preserve">Хууль тогтоомжийн төслийн үр нөлөөг үнэлэх аргачлалын 4.10-т заасан уялдаа холбоог шалгах хэрэгсэлд дурдагдсан шалгуурыг хангасан эсэх: </w:t>
      </w:r>
    </w:p>
    <w:tbl>
      <w:tblPr>
        <w:tblStyle w:val="TableGrid"/>
        <w:tblW w:w="9743" w:type="dxa"/>
        <w:tblInd w:w="-5" w:type="dxa"/>
        <w:tblLayout w:type="fixed"/>
        <w:tblLook w:val="04A0" w:firstRow="1" w:lastRow="0" w:firstColumn="1" w:lastColumn="0" w:noHBand="0" w:noVBand="1"/>
      </w:tblPr>
      <w:tblGrid>
        <w:gridCol w:w="567"/>
        <w:gridCol w:w="2948"/>
        <w:gridCol w:w="1134"/>
        <w:gridCol w:w="5094"/>
      </w:tblGrid>
      <w:tr w:rsidR="00625A77" w:rsidRPr="00B33487" w14:paraId="0C6D9D84" w14:textId="77777777" w:rsidTr="00721359">
        <w:trPr>
          <w:trHeight w:val="395"/>
        </w:trPr>
        <w:tc>
          <w:tcPr>
            <w:tcW w:w="567" w:type="dxa"/>
            <w:shd w:val="clear" w:color="auto" w:fill="D9D9D9" w:themeFill="background1" w:themeFillShade="D9"/>
            <w:vAlign w:val="center"/>
          </w:tcPr>
          <w:p w14:paraId="122C4F61" w14:textId="77777777" w:rsidR="00625A77" w:rsidRPr="00B33487" w:rsidRDefault="00625A77" w:rsidP="007250E3">
            <w:pPr>
              <w:spacing w:after="0" w:line="240" w:lineRule="auto"/>
              <w:jc w:val="center"/>
              <w:rPr>
                <w:rFonts w:ascii="Arial" w:hAnsi="Arial" w:cs="Arial"/>
                <w:b/>
                <w:lang w:val="mn-MN"/>
              </w:rPr>
            </w:pPr>
            <w:r w:rsidRPr="00B33487">
              <w:rPr>
                <w:rFonts w:ascii="Arial" w:hAnsi="Arial" w:cs="Arial"/>
                <w:b/>
                <w:lang w:val="mn-MN"/>
              </w:rPr>
              <w:t>д/д</w:t>
            </w:r>
          </w:p>
        </w:tc>
        <w:tc>
          <w:tcPr>
            <w:tcW w:w="2948" w:type="dxa"/>
            <w:shd w:val="clear" w:color="auto" w:fill="D9D9D9" w:themeFill="background1" w:themeFillShade="D9"/>
            <w:vAlign w:val="center"/>
          </w:tcPr>
          <w:p w14:paraId="48EDFFAC" w14:textId="77777777" w:rsidR="00625A77" w:rsidRPr="00B33487" w:rsidRDefault="00625A77" w:rsidP="007250E3">
            <w:pPr>
              <w:spacing w:after="0" w:line="240" w:lineRule="auto"/>
              <w:jc w:val="center"/>
              <w:rPr>
                <w:rFonts w:ascii="Arial" w:hAnsi="Arial" w:cs="Arial"/>
                <w:b/>
                <w:lang w:val="mn-MN"/>
              </w:rPr>
            </w:pPr>
            <w:r w:rsidRPr="00B33487">
              <w:rPr>
                <w:rFonts w:ascii="Arial" w:hAnsi="Arial" w:cs="Arial"/>
                <w:b/>
                <w:lang w:val="mn-MN"/>
              </w:rPr>
              <w:t>Асуулт</w:t>
            </w:r>
          </w:p>
        </w:tc>
        <w:tc>
          <w:tcPr>
            <w:tcW w:w="1134" w:type="dxa"/>
            <w:shd w:val="clear" w:color="auto" w:fill="D9D9D9" w:themeFill="background1" w:themeFillShade="D9"/>
            <w:vAlign w:val="center"/>
          </w:tcPr>
          <w:p w14:paraId="6D76559A" w14:textId="77777777" w:rsidR="00625A77" w:rsidRPr="00B33487" w:rsidRDefault="00625A77" w:rsidP="007250E3">
            <w:pPr>
              <w:spacing w:after="0" w:line="240" w:lineRule="auto"/>
              <w:jc w:val="center"/>
              <w:rPr>
                <w:rFonts w:ascii="Arial" w:hAnsi="Arial" w:cs="Arial"/>
                <w:b/>
                <w:lang w:val="mn-MN"/>
              </w:rPr>
            </w:pPr>
            <w:r w:rsidRPr="00B33487">
              <w:rPr>
                <w:rFonts w:ascii="Arial" w:hAnsi="Arial" w:cs="Arial"/>
                <w:b/>
                <w:lang w:val="mn-MN"/>
              </w:rPr>
              <w:t>Хариулт</w:t>
            </w:r>
          </w:p>
        </w:tc>
        <w:tc>
          <w:tcPr>
            <w:tcW w:w="5094" w:type="dxa"/>
            <w:shd w:val="clear" w:color="auto" w:fill="D9D9D9" w:themeFill="background1" w:themeFillShade="D9"/>
            <w:vAlign w:val="center"/>
          </w:tcPr>
          <w:p w14:paraId="6FBEF944" w14:textId="77777777" w:rsidR="00625A77" w:rsidRPr="00B33487" w:rsidRDefault="00625A77" w:rsidP="007250E3">
            <w:pPr>
              <w:spacing w:after="0" w:line="240" w:lineRule="auto"/>
              <w:jc w:val="center"/>
              <w:rPr>
                <w:rFonts w:ascii="Arial" w:hAnsi="Arial" w:cs="Arial"/>
                <w:b/>
                <w:lang w:val="mn-MN"/>
              </w:rPr>
            </w:pPr>
            <w:r w:rsidRPr="00B33487">
              <w:rPr>
                <w:rFonts w:ascii="Arial" w:hAnsi="Arial" w:cs="Arial"/>
                <w:b/>
                <w:lang w:val="mn-MN"/>
              </w:rPr>
              <w:t>Дүн шинжилгээ</w:t>
            </w:r>
          </w:p>
        </w:tc>
      </w:tr>
      <w:tr w:rsidR="00625A77" w:rsidRPr="00B33487" w14:paraId="6A487EA2" w14:textId="77777777" w:rsidTr="007250E3">
        <w:tc>
          <w:tcPr>
            <w:tcW w:w="567" w:type="dxa"/>
            <w:vAlign w:val="center"/>
          </w:tcPr>
          <w:p w14:paraId="64409583"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1</w:t>
            </w:r>
          </w:p>
        </w:tc>
        <w:tc>
          <w:tcPr>
            <w:tcW w:w="2948" w:type="dxa"/>
            <w:vAlign w:val="center"/>
          </w:tcPr>
          <w:p w14:paraId="1CB4A426"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төслийн зохицуулалт тухайн хуулийн зорилттой нийцэж байгаа эсэх;</w:t>
            </w:r>
          </w:p>
        </w:tc>
        <w:tc>
          <w:tcPr>
            <w:tcW w:w="1134" w:type="dxa"/>
            <w:vAlign w:val="center"/>
          </w:tcPr>
          <w:p w14:paraId="590A0C50"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Тийм</w:t>
            </w:r>
          </w:p>
        </w:tc>
        <w:tc>
          <w:tcPr>
            <w:tcW w:w="5094" w:type="dxa"/>
            <w:vAlign w:val="center"/>
          </w:tcPr>
          <w:p w14:paraId="71872FFA"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 xml:space="preserve">Хуулийн төслийн зохицуулалт нь үзэл баримтлалд тусгагдсан зорилтыг бүрэн хангаж байна. </w:t>
            </w:r>
          </w:p>
        </w:tc>
      </w:tr>
      <w:tr w:rsidR="00625A77" w:rsidRPr="00B33487" w14:paraId="446CF5CD" w14:textId="77777777" w:rsidTr="007250E3">
        <w:trPr>
          <w:trHeight w:val="416"/>
        </w:trPr>
        <w:tc>
          <w:tcPr>
            <w:tcW w:w="567" w:type="dxa"/>
            <w:vAlign w:val="center"/>
          </w:tcPr>
          <w:p w14:paraId="7A2EED95"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2</w:t>
            </w:r>
          </w:p>
        </w:tc>
        <w:tc>
          <w:tcPr>
            <w:tcW w:w="2948" w:type="dxa"/>
            <w:vAlign w:val="center"/>
          </w:tcPr>
          <w:p w14:paraId="755D5A12" w14:textId="77777777" w:rsidR="00625A77" w:rsidRPr="00B33487" w:rsidRDefault="00625A77" w:rsidP="00BA5DF6">
            <w:pPr>
              <w:spacing w:after="0" w:line="240" w:lineRule="auto"/>
              <w:rPr>
                <w:rFonts w:ascii="Arial" w:hAnsi="Arial" w:cs="Arial"/>
                <w:lang w:val="mn-MN"/>
              </w:rPr>
            </w:pPr>
            <w:r w:rsidRPr="00B33487">
              <w:rPr>
                <w:rFonts w:ascii="Arial" w:hAnsi="Arial" w:cs="Arial"/>
                <w:bCs/>
                <w:lang w:val="mn-MN"/>
              </w:rPr>
              <w:t>Х</w:t>
            </w:r>
            <w:r w:rsidRPr="00B33487">
              <w:rPr>
                <w:rFonts w:ascii="Arial" w:hAnsi="Arial" w:cs="Arial"/>
                <w:lang w:val="mn-MN"/>
              </w:rPr>
              <w:t xml:space="preserve">уулийн төслийн “Хууль тогтоомж” гэсэн хэсэгт заасан хуулиудын нэр тухайн харилцаанд хамаарах хууль мөн эсэх; </w:t>
            </w:r>
          </w:p>
        </w:tc>
        <w:tc>
          <w:tcPr>
            <w:tcW w:w="1134" w:type="dxa"/>
            <w:vAlign w:val="center"/>
          </w:tcPr>
          <w:p w14:paraId="195568F1"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Тийм</w:t>
            </w:r>
          </w:p>
        </w:tc>
        <w:tc>
          <w:tcPr>
            <w:tcW w:w="5094" w:type="dxa"/>
            <w:vAlign w:val="center"/>
          </w:tcPr>
          <w:p w14:paraId="7CA79786"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Энэхүү шаардлагыг хангасан</w:t>
            </w:r>
            <w:r w:rsidR="00194683" w:rsidRPr="00B33487">
              <w:rPr>
                <w:rFonts w:ascii="Arial" w:hAnsi="Arial" w:cs="Arial"/>
                <w:lang w:val="mn-MN"/>
              </w:rPr>
              <w:t xml:space="preserve"> </w:t>
            </w:r>
            <w:r w:rsidRPr="00B33487">
              <w:rPr>
                <w:rFonts w:ascii="Arial" w:hAnsi="Arial" w:cs="Arial"/>
                <w:lang w:val="mn-MN"/>
              </w:rPr>
              <w:t xml:space="preserve">байна. </w:t>
            </w:r>
          </w:p>
        </w:tc>
      </w:tr>
      <w:tr w:rsidR="00625A77" w:rsidRPr="00B33487" w14:paraId="08CC5595" w14:textId="77777777" w:rsidTr="007250E3">
        <w:tc>
          <w:tcPr>
            <w:tcW w:w="567" w:type="dxa"/>
            <w:vAlign w:val="center"/>
          </w:tcPr>
          <w:p w14:paraId="231E98B5"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3</w:t>
            </w:r>
          </w:p>
        </w:tc>
        <w:tc>
          <w:tcPr>
            <w:tcW w:w="2948" w:type="dxa"/>
            <w:vAlign w:val="center"/>
          </w:tcPr>
          <w:p w14:paraId="67D52C6C"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 xml:space="preserve">Хуулийн төсөлд тодорхойлсон нэр томьёо </w:t>
            </w:r>
            <w:r w:rsidRPr="00B33487">
              <w:rPr>
                <w:rFonts w:ascii="Arial" w:hAnsi="Arial" w:cs="Arial"/>
                <w:bCs/>
                <w:iCs/>
                <w:lang w:val="mn-MN"/>
              </w:rPr>
              <w:t>тухайн хуулийн</w:t>
            </w:r>
            <w:r w:rsidRPr="00B33487">
              <w:rPr>
                <w:rFonts w:ascii="Arial" w:hAnsi="Arial" w:cs="Arial"/>
                <w:lang w:val="mn-MN"/>
              </w:rPr>
              <w:t xml:space="preserve"> төслийн болон бусад хуулийн нэр томьёотой нийцэж байгаа эсэх;</w:t>
            </w:r>
          </w:p>
        </w:tc>
        <w:tc>
          <w:tcPr>
            <w:tcW w:w="1134" w:type="dxa"/>
            <w:vAlign w:val="center"/>
          </w:tcPr>
          <w:p w14:paraId="78160ED0"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Тийм</w:t>
            </w:r>
          </w:p>
        </w:tc>
        <w:tc>
          <w:tcPr>
            <w:tcW w:w="5094" w:type="dxa"/>
            <w:vAlign w:val="center"/>
          </w:tcPr>
          <w:p w14:paraId="01432AC4" w14:textId="4C79DFD2" w:rsidR="00625A77" w:rsidRPr="00B33487" w:rsidRDefault="009467B8" w:rsidP="00BA5DF6">
            <w:pPr>
              <w:spacing w:after="0" w:line="240" w:lineRule="auto"/>
              <w:rPr>
                <w:rFonts w:ascii="Arial" w:hAnsi="Arial" w:cs="Arial"/>
                <w:sz w:val="24"/>
                <w:szCs w:val="24"/>
                <w:lang w:val="mn-MN"/>
              </w:rPr>
            </w:pPr>
            <w:r w:rsidRPr="00B33487">
              <w:rPr>
                <w:rFonts w:ascii="Arial" w:hAnsi="Arial" w:cs="Arial"/>
                <w:lang w:val="mn-MN"/>
              </w:rPr>
              <w:t>Энэхүү шаардлагыг хангасан байна.</w:t>
            </w:r>
          </w:p>
        </w:tc>
      </w:tr>
      <w:tr w:rsidR="00625A77" w:rsidRPr="00B33487" w14:paraId="3A419D4A" w14:textId="77777777" w:rsidTr="007250E3">
        <w:tc>
          <w:tcPr>
            <w:tcW w:w="567" w:type="dxa"/>
            <w:vAlign w:val="center"/>
          </w:tcPr>
          <w:p w14:paraId="21FBE756"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4</w:t>
            </w:r>
          </w:p>
        </w:tc>
        <w:tc>
          <w:tcPr>
            <w:tcW w:w="2948" w:type="dxa"/>
            <w:vAlign w:val="center"/>
          </w:tcPr>
          <w:p w14:paraId="57E681AE" w14:textId="77777777" w:rsidR="00625A77" w:rsidRPr="00B33487" w:rsidRDefault="00625A77" w:rsidP="00BA5DF6">
            <w:pPr>
              <w:spacing w:after="0" w:line="240" w:lineRule="auto"/>
              <w:rPr>
                <w:rFonts w:ascii="Arial" w:hAnsi="Arial" w:cs="Arial"/>
                <w:lang w:val="mn-MN"/>
              </w:rPr>
            </w:pPr>
            <w:r w:rsidRPr="00B33487">
              <w:rPr>
                <w:rFonts w:ascii="Arial" w:hAnsi="Arial" w:cs="Arial"/>
                <w:bCs/>
                <w:iCs/>
                <w:lang w:val="mn-MN"/>
              </w:rPr>
              <w:t>Хуулийн төслийн зүйл, заалт тухайн хуулийн төсөл болон бусад хуулийн заалттай нийцэж байгаа эсэх</w:t>
            </w:r>
            <w:r w:rsidRPr="00B33487">
              <w:rPr>
                <w:rFonts w:ascii="Arial" w:hAnsi="Arial" w:cs="Arial"/>
                <w:lang w:val="mn-MN"/>
              </w:rPr>
              <w:t>;</w:t>
            </w:r>
          </w:p>
        </w:tc>
        <w:tc>
          <w:tcPr>
            <w:tcW w:w="1134" w:type="dxa"/>
            <w:vAlign w:val="center"/>
          </w:tcPr>
          <w:p w14:paraId="4109D195"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Тийм</w:t>
            </w:r>
          </w:p>
        </w:tc>
        <w:tc>
          <w:tcPr>
            <w:tcW w:w="5094" w:type="dxa"/>
            <w:vAlign w:val="center"/>
          </w:tcPr>
          <w:p w14:paraId="30BA095C" w14:textId="77777777" w:rsidR="00625A77" w:rsidRPr="00B33487" w:rsidRDefault="00F54EE1" w:rsidP="00BA5DF6">
            <w:pPr>
              <w:spacing w:after="0" w:line="240" w:lineRule="auto"/>
              <w:rPr>
                <w:rFonts w:ascii="Arial" w:hAnsi="Arial" w:cs="Arial"/>
                <w:lang w:val="mn-MN"/>
              </w:rPr>
            </w:pPr>
            <w:r w:rsidRPr="00B33487">
              <w:rPr>
                <w:rFonts w:ascii="Arial" w:hAnsi="Arial" w:cs="Arial"/>
                <w:lang w:val="mn-MN"/>
              </w:rPr>
              <w:t>Зарчмын зөрүү</w:t>
            </w:r>
            <w:r w:rsidR="00625A77" w:rsidRPr="00B33487">
              <w:rPr>
                <w:rFonts w:ascii="Arial" w:hAnsi="Arial" w:cs="Arial"/>
                <w:lang w:val="mn-MN"/>
              </w:rPr>
              <w:t>тэй ямар нэгэн асуудал дүн шинжилгээний хүрээнд илрээгүй болно.</w:t>
            </w:r>
          </w:p>
          <w:p w14:paraId="6C05EC28" w14:textId="77777777" w:rsidR="00625A77" w:rsidRPr="00B33487" w:rsidRDefault="00625A77" w:rsidP="00BA5DF6">
            <w:pPr>
              <w:spacing w:after="0" w:line="240" w:lineRule="auto"/>
              <w:rPr>
                <w:rFonts w:ascii="Arial" w:hAnsi="Arial" w:cs="Arial"/>
                <w:lang w:val="mn-MN"/>
              </w:rPr>
            </w:pPr>
          </w:p>
        </w:tc>
      </w:tr>
      <w:tr w:rsidR="00625A77" w:rsidRPr="00B33487" w14:paraId="24D755DB" w14:textId="77777777" w:rsidTr="007250E3">
        <w:tc>
          <w:tcPr>
            <w:tcW w:w="567" w:type="dxa"/>
            <w:vAlign w:val="center"/>
          </w:tcPr>
          <w:p w14:paraId="023BE2F3"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5</w:t>
            </w:r>
          </w:p>
        </w:tc>
        <w:tc>
          <w:tcPr>
            <w:tcW w:w="2948" w:type="dxa"/>
            <w:vAlign w:val="center"/>
          </w:tcPr>
          <w:p w14:paraId="4E7E2732" w14:textId="77777777" w:rsidR="00625A77" w:rsidRPr="00B33487" w:rsidRDefault="00625A77" w:rsidP="00BA5DF6">
            <w:pPr>
              <w:spacing w:after="0" w:line="240" w:lineRule="auto"/>
              <w:rPr>
                <w:rFonts w:ascii="Arial" w:hAnsi="Arial" w:cs="Arial"/>
                <w:bCs/>
                <w:iCs/>
                <w:lang w:val="mn-MN"/>
              </w:rPr>
            </w:pPr>
            <w:r w:rsidRPr="00B33487">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1134" w:type="dxa"/>
            <w:vAlign w:val="center"/>
          </w:tcPr>
          <w:p w14:paraId="58B2755E"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Үгүй</w:t>
            </w:r>
          </w:p>
        </w:tc>
        <w:tc>
          <w:tcPr>
            <w:tcW w:w="5094" w:type="dxa"/>
            <w:vAlign w:val="center"/>
          </w:tcPr>
          <w:p w14:paraId="514D7D93" w14:textId="77777777" w:rsidR="00625A77" w:rsidRPr="00B33487" w:rsidRDefault="00C13976" w:rsidP="00BA5DF6">
            <w:pPr>
              <w:spacing w:after="0" w:line="240" w:lineRule="auto"/>
              <w:rPr>
                <w:rFonts w:ascii="Arial" w:hAnsi="Arial" w:cs="Arial"/>
                <w:lang w:val="mn-MN"/>
              </w:rPr>
            </w:pPr>
            <w:r w:rsidRPr="00B33487">
              <w:rPr>
                <w:rFonts w:ascii="Arial" w:hAnsi="Arial" w:cs="Arial"/>
                <w:lang w:val="mn-MN"/>
              </w:rPr>
              <w:t>З</w:t>
            </w:r>
            <w:r w:rsidR="00B34E98" w:rsidRPr="00B33487">
              <w:rPr>
                <w:rFonts w:ascii="Arial" w:hAnsi="Arial" w:cs="Arial"/>
                <w:lang w:val="mn-MN"/>
              </w:rPr>
              <w:t>өрчилтэй зохицуулалт илэрснийг өмнө дурдсан</w:t>
            </w:r>
            <w:r w:rsidR="00625A77" w:rsidRPr="00B33487">
              <w:rPr>
                <w:rFonts w:ascii="Arial" w:hAnsi="Arial" w:cs="Arial"/>
                <w:lang w:val="mn-MN"/>
              </w:rPr>
              <w:t>.</w:t>
            </w:r>
          </w:p>
        </w:tc>
      </w:tr>
      <w:tr w:rsidR="00625A77" w:rsidRPr="00B33487" w14:paraId="30F2003E" w14:textId="77777777" w:rsidTr="007250E3">
        <w:tc>
          <w:tcPr>
            <w:tcW w:w="567" w:type="dxa"/>
            <w:vAlign w:val="center"/>
          </w:tcPr>
          <w:p w14:paraId="74058A26"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6</w:t>
            </w:r>
          </w:p>
        </w:tc>
        <w:tc>
          <w:tcPr>
            <w:tcW w:w="2948" w:type="dxa"/>
            <w:vAlign w:val="center"/>
          </w:tcPr>
          <w:p w14:paraId="1391BA9C"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төслийг хэрэгжүүлэх этгээдийг тодорхой тусгасан эсэх;</w:t>
            </w:r>
          </w:p>
        </w:tc>
        <w:tc>
          <w:tcPr>
            <w:tcW w:w="1134" w:type="dxa"/>
            <w:vAlign w:val="center"/>
          </w:tcPr>
          <w:p w14:paraId="58B0AE3D"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Тийм</w:t>
            </w:r>
          </w:p>
        </w:tc>
        <w:tc>
          <w:tcPr>
            <w:tcW w:w="5094" w:type="dxa"/>
            <w:vAlign w:val="center"/>
          </w:tcPr>
          <w:p w14:paraId="0D194383"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 xml:space="preserve">Хуулийн төслийг хэрэгжүүлэгч </w:t>
            </w:r>
            <w:r w:rsidR="00B53593" w:rsidRPr="00B33487">
              <w:rPr>
                <w:rFonts w:ascii="Arial" w:hAnsi="Arial" w:cs="Arial"/>
                <w:lang w:val="mn-MN"/>
              </w:rPr>
              <w:t xml:space="preserve">субъектүүдийн </w:t>
            </w:r>
            <w:r w:rsidRPr="00B33487">
              <w:rPr>
                <w:rFonts w:ascii="Arial" w:hAnsi="Arial" w:cs="Arial"/>
                <w:lang w:val="mn-MN"/>
              </w:rPr>
              <w:t xml:space="preserve">эрх үүргийг ялган тодорхойлсон байна. </w:t>
            </w:r>
          </w:p>
          <w:p w14:paraId="1D3FBAE7" w14:textId="77777777" w:rsidR="00625A77" w:rsidRPr="00B33487" w:rsidRDefault="00625A77" w:rsidP="00BA5DF6">
            <w:pPr>
              <w:spacing w:after="0" w:line="240" w:lineRule="auto"/>
              <w:rPr>
                <w:rFonts w:ascii="Arial" w:hAnsi="Arial" w:cs="Arial"/>
                <w:lang w:val="mn-MN"/>
              </w:rPr>
            </w:pPr>
          </w:p>
        </w:tc>
      </w:tr>
      <w:tr w:rsidR="00625A77" w:rsidRPr="00B33487" w14:paraId="65BA447C" w14:textId="77777777" w:rsidTr="007250E3">
        <w:trPr>
          <w:trHeight w:val="557"/>
        </w:trPr>
        <w:tc>
          <w:tcPr>
            <w:tcW w:w="567" w:type="dxa"/>
            <w:vAlign w:val="center"/>
          </w:tcPr>
          <w:p w14:paraId="4F001992"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7</w:t>
            </w:r>
          </w:p>
        </w:tc>
        <w:tc>
          <w:tcPr>
            <w:tcW w:w="2948" w:type="dxa"/>
            <w:vAlign w:val="center"/>
          </w:tcPr>
          <w:p w14:paraId="51E1E814" w14:textId="77777777" w:rsidR="00625A77" w:rsidRPr="00B33487" w:rsidRDefault="00625A77" w:rsidP="00BA5DF6">
            <w:pPr>
              <w:spacing w:after="0" w:line="240" w:lineRule="auto"/>
              <w:rPr>
                <w:rFonts w:ascii="Arial" w:hAnsi="Arial" w:cs="Arial"/>
                <w:lang w:val="mn-MN"/>
              </w:rPr>
            </w:pPr>
            <w:r w:rsidRPr="00B33487">
              <w:rPr>
                <w:rFonts w:ascii="Arial" w:hAnsi="Arial" w:cs="Arial"/>
                <w:bCs/>
                <w:iCs/>
                <w:lang w:val="mn-MN"/>
              </w:rPr>
              <w:t>Хуулийн төсөлд шаардлагатай зохицуулалтыг орхигдуулсан эсэх</w:t>
            </w:r>
            <w:r w:rsidRPr="00B33487">
              <w:rPr>
                <w:rFonts w:ascii="Arial" w:hAnsi="Arial" w:cs="Arial"/>
                <w:lang w:val="mn-MN"/>
              </w:rPr>
              <w:t>;</w:t>
            </w:r>
          </w:p>
        </w:tc>
        <w:tc>
          <w:tcPr>
            <w:tcW w:w="1134" w:type="dxa"/>
            <w:vAlign w:val="center"/>
          </w:tcPr>
          <w:p w14:paraId="629132A3"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Үгүй</w:t>
            </w:r>
          </w:p>
        </w:tc>
        <w:tc>
          <w:tcPr>
            <w:tcW w:w="5094" w:type="dxa"/>
            <w:vAlign w:val="center"/>
          </w:tcPr>
          <w:p w14:paraId="77507C37"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төсөлд байх бүхий л зохицуулалтыг тусгасан гэж ойлгож байна.</w:t>
            </w:r>
          </w:p>
        </w:tc>
      </w:tr>
      <w:tr w:rsidR="00625A77" w:rsidRPr="00B33487" w14:paraId="3C8420FF" w14:textId="77777777" w:rsidTr="007250E3">
        <w:tc>
          <w:tcPr>
            <w:tcW w:w="567" w:type="dxa"/>
            <w:vAlign w:val="center"/>
          </w:tcPr>
          <w:p w14:paraId="35E248A7"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8</w:t>
            </w:r>
          </w:p>
        </w:tc>
        <w:tc>
          <w:tcPr>
            <w:tcW w:w="2948" w:type="dxa"/>
            <w:vAlign w:val="center"/>
          </w:tcPr>
          <w:p w14:paraId="4509EEF5"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төсөлд төрийн байгууллагын гүйцэтгэх чиг үүргийг давхардуулан тусгасан эсэх;</w:t>
            </w:r>
          </w:p>
        </w:tc>
        <w:tc>
          <w:tcPr>
            <w:tcW w:w="1134" w:type="dxa"/>
            <w:vAlign w:val="center"/>
          </w:tcPr>
          <w:p w14:paraId="29210100"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Үгүй</w:t>
            </w:r>
          </w:p>
        </w:tc>
        <w:tc>
          <w:tcPr>
            <w:tcW w:w="5094" w:type="dxa"/>
            <w:vAlign w:val="center"/>
          </w:tcPr>
          <w:p w14:paraId="7230283A"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Хяналтаар ямар нэгэн зөрчилтэй зохицуулалт илрээгүй.</w:t>
            </w:r>
          </w:p>
        </w:tc>
      </w:tr>
      <w:tr w:rsidR="00625A77" w:rsidRPr="00B33487" w14:paraId="169C9A26" w14:textId="77777777" w:rsidTr="007250E3">
        <w:tc>
          <w:tcPr>
            <w:tcW w:w="567" w:type="dxa"/>
            <w:vAlign w:val="center"/>
          </w:tcPr>
          <w:p w14:paraId="33F2AE14"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9</w:t>
            </w:r>
          </w:p>
        </w:tc>
        <w:tc>
          <w:tcPr>
            <w:tcW w:w="2948" w:type="dxa"/>
            <w:vAlign w:val="center"/>
          </w:tcPr>
          <w:p w14:paraId="000D0E23"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1134" w:type="dxa"/>
            <w:vAlign w:val="center"/>
          </w:tcPr>
          <w:p w14:paraId="0FE3F22A"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Тийм</w:t>
            </w:r>
          </w:p>
        </w:tc>
        <w:tc>
          <w:tcPr>
            <w:tcW w:w="5094" w:type="dxa"/>
            <w:vAlign w:val="center"/>
          </w:tcPr>
          <w:p w14:paraId="36CDF77F" w14:textId="77777777" w:rsidR="00625A77" w:rsidRPr="00B33487" w:rsidRDefault="007B2521" w:rsidP="00BA5DF6">
            <w:pPr>
              <w:spacing w:after="0" w:line="240" w:lineRule="auto"/>
              <w:rPr>
                <w:rFonts w:ascii="Arial" w:hAnsi="Arial" w:cs="Arial"/>
                <w:lang w:val="mn-MN"/>
              </w:rPr>
            </w:pPr>
            <w:r w:rsidRPr="00B33487">
              <w:rPr>
                <w:rFonts w:ascii="Arial" w:hAnsi="Arial" w:cs="Arial"/>
                <w:lang w:val="mn-MN"/>
              </w:rPr>
              <w:t xml:space="preserve">Хяналтаар төрийн байгууллагын чиг үүргийг төрийн бус байгууллагад </w:t>
            </w:r>
            <w:r w:rsidR="004A02ED" w:rsidRPr="00B33487">
              <w:rPr>
                <w:rFonts w:ascii="Arial" w:hAnsi="Arial" w:cs="Arial"/>
                <w:lang w:val="mn-MN"/>
              </w:rPr>
              <w:t xml:space="preserve">шилжүүлэх зохицуулалт </w:t>
            </w:r>
            <w:r w:rsidR="00B734CB" w:rsidRPr="00B33487">
              <w:rPr>
                <w:rFonts w:ascii="Arial" w:hAnsi="Arial" w:cs="Arial"/>
                <w:lang w:val="mn-MN"/>
              </w:rPr>
              <w:t>илрээгүй.</w:t>
            </w:r>
          </w:p>
        </w:tc>
      </w:tr>
      <w:tr w:rsidR="00625A77" w:rsidRPr="00B33487" w14:paraId="5C68FFFE" w14:textId="77777777" w:rsidTr="007250E3">
        <w:tc>
          <w:tcPr>
            <w:tcW w:w="567" w:type="dxa"/>
            <w:vAlign w:val="center"/>
          </w:tcPr>
          <w:p w14:paraId="10D2715C"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10</w:t>
            </w:r>
          </w:p>
        </w:tc>
        <w:tc>
          <w:tcPr>
            <w:tcW w:w="2948" w:type="dxa"/>
            <w:vAlign w:val="center"/>
          </w:tcPr>
          <w:p w14:paraId="745389D2"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Татварын хуулиас бусад хуулийн төсөлд албан татвар, төлбөр, хураамж тогтоосон эсэх;</w:t>
            </w:r>
          </w:p>
        </w:tc>
        <w:tc>
          <w:tcPr>
            <w:tcW w:w="1134" w:type="dxa"/>
            <w:vAlign w:val="center"/>
          </w:tcPr>
          <w:p w14:paraId="4A8E36A5"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Үгүй</w:t>
            </w:r>
          </w:p>
        </w:tc>
        <w:tc>
          <w:tcPr>
            <w:tcW w:w="5094" w:type="dxa"/>
            <w:vAlign w:val="center"/>
          </w:tcPr>
          <w:p w14:paraId="4CD32CC3" w14:textId="5D3249F7" w:rsidR="00625A77" w:rsidRPr="00B33487" w:rsidRDefault="009467B8" w:rsidP="00BA5DF6">
            <w:pPr>
              <w:spacing w:after="0" w:line="240" w:lineRule="auto"/>
              <w:rPr>
                <w:rFonts w:ascii="Arial" w:hAnsi="Arial" w:cs="Arial"/>
                <w:lang w:val="mn-MN"/>
              </w:rPr>
            </w:pPr>
            <w:r w:rsidRPr="00B33487">
              <w:rPr>
                <w:rFonts w:ascii="Arial" w:hAnsi="Arial" w:cs="Arial"/>
                <w:lang w:val="mn-MN"/>
              </w:rPr>
              <w:t xml:space="preserve">Тогтоогоогүй. </w:t>
            </w:r>
          </w:p>
        </w:tc>
      </w:tr>
      <w:tr w:rsidR="00625A77" w:rsidRPr="00B33487" w14:paraId="4B5F1A81" w14:textId="77777777" w:rsidTr="007250E3">
        <w:tc>
          <w:tcPr>
            <w:tcW w:w="567" w:type="dxa"/>
            <w:vAlign w:val="center"/>
          </w:tcPr>
          <w:p w14:paraId="4331943B"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12</w:t>
            </w:r>
          </w:p>
        </w:tc>
        <w:tc>
          <w:tcPr>
            <w:tcW w:w="2948" w:type="dxa"/>
            <w:vAlign w:val="center"/>
          </w:tcPr>
          <w:p w14:paraId="601076EB" w14:textId="77777777" w:rsidR="00625A77" w:rsidRPr="00B33487" w:rsidRDefault="00625A77" w:rsidP="00BA5DF6">
            <w:pPr>
              <w:spacing w:after="0" w:line="240" w:lineRule="auto"/>
              <w:rPr>
                <w:rFonts w:ascii="Arial" w:hAnsi="Arial" w:cs="Arial"/>
                <w:bCs/>
                <w:lang w:val="mn-MN"/>
              </w:rPr>
            </w:pPr>
            <w:r w:rsidRPr="00B33487">
              <w:rPr>
                <w:rFonts w:ascii="Arial" w:hAnsi="Arial" w:cs="Arial"/>
                <w:lang w:val="mn-MN"/>
              </w:rPr>
              <w:t xml:space="preserve">Монгол Улсын Үндсэн хууль болон Монгол Улсын олон улсын гэрээнд заасан хүний эрхийг хязгаарласан </w:t>
            </w:r>
            <w:r w:rsidRPr="00B33487">
              <w:rPr>
                <w:rFonts w:ascii="Arial" w:hAnsi="Arial" w:cs="Arial"/>
                <w:lang w:val="mn-MN"/>
              </w:rPr>
              <w:lastRenderedPageBreak/>
              <w:t>зохицуулалт тусгасан эсэх;</w:t>
            </w:r>
          </w:p>
        </w:tc>
        <w:tc>
          <w:tcPr>
            <w:tcW w:w="1134" w:type="dxa"/>
            <w:vAlign w:val="center"/>
          </w:tcPr>
          <w:p w14:paraId="72AF0D41"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lastRenderedPageBreak/>
              <w:t>Үгүй</w:t>
            </w:r>
          </w:p>
        </w:tc>
        <w:tc>
          <w:tcPr>
            <w:tcW w:w="5094" w:type="dxa"/>
            <w:vAlign w:val="center"/>
          </w:tcPr>
          <w:p w14:paraId="409C686E"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Хяналтаар ямар нэгэн зөрчилтэй зохицуулалт илрээгүй.</w:t>
            </w:r>
          </w:p>
        </w:tc>
      </w:tr>
      <w:tr w:rsidR="00625A77" w:rsidRPr="00B33487" w14:paraId="5B0F97E8" w14:textId="77777777" w:rsidTr="007250E3">
        <w:tc>
          <w:tcPr>
            <w:tcW w:w="567" w:type="dxa"/>
            <w:vAlign w:val="center"/>
          </w:tcPr>
          <w:p w14:paraId="1A8898D6"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lastRenderedPageBreak/>
              <w:t>13</w:t>
            </w:r>
          </w:p>
        </w:tc>
        <w:tc>
          <w:tcPr>
            <w:tcW w:w="2948" w:type="dxa"/>
            <w:vAlign w:val="center"/>
          </w:tcPr>
          <w:p w14:paraId="055C18A5"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төслийн зүйл, заалт жендэрийн эрх тэгш байдлыг хангасан эсэх;</w:t>
            </w:r>
          </w:p>
        </w:tc>
        <w:tc>
          <w:tcPr>
            <w:tcW w:w="1134" w:type="dxa"/>
            <w:vAlign w:val="center"/>
          </w:tcPr>
          <w:p w14:paraId="392A2FAF" w14:textId="77777777" w:rsidR="00625A77" w:rsidRPr="00B33487" w:rsidRDefault="00625A77" w:rsidP="00BA5DF6">
            <w:pPr>
              <w:pStyle w:val="ListParagraph"/>
              <w:numPr>
                <w:ilvl w:val="0"/>
                <w:numId w:val="9"/>
              </w:numPr>
              <w:spacing w:after="0" w:line="240" w:lineRule="auto"/>
              <w:contextualSpacing w:val="0"/>
              <w:rPr>
                <w:rFonts w:ascii="Arial" w:hAnsi="Arial" w:cs="Arial"/>
                <w:lang w:val="mn-MN"/>
              </w:rPr>
            </w:pPr>
          </w:p>
        </w:tc>
        <w:tc>
          <w:tcPr>
            <w:tcW w:w="5094" w:type="dxa"/>
            <w:vAlign w:val="center"/>
          </w:tcPr>
          <w:p w14:paraId="227419D4"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төсөлд тусгайлан зохицуулалт тусгагдаагүй бөгөөд энэ асуудлыг Жендэрийн эрх тэгш байдлыг хангах тухай хуулийн хүрээнд зохицуулах боломжтой</w:t>
            </w:r>
          </w:p>
        </w:tc>
      </w:tr>
      <w:tr w:rsidR="00625A77" w:rsidRPr="00B33487" w14:paraId="11FCB5D2" w14:textId="77777777" w:rsidTr="007250E3">
        <w:trPr>
          <w:trHeight w:val="563"/>
        </w:trPr>
        <w:tc>
          <w:tcPr>
            <w:tcW w:w="567" w:type="dxa"/>
            <w:vAlign w:val="center"/>
          </w:tcPr>
          <w:p w14:paraId="00437A79" w14:textId="77777777" w:rsidR="00625A77" w:rsidRPr="00B33487" w:rsidRDefault="00625A77" w:rsidP="007250E3">
            <w:pPr>
              <w:spacing w:after="0" w:line="240" w:lineRule="auto"/>
              <w:jc w:val="center"/>
              <w:rPr>
                <w:rFonts w:ascii="Arial" w:hAnsi="Arial" w:cs="Arial"/>
                <w:lang w:val="mn-MN"/>
              </w:rPr>
            </w:pPr>
            <w:r w:rsidRPr="00B33487">
              <w:rPr>
                <w:rFonts w:ascii="Arial" w:hAnsi="Arial" w:cs="Arial"/>
                <w:lang w:val="mn-MN"/>
              </w:rPr>
              <w:t>14</w:t>
            </w:r>
          </w:p>
        </w:tc>
        <w:tc>
          <w:tcPr>
            <w:tcW w:w="2948" w:type="dxa"/>
            <w:vAlign w:val="center"/>
          </w:tcPr>
          <w:p w14:paraId="37BE299B"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төсөлд шударга бус өрсөлдөөнийг бий болгоход чиглэсэн заалт тусгагдсан эсэх;</w:t>
            </w:r>
          </w:p>
        </w:tc>
        <w:tc>
          <w:tcPr>
            <w:tcW w:w="1134" w:type="dxa"/>
            <w:vAlign w:val="center"/>
          </w:tcPr>
          <w:p w14:paraId="154EFB40" w14:textId="77777777" w:rsidR="00625A77" w:rsidRPr="00B33487" w:rsidRDefault="00625A77" w:rsidP="00BA5DF6">
            <w:pPr>
              <w:pStyle w:val="ListParagraph"/>
              <w:numPr>
                <w:ilvl w:val="0"/>
                <w:numId w:val="9"/>
              </w:numPr>
              <w:spacing w:after="0" w:line="240" w:lineRule="auto"/>
              <w:contextualSpacing w:val="0"/>
              <w:rPr>
                <w:rFonts w:ascii="Arial" w:hAnsi="Arial" w:cs="Arial"/>
                <w:lang w:val="mn-MN"/>
              </w:rPr>
            </w:pPr>
          </w:p>
        </w:tc>
        <w:tc>
          <w:tcPr>
            <w:tcW w:w="5094" w:type="dxa"/>
            <w:vAlign w:val="center"/>
          </w:tcPr>
          <w:p w14:paraId="1209833F"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төсөлд тусгайлан зохицуулалт тусгагдаагүй бөгөөд энэ асуудлыг Өрсөлдөөний тухай хуулийн хүрээнд зохицуулах боломжтой</w:t>
            </w:r>
          </w:p>
        </w:tc>
      </w:tr>
      <w:tr w:rsidR="00625A77" w:rsidRPr="00B33487" w14:paraId="26945F1A" w14:textId="77777777" w:rsidTr="009E2E85">
        <w:tc>
          <w:tcPr>
            <w:tcW w:w="567" w:type="dxa"/>
            <w:vAlign w:val="center"/>
          </w:tcPr>
          <w:p w14:paraId="26D7FA07"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15</w:t>
            </w:r>
          </w:p>
        </w:tc>
        <w:tc>
          <w:tcPr>
            <w:tcW w:w="2948" w:type="dxa"/>
            <w:vAlign w:val="center"/>
          </w:tcPr>
          <w:p w14:paraId="469FB5FC" w14:textId="77777777" w:rsidR="00625A77" w:rsidRPr="00B33487" w:rsidRDefault="00625A77" w:rsidP="00BA5DF6">
            <w:pPr>
              <w:spacing w:after="0" w:line="240" w:lineRule="auto"/>
              <w:rPr>
                <w:rFonts w:ascii="Arial" w:hAnsi="Arial" w:cs="Arial"/>
                <w:bCs/>
                <w:lang w:val="mn-MN"/>
              </w:rPr>
            </w:pPr>
            <w:r w:rsidRPr="00B33487">
              <w:rPr>
                <w:rFonts w:ascii="Arial" w:hAnsi="Arial" w:cs="Arial"/>
                <w:lang w:val="mn-MN"/>
              </w:rPr>
              <w:t>Хуулийн төсөлд авлига, хүнд суртлыг бий болгоход чиглэсэн заалт тусгагдсан эсэх;</w:t>
            </w:r>
          </w:p>
        </w:tc>
        <w:tc>
          <w:tcPr>
            <w:tcW w:w="1134" w:type="dxa"/>
            <w:vAlign w:val="center"/>
          </w:tcPr>
          <w:p w14:paraId="78155D69"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Үгүй</w:t>
            </w:r>
          </w:p>
        </w:tc>
        <w:tc>
          <w:tcPr>
            <w:tcW w:w="5094" w:type="dxa"/>
            <w:vAlign w:val="center"/>
          </w:tcPr>
          <w:p w14:paraId="66AD6F51"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 xml:space="preserve">Хяналтаар энэ төрлийн зөрчил илрээгүй. </w:t>
            </w:r>
          </w:p>
        </w:tc>
      </w:tr>
      <w:tr w:rsidR="00625A77" w:rsidRPr="00B33487" w14:paraId="50EBF36F" w14:textId="77777777" w:rsidTr="009E2E85">
        <w:tc>
          <w:tcPr>
            <w:tcW w:w="567" w:type="dxa"/>
            <w:vAlign w:val="center"/>
          </w:tcPr>
          <w:p w14:paraId="251138C5"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16</w:t>
            </w:r>
          </w:p>
        </w:tc>
        <w:tc>
          <w:tcPr>
            <w:tcW w:w="2948" w:type="dxa"/>
            <w:vAlign w:val="center"/>
          </w:tcPr>
          <w:p w14:paraId="20BBAC9E" w14:textId="77777777" w:rsidR="00625A77" w:rsidRPr="00B33487" w:rsidRDefault="00625A77" w:rsidP="00BA5DF6">
            <w:pPr>
              <w:spacing w:after="0" w:line="240" w:lineRule="auto"/>
              <w:rPr>
                <w:rFonts w:ascii="Arial" w:hAnsi="Arial" w:cs="Arial"/>
                <w:lang w:val="mn-MN"/>
              </w:rPr>
            </w:pPr>
            <w:r w:rsidRPr="00B33487">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134" w:type="dxa"/>
            <w:vAlign w:val="center"/>
          </w:tcPr>
          <w:p w14:paraId="5AD9F513" w14:textId="77777777" w:rsidR="00625A77" w:rsidRPr="00B33487" w:rsidRDefault="00625A77" w:rsidP="00BA5DF6">
            <w:pPr>
              <w:pStyle w:val="ListParagraph"/>
              <w:numPr>
                <w:ilvl w:val="0"/>
                <w:numId w:val="9"/>
              </w:numPr>
              <w:spacing w:after="0" w:line="240" w:lineRule="auto"/>
              <w:contextualSpacing w:val="0"/>
              <w:rPr>
                <w:rFonts w:ascii="Arial" w:hAnsi="Arial" w:cs="Arial"/>
                <w:lang w:val="mn-MN"/>
              </w:rPr>
            </w:pPr>
          </w:p>
        </w:tc>
        <w:tc>
          <w:tcPr>
            <w:tcW w:w="5094" w:type="dxa"/>
            <w:vAlign w:val="center"/>
          </w:tcPr>
          <w:p w14:paraId="769BC546" w14:textId="0A59E71D" w:rsidR="00625A77" w:rsidRPr="00B33487" w:rsidRDefault="00625A77" w:rsidP="00BA5DF6">
            <w:pPr>
              <w:spacing w:after="0" w:line="240" w:lineRule="auto"/>
              <w:rPr>
                <w:rFonts w:ascii="Arial" w:hAnsi="Arial" w:cs="Arial"/>
                <w:lang w:val="mn-MN"/>
              </w:rPr>
            </w:pPr>
            <w:r w:rsidRPr="00B33487">
              <w:rPr>
                <w:rFonts w:ascii="Arial" w:hAnsi="Arial" w:cs="Arial"/>
                <w:lang w:val="mn-MN"/>
              </w:rPr>
              <w:t>Тухайн хуулийг зөрчсөн этгээдэд хүлээ</w:t>
            </w:r>
            <w:r w:rsidR="005A755A" w:rsidRPr="00B33487">
              <w:rPr>
                <w:rFonts w:ascii="Arial" w:hAnsi="Arial" w:cs="Arial"/>
                <w:lang w:val="mn-MN"/>
              </w:rPr>
              <w:t>л</w:t>
            </w:r>
            <w:r w:rsidRPr="00B33487">
              <w:rPr>
                <w:rFonts w:ascii="Arial" w:hAnsi="Arial" w:cs="Arial"/>
                <w:lang w:val="mn-MN"/>
              </w:rPr>
              <w:t>гэх хариуцлагыг Зөрчлийн тухай</w:t>
            </w:r>
            <w:r w:rsidR="006B0117" w:rsidRPr="00B33487">
              <w:rPr>
                <w:rFonts w:ascii="Arial" w:hAnsi="Arial" w:cs="Arial"/>
                <w:lang w:val="mn-MN"/>
              </w:rPr>
              <w:t xml:space="preserve"> хуулиар </w:t>
            </w:r>
            <w:r w:rsidRPr="00B33487">
              <w:rPr>
                <w:rFonts w:ascii="Arial" w:hAnsi="Arial" w:cs="Arial"/>
                <w:lang w:val="mn-MN"/>
              </w:rPr>
              <w:t xml:space="preserve">зохицуулагдсан болно. </w:t>
            </w:r>
          </w:p>
        </w:tc>
      </w:tr>
    </w:tbl>
    <w:p w14:paraId="06E6BD79" w14:textId="3603FB5C" w:rsidR="00625A77" w:rsidRPr="00B33487" w:rsidRDefault="00625A77" w:rsidP="00F92A9E">
      <w:pPr>
        <w:spacing w:after="120" w:line="240" w:lineRule="auto"/>
        <w:ind w:firstLine="720"/>
        <w:jc w:val="both"/>
        <w:rPr>
          <w:rFonts w:ascii="Arial" w:hAnsi="Arial" w:cs="Arial"/>
          <w:lang w:val="mn-MN"/>
        </w:rPr>
      </w:pPr>
      <w:r w:rsidRPr="00B33487">
        <w:rPr>
          <w:rFonts w:ascii="Arial" w:hAnsi="Arial" w:cs="Arial"/>
          <w:lang w:val="mn-MN"/>
        </w:rPr>
        <w:t xml:space="preserve">Энэхүү шалгуур үзүүлэлтийн дагуу дүн шинжилгээ хийж үзэхэд хуулийн төслийн зүйл заалт өөр хоорондоо </w:t>
      </w:r>
      <w:r w:rsidR="00B97205" w:rsidRPr="00B33487">
        <w:rPr>
          <w:rFonts w:ascii="Arial" w:hAnsi="Arial" w:cs="Arial"/>
          <w:lang w:val="mn-MN"/>
        </w:rPr>
        <w:t xml:space="preserve">зөрчилдөөгүй байх бөгөөд </w:t>
      </w:r>
      <w:r w:rsidRPr="00B33487">
        <w:rPr>
          <w:rFonts w:ascii="Arial" w:hAnsi="Arial" w:cs="Arial"/>
          <w:lang w:val="mn-MN"/>
        </w:rPr>
        <w:t>үүрэг хүлээсэн байгууллага, албан тушаалтнуудын чиг үүрэгт давхардал үүсгээгүй байна</w:t>
      </w:r>
      <w:r w:rsidR="00500473" w:rsidRPr="00B33487">
        <w:rPr>
          <w:rFonts w:ascii="Arial" w:hAnsi="Arial" w:cs="Arial"/>
          <w:lang w:val="mn-MN"/>
        </w:rPr>
        <w:t>.</w:t>
      </w:r>
    </w:p>
    <w:p w14:paraId="5CFF7DC2" w14:textId="77777777" w:rsidR="00CB63AD" w:rsidRPr="00B33487" w:rsidRDefault="00CB63AD" w:rsidP="00F92A9E">
      <w:pPr>
        <w:pStyle w:val="Default"/>
        <w:spacing w:after="120"/>
        <w:jc w:val="center"/>
        <w:rPr>
          <w:b/>
          <w:bCs/>
          <w:color w:val="auto"/>
          <w:sz w:val="22"/>
          <w:szCs w:val="22"/>
          <w:lang w:val="mn-MN"/>
        </w:rPr>
      </w:pPr>
      <w:r w:rsidRPr="00B33487">
        <w:rPr>
          <w:b/>
          <w:bCs/>
          <w:color w:val="auto"/>
          <w:sz w:val="22"/>
          <w:szCs w:val="22"/>
          <w:lang w:val="mn-MN"/>
        </w:rPr>
        <w:t>ДӨРӨВ. ҮР ДҮНГ ҮНЭЛЖ, ЗӨВЛӨМЖ ӨГСӨН БАЙДАЛ</w:t>
      </w:r>
    </w:p>
    <w:p w14:paraId="50885B29" w14:textId="77777777" w:rsidR="00CB63AD" w:rsidRPr="00B33487" w:rsidRDefault="00CB63AD" w:rsidP="00F92A9E">
      <w:pPr>
        <w:pStyle w:val="Default"/>
        <w:numPr>
          <w:ilvl w:val="1"/>
          <w:numId w:val="1"/>
        </w:numPr>
        <w:spacing w:after="120"/>
        <w:rPr>
          <w:b/>
          <w:color w:val="auto"/>
          <w:sz w:val="22"/>
          <w:szCs w:val="22"/>
          <w:lang w:val="mn-MN"/>
        </w:rPr>
      </w:pPr>
      <w:r w:rsidRPr="00B33487">
        <w:rPr>
          <w:b/>
          <w:color w:val="auto"/>
          <w:sz w:val="22"/>
          <w:szCs w:val="22"/>
          <w:lang w:val="mn-MN"/>
        </w:rPr>
        <w:t>Үнэлэлт, дүгнэлт</w:t>
      </w:r>
      <w:r w:rsidR="00961CE4" w:rsidRPr="00B33487">
        <w:rPr>
          <w:b/>
          <w:color w:val="auto"/>
          <w:sz w:val="22"/>
          <w:szCs w:val="22"/>
          <w:lang w:val="mn-MN"/>
        </w:rPr>
        <w:t xml:space="preserve"> </w:t>
      </w:r>
    </w:p>
    <w:p w14:paraId="1A1E0C03" w14:textId="0C809996" w:rsidR="00DA595E" w:rsidRPr="00B33487" w:rsidRDefault="006E0E4C" w:rsidP="00F92A9E">
      <w:pPr>
        <w:pStyle w:val="Default"/>
        <w:spacing w:after="120"/>
        <w:ind w:firstLine="720"/>
        <w:jc w:val="both"/>
        <w:rPr>
          <w:color w:val="auto"/>
          <w:lang w:val="mn-MN"/>
        </w:rPr>
      </w:pPr>
      <w:r w:rsidRPr="00B33487">
        <w:rPr>
          <w:rFonts w:eastAsia="Times New Roman"/>
          <w:color w:val="auto"/>
          <w:lang w:val="mn-MN"/>
        </w:rPr>
        <w:t>Хуулийн төслийн бүтэц, зохицуулах харилцаа, хамрах хүрээ, а</w:t>
      </w:r>
      <w:r w:rsidR="00A8464C" w:rsidRPr="00B33487">
        <w:rPr>
          <w:rFonts w:eastAsia="Times New Roman"/>
          <w:color w:val="auto"/>
          <w:lang w:val="mn-MN"/>
        </w:rPr>
        <w:t>гуулг</w:t>
      </w:r>
      <w:r w:rsidR="00C71781" w:rsidRPr="00B33487">
        <w:rPr>
          <w:rFonts w:eastAsia="Times New Roman"/>
          <w:color w:val="auto"/>
          <w:lang w:val="mn-MN"/>
        </w:rPr>
        <w:t>ын</w:t>
      </w:r>
      <w:r w:rsidR="00C16AA0" w:rsidRPr="00B33487">
        <w:rPr>
          <w:rFonts w:eastAsia="Times New Roman"/>
          <w:color w:val="auto"/>
          <w:lang w:val="mn-MN"/>
        </w:rPr>
        <w:t xml:space="preserve"> дүн шинжилгээг </w:t>
      </w:r>
      <w:r w:rsidR="007A7415" w:rsidRPr="00B33487">
        <w:rPr>
          <w:color w:val="auto"/>
          <w:lang w:val="mn-MN"/>
        </w:rPr>
        <w:t>Хууль тогтоомжийн тухай хуулийн</w:t>
      </w:r>
      <w:r w:rsidR="007A7415" w:rsidRPr="00B33487">
        <w:rPr>
          <w:rStyle w:val="FootnoteReference"/>
          <w:color w:val="auto"/>
          <w:lang w:val="mn-MN"/>
        </w:rPr>
        <w:footnoteReference w:id="6"/>
      </w:r>
      <w:r w:rsidR="007A7415" w:rsidRPr="00B33487">
        <w:rPr>
          <w:color w:val="auto"/>
          <w:lang w:val="mn-MN"/>
        </w:rPr>
        <w:t xml:space="preserve"> 17 дугаар зүйлд заасны дагуу </w:t>
      </w:r>
      <w:r w:rsidR="0055696E" w:rsidRPr="00B33487">
        <w:rPr>
          <w:color w:val="auto"/>
          <w:lang w:val="mn-MN"/>
        </w:rPr>
        <w:t>хийв.</w:t>
      </w:r>
      <w:r w:rsidR="003D7F74" w:rsidRPr="00B33487">
        <w:rPr>
          <w:color w:val="auto"/>
          <w:lang w:val="mn-MN"/>
        </w:rPr>
        <w:t xml:space="preserve"> </w:t>
      </w:r>
      <w:r w:rsidR="009467B8" w:rsidRPr="00B33487">
        <w:rPr>
          <w:color w:val="auto"/>
          <w:lang w:val="mn-MN"/>
        </w:rPr>
        <w:t xml:space="preserve">  Үнэт цаасны зах зээлийн тухай хуульд нэмэлт өөрчлөлт оруулах тухай хуулийн төсөл нь зах зээл дээр шинэ бүтээгдэхүүн үйлчилгээ нэвтрэх үйл ажиллагааг дэмжин, нийтэд санал болгон гаргах үнэт цаасны бүртгэл, зөвшөөрлийг хялбаршуулж, төлбөр тооцооны системд </w:t>
      </w:r>
      <w:r w:rsidR="0098241A" w:rsidRPr="00B33487">
        <w:rPr>
          <w:color w:val="auto"/>
          <w:lang w:val="mn-MN"/>
        </w:rPr>
        <w:t xml:space="preserve">олон улсын төлбөрийн эсрэг нийлүүлэлтийн горимыг нэвтрүүлэх, түүнтэй холбогдсон харилцааг шинээр зохицуулж, </w:t>
      </w:r>
      <w:r w:rsidR="009467B8" w:rsidRPr="00B33487">
        <w:rPr>
          <w:color w:val="auto"/>
          <w:lang w:val="mn-MN"/>
        </w:rPr>
        <w:t xml:space="preserve"> </w:t>
      </w:r>
      <w:r w:rsidR="0098241A" w:rsidRPr="00B33487">
        <w:rPr>
          <w:color w:val="auto"/>
          <w:lang w:val="mn-MN"/>
        </w:rPr>
        <w:t>хөрөнгө оруулагчийн</w:t>
      </w:r>
      <w:r w:rsidR="00492894" w:rsidRPr="00B33487">
        <w:rPr>
          <w:color w:val="auto"/>
          <w:lang w:val="mn-MN"/>
        </w:rPr>
        <w:t xml:space="preserve"> эрх ашгийг хамгаалах, хөрөнгө оруулалт, бизнесийн орчныг</w:t>
      </w:r>
      <w:r w:rsidR="00896DD8" w:rsidRPr="00B33487">
        <w:rPr>
          <w:color w:val="auto"/>
          <w:lang w:val="mn-MN"/>
        </w:rPr>
        <w:t xml:space="preserve"> дэмжих чиглэл</w:t>
      </w:r>
      <w:r w:rsidR="00DE2281" w:rsidRPr="00B33487">
        <w:rPr>
          <w:color w:val="auto"/>
          <w:lang w:val="mn-MN"/>
        </w:rPr>
        <w:t xml:space="preserve">д </w:t>
      </w:r>
      <w:r w:rsidR="00AD43D7" w:rsidRPr="00B33487">
        <w:rPr>
          <w:color w:val="auto"/>
          <w:lang w:val="mn-MN"/>
        </w:rPr>
        <w:t>тодорхой зохицуулалт тусган боловсруулжээ.</w:t>
      </w:r>
    </w:p>
    <w:p w14:paraId="29972B9C" w14:textId="0DC407C7" w:rsidR="00BD6A33" w:rsidRPr="00B33487" w:rsidRDefault="00394A2A" w:rsidP="00F92A9E">
      <w:pPr>
        <w:pStyle w:val="Default"/>
        <w:spacing w:after="120"/>
        <w:ind w:firstLine="720"/>
        <w:jc w:val="both"/>
        <w:rPr>
          <w:color w:val="auto"/>
          <w:lang w:val="mn-MN"/>
        </w:rPr>
      </w:pPr>
      <w:r w:rsidRPr="00B33487">
        <w:rPr>
          <w:color w:val="auto"/>
          <w:lang w:val="mn-MN"/>
        </w:rPr>
        <w:t xml:space="preserve">Төсөлд </w:t>
      </w:r>
      <w:r w:rsidR="00535820" w:rsidRPr="00B33487">
        <w:rPr>
          <w:color w:val="auto"/>
          <w:lang w:val="mn-MN"/>
        </w:rPr>
        <w:t>тусгасан зарим шинэ харилцаа нь Монгол Улсад анх удаа хуульчлагдаж байгаа тул холбогдох бусад хуулиудын уялдаа холбоог хангах, мөн зохицуулагч байгууллагын батлах дүрэм, журмууд нь хуультай уялдан боловсруулахад</w:t>
      </w:r>
      <w:r w:rsidR="00D90AE1" w:rsidRPr="00B33487">
        <w:rPr>
          <w:color w:val="auto"/>
          <w:lang w:val="mn-MN"/>
        </w:rPr>
        <w:t xml:space="preserve"> анхаарах нь чухал юм.</w:t>
      </w:r>
    </w:p>
    <w:p w14:paraId="2770CFB2" w14:textId="20078348" w:rsidR="00765186" w:rsidRPr="00B33487" w:rsidRDefault="00535820" w:rsidP="00F92A9E">
      <w:pPr>
        <w:pStyle w:val="Default"/>
        <w:spacing w:after="120"/>
        <w:ind w:firstLine="720"/>
        <w:jc w:val="both"/>
        <w:rPr>
          <w:color w:val="auto"/>
          <w:lang w:val="mn-MN"/>
        </w:rPr>
      </w:pPr>
      <w:r w:rsidRPr="00B33487">
        <w:rPr>
          <w:color w:val="auto"/>
          <w:lang w:val="mn-MN"/>
        </w:rPr>
        <w:t xml:space="preserve">Мөн хуулийн зохицуулалтын хамрах хүрээг </w:t>
      </w:r>
      <w:r w:rsidR="00104225" w:rsidRPr="00B33487">
        <w:rPr>
          <w:color w:val="auto"/>
          <w:lang w:val="mn-MN"/>
        </w:rPr>
        <w:t xml:space="preserve"> </w:t>
      </w:r>
      <w:r w:rsidRPr="00B33487">
        <w:rPr>
          <w:color w:val="auto"/>
          <w:lang w:val="mn-MN"/>
        </w:rPr>
        <w:t xml:space="preserve">өргөтгөж биржийн болон биржийн бус зах зээлийг томьёолсон </w:t>
      </w:r>
      <w:r w:rsidR="000F2617" w:rsidRPr="00B33487">
        <w:rPr>
          <w:color w:val="auto"/>
          <w:lang w:val="mn-MN"/>
        </w:rPr>
        <w:t xml:space="preserve">нь </w:t>
      </w:r>
      <w:r w:rsidR="00B4339B" w:rsidRPr="00B33487">
        <w:rPr>
          <w:color w:val="auto"/>
          <w:lang w:val="mn-MN"/>
        </w:rPr>
        <w:t>шинэчлэлийн мөн чанарыг илэрхийлнэ</w:t>
      </w:r>
      <w:r w:rsidR="00A553BE" w:rsidRPr="00B33487">
        <w:rPr>
          <w:color w:val="auto"/>
          <w:lang w:val="mn-MN"/>
        </w:rPr>
        <w:t>.</w:t>
      </w:r>
    </w:p>
    <w:p w14:paraId="07B9DC0E" w14:textId="77777777" w:rsidR="00CB63AD" w:rsidRPr="00B33487" w:rsidRDefault="00CB63AD" w:rsidP="00F92A9E">
      <w:pPr>
        <w:pStyle w:val="Default"/>
        <w:numPr>
          <w:ilvl w:val="1"/>
          <w:numId w:val="1"/>
        </w:numPr>
        <w:spacing w:after="120"/>
        <w:rPr>
          <w:b/>
          <w:color w:val="auto"/>
          <w:lang w:val="mn-MN"/>
        </w:rPr>
      </w:pPr>
      <w:r w:rsidRPr="00B33487">
        <w:rPr>
          <w:b/>
          <w:color w:val="auto"/>
          <w:lang w:val="mn-MN"/>
        </w:rPr>
        <w:t xml:space="preserve">Зөвлөмж </w:t>
      </w:r>
    </w:p>
    <w:p w14:paraId="003BC89A" w14:textId="45EAC87E" w:rsidR="00435BF8" w:rsidRPr="00B33487" w:rsidRDefault="00535820" w:rsidP="00F92A9E">
      <w:pPr>
        <w:pStyle w:val="Default"/>
        <w:spacing w:after="120"/>
        <w:ind w:firstLine="720"/>
        <w:jc w:val="both"/>
        <w:rPr>
          <w:color w:val="auto"/>
          <w:lang w:val="mn-MN"/>
        </w:rPr>
      </w:pPr>
      <w:r w:rsidRPr="00B33487">
        <w:rPr>
          <w:color w:val="auto"/>
          <w:lang w:val="mn-MN"/>
        </w:rPr>
        <w:t>Улс орны эдийн засгийн хөгжил нь хувийн хэвшлийн бизнесийн тэлэлт, хөгжилтэй шууд хамааралтай тул хөрөнгийн зах зээлийн эрх зүйн орчныг илүү нээлттэй, зохистой болгож өгөх нь эдийн засгийн хөгжилд чухал хувь нэмэр оруулах юм. Иймд салбарын хууль</w:t>
      </w:r>
      <w:r w:rsidR="00D658E3" w:rsidRPr="00B33487">
        <w:rPr>
          <w:color w:val="auto"/>
          <w:lang w:val="mn-MN"/>
        </w:rPr>
        <w:t xml:space="preserve"> эрх зүй судлаач эрдэмтэд өөрсдийн санал дүгнэлтийг гаргах нь </w:t>
      </w:r>
      <w:r w:rsidR="00034E19" w:rsidRPr="00B33487">
        <w:rPr>
          <w:color w:val="auto"/>
          <w:lang w:val="mn-MN"/>
        </w:rPr>
        <w:t xml:space="preserve">хууль тогтоомжийн </w:t>
      </w:r>
      <w:r w:rsidR="00E4137D" w:rsidRPr="00B33487">
        <w:rPr>
          <w:color w:val="auto"/>
          <w:lang w:val="mn-MN"/>
        </w:rPr>
        <w:t xml:space="preserve">хэрэгжилт, үр нөлөөнд </w:t>
      </w:r>
      <w:r w:rsidR="009B5204" w:rsidRPr="00B33487">
        <w:rPr>
          <w:color w:val="auto"/>
          <w:lang w:val="mn-MN"/>
        </w:rPr>
        <w:t xml:space="preserve">чухал ач холбогдолтой </w:t>
      </w:r>
      <w:r w:rsidR="00054D2D" w:rsidRPr="00B33487">
        <w:rPr>
          <w:color w:val="auto"/>
          <w:lang w:val="mn-MN"/>
        </w:rPr>
        <w:t xml:space="preserve">гэсэн зөвлөмжийг </w:t>
      </w:r>
      <w:r w:rsidR="00B31BA1" w:rsidRPr="00B33487">
        <w:rPr>
          <w:color w:val="auto"/>
          <w:lang w:val="mn-MN"/>
        </w:rPr>
        <w:t>өгч байна.</w:t>
      </w:r>
    </w:p>
    <w:p w14:paraId="108B6250" w14:textId="77777777" w:rsidR="00CB63AD" w:rsidRPr="00B33487" w:rsidRDefault="00CB63AD" w:rsidP="00F92A9E">
      <w:pPr>
        <w:tabs>
          <w:tab w:val="left" w:pos="2265"/>
        </w:tabs>
        <w:spacing w:after="120" w:line="240" w:lineRule="auto"/>
        <w:rPr>
          <w:rFonts w:ascii="Arial" w:eastAsia="Times New Roman" w:hAnsi="Arial" w:cs="Arial"/>
          <w:lang w:val="mn-MN" w:eastAsia="en-US"/>
        </w:rPr>
      </w:pPr>
      <w:r w:rsidRPr="00B33487">
        <w:rPr>
          <w:rFonts w:ascii="Arial" w:hAnsi="Arial" w:cs="Arial"/>
          <w:b/>
          <w:bCs/>
          <w:lang w:val="mn-MN"/>
        </w:rPr>
        <w:lastRenderedPageBreak/>
        <w:t xml:space="preserve">АШИГЛАСАН ЭХ СУРВАЛЖ </w:t>
      </w:r>
    </w:p>
    <w:p w14:paraId="4E474A8A" w14:textId="77777777" w:rsidR="00346379" w:rsidRPr="00B33487" w:rsidRDefault="00346379" w:rsidP="00F92A9E">
      <w:pPr>
        <w:spacing w:after="120" w:line="240" w:lineRule="auto"/>
        <w:ind w:firstLine="720"/>
        <w:jc w:val="both"/>
        <w:rPr>
          <w:rFonts w:ascii="Arial" w:eastAsia="Times New Roman" w:hAnsi="Arial" w:cs="Arial"/>
          <w:b/>
          <w:i/>
          <w:sz w:val="24"/>
          <w:szCs w:val="24"/>
          <w:u w:val="single"/>
          <w:lang w:val="mn-MN"/>
        </w:rPr>
      </w:pPr>
      <w:r w:rsidRPr="00B33487">
        <w:rPr>
          <w:rFonts w:ascii="Arial" w:eastAsia="Times New Roman" w:hAnsi="Arial" w:cs="Arial"/>
          <w:b/>
          <w:i/>
          <w:sz w:val="24"/>
          <w:szCs w:val="24"/>
          <w:u w:val="single"/>
          <w:lang w:val="mn-MN"/>
        </w:rPr>
        <w:t xml:space="preserve">Хууль </w:t>
      </w:r>
    </w:p>
    <w:p w14:paraId="31C05CB7" w14:textId="5B1A6915" w:rsidR="004D5E19" w:rsidRPr="00B33487" w:rsidRDefault="004D5E19" w:rsidP="00F92A9E">
      <w:pPr>
        <w:spacing w:after="120" w:line="240" w:lineRule="auto"/>
        <w:ind w:firstLine="720"/>
        <w:jc w:val="both"/>
        <w:rPr>
          <w:rFonts w:ascii="Arial" w:eastAsia="Times New Roman" w:hAnsi="Arial" w:cs="Arial"/>
          <w:sz w:val="24"/>
          <w:szCs w:val="24"/>
          <w:lang w:val="mn-MN"/>
        </w:rPr>
      </w:pPr>
      <w:r w:rsidRPr="00B33487">
        <w:rPr>
          <w:rFonts w:ascii="Arial" w:eastAsia="Times New Roman" w:hAnsi="Arial" w:cs="Arial"/>
          <w:sz w:val="24"/>
          <w:szCs w:val="24"/>
          <w:lang w:val="mn-MN"/>
        </w:rPr>
        <w:t xml:space="preserve">Үнэт цаасны зах зээлийн тухай хууль </w:t>
      </w:r>
      <w:r w:rsidR="00961316" w:rsidRPr="00B33487">
        <w:rPr>
          <w:rFonts w:ascii="Arial" w:eastAsia="Times New Roman" w:hAnsi="Arial" w:cs="Arial"/>
          <w:sz w:val="24"/>
          <w:szCs w:val="24"/>
          <w:lang w:val="mn-MN"/>
        </w:rPr>
        <w:t>2013</w:t>
      </w:r>
      <w:r w:rsidR="001B3779" w:rsidRPr="00B33487">
        <w:rPr>
          <w:rFonts w:ascii="Arial" w:eastAsia="Times New Roman" w:hAnsi="Arial" w:cs="Arial"/>
          <w:sz w:val="24"/>
          <w:szCs w:val="24"/>
          <w:lang w:val="mn-MN"/>
        </w:rPr>
        <w:t>.</w:t>
      </w:r>
    </w:p>
    <w:p w14:paraId="1F3E3D46" w14:textId="6ABCDBF9" w:rsidR="00535820" w:rsidRPr="00B33487" w:rsidRDefault="00535820" w:rsidP="00F92A9E">
      <w:pPr>
        <w:spacing w:after="120" w:line="240" w:lineRule="auto"/>
        <w:ind w:firstLine="720"/>
        <w:jc w:val="both"/>
        <w:rPr>
          <w:rFonts w:ascii="Arial" w:eastAsia="Times New Roman" w:hAnsi="Arial" w:cs="Arial"/>
          <w:sz w:val="24"/>
          <w:szCs w:val="24"/>
          <w:lang w:val="mn-MN"/>
        </w:rPr>
      </w:pPr>
      <w:r w:rsidRPr="00B33487">
        <w:rPr>
          <w:rFonts w:ascii="Arial" w:eastAsia="Times New Roman" w:hAnsi="Arial" w:cs="Arial"/>
          <w:sz w:val="24"/>
          <w:szCs w:val="24"/>
          <w:lang w:val="mn-MN"/>
        </w:rPr>
        <w:t>Хөрөнгө оруулалтын сангийн тухай хууль 2013</w:t>
      </w:r>
    </w:p>
    <w:p w14:paraId="020A75D2" w14:textId="5F5E66BF" w:rsidR="00535820" w:rsidRPr="00B33487" w:rsidRDefault="00535820" w:rsidP="00F92A9E">
      <w:pPr>
        <w:spacing w:after="120" w:line="240" w:lineRule="auto"/>
        <w:ind w:firstLine="720"/>
        <w:jc w:val="both"/>
        <w:rPr>
          <w:rFonts w:ascii="Arial" w:eastAsia="Times New Roman" w:hAnsi="Arial" w:cs="Arial"/>
          <w:sz w:val="24"/>
          <w:szCs w:val="24"/>
          <w:lang w:val="mn-MN"/>
        </w:rPr>
      </w:pPr>
      <w:r w:rsidRPr="00B33487">
        <w:rPr>
          <w:rFonts w:ascii="Arial" w:eastAsia="Times New Roman" w:hAnsi="Arial" w:cs="Arial"/>
          <w:sz w:val="24"/>
          <w:szCs w:val="24"/>
          <w:lang w:val="mn-MN"/>
        </w:rPr>
        <w:t>Зөрчлийн тухай хууль 2016</w:t>
      </w:r>
    </w:p>
    <w:p w14:paraId="27AE5F12" w14:textId="7A6592F0" w:rsidR="0049131D" w:rsidRPr="00B33487" w:rsidRDefault="009C7248" w:rsidP="00F92A9E">
      <w:pPr>
        <w:spacing w:after="120" w:line="240" w:lineRule="auto"/>
        <w:ind w:firstLine="720"/>
        <w:jc w:val="both"/>
        <w:rPr>
          <w:rFonts w:ascii="Arial" w:eastAsia="Times New Roman" w:hAnsi="Arial" w:cs="Arial"/>
          <w:b/>
          <w:i/>
          <w:sz w:val="24"/>
          <w:szCs w:val="24"/>
          <w:u w:val="single"/>
          <w:lang w:val="mn-MN"/>
        </w:rPr>
      </w:pPr>
      <w:r w:rsidRPr="00B33487">
        <w:rPr>
          <w:rFonts w:ascii="Arial" w:eastAsia="Times New Roman" w:hAnsi="Arial" w:cs="Arial"/>
          <w:b/>
          <w:i/>
          <w:sz w:val="24"/>
          <w:szCs w:val="24"/>
          <w:u w:val="single"/>
          <w:lang w:val="mn-MN"/>
        </w:rPr>
        <w:t xml:space="preserve">Бусад </w:t>
      </w:r>
    </w:p>
    <w:p w14:paraId="67820B41" w14:textId="5DE94551" w:rsidR="009C7248" w:rsidRPr="00B33487" w:rsidRDefault="00CE5A9D" w:rsidP="00F92A9E">
      <w:pPr>
        <w:spacing w:after="120" w:line="240" w:lineRule="auto"/>
        <w:ind w:firstLine="720"/>
        <w:jc w:val="both"/>
        <w:rPr>
          <w:rFonts w:ascii="Arial" w:eastAsia="Times New Roman" w:hAnsi="Arial" w:cs="Arial"/>
          <w:sz w:val="24"/>
          <w:szCs w:val="24"/>
          <w:lang w:val="mn-MN"/>
        </w:rPr>
      </w:pPr>
      <w:r w:rsidRPr="00B33487">
        <w:rPr>
          <w:rFonts w:ascii="Arial" w:eastAsia="Times New Roman" w:hAnsi="Arial" w:cs="Arial"/>
          <w:sz w:val="24"/>
          <w:szCs w:val="24"/>
          <w:lang w:val="mn-MN"/>
        </w:rPr>
        <w:t>Санхүүгийн зах зээлийг 2025 он хүртэл хөгжүүлэх хөтөлбөр</w:t>
      </w:r>
      <w:r w:rsidR="00646DBC" w:rsidRPr="00B33487">
        <w:rPr>
          <w:rFonts w:ascii="Arial" w:eastAsia="Times New Roman" w:hAnsi="Arial" w:cs="Arial"/>
          <w:sz w:val="24"/>
          <w:szCs w:val="24"/>
          <w:lang w:val="mn-MN"/>
        </w:rPr>
        <w:t>.</w:t>
      </w:r>
    </w:p>
    <w:p w14:paraId="1E794CB4" w14:textId="33F0BE17" w:rsidR="00991601" w:rsidRPr="00B33487" w:rsidRDefault="00991601" w:rsidP="00F92A9E">
      <w:pPr>
        <w:spacing w:after="120" w:line="240" w:lineRule="auto"/>
        <w:ind w:firstLine="720"/>
        <w:jc w:val="both"/>
        <w:rPr>
          <w:rFonts w:ascii="Arial" w:eastAsia="Times New Roman" w:hAnsi="Arial" w:cs="Arial"/>
          <w:sz w:val="24"/>
          <w:szCs w:val="24"/>
          <w:lang w:val="mn-MN"/>
        </w:rPr>
      </w:pPr>
    </w:p>
    <w:sectPr w:rsidR="00991601" w:rsidRPr="00B33487" w:rsidSect="00F92A9E">
      <w:footerReference w:type="default" r:id="rId11"/>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34972" w14:textId="77777777" w:rsidR="004D7B43" w:rsidRDefault="004D7B43" w:rsidP="00B7293D">
      <w:pPr>
        <w:spacing w:after="0" w:line="240" w:lineRule="auto"/>
      </w:pPr>
      <w:r>
        <w:separator/>
      </w:r>
    </w:p>
  </w:endnote>
  <w:endnote w:type="continuationSeparator" w:id="0">
    <w:p w14:paraId="628AD34D" w14:textId="77777777" w:rsidR="004D7B43" w:rsidRDefault="004D7B43" w:rsidP="00B7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39365327"/>
      <w:docPartObj>
        <w:docPartGallery w:val="Page Numbers (Bottom of Page)"/>
        <w:docPartUnique/>
      </w:docPartObj>
    </w:sdtPr>
    <w:sdtEndPr>
      <w:rPr>
        <w:noProof/>
      </w:rPr>
    </w:sdtEndPr>
    <w:sdtContent>
      <w:p w14:paraId="42ACCB05" w14:textId="77777777" w:rsidR="00FC77CF" w:rsidRPr="00E06687" w:rsidRDefault="00FC77CF" w:rsidP="00E06687">
        <w:pPr>
          <w:pStyle w:val="Footer"/>
          <w:jc w:val="right"/>
          <w:rPr>
            <w:rFonts w:ascii="Arial" w:hAnsi="Arial" w:cs="Arial"/>
          </w:rPr>
        </w:pPr>
        <w:r w:rsidRPr="00E06687">
          <w:rPr>
            <w:rFonts w:ascii="Arial" w:hAnsi="Arial" w:cs="Arial"/>
          </w:rPr>
          <w:fldChar w:fldCharType="begin"/>
        </w:r>
        <w:r w:rsidRPr="00E06687">
          <w:rPr>
            <w:rFonts w:ascii="Arial" w:hAnsi="Arial" w:cs="Arial"/>
          </w:rPr>
          <w:instrText xml:space="preserve"> PAGE   \* MERGEFORMAT </w:instrText>
        </w:r>
        <w:r w:rsidRPr="00E06687">
          <w:rPr>
            <w:rFonts w:ascii="Arial" w:hAnsi="Arial" w:cs="Arial"/>
          </w:rPr>
          <w:fldChar w:fldCharType="separate"/>
        </w:r>
        <w:r w:rsidR="009C6768">
          <w:rPr>
            <w:rFonts w:ascii="Arial" w:hAnsi="Arial" w:cs="Arial"/>
            <w:noProof/>
          </w:rPr>
          <w:t>14</w:t>
        </w:r>
        <w:r w:rsidRPr="00E06687">
          <w:rPr>
            <w:rFonts w:ascii="Arial" w:hAnsi="Arial" w:cs="Arial"/>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DFBD" w14:textId="77777777" w:rsidR="004D7B43" w:rsidRDefault="004D7B43" w:rsidP="00B7293D">
      <w:pPr>
        <w:spacing w:after="0" w:line="240" w:lineRule="auto"/>
      </w:pPr>
      <w:r>
        <w:separator/>
      </w:r>
    </w:p>
  </w:footnote>
  <w:footnote w:type="continuationSeparator" w:id="0">
    <w:p w14:paraId="2AB9D7FA" w14:textId="77777777" w:rsidR="004D7B43" w:rsidRDefault="004D7B43" w:rsidP="00B7293D">
      <w:pPr>
        <w:spacing w:after="0" w:line="240" w:lineRule="auto"/>
      </w:pPr>
      <w:r>
        <w:continuationSeparator/>
      </w:r>
    </w:p>
  </w:footnote>
  <w:footnote w:id="1">
    <w:p w14:paraId="3F4D049E" w14:textId="77777777" w:rsidR="00B7293D" w:rsidRPr="00E06687" w:rsidRDefault="00B7293D" w:rsidP="00B54690">
      <w:pPr>
        <w:pStyle w:val="FootnoteText"/>
        <w:jc w:val="both"/>
        <w:rPr>
          <w:rFonts w:ascii="Arial" w:hAnsi="Arial" w:cs="Arial"/>
          <w:lang w:val="mn-MN"/>
        </w:rPr>
      </w:pPr>
      <w:r w:rsidRPr="00E06687">
        <w:rPr>
          <w:rStyle w:val="FootnoteReference"/>
          <w:rFonts w:ascii="Arial" w:hAnsi="Arial" w:cs="Arial"/>
        </w:rPr>
        <w:footnoteRef/>
      </w:r>
      <w:r w:rsidR="009517D0" w:rsidRPr="00E06687">
        <w:rPr>
          <w:rFonts w:ascii="Arial" w:hAnsi="Arial" w:cs="Arial"/>
          <w:lang w:val="mn-MN"/>
        </w:rPr>
        <w:t xml:space="preserve"> Эрх зүйн мэдээллийн нэгдсэн систем</w:t>
      </w:r>
      <w:r w:rsidR="00ED7E15" w:rsidRPr="00E06687">
        <w:rPr>
          <w:rFonts w:ascii="Arial" w:hAnsi="Arial" w:cs="Arial"/>
          <w:lang w:val="mn-MN"/>
        </w:rPr>
        <w:t>,</w:t>
      </w:r>
      <w:r w:rsidR="009517D0" w:rsidRPr="00E06687">
        <w:rPr>
          <w:rFonts w:ascii="Arial" w:hAnsi="Arial" w:cs="Arial"/>
          <w:lang w:val="mn-MN"/>
        </w:rPr>
        <w:t xml:space="preserve"> http://legalinfo.mn/law/details/11119?lawid=11119</w:t>
      </w:r>
      <w:r w:rsidR="00D1599C" w:rsidRPr="00E06687">
        <w:rPr>
          <w:rFonts w:ascii="Arial" w:hAnsi="Arial" w:cs="Arial"/>
          <w:lang w:val="mn-MN"/>
        </w:rPr>
        <w:t>.</w:t>
      </w:r>
    </w:p>
  </w:footnote>
  <w:footnote w:id="2">
    <w:p w14:paraId="0F719628" w14:textId="77777777" w:rsidR="00B7293D" w:rsidRPr="00E06687" w:rsidRDefault="00B7293D" w:rsidP="00B54690">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Засгийн газрын 2016 оны 59 дүгээр тогтоолын 3 дугаар хавсралт. </w:t>
      </w:r>
    </w:p>
  </w:footnote>
  <w:footnote w:id="3">
    <w:p w14:paraId="139A3F12" w14:textId="77777777" w:rsidR="00B7293D" w:rsidRPr="00E06687" w:rsidRDefault="00B7293D" w:rsidP="00B7293D">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w:t>
      </w:r>
      <w:r w:rsidR="00194683" w:rsidRPr="00E06687">
        <w:rPr>
          <w:rFonts w:ascii="Arial" w:hAnsi="Arial" w:cs="Arial"/>
          <w:lang w:val="mn-MN"/>
        </w:rPr>
        <w:t xml:space="preserve"> </w:t>
      </w:r>
    </w:p>
  </w:footnote>
  <w:footnote w:id="4">
    <w:p w14:paraId="1F725468" w14:textId="77777777" w:rsidR="00B7293D" w:rsidRPr="00E06687" w:rsidRDefault="00B7293D" w:rsidP="00B7293D">
      <w:pPr>
        <w:pStyle w:val="FootnoteText"/>
        <w:rPr>
          <w:rFonts w:ascii="Arial" w:hAnsi="Arial" w:cs="Arial"/>
          <w:lang w:val="mn-MN"/>
        </w:rPr>
      </w:pPr>
      <w:r w:rsidRPr="00E06687">
        <w:rPr>
          <w:rStyle w:val="FootnoteReference"/>
          <w:rFonts w:ascii="Arial" w:hAnsi="Arial" w:cs="Arial"/>
        </w:rPr>
        <w:footnoteRef/>
      </w:r>
      <w:r w:rsidRPr="00E06687">
        <w:rPr>
          <w:rFonts w:ascii="Arial" w:hAnsi="Arial" w:cs="Arial"/>
          <w:lang w:val="mn-MN"/>
        </w:rPr>
        <w:t>Монгол Улсын Засгийн газрын 2016 оны 59 дүгээр тогтоолын 2 дугаар хавсралт.</w:t>
      </w:r>
    </w:p>
  </w:footnote>
  <w:footnote w:id="5">
    <w:p w14:paraId="001CDC79" w14:textId="77777777" w:rsidR="00B7293D" w:rsidRPr="00E06687" w:rsidRDefault="00B7293D" w:rsidP="00B7293D">
      <w:pPr>
        <w:pStyle w:val="FootnoteText"/>
        <w:rPr>
          <w:rFonts w:ascii="Arial" w:hAnsi="Arial" w:cs="Arial"/>
          <w:lang w:val="mn-MN"/>
        </w:rPr>
      </w:pPr>
      <w:r w:rsidRPr="00E06687">
        <w:rPr>
          <w:rStyle w:val="FootnoteReference"/>
          <w:rFonts w:ascii="Arial" w:hAnsi="Arial" w:cs="Arial"/>
        </w:rPr>
        <w:footnoteRef/>
      </w:r>
      <w:r w:rsidRPr="00E06687">
        <w:rPr>
          <w:rFonts w:ascii="Arial" w:hAnsi="Arial" w:cs="Arial"/>
          <w:lang w:val="mn-MN"/>
        </w:rPr>
        <w:t>Хууль тогтоомжийн тухай хуулийн 29 дүгээр зүйл.</w:t>
      </w:r>
    </w:p>
  </w:footnote>
  <w:footnote w:id="6">
    <w:p w14:paraId="6E42B465" w14:textId="77777777" w:rsidR="007A7415" w:rsidRPr="00E06687" w:rsidRDefault="007A7415" w:rsidP="007A7415">
      <w:pPr>
        <w:pStyle w:val="FootnoteText"/>
        <w:jc w:val="both"/>
        <w:rPr>
          <w:rFonts w:ascii="Arial" w:hAnsi="Arial" w:cs="Arial"/>
          <w:lang w:val="mn-MN"/>
        </w:rPr>
      </w:pPr>
      <w:r w:rsidRPr="00E06687">
        <w:rPr>
          <w:rStyle w:val="FootnoteReference"/>
          <w:rFonts w:ascii="Arial" w:hAnsi="Arial" w:cs="Arial"/>
        </w:rPr>
        <w:footnoteRef/>
      </w:r>
      <w:r w:rsidR="00915830" w:rsidRPr="00E06687">
        <w:rPr>
          <w:rFonts w:ascii="Arial" w:hAnsi="Arial" w:cs="Arial"/>
          <w:lang w:val="mn-MN"/>
        </w:rPr>
        <w:t xml:space="preserve">Эрх зүйн мэдээллийн нэгдсэн систем. </w:t>
      </w:r>
      <w:r w:rsidR="00915830" w:rsidRPr="00C70D76">
        <w:rPr>
          <w:rFonts w:ascii="Arial" w:hAnsi="Arial" w:cs="Arial"/>
          <w:lang w:val="mn-MN"/>
        </w:rPr>
        <w:t>http://legalinfo.mn/law/details/11119?lawid=11119</w:t>
      </w:r>
      <w:r w:rsidR="005D7F96" w:rsidRPr="00E06687">
        <w:rPr>
          <w:rFonts w:ascii="Arial" w:hAnsi="Arial" w:cs="Arial"/>
          <w:lang w:val="mn-MN"/>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E5214"/>
    <w:multiLevelType w:val="hybridMultilevel"/>
    <w:tmpl w:val="A1443702"/>
    <w:lvl w:ilvl="0" w:tplc="9AB21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8E3D18"/>
    <w:multiLevelType w:val="hybridMultilevel"/>
    <w:tmpl w:val="8EE2E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A05878"/>
    <w:multiLevelType w:val="hybridMultilevel"/>
    <w:tmpl w:val="799E3C4A"/>
    <w:lvl w:ilvl="0" w:tplc="43965F26">
      <w:start w:val="1"/>
      <w:numFmt w:val="bullet"/>
      <w:lvlText w:val="•"/>
      <w:lvlJc w:val="left"/>
      <w:pPr>
        <w:tabs>
          <w:tab w:val="num" w:pos="720"/>
        </w:tabs>
        <w:ind w:left="720" w:hanging="360"/>
      </w:pPr>
      <w:rPr>
        <w:rFonts w:ascii="Calibri" w:hAnsi="Calibri" w:hint="default"/>
      </w:rPr>
    </w:lvl>
    <w:lvl w:ilvl="1" w:tplc="946435BA" w:tentative="1">
      <w:start w:val="1"/>
      <w:numFmt w:val="bullet"/>
      <w:lvlText w:val="•"/>
      <w:lvlJc w:val="left"/>
      <w:pPr>
        <w:tabs>
          <w:tab w:val="num" w:pos="1440"/>
        </w:tabs>
        <w:ind w:left="1440" w:hanging="360"/>
      </w:pPr>
      <w:rPr>
        <w:rFonts w:ascii="Calibri" w:hAnsi="Calibri" w:hint="default"/>
      </w:rPr>
    </w:lvl>
    <w:lvl w:ilvl="2" w:tplc="88D490CC" w:tentative="1">
      <w:start w:val="1"/>
      <w:numFmt w:val="bullet"/>
      <w:lvlText w:val="•"/>
      <w:lvlJc w:val="left"/>
      <w:pPr>
        <w:tabs>
          <w:tab w:val="num" w:pos="2160"/>
        </w:tabs>
        <w:ind w:left="2160" w:hanging="360"/>
      </w:pPr>
      <w:rPr>
        <w:rFonts w:ascii="Calibri" w:hAnsi="Calibri" w:hint="default"/>
      </w:rPr>
    </w:lvl>
    <w:lvl w:ilvl="3" w:tplc="60BA3F78" w:tentative="1">
      <w:start w:val="1"/>
      <w:numFmt w:val="bullet"/>
      <w:lvlText w:val="•"/>
      <w:lvlJc w:val="left"/>
      <w:pPr>
        <w:tabs>
          <w:tab w:val="num" w:pos="2880"/>
        </w:tabs>
        <w:ind w:left="2880" w:hanging="360"/>
      </w:pPr>
      <w:rPr>
        <w:rFonts w:ascii="Calibri" w:hAnsi="Calibri" w:hint="default"/>
      </w:rPr>
    </w:lvl>
    <w:lvl w:ilvl="4" w:tplc="28F6EA7E" w:tentative="1">
      <w:start w:val="1"/>
      <w:numFmt w:val="bullet"/>
      <w:lvlText w:val="•"/>
      <w:lvlJc w:val="left"/>
      <w:pPr>
        <w:tabs>
          <w:tab w:val="num" w:pos="3600"/>
        </w:tabs>
        <w:ind w:left="3600" w:hanging="360"/>
      </w:pPr>
      <w:rPr>
        <w:rFonts w:ascii="Calibri" w:hAnsi="Calibri" w:hint="default"/>
      </w:rPr>
    </w:lvl>
    <w:lvl w:ilvl="5" w:tplc="81B0CFDA" w:tentative="1">
      <w:start w:val="1"/>
      <w:numFmt w:val="bullet"/>
      <w:lvlText w:val="•"/>
      <w:lvlJc w:val="left"/>
      <w:pPr>
        <w:tabs>
          <w:tab w:val="num" w:pos="4320"/>
        </w:tabs>
        <w:ind w:left="4320" w:hanging="360"/>
      </w:pPr>
      <w:rPr>
        <w:rFonts w:ascii="Calibri" w:hAnsi="Calibri" w:hint="default"/>
      </w:rPr>
    </w:lvl>
    <w:lvl w:ilvl="6" w:tplc="60F891CA" w:tentative="1">
      <w:start w:val="1"/>
      <w:numFmt w:val="bullet"/>
      <w:lvlText w:val="•"/>
      <w:lvlJc w:val="left"/>
      <w:pPr>
        <w:tabs>
          <w:tab w:val="num" w:pos="5040"/>
        </w:tabs>
        <w:ind w:left="5040" w:hanging="360"/>
      </w:pPr>
      <w:rPr>
        <w:rFonts w:ascii="Calibri" w:hAnsi="Calibri" w:hint="default"/>
      </w:rPr>
    </w:lvl>
    <w:lvl w:ilvl="7" w:tplc="9A58CBA0" w:tentative="1">
      <w:start w:val="1"/>
      <w:numFmt w:val="bullet"/>
      <w:lvlText w:val="•"/>
      <w:lvlJc w:val="left"/>
      <w:pPr>
        <w:tabs>
          <w:tab w:val="num" w:pos="5760"/>
        </w:tabs>
        <w:ind w:left="5760" w:hanging="360"/>
      </w:pPr>
      <w:rPr>
        <w:rFonts w:ascii="Calibri" w:hAnsi="Calibri" w:hint="default"/>
      </w:rPr>
    </w:lvl>
    <w:lvl w:ilvl="8" w:tplc="7424063A" w:tentative="1">
      <w:start w:val="1"/>
      <w:numFmt w:val="bullet"/>
      <w:lvlText w:val="•"/>
      <w:lvlJc w:val="left"/>
      <w:pPr>
        <w:tabs>
          <w:tab w:val="num" w:pos="6480"/>
        </w:tabs>
        <w:ind w:left="6480" w:hanging="360"/>
      </w:pPr>
      <w:rPr>
        <w:rFonts w:ascii="Calibri" w:hAnsi="Calibri" w:hint="default"/>
      </w:rPr>
    </w:lvl>
  </w:abstractNum>
  <w:abstractNum w:abstractNumId="4">
    <w:nsid w:val="279C4F08"/>
    <w:multiLevelType w:val="hybridMultilevel"/>
    <w:tmpl w:val="8F5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32E1E"/>
    <w:multiLevelType w:val="hybridMultilevel"/>
    <w:tmpl w:val="BF2EC43A"/>
    <w:lvl w:ilvl="0" w:tplc="69507B64">
      <w:start w:val="1"/>
      <w:numFmt w:val="bullet"/>
      <w:lvlText w:val="•"/>
      <w:lvlJc w:val="left"/>
      <w:pPr>
        <w:tabs>
          <w:tab w:val="num" w:pos="720"/>
        </w:tabs>
        <w:ind w:left="720" w:hanging="360"/>
      </w:pPr>
      <w:rPr>
        <w:rFonts w:ascii="Arial" w:hAnsi="Arial" w:hint="default"/>
      </w:rPr>
    </w:lvl>
    <w:lvl w:ilvl="1" w:tplc="313A0518" w:tentative="1">
      <w:start w:val="1"/>
      <w:numFmt w:val="bullet"/>
      <w:lvlText w:val="•"/>
      <w:lvlJc w:val="left"/>
      <w:pPr>
        <w:tabs>
          <w:tab w:val="num" w:pos="1440"/>
        </w:tabs>
        <w:ind w:left="1440" w:hanging="360"/>
      </w:pPr>
      <w:rPr>
        <w:rFonts w:ascii="Arial" w:hAnsi="Arial" w:hint="default"/>
      </w:rPr>
    </w:lvl>
    <w:lvl w:ilvl="2" w:tplc="E11EFAE2" w:tentative="1">
      <w:start w:val="1"/>
      <w:numFmt w:val="bullet"/>
      <w:lvlText w:val="•"/>
      <w:lvlJc w:val="left"/>
      <w:pPr>
        <w:tabs>
          <w:tab w:val="num" w:pos="2160"/>
        </w:tabs>
        <w:ind w:left="2160" w:hanging="360"/>
      </w:pPr>
      <w:rPr>
        <w:rFonts w:ascii="Arial" w:hAnsi="Arial" w:hint="default"/>
      </w:rPr>
    </w:lvl>
    <w:lvl w:ilvl="3" w:tplc="6F80ED50" w:tentative="1">
      <w:start w:val="1"/>
      <w:numFmt w:val="bullet"/>
      <w:lvlText w:val="•"/>
      <w:lvlJc w:val="left"/>
      <w:pPr>
        <w:tabs>
          <w:tab w:val="num" w:pos="2880"/>
        </w:tabs>
        <w:ind w:left="2880" w:hanging="360"/>
      </w:pPr>
      <w:rPr>
        <w:rFonts w:ascii="Arial" w:hAnsi="Arial" w:hint="default"/>
      </w:rPr>
    </w:lvl>
    <w:lvl w:ilvl="4" w:tplc="AD10D222" w:tentative="1">
      <w:start w:val="1"/>
      <w:numFmt w:val="bullet"/>
      <w:lvlText w:val="•"/>
      <w:lvlJc w:val="left"/>
      <w:pPr>
        <w:tabs>
          <w:tab w:val="num" w:pos="3600"/>
        </w:tabs>
        <w:ind w:left="3600" w:hanging="360"/>
      </w:pPr>
      <w:rPr>
        <w:rFonts w:ascii="Arial" w:hAnsi="Arial" w:hint="default"/>
      </w:rPr>
    </w:lvl>
    <w:lvl w:ilvl="5" w:tplc="14D8113A" w:tentative="1">
      <w:start w:val="1"/>
      <w:numFmt w:val="bullet"/>
      <w:lvlText w:val="•"/>
      <w:lvlJc w:val="left"/>
      <w:pPr>
        <w:tabs>
          <w:tab w:val="num" w:pos="4320"/>
        </w:tabs>
        <w:ind w:left="4320" w:hanging="360"/>
      </w:pPr>
      <w:rPr>
        <w:rFonts w:ascii="Arial" w:hAnsi="Arial" w:hint="default"/>
      </w:rPr>
    </w:lvl>
    <w:lvl w:ilvl="6" w:tplc="20E6802C" w:tentative="1">
      <w:start w:val="1"/>
      <w:numFmt w:val="bullet"/>
      <w:lvlText w:val="•"/>
      <w:lvlJc w:val="left"/>
      <w:pPr>
        <w:tabs>
          <w:tab w:val="num" w:pos="5040"/>
        </w:tabs>
        <w:ind w:left="5040" w:hanging="360"/>
      </w:pPr>
      <w:rPr>
        <w:rFonts w:ascii="Arial" w:hAnsi="Arial" w:hint="default"/>
      </w:rPr>
    </w:lvl>
    <w:lvl w:ilvl="7" w:tplc="842C1746" w:tentative="1">
      <w:start w:val="1"/>
      <w:numFmt w:val="bullet"/>
      <w:lvlText w:val="•"/>
      <w:lvlJc w:val="left"/>
      <w:pPr>
        <w:tabs>
          <w:tab w:val="num" w:pos="5760"/>
        </w:tabs>
        <w:ind w:left="5760" w:hanging="360"/>
      </w:pPr>
      <w:rPr>
        <w:rFonts w:ascii="Arial" w:hAnsi="Arial" w:hint="default"/>
      </w:rPr>
    </w:lvl>
    <w:lvl w:ilvl="8" w:tplc="222A0EA0" w:tentative="1">
      <w:start w:val="1"/>
      <w:numFmt w:val="bullet"/>
      <w:lvlText w:val="•"/>
      <w:lvlJc w:val="left"/>
      <w:pPr>
        <w:tabs>
          <w:tab w:val="num" w:pos="6480"/>
        </w:tabs>
        <w:ind w:left="6480" w:hanging="360"/>
      </w:pPr>
      <w:rPr>
        <w:rFonts w:ascii="Arial" w:hAnsi="Arial" w:hint="default"/>
      </w:rPr>
    </w:lvl>
  </w:abstractNum>
  <w:abstractNum w:abstractNumId="6">
    <w:nsid w:val="2DFC6AA6"/>
    <w:multiLevelType w:val="multilevel"/>
    <w:tmpl w:val="D57C9D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34305989"/>
    <w:multiLevelType w:val="hybridMultilevel"/>
    <w:tmpl w:val="307EDFB8"/>
    <w:lvl w:ilvl="0" w:tplc="40E85854">
      <w:start w:val="1"/>
      <w:numFmt w:val="bullet"/>
      <w:lvlText w:val="-"/>
      <w:lvlJc w:val="left"/>
      <w:pPr>
        <w:tabs>
          <w:tab w:val="num" w:pos="720"/>
        </w:tabs>
        <w:ind w:left="720" w:hanging="360"/>
      </w:pPr>
      <w:rPr>
        <w:rFonts w:ascii="Times New Roman" w:hAnsi="Times New Roman" w:hint="default"/>
      </w:rPr>
    </w:lvl>
    <w:lvl w:ilvl="1" w:tplc="1FD23062" w:tentative="1">
      <w:start w:val="1"/>
      <w:numFmt w:val="bullet"/>
      <w:lvlText w:val="-"/>
      <w:lvlJc w:val="left"/>
      <w:pPr>
        <w:tabs>
          <w:tab w:val="num" w:pos="1440"/>
        </w:tabs>
        <w:ind w:left="1440" w:hanging="360"/>
      </w:pPr>
      <w:rPr>
        <w:rFonts w:ascii="Times New Roman" w:hAnsi="Times New Roman" w:hint="default"/>
      </w:rPr>
    </w:lvl>
    <w:lvl w:ilvl="2" w:tplc="8002395E" w:tentative="1">
      <w:start w:val="1"/>
      <w:numFmt w:val="bullet"/>
      <w:lvlText w:val="-"/>
      <w:lvlJc w:val="left"/>
      <w:pPr>
        <w:tabs>
          <w:tab w:val="num" w:pos="2160"/>
        </w:tabs>
        <w:ind w:left="2160" w:hanging="360"/>
      </w:pPr>
      <w:rPr>
        <w:rFonts w:ascii="Times New Roman" w:hAnsi="Times New Roman" w:hint="default"/>
      </w:rPr>
    </w:lvl>
    <w:lvl w:ilvl="3" w:tplc="2752FDFA" w:tentative="1">
      <w:start w:val="1"/>
      <w:numFmt w:val="bullet"/>
      <w:lvlText w:val="-"/>
      <w:lvlJc w:val="left"/>
      <w:pPr>
        <w:tabs>
          <w:tab w:val="num" w:pos="2880"/>
        </w:tabs>
        <w:ind w:left="2880" w:hanging="360"/>
      </w:pPr>
      <w:rPr>
        <w:rFonts w:ascii="Times New Roman" w:hAnsi="Times New Roman" w:hint="default"/>
      </w:rPr>
    </w:lvl>
    <w:lvl w:ilvl="4" w:tplc="E9D05490" w:tentative="1">
      <w:start w:val="1"/>
      <w:numFmt w:val="bullet"/>
      <w:lvlText w:val="-"/>
      <w:lvlJc w:val="left"/>
      <w:pPr>
        <w:tabs>
          <w:tab w:val="num" w:pos="3600"/>
        </w:tabs>
        <w:ind w:left="3600" w:hanging="360"/>
      </w:pPr>
      <w:rPr>
        <w:rFonts w:ascii="Times New Roman" w:hAnsi="Times New Roman" w:hint="default"/>
      </w:rPr>
    </w:lvl>
    <w:lvl w:ilvl="5" w:tplc="9AF404D8" w:tentative="1">
      <w:start w:val="1"/>
      <w:numFmt w:val="bullet"/>
      <w:lvlText w:val="-"/>
      <w:lvlJc w:val="left"/>
      <w:pPr>
        <w:tabs>
          <w:tab w:val="num" w:pos="4320"/>
        </w:tabs>
        <w:ind w:left="4320" w:hanging="360"/>
      </w:pPr>
      <w:rPr>
        <w:rFonts w:ascii="Times New Roman" w:hAnsi="Times New Roman" w:hint="default"/>
      </w:rPr>
    </w:lvl>
    <w:lvl w:ilvl="6" w:tplc="47D87DCC" w:tentative="1">
      <w:start w:val="1"/>
      <w:numFmt w:val="bullet"/>
      <w:lvlText w:val="-"/>
      <w:lvlJc w:val="left"/>
      <w:pPr>
        <w:tabs>
          <w:tab w:val="num" w:pos="5040"/>
        </w:tabs>
        <w:ind w:left="5040" w:hanging="360"/>
      </w:pPr>
      <w:rPr>
        <w:rFonts w:ascii="Times New Roman" w:hAnsi="Times New Roman" w:hint="default"/>
      </w:rPr>
    </w:lvl>
    <w:lvl w:ilvl="7" w:tplc="9886EC78" w:tentative="1">
      <w:start w:val="1"/>
      <w:numFmt w:val="bullet"/>
      <w:lvlText w:val="-"/>
      <w:lvlJc w:val="left"/>
      <w:pPr>
        <w:tabs>
          <w:tab w:val="num" w:pos="5760"/>
        </w:tabs>
        <w:ind w:left="5760" w:hanging="360"/>
      </w:pPr>
      <w:rPr>
        <w:rFonts w:ascii="Times New Roman" w:hAnsi="Times New Roman" w:hint="default"/>
      </w:rPr>
    </w:lvl>
    <w:lvl w:ilvl="8" w:tplc="514AFBC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38878A4"/>
    <w:multiLevelType w:val="hybridMultilevel"/>
    <w:tmpl w:val="7C786C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9B8675F"/>
    <w:multiLevelType w:val="hybridMultilevel"/>
    <w:tmpl w:val="EBBC23DC"/>
    <w:lvl w:ilvl="0" w:tplc="226E2038">
      <w:start w:val="1"/>
      <w:numFmt w:val="bullet"/>
      <w:lvlText w:val="•"/>
      <w:lvlJc w:val="left"/>
      <w:pPr>
        <w:tabs>
          <w:tab w:val="num" w:pos="720"/>
        </w:tabs>
        <w:ind w:left="720" w:hanging="360"/>
      </w:pPr>
      <w:rPr>
        <w:rFonts w:ascii="Arial" w:hAnsi="Arial" w:hint="default"/>
      </w:rPr>
    </w:lvl>
    <w:lvl w:ilvl="1" w:tplc="8DC444DE" w:tentative="1">
      <w:start w:val="1"/>
      <w:numFmt w:val="bullet"/>
      <w:lvlText w:val="•"/>
      <w:lvlJc w:val="left"/>
      <w:pPr>
        <w:tabs>
          <w:tab w:val="num" w:pos="1440"/>
        </w:tabs>
        <w:ind w:left="1440" w:hanging="360"/>
      </w:pPr>
      <w:rPr>
        <w:rFonts w:ascii="Arial" w:hAnsi="Arial" w:hint="default"/>
      </w:rPr>
    </w:lvl>
    <w:lvl w:ilvl="2" w:tplc="8B3C2252" w:tentative="1">
      <w:start w:val="1"/>
      <w:numFmt w:val="bullet"/>
      <w:lvlText w:val="•"/>
      <w:lvlJc w:val="left"/>
      <w:pPr>
        <w:tabs>
          <w:tab w:val="num" w:pos="2160"/>
        </w:tabs>
        <w:ind w:left="2160" w:hanging="360"/>
      </w:pPr>
      <w:rPr>
        <w:rFonts w:ascii="Arial" w:hAnsi="Arial" w:hint="default"/>
      </w:rPr>
    </w:lvl>
    <w:lvl w:ilvl="3" w:tplc="0212EAA6" w:tentative="1">
      <w:start w:val="1"/>
      <w:numFmt w:val="bullet"/>
      <w:lvlText w:val="•"/>
      <w:lvlJc w:val="left"/>
      <w:pPr>
        <w:tabs>
          <w:tab w:val="num" w:pos="2880"/>
        </w:tabs>
        <w:ind w:left="2880" w:hanging="360"/>
      </w:pPr>
      <w:rPr>
        <w:rFonts w:ascii="Arial" w:hAnsi="Arial" w:hint="default"/>
      </w:rPr>
    </w:lvl>
    <w:lvl w:ilvl="4" w:tplc="9ABE0564" w:tentative="1">
      <w:start w:val="1"/>
      <w:numFmt w:val="bullet"/>
      <w:lvlText w:val="•"/>
      <w:lvlJc w:val="left"/>
      <w:pPr>
        <w:tabs>
          <w:tab w:val="num" w:pos="3600"/>
        </w:tabs>
        <w:ind w:left="3600" w:hanging="360"/>
      </w:pPr>
      <w:rPr>
        <w:rFonts w:ascii="Arial" w:hAnsi="Arial" w:hint="default"/>
      </w:rPr>
    </w:lvl>
    <w:lvl w:ilvl="5" w:tplc="4662AE70" w:tentative="1">
      <w:start w:val="1"/>
      <w:numFmt w:val="bullet"/>
      <w:lvlText w:val="•"/>
      <w:lvlJc w:val="left"/>
      <w:pPr>
        <w:tabs>
          <w:tab w:val="num" w:pos="4320"/>
        </w:tabs>
        <w:ind w:left="4320" w:hanging="360"/>
      </w:pPr>
      <w:rPr>
        <w:rFonts w:ascii="Arial" w:hAnsi="Arial" w:hint="default"/>
      </w:rPr>
    </w:lvl>
    <w:lvl w:ilvl="6" w:tplc="7B20E36A" w:tentative="1">
      <w:start w:val="1"/>
      <w:numFmt w:val="bullet"/>
      <w:lvlText w:val="•"/>
      <w:lvlJc w:val="left"/>
      <w:pPr>
        <w:tabs>
          <w:tab w:val="num" w:pos="5040"/>
        </w:tabs>
        <w:ind w:left="5040" w:hanging="360"/>
      </w:pPr>
      <w:rPr>
        <w:rFonts w:ascii="Arial" w:hAnsi="Arial" w:hint="default"/>
      </w:rPr>
    </w:lvl>
    <w:lvl w:ilvl="7" w:tplc="1C8441E0" w:tentative="1">
      <w:start w:val="1"/>
      <w:numFmt w:val="bullet"/>
      <w:lvlText w:val="•"/>
      <w:lvlJc w:val="left"/>
      <w:pPr>
        <w:tabs>
          <w:tab w:val="num" w:pos="5760"/>
        </w:tabs>
        <w:ind w:left="5760" w:hanging="360"/>
      </w:pPr>
      <w:rPr>
        <w:rFonts w:ascii="Arial" w:hAnsi="Arial" w:hint="default"/>
      </w:rPr>
    </w:lvl>
    <w:lvl w:ilvl="8" w:tplc="79A08B0C" w:tentative="1">
      <w:start w:val="1"/>
      <w:numFmt w:val="bullet"/>
      <w:lvlText w:val="•"/>
      <w:lvlJc w:val="left"/>
      <w:pPr>
        <w:tabs>
          <w:tab w:val="num" w:pos="6480"/>
        </w:tabs>
        <w:ind w:left="6480" w:hanging="360"/>
      </w:pPr>
      <w:rPr>
        <w:rFonts w:ascii="Arial" w:hAnsi="Arial" w:hint="default"/>
      </w:rPr>
    </w:lvl>
  </w:abstractNum>
  <w:abstractNum w:abstractNumId="11">
    <w:nsid w:val="4BE966AB"/>
    <w:multiLevelType w:val="hybridMultilevel"/>
    <w:tmpl w:val="F59ABFEE"/>
    <w:lvl w:ilvl="0" w:tplc="B3CAE9D6">
      <w:start w:val="1"/>
      <w:numFmt w:val="bullet"/>
      <w:lvlText w:val="•"/>
      <w:lvlJc w:val="left"/>
      <w:pPr>
        <w:tabs>
          <w:tab w:val="num" w:pos="720"/>
        </w:tabs>
        <w:ind w:left="720" w:hanging="360"/>
      </w:pPr>
      <w:rPr>
        <w:rFonts w:ascii="Arial" w:hAnsi="Arial" w:hint="default"/>
      </w:rPr>
    </w:lvl>
    <w:lvl w:ilvl="1" w:tplc="55922D12" w:tentative="1">
      <w:start w:val="1"/>
      <w:numFmt w:val="bullet"/>
      <w:lvlText w:val="•"/>
      <w:lvlJc w:val="left"/>
      <w:pPr>
        <w:tabs>
          <w:tab w:val="num" w:pos="1440"/>
        </w:tabs>
        <w:ind w:left="1440" w:hanging="360"/>
      </w:pPr>
      <w:rPr>
        <w:rFonts w:ascii="Arial" w:hAnsi="Arial" w:hint="default"/>
      </w:rPr>
    </w:lvl>
    <w:lvl w:ilvl="2" w:tplc="51629702" w:tentative="1">
      <w:start w:val="1"/>
      <w:numFmt w:val="bullet"/>
      <w:lvlText w:val="•"/>
      <w:lvlJc w:val="left"/>
      <w:pPr>
        <w:tabs>
          <w:tab w:val="num" w:pos="2160"/>
        </w:tabs>
        <w:ind w:left="2160" w:hanging="360"/>
      </w:pPr>
      <w:rPr>
        <w:rFonts w:ascii="Arial" w:hAnsi="Arial" w:hint="default"/>
      </w:rPr>
    </w:lvl>
    <w:lvl w:ilvl="3" w:tplc="AFF610F6" w:tentative="1">
      <w:start w:val="1"/>
      <w:numFmt w:val="bullet"/>
      <w:lvlText w:val="•"/>
      <w:lvlJc w:val="left"/>
      <w:pPr>
        <w:tabs>
          <w:tab w:val="num" w:pos="2880"/>
        </w:tabs>
        <w:ind w:left="2880" w:hanging="360"/>
      </w:pPr>
      <w:rPr>
        <w:rFonts w:ascii="Arial" w:hAnsi="Arial" w:hint="default"/>
      </w:rPr>
    </w:lvl>
    <w:lvl w:ilvl="4" w:tplc="0642715A" w:tentative="1">
      <w:start w:val="1"/>
      <w:numFmt w:val="bullet"/>
      <w:lvlText w:val="•"/>
      <w:lvlJc w:val="left"/>
      <w:pPr>
        <w:tabs>
          <w:tab w:val="num" w:pos="3600"/>
        </w:tabs>
        <w:ind w:left="3600" w:hanging="360"/>
      </w:pPr>
      <w:rPr>
        <w:rFonts w:ascii="Arial" w:hAnsi="Arial" w:hint="default"/>
      </w:rPr>
    </w:lvl>
    <w:lvl w:ilvl="5" w:tplc="1C0676AE" w:tentative="1">
      <w:start w:val="1"/>
      <w:numFmt w:val="bullet"/>
      <w:lvlText w:val="•"/>
      <w:lvlJc w:val="left"/>
      <w:pPr>
        <w:tabs>
          <w:tab w:val="num" w:pos="4320"/>
        </w:tabs>
        <w:ind w:left="4320" w:hanging="360"/>
      </w:pPr>
      <w:rPr>
        <w:rFonts w:ascii="Arial" w:hAnsi="Arial" w:hint="default"/>
      </w:rPr>
    </w:lvl>
    <w:lvl w:ilvl="6" w:tplc="936AE8B0" w:tentative="1">
      <w:start w:val="1"/>
      <w:numFmt w:val="bullet"/>
      <w:lvlText w:val="•"/>
      <w:lvlJc w:val="left"/>
      <w:pPr>
        <w:tabs>
          <w:tab w:val="num" w:pos="5040"/>
        </w:tabs>
        <w:ind w:left="5040" w:hanging="360"/>
      </w:pPr>
      <w:rPr>
        <w:rFonts w:ascii="Arial" w:hAnsi="Arial" w:hint="default"/>
      </w:rPr>
    </w:lvl>
    <w:lvl w:ilvl="7" w:tplc="5CC2EE20" w:tentative="1">
      <w:start w:val="1"/>
      <w:numFmt w:val="bullet"/>
      <w:lvlText w:val="•"/>
      <w:lvlJc w:val="left"/>
      <w:pPr>
        <w:tabs>
          <w:tab w:val="num" w:pos="5760"/>
        </w:tabs>
        <w:ind w:left="5760" w:hanging="360"/>
      </w:pPr>
      <w:rPr>
        <w:rFonts w:ascii="Arial" w:hAnsi="Arial" w:hint="default"/>
      </w:rPr>
    </w:lvl>
    <w:lvl w:ilvl="8" w:tplc="E500EB4A" w:tentative="1">
      <w:start w:val="1"/>
      <w:numFmt w:val="bullet"/>
      <w:lvlText w:val="•"/>
      <w:lvlJc w:val="left"/>
      <w:pPr>
        <w:tabs>
          <w:tab w:val="num" w:pos="6480"/>
        </w:tabs>
        <w:ind w:left="6480" w:hanging="360"/>
      </w:pPr>
      <w:rPr>
        <w:rFonts w:ascii="Arial" w:hAnsi="Arial" w:hint="default"/>
      </w:rPr>
    </w:lvl>
  </w:abstractNum>
  <w:abstractNum w:abstractNumId="12">
    <w:nsid w:val="58E21D46"/>
    <w:multiLevelType w:val="multilevel"/>
    <w:tmpl w:val="C76C2F16"/>
    <w:lvl w:ilvl="0">
      <w:start w:val="1"/>
      <w:numFmt w:val="bullet"/>
      <w:lvlText w:val=""/>
      <w:lvlJc w:val="left"/>
      <w:pPr>
        <w:ind w:left="390" w:hanging="39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9CE6E39"/>
    <w:multiLevelType w:val="hybridMultilevel"/>
    <w:tmpl w:val="B2227892"/>
    <w:lvl w:ilvl="0" w:tplc="DDE080CE">
      <w:start w:val="1"/>
      <w:numFmt w:val="bullet"/>
      <w:lvlText w:val="-"/>
      <w:lvlJc w:val="left"/>
      <w:pPr>
        <w:tabs>
          <w:tab w:val="num" w:pos="720"/>
        </w:tabs>
        <w:ind w:left="720" w:hanging="360"/>
      </w:pPr>
      <w:rPr>
        <w:rFonts w:ascii="Times New Roman" w:hAnsi="Times New Roman" w:hint="default"/>
      </w:rPr>
    </w:lvl>
    <w:lvl w:ilvl="1" w:tplc="F93288EE" w:tentative="1">
      <w:start w:val="1"/>
      <w:numFmt w:val="bullet"/>
      <w:lvlText w:val="-"/>
      <w:lvlJc w:val="left"/>
      <w:pPr>
        <w:tabs>
          <w:tab w:val="num" w:pos="1440"/>
        </w:tabs>
        <w:ind w:left="1440" w:hanging="360"/>
      </w:pPr>
      <w:rPr>
        <w:rFonts w:ascii="Times New Roman" w:hAnsi="Times New Roman" w:hint="default"/>
      </w:rPr>
    </w:lvl>
    <w:lvl w:ilvl="2" w:tplc="BC9EA784" w:tentative="1">
      <w:start w:val="1"/>
      <w:numFmt w:val="bullet"/>
      <w:lvlText w:val="-"/>
      <w:lvlJc w:val="left"/>
      <w:pPr>
        <w:tabs>
          <w:tab w:val="num" w:pos="2160"/>
        </w:tabs>
        <w:ind w:left="2160" w:hanging="360"/>
      </w:pPr>
      <w:rPr>
        <w:rFonts w:ascii="Times New Roman" w:hAnsi="Times New Roman" w:hint="default"/>
      </w:rPr>
    </w:lvl>
    <w:lvl w:ilvl="3" w:tplc="E2C8CB1A" w:tentative="1">
      <w:start w:val="1"/>
      <w:numFmt w:val="bullet"/>
      <w:lvlText w:val="-"/>
      <w:lvlJc w:val="left"/>
      <w:pPr>
        <w:tabs>
          <w:tab w:val="num" w:pos="2880"/>
        </w:tabs>
        <w:ind w:left="2880" w:hanging="360"/>
      </w:pPr>
      <w:rPr>
        <w:rFonts w:ascii="Times New Roman" w:hAnsi="Times New Roman" w:hint="default"/>
      </w:rPr>
    </w:lvl>
    <w:lvl w:ilvl="4" w:tplc="518C0212" w:tentative="1">
      <w:start w:val="1"/>
      <w:numFmt w:val="bullet"/>
      <w:lvlText w:val="-"/>
      <w:lvlJc w:val="left"/>
      <w:pPr>
        <w:tabs>
          <w:tab w:val="num" w:pos="3600"/>
        </w:tabs>
        <w:ind w:left="3600" w:hanging="360"/>
      </w:pPr>
      <w:rPr>
        <w:rFonts w:ascii="Times New Roman" w:hAnsi="Times New Roman" w:hint="default"/>
      </w:rPr>
    </w:lvl>
    <w:lvl w:ilvl="5" w:tplc="EF5C4DE2" w:tentative="1">
      <w:start w:val="1"/>
      <w:numFmt w:val="bullet"/>
      <w:lvlText w:val="-"/>
      <w:lvlJc w:val="left"/>
      <w:pPr>
        <w:tabs>
          <w:tab w:val="num" w:pos="4320"/>
        </w:tabs>
        <w:ind w:left="4320" w:hanging="360"/>
      </w:pPr>
      <w:rPr>
        <w:rFonts w:ascii="Times New Roman" w:hAnsi="Times New Roman" w:hint="default"/>
      </w:rPr>
    </w:lvl>
    <w:lvl w:ilvl="6" w:tplc="25467330" w:tentative="1">
      <w:start w:val="1"/>
      <w:numFmt w:val="bullet"/>
      <w:lvlText w:val="-"/>
      <w:lvlJc w:val="left"/>
      <w:pPr>
        <w:tabs>
          <w:tab w:val="num" w:pos="5040"/>
        </w:tabs>
        <w:ind w:left="5040" w:hanging="360"/>
      </w:pPr>
      <w:rPr>
        <w:rFonts w:ascii="Times New Roman" w:hAnsi="Times New Roman" w:hint="default"/>
      </w:rPr>
    </w:lvl>
    <w:lvl w:ilvl="7" w:tplc="92681C7E" w:tentative="1">
      <w:start w:val="1"/>
      <w:numFmt w:val="bullet"/>
      <w:lvlText w:val="-"/>
      <w:lvlJc w:val="left"/>
      <w:pPr>
        <w:tabs>
          <w:tab w:val="num" w:pos="5760"/>
        </w:tabs>
        <w:ind w:left="5760" w:hanging="360"/>
      </w:pPr>
      <w:rPr>
        <w:rFonts w:ascii="Times New Roman" w:hAnsi="Times New Roman" w:hint="default"/>
      </w:rPr>
    </w:lvl>
    <w:lvl w:ilvl="8" w:tplc="73EC89B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19C503C"/>
    <w:multiLevelType w:val="hybridMultilevel"/>
    <w:tmpl w:val="C85AB2D6"/>
    <w:lvl w:ilvl="0" w:tplc="28BCFE7A">
      <w:start w:val="1"/>
      <w:numFmt w:val="bullet"/>
      <w:lvlText w:val="-"/>
      <w:lvlJc w:val="left"/>
      <w:pPr>
        <w:tabs>
          <w:tab w:val="num" w:pos="720"/>
        </w:tabs>
        <w:ind w:left="720" w:hanging="360"/>
      </w:pPr>
      <w:rPr>
        <w:rFonts w:ascii="Times New Roman" w:hAnsi="Times New Roman" w:hint="default"/>
      </w:rPr>
    </w:lvl>
    <w:lvl w:ilvl="1" w:tplc="3CB692EE" w:tentative="1">
      <w:start w:val="1"/>
      <w:numFmt w:val="bullet"/>
      <w:lvlText w:val="-"/>
      <w:lvlJc w:val="left"/>
      <w:pPr>
        <w:tabs>
          <w:tab w:val="num" w:pos="1440"/>
        </w:tabs>
        <w:ind w:left="1440" w:hanging="360"/>
      </w:pPr>
      <w:rPr>
        <w:rFonts w:ascii="Times New Roman" w:hAnsi="Times New Roman" w:hint="default"/>
      </w:rPr>
    </w:lvl>
    <w:lvl w:ilvl="2" w:tplc="26981D58" w:tentative="1">
      <w:start w:val="1"/>
      <w:numFmt w:val="bullet"/>
      <w:lvlText w:val="-"/>
      <w:lvlJc w:val="left"/>
      <w:pPr>
        <w:tabs>
          <w:tab w:val="num" w:pos="2160"/>
        </w:tabs>
        <w:ind w:left="2160" w:hanging="360"/>
      </w:pPr>
      <w:rPr>
        <w:rFonts w:ascii="Times New Roman" w:hAnsi="Times New Roman" w:hint="default"/>
      </w:rPr>
    </w:lvl>
    <w:lvl w:ilvl="3" w:tplc="0984465C" w:tentative="1">
      <w:start w:val="1"/>
      <w:numFmt w:val="bullet"/>
      <w:lvlText w:val="-"/>
      <w:lvlJc w:val="left"/>
      <w:pPr>
        <w:tabs>
          <w:tab w:val="num" w:pos="2880"/>
        </w:tabs>
        <w:ind w:left="2880" w:hanging="360"/>
      </w:pPr>
      <w:rPr>
        <w:rFonts w:ascii="Times New Roman" w:hAnsi="Times New Roman" w:hint="default"/>
      </w:rPr>
    </w:lvl>
    <w:lvl w:ilvl="4" w:tplc="B40CADD4" w:tentative="1">
      <w:start w:val="1"/>
      <w:numFmt w:val="bullet"/>
      <w:lvlText w:val="-"/>
      <w:lvlJc w:val="left"/>
      <w:pPr>
        <w:tabs>
          <w:tab w:val="num" w:pos="3600"/>
        </w:tabs>
        <w:ind w:left="3600" w:hanging="360"/>
      </w:pPr>
      <w:rPr>
        <w:rFonts w:ascii="Times New Roman" w:hAnsi="Times New Roman" w:hint="default"/>
      </w:rPr>
    </w:lvl>
    <w:lvl w:ilvl="5" w:tplc="2668C3A6" w:tentative="1">
      <w:start w:val="1"/>
      <w:numFmt w:val="bullet"/>
      <w:lvlText w:val="-"/>
      <w:lvlJc w:val="left"/>
      <w:pPr>
        <w:tabs>
          <w:tab w:val="num" w:pos="4320"/>
        </w:tabs>
        <w:ind w:left="4320" w:hanging="360"/>
      </w:pPr>
      <w:rPr>
        <w:rFonts w:ascii="Times New Roman" w:hAnsi="Times New Roman" w:hint="default"/>
      </w:rPr>
    </w:lvl>
    <w:lvl w:ilvl="6" w:tplc="44D4F9EE" w:tentative="1">
      <w:start w:val="1"/>
      <w:numFmt w:val="bullet"/>
      <w:lvlText w:val="-"/>
      <w:lvlJc w:val="left"/>
      <w:pPr>
        <w:tabs>
          <w:tab w:val="num" w:pos="5040"/>
        </w:tabs>
        <w:ind w:left="5040" w:hanging="360"/>
      </w:pPr>
      <w:rPr>
        <w:rFonts w:ascii="Times New Roman" w:hAnsi="Times New Roman" w:hint="default"/>
      </w:rPr>
    </w:lvl>
    <w:lvl w:ilvl="7" w:tplc="AF1C324C" w:tentative="1">
      <w:start w:val="1"/>
      <w:numFmt w:val="bullet"/>
      <w:lvlText w:val="-"/>
      <w:lvlJc w:val="left"/>
      <w:pPr>
        <w:tabs>
          <w:tab w:val="num" w:pos="5760"/>
        </w:tabs>
        <w:ind w:left="5760" w:hanging="360"/>
      </w:pPr>
      <w:rPr>
        <w:rFonts w:ascii="Times New Roman" w:hAnsi="Times New Roman" w:hint="default"/>
      </w:rPr>
    </w:lvl>
    <w:lvl w:ilvl="8" w:tplc="081EE13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39C66C4"/>
    <w:multiLevelType w:val="hybridMultilevel"/>
    <w:tmpl w:val="6A969F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
  </w:num>
  <w:num w:numId="4">
    <w:abstractNumId w:val="2"/>
  </w:num>
  <w:num w:numId="5">
    <w:abstractNumId w:val="14"/>
  </w:num>
  <w:num w:numId="6">
    <w:abstractNumId w:val="13"/>
  </w:num>
  <w:num w:numId="7">
    <w:abstractNumId w:val="8"/>
  </w:num>
  <w:num w:numId="8">
    <w:abstractNumId w:val="4"/>
  </w:num>
  <w:num w:numId="9">
    <w:abstractNumId w:val="0"/>
  </w:num>
  <w:num w:numId="10">
    <w:abstractNumId w:val="7"/>
  </w:num>
  <w:num w:numId="11">
    <w:abstractNumId w:val="11"/>
  </w:num>
  <w:num w:numId="12">
    <w:abstractNumId w:val="5"/>
  </w:num>
  <w:num w:numId="13">
    <w:abstractNumId w:val="3"/>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3D"/>
    <w:rsid w:val="00022211"/>
    <w:rsid w:val="0002293A"/>
    <w:rsid w:val="00026461"/>
    <w:rsid w:val="000268E0"/>
    <w:rsid w:val="00034E19"/>
    <w:rsid w:val="000373DE"/>
    <w:rsid w:val="00037616"/>
    <w:rsid w:val="000377A3"/>
    <w:rsid w:val="00042165"/>
    <w:rsid w:val="00047E3C"/>
    <w:rsid w:val="000517A4"/>
    <w:rsid w:val="00052A73"/>
    <w:rsid w:val="00054D2D"/>
    <w:rsid w:val="000626EC"/>
    <w:rsid w:val="00070C91"/>
    <w:rsid w:val="00072702"/>
    <w:rsid w:val="0008001E"/>
    <w:rsid w:val="00080BDD"/>
    <w:rsid w:val="00082543"/>
    <w:rsid w:val="00083C56"/>
    <w:rsid w:val="000868D3"/>
    <w:rsid w:val="00087912"/>
    <w:rsid w:val="00090C10"/>
    <w:rsid w:val="00093941"/>
    <w:rsid w:val="00096F70"/>
    <w:rsid w:val="00097179"/>
    <w:rsid w:val="000A01D0"/>
    <w:rsid w:val="000A15C3"/>
    <w:rsid w:val="000A5AB1"/>
    <w:rsid w:val="000A6EB9"/>
    <w:rsid w:val="000C1315"/>
    <w:rsid w:val="000C13DC"/>
    <w:rsid w:val="000C1B53"/>
    <w:rsid w:val="000C27E6"/>
    <w:rsid w:val="000C340A"/>
    <w:rsid w:val="000D0CF6"/>
    <w:rsid w:val="000D1508"/>
    <w:rsid w:val="000D1FB7"/>
    <w:rsid w:val="000D3C98"/>
    <w:rsid w:val="000E2B74"/>
    <w:rsid w:val="000F0E80"/>
    <w:rsid w:val="000F1765"/>
    <w:rsid w:val="000F2617"/>
    <w:rsid w:val="000F279A"/>
    <w:rsid w:val="00102F7D"/>
    <w:rsid w:val="00104225"/>
    <w:rsid w:val="001064C5"/>
    <w:rsid w:val="00106BC8"/>
    <w:rsid w:val="00106E25"/>
    <w:rsid w:val="00112896"/>
    <w:rsid w:val="00112B01"/>
    <w:rsid w:val="00114F71"/>
    <w:rsid w:val="00115C36"/>
    <w:rsid w:val="00116061"/>
    <w:rsid w:val="00117EAC"/>
    <w:rsid w:val="0012106E"/>
    <w:rsid w:val="001229A1"/>
    <w:rsid w:val="00130478"/>
    <w:rsid w:val="001318CC"/>
    <w:rsid w:val="0013546F"/>
    <w:rsid w:val="001378B3"/>
    <w:rsid w:val="0014179A"/>
    <w:rsid w:val="0014233C"/>
    <w:rsid w:val="00142469"/>
    <w:rsid w:val="00143727"/>
    <w:rsid w:val="00143782"/>
    <w:rsid w:val="00146B48"/>
    <w:rsid w:val="00147074"/>
    <w:rsid w:val="00150849"/>
    <w:rsid w:val="0015270D"/>
    <w:rsid w:val="00154239"/>
    <w:rsid w:val="00162165"/>
    <w:rsid w:val="00162B41"/>
    <w:rsid w:val="001702B9"/>
    <w:rsid w:val="00174641"/>
    <w:rsid w:val="001749CC"/>
    <w:rsid w:val="00175F49"/>
    <w:rsid w:val="001771B8"/>
    <w:rsid w:val="001774F8"/>
    <w:rsid w:val="00180ED8"/>
    <w:rsid w:val="00182878"/>
    <w:rsid w:val="00190DD7"/>
    <w:rsid w:val="001910F1"/>
    <w:rsid w:val="00191B0F"/>
    <w:rsid w:val="0019256E"/>
    <w:rsid w:val="00194683"/>
    <w:rsid w:val="001A098A"/>
    <w:rsid w:val="001A2122"/>
    <w:rsid w:val="001A559B"/>
    <w:rsid w:val="001A7467"/>
    <w:rsid w:val="001A749C"/>
    <w:rsid w:val="001B3779"/>
    <w:rsid w:val="001B6ABE"/>
    <w:rsid w:val="001C0695"/>
    <w:rsid w:val="001C3663"/>
    <w:rsid w:val="001C5EA1"/>
    <w:rsid w:val="001D059A"/>
    <w:rsid w:val="001D3DED"/>
    <w:rsid w:val="001D486D"/>
    <w:rsid w:val="001D4E78"/>
    <w:rsid w:val="001D4FC3"/>
    <w:rsid w:val="001D76FA"/>
    <w:rsid w:val="001D7851"/>
    <w:rsid w:val="001E2FEB"/>
    <w:rsid w:val="001E389F"/>
    <w:rsid w:val="001E42BF"/>
    <w:rsid w:val="001F1978"/>
    <w:rsid w:val="001F2F53"/>
    <w:rsid w:val="001F43DF"/>
    <w:rsid w:val="001F4A81"/>
    <w:rsid w:val="001F5B39"/>
    <w:rsid w:val="001F7C9B"/>
    <w:rsid w:val="002009C9"/>
    <w:rsid w:val="00201BD5"/>
    <w:rsid w:val="002028E2"/>
    <w:rsid w:val="0020622A"/>
    <w:rsid w:val="00206247"/>
    <w:rsid w:val="0020696B"/>
    <w:rsid w:val="0021242D"/>
    <w:rsid w:val="002158E1"/>
    <w:rsid w:val="00220CC6"/>
    <w:rsid w:val="00221544"/>
    <w:rsid w:val="00222A43"/>
    <w:rsid w:val="00223268"/>
    <w:rsid w:val="00223491"/>
    <w:rsid w:val="00225F8F"/>
    <w:rsid w:val="00226B8A"/>
    <w:rsid w:val="00227643"/>
    <w:rsid w:val="0023155D"/>
    <w:rsid w:val="0023527C"/>
    <w:rsid w:val="00236D05"/>
    <w:rsid w:val="00241057"/>
    <w:rsid w:val="002418FA"/>
    <w:rsid w:val="00242E82"/>
    <w:rsid w:val="00246345"/>
    <w:rsid w:val="0025083F"/>
    <w:rsid w:val="00256BAB"/>
    <w:rsid w:val="00265D46"/>
    <w:rsid w:val="00265F1B"/>
    <w:rsid w:val="00266D90"/>
    <w:rsid w:val="00270A60"/>
    <w:rsid w:val="00270F50"/>
    <w:rsid w:val="00276FFD"/>
    <w:rsid w:val="002773A1"/>
    <w:rsid w:val="00280AF7"/>
    <w:rsid w:val="002810E8"/>
    <w:rsid w:val="002871E4"/>
    <w:rsid w:val="00290C61"/>
    <w:rsid w:val="00290F4B"/>
    <w:rsid w:val="00292E24"/>
    <w:rsid w:val="00293BCD"/>
    <w:rsid w:val="00296592"/>
    <w:rsid w:val="002A018A"/>
    <w:rsid w:val="002A2165"/>
    <w:rsid w:val="002A3473"/>
    <w:rsid w:val="002A352E"/>
    <w:rsid w:val="002A47B5"/>
    <w:rsid w:val="002A4FFB"/>
    <w:rsid w:val="002A691A"/>
    <w:rsid w:val="002B362F"/>
    <w:rsid w:val="002B45A3"/>
    <w:rsid w:val="002B4C83"/>
    <w:rsid w:val="002B66B1"/>
    <w:rsid w:val="002B794D"/>
    <w:rsid w:val="002D31AB"/>
    <w:rsid w:val="002D638F"/>
    <w:rsid w:val="002E2491"/>
    <w:rsid w:val="002E321A"/>
    <w:rsid w:val="002E79EE"/>
    <w:rsid w:val="00300E33"/>
    <w:rsid w:val="00302B1A"/>
    <w:rsid w:val="00304B4D"/>
    <w:rsid w:val="003243B5"/>
    <w:rsid w:val="0032656A"/>
    <w:rsid w:val="003328F8"/>
    <w:rsid w:val="00332AF2"/>
    <w:rsid w:val="00333BC6"/>
    <w:rsid w:val="00334308"/>
    <w:rsid w:val="0033608D"/>
    <w:rsid w:val="00336A44"/>
    <w:rsid w:val="00336AB7"/>
    <w:rsid w:val="0034418C"/>
    <w:rsid w:val="00345213"/>
    <w:rsid w:val="00346379"/>
    <w:rsid w:val="00347470"/>
    <w:rsid w:val="00352272"/>
    <w:rsid w:val="00352EB4"/>
    <w:rsid w:val="00353EF1"/>
    <w:rsid w:val="003568A7"/>
    <w:rsid w:val="00360ED7"/>
    <w:rsid w:val="003637FF"/>
    <w:rsid w:val="00366C74"/>
    <w:rsid w:val="00370C74"/>
    <w:rsid w:val="00371215"/>
    <w:rsid w:val="0037197D"/>
    <w:rsid w:val="003720F1"/>
    <w:rsid w:val="00373073"/>
    <w:rsid w:val="003761D8"/>
    <w:rsid w:val="003764B8"/>
    <w:rsid w:val="0037681A"/>
    <w:rsid w:val="00377D1B"/>
    <w:rsid w:val="00380CC0"/>
    <w:rsid w:val="00386065"/>
    <w:rsid w:val="00387048"/>
    <w:rsid w:val="00387170"/>
    <w:rsid w:val="00387737"/>
    <w:rsid w:val="00390E43"/>
    <w:rsid w:val="00392FEE"/>
    <w:rsid w:val="00394A2A"/>
    <w:rsid w:val="00396E38"/>
    <w:rsid w:val="003A135A"/>
    <w:rsid w:val="003A55C4"/>
    <w:rsid w:val="003A7CC3"/>
    <w:rsid w:val="003B16F9"/>
    <w:rsid w:val="003B4303"/>
    <w:rsid w:val="003B552D"/>
    <w:rsid w:val="003B5630"/>
    <w:rsid w:val="003C0AE3"/>
    <w:rsid w:val="003C0B2C"/>
    <w:rsid w:val="003C37AC"/>
    <w:rsid w:val="003C564C"/>
    <w:rsid w:val="003C5D30"/>
    <w:rsid w:val="003D1544"/>
    <w:rsid w:val="003D6536"/>
    <w:rsid w:val="003D7D64"/>
    <w:rsid w:val="003D7F74"/>
    <w:rsid w:val="003E1D59"/>
    <w:rsid w:val="003E3092"/>
    <w:rsid w:val="003E3AEE"/>
    <w:rsid w:val="003E5757"/>
    <w:rsid w:val="003E7F92"/>
    <w:rsid w:val="003F3680"/>
    <w:rsid w:val="003F4F9B"/>
    <w:rsid w:val="004015DA"/>
    <w:rsid w:val="00414DE9"/>
    <w:rsid w:val="004158C5"/>
    <w:rsid w:val="00415917"/>
    <w:rsid w:val="004176A6"/>
    <w:rsid w:val="00417CF1"/>
    <w:rsid w:val="0042015B"/>
    <w:rsid w:val="00426294"/>
    <w:rsid w:val="00430541"/>
    <w:rsid w:val="00432814"/>
    <w:rsid w:val="004336CF"/>
    <w:rsid w:val="00435BF8"/>
    <w:rsid w:val="00440966"/>
    <w:rsid w:val="00440E87"/>
    <w:rsid w:val="00443C59"/>
    <w:rsid w:val="00444B5E"/>
    <w:rsid w:val="004459AE"/>
    <w:rsid w:val="00445DED"/>
    <w:rsid w:val="00446002"/>
    <w:rsid w:val="00450534"/>
    <w:rsid w:val="00463FEA"/>
    <w:rsid w:val="004646AD"/>
    <w:rsid w:val="00474313"/>
    <w:rsid w:val="00476724"/>
    <w:rsid w:val="004800EF"/>
    <w:rsid w:val="00480F00"/>
    <w:rsid w:val="0048548A"/>
    <w:rsid w:val="00486471"/>
    <w:rsid w:val="00486A43"/>
    <w:rsid w:val="00487E1D"/>
    <w:rsid w:val="004901DB"/>
    <w:rsid w:val="0049131D"/>
    <w:rsid w:val="00492366"/>
    <w:rsid w:val="00492894"/>
    <w:rsid w:val="00494764"/>
    <w:rsid w:val="004967B1"/>
    <w:rsid w:val="0049768B"/>
    <w:rsid w:val="004A02ED"/>
    <w:rsid w:val="004A0DED"/>
    <w:rsid w:val="004A2E38"/>
    <w:rsid w:val="004A7B78"/>
    <w:rsid w:val="004B350E"/>
    <w:rsid w:val="004B6039"/>
    <w:rsid w:val="004D0855"/>
    <w:rsid w:val="004D0D7E"/>
    <w:rsid w:val="004D44E7"/>
    <w:rsid w:val="004D461C"/>
    <w:rsid w:val="004D5E19"/>
    <w:rsid w:val="004D60CC"/>
    <w:rsid w:val="004D780C"/>
    <w:rsid w:val="004D7B43"/>
    <w:rsid w:val="004E19FA"/>
    <w:rsid w:val="004E1B92"/>
    <w:rsid w:val="004E1CE1"/>
    <w:rsid w:val="004E213F"/>
    <w:rsid w:val="004F35B8"/>
    <w:rsid w:val="004F6BD5"/>
    <w:rsid w:val="004F7D36"/>
    <w:rsid w:val="00500473"/>
    <w:rsid w:val="00505961"/>
    <w:rsid w:val="00514E8B"/>
    <w:rsid w:val="005155A6"/>
    <w:rsid w:val="00521051"/>
    <w:rsid w:val="00535820"/>
    <w:rsid w:val="00536177"/>
    <w:rsid w:val="00536276"/>
    <w:rsid w:val="005372F0"/>
    <w:rsid w:val="005400EE"/>
    <w:rsid w:val="0054460F"/>
    <w:rsid w:val="005452EB"/>
    <w:rsid w:val="0054728F"/>
    <w:rsid w:val="0055116F"/>
    <w:rsid w:val="00552CAE"/>
    <w:rsid w:val="0055696E"/>
    <w:rsid w:val="00563C9E"/>
    <w:rsid w:val="00563ECA"/>
    <w:rsid w:val="00566087"/>
    <w:rsid w:val="005709C0"/>
    <w:rsid w:val="00570AEA"/>
    <w:rsid w:val="00583589"/>
    <w:rsid w:val="00593558"/>
    <w:rsid w:val="0059529B"/>
    <w:rsid w:val="00597C52"/>
    <w:rsid w:val="00597DBB"/>
    <w:rsid w:val="005A01BD"/>
    <w:rsid w:val="005A13CD"/>
    <w:rsid w:val="005A244F"/>
    <w:rsid w:val="005A755A"/>
    <w:rsid w:val="005A7DFD"/>
    <w:rsid w:val="005B3207"/>
    <w:rsid w:val="005B4C51"/>
    <w:rsid w:val="005B57C7"/>
    <w:rsid w:val="005B6E3E"/>
    <w:rsid w:val="005B7869"/>
    <w:rsid w:val="005C07C0"/>
    <w:rsid w:val="005C1031"/>
    <w:rsid w:val="005C1292"/>
    <w:rsid w:val="005C4537"/>
    <w:rsid w:val="005C4FBC"/>
    <w:rsid w:val="005D0696"/>
    <w:rsid w:val="005D3404"/>
    <w:rsid w:val="005D58F2"/>
    <w:rsid w:val="005D7F96"/>
    <w:rsid w:val="005E1427"/>
    <w:rsid w:val="005E3EC2"/>
    <w:rsid w:val="005F2945"/>
    <w:rsid w:val="005F64D8"/>
    <w:rsid w:val="00600184"/>
    <w:rsid w:val="006006D1"/>
    <w:rsid w:val="00601F85"/>
    <w:rsid w:val="006024FF"/>
    <w:rsid w:val="00604EC6"/>
    <w:rsid w:val="00610399"/>
    <w:rsid w:val="00612060"/>
    <w:rsid w:val="00614C22"/>
    <w:rsid w:val="00614EEE"/>
    <w:rsid w:val="006157EB"/>
    <w:rsid w:val="0062055F"/>
    <w:rsid w:val="00621A83"/>
    <w:rsid w:val="006221FF"/>
    <w:rsid w:val="00623CD7"/>
    <w:rsid w:val="00625A77"/>
    <w:rsid w:val="00626B75"/>
    <w:rsid w:val="00630170"/>
    <w:rsid w:val="00631B06"/>
    <w:rsid w:val="00631BE1"/>
    <w:rsid w:val="00631E4E"/>
    <w:rsid w:val="0063264C"/>
    <w:rsid w:val="006337DE"/>
    <w:rsid w:val="00636AEA"/>
    <w:rsid w:val="00636CD6"/>
    <w:rsid w:val="006400EE"/>
    <w:rsid w:val="006410F5"/>
    <w:rsid w:val="00642881"/>
    <w:rsid w:val="00643BF8"/>
    <w:rsid w:val="00646DBC"/>
    <w:rsid w:val="00653FEC"/>
    <w:rsid w:val="00657E34"/>
    <w:rsid w:val="00663F88"/>
    <w:rsid w:val="0066419D"/>
    <w:rsid w:val="0066478E"/>
    <w:rsid w:val="00664B25"/>
    <w:rsid w:val="00665E1D"/>
    <w:rsid w:val="0067101A"/>
    <w:rsid w:val="00671773"/>
    <w:rsid w:val="00671A69"/>
    <w:rsid w:val="006725D9"/>
    <w:rsid w:val="00681054"/>
    <w:rsid w:val="00683AE4"/>
    <w:rsid w:val="00692D18"/>
    <w:rsid w:val="00694EDF"/>
    <w:rsid w:val="00696EE2"/>
    <w:rsid w:val="006A47F1"/>
    <w:rsid w:val="006A5C3E"/>
    <w:rsid w:val="006A6B0E"/>
    <w:rsid w:val="006B0117"/>
    <w:rsid w:val="006B1938"/>
    <w:rsid w:val="006B3D37"/>
    <w:rsid w:val="006B588D"/>
    <w:rsid w:val="006B633E"/>
    <w:rsid w:val="006C0048"/>
    <w:rsid w:val="006C03C6"/>
    <w:rsid w:val="006C5052"/>
    <w:rsid w:val="006C53D1"/>
    <w:rsid w:val="006C5A42"/>
    <w:rsid w:val="006D058B"/>
    <w:rsid w:val="006D2FD1"/>
    <w:rsid w:val="006D3EB4"/>
    <w:rsid w:val="006E0C9B"/>
    <w:rsid w:val="006E0E4C"/>
    <w:rsid w:val="006E1944"/>
    <w:rsid w:val="006E1949"/>
    <w:rsid w:val="006E3FE1"/>
    <w:rsid w:val="006E78B3"/>
    <w:rsid w:val="006F29CA"/>
    <w:rsid w:val="006F3C7E"/>
    <w:rsid w:val="00700528"/>
    <w:rsid w:val="00707CE3"/>
    <w:rsid w:val="00710B39"/>
    <w:rsid w:val="00711D48"/>
    <w:rsid w:val="00721359"/>
    <w:rsid w:val="00722166"/>
    <w:rsid w:val="00723045"/>
    <w:rsid w:val="00724FC3"/>
    <w:rsid w:val="007250E3"/>
    <w:rsid w:val="00726455"/>
    <w:rsid w:val="0074040B"/>
    <w:rsid w:val="00743CEC"/>
    <w:rsid w:val="00744509"/>
    <w:rsid w:val="00756471"/>
    <w:rsid w:val="007602B9"/>
    <w:rsid w:val="00762CB6"/>
    <w:rsid w:val="00765186"/>
    <w:rsid w:val="00766535"/>
    <w:rsid w:val="00771C44"/>
    <w:rsid w:val="007764AC"/>
    <w:rsid w:val="00782FC5"/>
    <w:rsid w:val="00786E82"/>
    <w:rsid w:val="00794802"/>
    <w:rsid w:val="007A7415"/>
    <w:rsid w:val="007A7BAE"/>
    <w:rsid w:val="007B132C"/>
    <w:rsid w:val="007B2521"/>
    <w:rsid w:val="007B29A7"/>
    <w:rsid w:val="007B4FD9"/>
    <w:rsid w:val="007B7485"/>
    <w:rsid w:val="007C1C0E"/>
    <w:rsid w:val="007C45B4"/>
    <w:rsid w:val="007C6BF1"/>
    <w:rsid w:val="007C737F"/>
    <w:rsid w:val="007C74AD"/>
    <w:rsid w:val="007D2C69"/>
    <w:rsid w:val="007D33D6"/>
    <w:rsid w:val="007D4137"/>
    <w:rsid w:val="007D67CA"/>
    <w:rsid w:val="007E19AB"/>
    <w:rsid w:val="007E1C51"/>
    <w:rsid w:val="007E3318"/>
    <w:rsid w:val="007E59B3"/>
    <w:rsid w:val="007E7C60"/>
    <w:rsid w:val="007F093B"/>
    <w:rsid w:val="007F0A33"/>
    <w:rsid w:val="007F1EA5"/>
    <w:rsid w:val="007F3FC8"/>
    <w:rsid w:val="007F5867"/>
    <w:rsid w:val="00801AAC"/>
    <w:rsid w:val="00802A6C"/>
    <w:rsid w:val="00807E3E"/>
    <w:rsid w:val="00810A41"/>
    <w:rsid w:val="008120C6"/>
    <w:rsid w:val="0082469D"/>
    <w:rsid w:val="00826003"/>
    <w:rsid w:val="008303FE"/>
    <w:rsid w:val="00840AA0"/>
    <w:rsid w:val="008436FF"/>
    <w:rsid w:val="00844332"/>
    <w:rsid w:val="00844B40"/>
    <w:rsid w:val="008501BB"/>
    <w:rsid w:val="00850926"/>
    <w:rsid w:val="008526D1"/>
    <w:rsid w:val="00856730"/>
    <w:rsid w:val="00856F06"/>
    <w:rsid w:val="008574DC"/>
    <w:rsid w:val="008603C9"/>
    <w:rsid w:val="00864A92"/>
    <w:rsid w:val="00864B5D"/>
    <w:rsid w:val="0086627C"/>
    <w:rsid w:val="008662B2"/>
    <w:rsid w:val="008671C0"/>
    <w:rsid w:val="00871888"/>
    <w:rsid w:val="00875E5A"/>
    <w:rsid w:val="00876329"/>
    <w:rsid w:val="0087675B"/>
    <w:rsid w:val="00876F96"/>
    <w:rsid w:val="00877F66"/>
    <w:rsid w:val="008816E3"/>
    <w:rsid w:val="008820C5"/>
    <w:rsid w:val="00883ED1"/>
    <w:rsid w:val="008847C2"/>
    <w:rsid w:val="00890287"/>
    <w:rsid w:val="00890AF2"/>
    <w:rsid w:val="00896DD8"/>
    <w:rsid w:val="00897656"/>
    <w:rsid w:val="008A2FDB"/>
    <w:rsid w:val="008A4EF3"/>
    <w:rsid w:val="008A53C2"/>
    <w:rsid w:val="008B18B2"/>
    <w:rsid w:val="008B4D11"/>
    <w:rsid w:val="008C3096"/>
    <w:rsid w:val="008C365D"/>
    <w:rsid w:val="008C3C71"/>
    <w:rsid w:val="008D0F9D"/>
    <w:rsid w:val="008D27E3"/>
    <w:rsid w:val="008E076A"/>
    <w:rsid w:val="008E0FFF"/>
    <w:rsid w:val="008E7764"/>
    <w:rsid w:val="008F37BB"/>
    <w:rsid w:val="008F4101"/>
    <w:rsid w:val="008F4846"/>
    <w:rsid w:val="008F4D73"/>
    <w:rsid w:val="0090120E"/>
    <w:rsid w:val="00902637"/>
    <w:rsid w:val="00905AFB"/>
    <w:rsid w:val="00906A48"/>
    <w:rsid w:val="009105D2"/>
    <w:rsid w:val="009155AA"/>
    <w:rsid w:val="00915830"/>
    <w:rsid w:val="009219FB"/>
    <w:rsid w:val="009263FA"/>
    <w:rsid w:val="00926869"/>
    <w:rsid w:val="00926A30"/>
    <w:rsid w:val="00926E02"/>
    <w:rsid w:val="00927231"/>
    <w:rsid w:val="00927865"/>
    <w:rsid w:val="0093001A"/>
    <w:rsid w:val="00933953"/>
    <w:rsid w:val="009369BF"/>
    <w:rsid w:val="00943DE7"/>
    <w:rsid w:val="00944A82"/>
    <w:rsid w:val="0094507C"/>
    <w:rsid w:val="009459CA"/>
    <w:rsid w:val="009467B8"/>
    <w:rsid w:val="009468C1"/>
    <w:rsid w:val="009517D0"/>
    <w:rsid w:val="00952D00"/>
    <w:rsid w:val="00960041"/>
    <w:rsid w:val="00961316"/>
    <w:rsid w:val="00961CE4"/>
    <w:rsid w:val="00962977"/>
    <w:rsid w:val="009666C4"/>
    <w:rsid w:val="00967354"/>
    <w:rsid w:val="00974866"/>
    <w:rsid w:val="009757BB"/>
    <w:rsid w:val="00980BCC"/>
    <w:rsid w:val="00980EC0"/>
    <w:rsid w:val="0098241A"/>
    <w:rsid w:val="00991601"/>
    <w:rsid w:val="00992DFF"/>
    <w:rsid w:val="00994BE5"/>
    <w:rsid w:val="00996067"/>
    <w:rsid w:val="00996CBE"/>
    <w:rsid w:val="009B031E"/>
    <w:rsid w:val="009B33B5"/>
    <w:rsid w:val="009B41ED"/>
    <w:rsid w:val="009B5204"/>
    <w:rsid w:val="009B7FB8"/>
    <w:rsid w:val="009C0823"/>
    <w:rsid w:val="009C16A1"/>
    <w:rsid w:val="009C6768"/>
    <w:rsid w:val="009C7248"/>
    <w:rsid w:val="009C7F04"/>
    <w:rsid w:val="009E0BE3"/>
    <w:rsid w:val="009E185E"/>
    <w:rsid w:val="009E2C76"/>
    <w:rsid w:val="009E3640"/>
    <w:rsid w:val="009F02F4"/>
    <w:rsid w:val="00A054C5"/>
    <w:rsid w:val="00A05782"/>
    <w:rsid w:val="00A13342"/>
    <w:rsid w:val="00A13FF7"/>
    <w:rsid w:val="00A1406D"/>
    <w:rsid w:val="00A20801"/>
    <w:rsid w:val="00A23D72"/>
    <w:rsid w:val="00A24698"/>
    <w:rsid w:val="00A30600"/>
    <w:rsid w:val="00A313F5"/>
    <w:rsid w:val="00A35472"/>
    <w:rsid w:val="00A44D88"/>
    <w:rsid w:val="00A45B9D"/>
    <w:rsid w:val="00A5031F"/>
    <w:rsid w:val="00A50553"/>
    <w:rsid w:val="00A50BA6"/>
    <w:rsid w:val="00A51583"/>
    <w:rsid w:val="00A51812"/>
    <w:rsid w:val="00A527F5"/>
    <w:rsid w:val="00A54F82"/>
    <w:rsid w:val="00A553BE"/>
    <w:rsid w:val="00A566A5"/>
    <w:rsid w:val="00A62EB4"/>
    <w:rsid w:val="00A74090"/>
    <w:rsid w:val="00A83AE3"/>
    <w:rsid w:val="00A8464C"/>
    <w:rsid w:val="00A86A15"/>
    <w:rsid w:val="00A909E6"/>
    <w:rsid w:val="00AA24E7"/>
    <w:rsid w:val="00AB0259"/>
    <w:rsid w:val="00AB6739"/>
    <w:rsid w:val="00AC4498"/>
    <w:rsid w:val="00AC6FBC"/>
    <w:rsid w:val="00AD0F91"/>
    <w:rsid w:val="00AD2D9B"/>
    <w:rsid w:val="00AD38C1"/>
    <w:rsid w:val="00AD3944"/>
    <w:rsid w:val="00AD3EC4"/>
    <w:rsid w:val="00AD43D7"/>
    <w:rsid w:val="00AD7583"/>
    <w:rsid w:val="00AE242E"/>
    <w:rsid w:val="00AE4326"/>
    <w:rsid w:val="00AE57E9"/>
    <w:rsid w:val="00AE5966"/>
    <w:rsid w:val="00AF44FA"/>
    <w:rsid w:val="00AF4B3D"/>
    <w:rsid w:val="00AF61E2"/>
    <w:rsid w:val="00B04BFB"/>
    <w:rsid w:val="00B10DE9"/>
    <w:rsid w:val="00B137FC"/>
    <w:rsid w:val="00B16C29"/>
    <w:rsid w:val="00B21D04"/>
    <w:rsid w:val="00B22D9B"/>
    <w:rsid w:val="00B2327B"/>
    <w:rsid w:val="00B245F4"/>
    <w:rsid w:val="00B257B7"/>
    <w:rsid w:val="00B31BA1"/>
    <w:rsid w:val="00B32BE1"/>
    <w:rsid w:val="00B33487"/>
    <w:rsid w:val="00B34E98"/>
    <w:rsid w:val="00B36218"/>
    <w:rsid w:val="00B3647E"/>
    <w:rsid w:val="00B40529"/>
    <w:rsid w:val="00B4339B"/>
    <w:rsid w:val="00B44114"/>
    <w:rsid w:val="00B469EB"/>
    <w:rsid w:val="00B4772E"/>
    <w:rsid w:val="00B5111E"/>
    <w:rsid w:val="00B51BE6"/>
    <w:rsid w:val="00B53593"/>
    <w:rsid w:val="00B53D82"/>
    <w:rsid w:val="00B54690"/>
    <w:rsid w:val="00B57884"/>
    <w:rsid w:val="00B61E76"/>
    <w:rsid w:val="00B66F1A"/>
    <w:rsid w:val="00B725C9"/>
    <w:rsid w:val="00B7293D"/>
    <w:rsid w:val="00B72E79"/>
    <w:rsid w:val="00B734CB"/>
    <w:rsid w:val="00B81516"/>
    <w:rsid w:val="00B81808"/>
    <w:rsid w:val="00B92700"/>
    <w:rsid w:val="00B92A1D"/>
    <w:rsid w:val="00B940E0"/>
    <w:rsid w:val="00B97205"/>
    <w:rsid w:val="00BA2327"/>
    <w:rsid w:val="00BA41BB"/>
    <w:rsid w:val="00BA46A5"/>
    <w:rsid w:val="00BA5DF6"/>
    <w:rsid w:val="00BA6A13"/>
    <w:rsid w:val="00BA6B95"/>
    <w:rsid w:val="00BB29DC"/>
    <w:rsid w:val="00BB5025"/>
    <w:rsid w:val="00BC28E6"/>
    <w:rsid w:val="00BC2DCA"/>
    <w:rsid w:val="00BC47E1"/>
    <w:rsid w:val="00BD0502"/>
    <w:rsid w:val="00BD5FFB"/>
    <w:rsid w:val="00BD6A33"/>
    <w:rsid w:val="00BE19A8"/>
    <w:rsid w:val="00BE362A"/>
    <w:rsid w:val="00BE45B5"/>
    <w:rsid w:val="00BE538D"/>
    <w:rsid w:val="00BE608E"/>
    <w:rsid w:val="00BE6ED8"/>
    <w:rsid w:val="00BF1634"/>
    <w:rsid w:val="00BF4583"/>
    <w:rsid w:val="00BF5908"/>
    <w:rsid w:val="00BF6A4B"/>
    <w:rsid w:val="00BF7056"/>
    <w:rsid w:val="00C0403D"/>
    <w:rsid w:val="00C05279"/>
    <w:rsid w:val="00C05BAB"/>
    <w:rsid w:val="00C060DC"/>
    <w:rsid w:val="00C10991"/>
    <w:rsid w:val="00C1132C"/>
    <w:rsid w:val="00C1157B"/>
    <w:rsid w:val="00C128B3"/>
    <w:rsid w:val="00C13976"/>
    <w:rsid w:val="00C14768"/>
    <w:rsid w:val="00C15597"/>
    <w:rsid w:val="00C16AA0"/>
    <w:rsid w:val="00C36A1D"/>
    <w:rsid w:val="00C507C6"/>
    <w:rsid w:val="00C52AF1"/>
    <w:rsid w:val="00C61970"/>
    <w:rsid w:val="00C6269F"/>
    <w:rsid w:val="00C62DDB"/>
    <w:rsid w:val="00C65574"/>
    <w:rsid w:val="00C66DAC"/>
    <w:rsid w:val="00C678D0"/>
    <w:rsid w:val="00C706D8"/>
    <w:rsid w:val="00C70D76"/>
    <w:rsid w:val="00C71781"/>
    <w:rsid w:val="00C76ABE"/>
    <w:rsid w:val="00C77738"/>
    <w:rsid w:val="00C82D83"/>
    <w:rsid w:val="00C84413"/>
    <w:rsid w:val="00C85EEB"/>
    <w:rsid w:val="00C914EB"/>
    <w:rsid w:val="00C94DE9"/>
    <w:rsid w:val="00C9644F"/>
    <w:rsid w:val="00CA1061"/>
    <w:rsid w:val="00CA1905"/>
    <w:rsid w:val="00CA1AFB"/>
    <w:rsid w:val="00CA385E"/>
    <w:rsid w:val="00CB00E5"/>
    <w:rsid w:val="00CB3687"/>
    <w:rsid w:val="00CB3A89"/>
    <w:rsid w:val="00CB5C2F"/>
    <w:rsid w:val="00CB63AD"/>
    <w:rsid w:val="00CB667A"/>
    <w:rsid w:val="00CC48A4"/>
    <w:rsid w:val="00CC6320"/>
    <w:rsid w:val="00CD4CEB"/>
    <w:rsid w:val="00CE47E9"/>
    <w:rsid w:val="00CE5A9D"/>
    <w:rsid w:val="00CF0719"/>
    <w:rsid w:val="00CF222F"/>
    <w:rsid w:val="00CF252C"/>
    <w:rsid w:val="00CF54C7"/>
    <w:rsid w:val="00D01C2F"/>
    <w:rsid w:val="00D02EA3"/>
    <w:rsid w:val="00D035B9"/>
    <w:rsid w:val="00D0554D"/>
    <w:rsid w:val="00D1599C"/>
    <w:rsid w:val="00D15DED"/>
    <w:rsid w:val="00D16614"/>
    <w:rsid w:val="00D170AC"/>
    <w:rsid w:val="00D22E87"/>
    <w:rsid w:val="00D309AB"/>
    <w:rsid w:val="00D34E33"/>
    <w:rsid w:val="00D365FB"/>
    <w:rsid w:val="00D37407"/>
    <w:rsid w:val="00D37F50"/>
    <w:rsid w:val="00D43D83"/>
    <w:rsid w:val="00D45F25"/>
    <w:rsid w:val="00D476B6"/>
    <w:rsid w:val="00D47830"/>
    <w:rsid w:val="00D50BC6"/>
    <w:rsid w:val="00D55989"/>
    <w:rsid w:val="00D55AC3"/>
    <w:rsid w:val="00D5675C"/>
    <w:rsid w:val="00D658E3"/>
    <w:rsid w:val="00D65FC6"/>
    <w:rsid w:val="00D66B6E"/>
    <w:rsid w:val="00D7156B"/>
    <w:rsid w:val="00D71B9F"/>
    <w:rsid w:val="00D72994"/>
    <w:rsid w:val="00D75351"/>
    <w:rsid w:val="00D7627A"/>
    <w:rsid w:val="00D76CD7"/>
    <w:rsid w:val="00D77347"/>
    <w:rsid w:val="00D8060F"/>
    <w:rsid w:val="00D84D12"/>
    <w:rsid w:val="00D84EB7"/>
    <w:rsid w:val="00D866FB"/>
    <w:rsid w:val="00D86BDB"/>
    <w:rsid w:val="00D9005D"/>
    <w:rsid w:val="00D90AE1"/>
    <w:rsid w:val="00D90EB6"/>
    <w:rsid w:val="00D94255"/>
    <w:rsid w:val="00D957FE"/>
    <w:rsid w:val="00DA0576"/>
    <w:rsid w:val="00DA0B04"/>
    <w:rsid w:val="00DA1879"/>
    <w:rsid w:val="00DA1952"/>
    <w:rsid w:val="00DA3019"/>
    <w:rsid w:val="00DA31FD"/>
    <w:rsid w:val="00DA595E"/>
    <w:rsid w:val="00DB1162"/>
    <w:rsid w:val="00DB1C35"/>
    <w:rsid w:val="00DB3145"/>
    <w:rsid w:val="00DB4E34"/>
    <w:rsid w:val="00DB62C5"/>
    <w:rsid w:val="00DB69CD"/>
    <w:rsid w:val="00DB6A47"/>
    <w:rsid w:val="00DC2334"/>
    <w:rsid w:val="00DC2CC2"/>
    <w:rsid w:val="00DC4249"/>
    <w:rsid w:val="00DC4A2A"/>
    <w:rsid w:val="00DD3E3E"/>
    <w:rsid w:val="00DD4A95"/>
    <w:rsid w:val="00DD730E"/>
    <w:rsid w:val="00DD7751"/>
    <w:rsid w:val="00DE2281"/>
    <w:rsid w:val="00DE679D"/>
    <w:rsid w:val="00DF683F"/>
    <w:rsid w:val="00E06687"/>
    <w:rsid w:val="00E10BD2"/>
    <w:rsid w:val="00E11222"/>
    <w:rsid w:val="00E11AE5"/>
    <w:rsid w:val="00E12A7B"/>
    <w:rsid w:val="00E13949"/>
    <w:rsid w:val="00E16D60"/>
    <w:rsid w:val="00E17B27"/>
    <w:rsid w:val="00E20644"/>
    <w:rsid w:val="00E34BD6"/>
    <w:rsid w:val="00E403A5"/>
    <w:rsid w:val="00E40ADD"/>
    <w:rsid w:val="00E4137D"/>
    <w:rsid w:val="00E42CFC"/>
    <w:rsid w:val="00E4358D"/>
    <w:rsid w:val="00E53D65"/>
    <w:rsid w:val="00E63045"/>
    <w:rsid w:val="00E713DC"/>
    <w:rsid w:val="00E72798"/>
    <w:rsid w:val="00E735A0"/>
    <w:rsid w:val="00E84FFD"/>
    <w:rsid w:val="00E85C46"/>
    <w:rsid w:val="00E86C66"/>
    <w:rsid w:val="00E9044D"/>
    <w:rsid w:val="00E904B1"/>
    <w:rsid w:val="00E91505"/>
    <w:rsid w:val="00E96656"/>
    <w:rsid w:val="00EA165E"/>
    <w:rsid w:val="00EA206D"/>
    <w:rsid w:val="00EA28F0"/>
    <w:rsid w:val="00EA33A3"/>
    <w:rsid w:val="00EA4092"/>
    <w:rsid w:val="00EA6E20"/>
    <w:rsid w:val="00EB1742"/>
    <w:rsid w:val="00EB1CD6"/>
    <w:rsid w:val="00EB4001"/>
    <w:rsid w:val="00EB4935"/>
    <w:rsid w:val="00EB4A08"/>
    <w:rsid w:val="00EB623C"/>
    <w:rsid w:val="00EC01C5"/>
    <w:rsid w:val="00EC0805"/>
    <w:rsid w:val="00EC26E9"/>
    <w:rsid w:val="00EC27B6"/>
    <w:rsid w:val="00EC31F4"/>
    <w:rsid w:val="00EC32FA"/>
    <w:rsid w:val="00EC7ADD"/>
    <w:rsid w:val="00EC7B47"/>
    <w:rsid w:val="00ED34A1"/>
    <w:rsid w:val="00ED46BD"/>
    <w:rsid w:val="00ED4A91"/>
    <w:rsid w:val="00ED7E15"/>
    <w:rsid w:val="00EE043F"/>
    <w:rsid w:val="00EE20E7"/>
    <w:rsid w:val="00EE30FB"/>
    <w:rsid w:val="00EE35AC"/>
    <w:rsid w:val="00EE3E02"/>
    <w:rsid w:val="00EE48BB"/>
    <w:rsid w:val="00EF0748"/>
    <w:rsid w:val="00EF1062"/>
    <w:rsid w:val="00EF2989"/>
    <w:rsid w:val="00EF3758"/>
    <w:rsid w:val="00EF5D0D"/>
    <w:rsid w:val="00F020BB"/>
    <w:rsid w:val="00F07905"/>
    <w:rsid w:val="00F07FB7"/>
    <w:rsid w:val="00F12997"/>
    <w:rsid w:val="00F132C1"/>
    <w:rsid w:val="00F15CC8"/>
    <w:rsid w:val="00F2245E"/>
    <w:rsid w:val="00F251E5"/>
    <w:rsid w:val="00F3293A"/>
    <w:rsid w:val="00F461B8"/>
    <w:rsid w:val="00F46A32"/>
    <w:rsid w:val="00F4705D"/>
    <w:rsid w:val="00F53C66"/>
    <w:rsid w:val="00F54EE1"/>
    <w:rsid w:val="00F557AF"/>
    <w:rsid w:val="00F56B96"/>
    <w:rsid w:val="00F64A25"/>
    <w:rsid w:val="00F65685"/>
    <w:rsid w:val="00F67639"/>
    <w:rsid w:val="00F70895"/>
    <w:rsid w:val="00F712C3"/>
    <w:rsid w:val="00F72B24"/>
    <w:rsid w:val="00F7530F"/>
    <w:rsid w:val="00F755BD"/>
    <w:rsid w:val="00F77D36"/>
    <w:rsid w:val="00F90025"/>
    <w:rsid w:val="00F900A9"/>
    <w:rsid w:val="00F91ACB"/>
    <w:rsid w:val="00F92A9E"/>
    <w:rsid w:val="00F96C00"/>
    <w:rsid w:val="00FA128C"/>
    <w:rsid w:val="00FA646C"/>
    <w:rsid w:val="00FA71A1"/>
    <w:rsid w:val="00FB3F89"/>
    <w:rsid w:val="00FC77CF"/>
    <w:rsid w:val="00FD3DD1"/>
    <w:rsid w:val="00FE0CF4"/>
    <w:rsid w:val="00FE1E10"/>
    <w:rsid w:val="00FE48A5"/>
    <w:rsid w:val="00FE5F51"/>
    <w:rsid w:val="00FE658B"/>
    <w:rsid w:val="00FE6CBB"/>
    <w:rsid w:val="00FF4491"/>
    <w:rsid w:val="00FF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0284"/>
  <w15:docId w15:val="{A6BECE95-CA3B-45F9-B83A-711CF53E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93D"/>
    <w:pPr>
      <w:spacing w:after="160" w:line="259"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93D"/>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293D"/>
    <w:rPr>
      <w:color w:val="0000FF"/>
      <w:u w:val="single"/>
    </w:rPr>
  </w:style>
  <w:style w:type="paragraph" w:styleId="FootnoteText">
    <w:name w:val="footnote text"/>
    <w:basedOn w:val="Normal"/>
    <w:link w:val="FootnoteTextChar"/>
    <w:uiPriority w:val="99"/>
    <w:unhideWhenUsed/>
    <w:rsid w:val="00B7293D"/>
    <w:pPr>
      <w:spacing w:after="0" w:line="240" w:lineRule="auto"/>
    </w:pPr>
    <w:rPr>
      <w:sz w:val="20"/>
      <w:szCs w:val="20"/>
    </w:rPr>
  </w:style>
  <w:style w:type="character" w:customStyle="1" w:styleId="FootnoteTextChar">
    <w:name w:val="Footnote Text Char"/>
    <w:basedOn w:val="DefaultParagraphFont"/>
    <w:link w:val="FootnoteText"/>
    <w:uiPriority w:val="99"/>
    <w:rsid w:val="00B7293D"/>
    <w:rPr>
      <w:rFonts w:eastAsiaTheme="minorEastAsia"/>
      <w:sz w:val="20"/>
      <w:szCs w:val="20"/>
      <w:lang w:eastAsia="ja-JP"/>
    </w:rPr>
  </w:style>
  <w:style w:type="character" w:styleId="FootnoteReference">
    <w:name w:val="footnote reference"/>
    <w:basedOn w:val="DefaultParagraphFont"/>
    <w:uiPriority w:val="99"/>
    <w:semiHidden/>
    <w:unhideWhenUsed/>
    <w:rsid w:val="00B7293D"/>
    <w:rPr>
      <w:vertAlign w:val="superscript"/>
    </w:rPr>
  </w:style>
  <w:style w:type="paragraph" w:styleId="NoSpacing">
    <w:name w:val="No Spacing"/>
    <w:uiPriority w:val="1"/>
    <w:qFormat/>
    <w:rsid w:val="00B7293D"/>
    <w:pPr>
      <w:spacing w:after="0" w:line="240" w:lineRule="auto"/>
    </w:pPr>
    <w:rPr>
      <w:rFonts w:eastAsiaTheme="minorEastAsia"/>
      <w:lang w:eastAsia="ja-JP"/>
    </w:rPr>
  </w:style>
  <w:style w:type="paragraph" w:styleId="ListParagraph">
    <w:name w:val="List Paragraph"/>
    <w:basedOn w:val="Normal"/>
    <w:uiPriority w:val="34"/>
    <w:qFormat/>
    <w:rsid w:val="00BA6B95"/>
    <w:pPr>
      <w:ind w:left="720"/>
      <w:contextualSpacing/>
    </w:pPr>
  </w:style>
  <w:style w:type="paragraph" w:styleId="NormalWeb">
    <w:name w:val="Normal (Web)"/>
    <w:basedOn w:val="Normal"/>
    <w:uiPriority w:val="99"/>
    <w:unhideWhenUsed/>
    <w:rsid w:val="00D50BC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rsid w:val="00CB63A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77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77CF"/>
    <w:rPr>
      <w:rFonts w:eastAsiaTheme="minorEastAsia"/>
      <w:lang w:eastAsia="ja-JP"/>
    </w:rPr>
  </w:style>
  <w:style w:type="paragraph" w:styleId="Footer">
    <w:name w:val="footer"/>
    <w:basedOn w:val="Normal"/>
    <w:link w:val="FooterChar"/>
    <w:uiPriority w:val="99"/>
    <w:unhideWhenUsed/>
    <w:rsid w:val="00FC77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77CF"/>
    <w:rPr>
      <w:rFonts w:eastAsiaTheme="minorEastAsia"/>
      <w:lang w:eastAsia="ja-JP"/>
    </w:rPr>
  </w:style>
  <w:style w:type="paragraph" w:styleId="BalloonText">
    <w:name w:val="Balloon Text"/>
    <w:basedOn w:val="Normal"/>
    <w:link w:val="BalloonTextChar"/>
    <w:uiPriority w:val="99"/>
    <w:semiHidden/>
    <w:unhideWhenUsed/>
    <w:rsid w:val="00C70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D76"/>
    <w:rPr>
      <w:rFonts w:ascii="Segoe UI" w:eastAsiaTheme="minorEastAsia" w:hAnsi="Segoe UI" w:cs="Segoe UI"/>
      <w:sz w:val="18"/>
      <w:szCs w:val="18"/>
      <w:lang w:eastAsia="ja-JP"/>
    </w:rPr>
  </w:style>
  <w:style w:type="character" w:customStyle="1" w:styleId="normaltextrun">
    <w:name w:val="normaltextrun"/>
    <w:basedOn w:val="DefaultParagraphFont"/>
    <w:rsid w:val="0033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5201">
      <w:bodyDiv w:val="1"/>
      <w:marLeft w:val="0"/>
      <w:marRight w:val="0"/>
      <w:marTop w:val="0"/>
      <w:marBottom w:val="0"/>
      <w:divBdr>
        <w:top w:val="none" w:sz="0" w:space="0" w:color="auto"/>
        <w:left w:val="none" w:sz="0" w:space="0" w:color="auto"/>
        <w:bottom w:val="none" w:sz="0" w:space="0" w:color="auto"/>
        <w:right w:val="none" w:sz="0" w:space="0" w:color="auto"/>
      </w:divBdr>
      <w:divsChild>
        <w:div w:id="1764256515">
          <w:marLeft w:val="288"/>
          <w:marRight w:val="0"/>
          <w:marTop w:val="0"/>
          <w:marBottom w:val="0"/>
          <w:divBdr>
            <w:top w:val="none" w:sz="0" w:space="0" w:color="auto"/>
            <w:left w:val="none" w:sz="0" w:space="0" w:color="auto"/>
            <w:bottom w:val="none" w:sz="0" w:space="0" w:color="auto"/>
            <w:right w:val="none" w:sz="0" w:space="0" w:color="auto"/>
          </w:divBdr>
        </w:div>
        <w:div w:id="79638915">
          <w:marLeft w:val="288"/>
          <w:marRight w:val="0"/>
          <w:marTop w:val="0"/>
          <w:marBottom w:val="0"/>
          <w:divBdr>
            <w:top w:val="none" w:sz="0" w:space="0" w:color="auto"/>
            <w:left w:val="none" w:sz="0" w:space="0" w:color="auto"/>
            <w:bottom w:val="none" w:sz="0" w:space="0" w:color="auto"/>
            <w:right w:val="none" w:sz="0" w:space="0" w:color="auto"/>
          </w:divBdr>
        </w:div>
      </w:divsChild>
    </w:div>
    <w:div w:id="166941267">
      <w:bodyDiv w:val="1"/>
      <w:marLeft w:val="0"/>
      <w:marRight w:val="0"/>
      <w:marTop w:val="0"/>
      <w:marBottom w:val="0"/>
      <w:divBdr>
        <w:top w:val="none" w:sz="0" w:space="0" w:color="auto"/>
        <w:left w:val="none" w:sz="0" w:space="0" w:color="auto"/>
        <w:bottom w:val="none" w:sz="0" w:space="0" w:color="auto"/>
        <w:right w:val="none" w:sz="0" w:space="0" w:color="auto"/>
      </w:divBdr>
      <w:divsChild>
        <w:div w:id="1099106370">
          <w:marLeft w:val="288"/>
          <w:marRight w:val="0"/>
          <w:marTop w:val="0"/>
          <w:marBottom w:val="0"/>
          <w:divBdr>
            <w:top w:val="none" w:sz="0" w:space="0" w:color="auto"/>
            <w:left w:val="none" w:sz="0" w:space="0" w:color="auto"/>
            <w:bottom w:val="none" w:sz="0" w:space="0" w:color="auto"/>
            <w:right w:val="none" w:sz="0" w:space="0" w:color="auto"/>
          </w:divBdr>
        </w:div>
        <w:div w:id="1347976147">
          <w:marLeft w:val="288"/>
          <w:marRight w:val="0"/>
          <w:marTop w:val="0"/>
          <w:marBottom w:val="0"/>
          <w:divBdr>
            <w:top w:val="none" w:sz="0" w:space="0" w:color="auto"/>
            <w:left w:val="none" w:sz="0" w:space="0" w:color="auto"/>
            <w:bottom w:val="none" w:sz="0" w:space="0" w:color="auto"/>
            <w:right w:val="none" w:sz="0" w:space="0" w:color="auto"/>
          </w:divBdr>
        </w:div>
      </w:divsChild>
    </w:div>
    <w:div w:id="245388314">
      <w:bodyDiv w:val="1"/>
      <w:marLeft w:val="0"/>
      <w:marRight w:val="0"/>
      <w:marTop w:val="0"/>
      <w:marBottom w:val="0"/>
      <w:divBdr>
        <w:top w:val="none" w:sz="0" w:space="0" w:color="auto"/>
        <w:left w:val="none" w:sz="0" w:space="0" w:color="auto"/>
        <w:bottom w:val="none" w:sz="0" w:space="0" w:color="auto"/>
        <w:right w:val="none" w:sz="0" w:space="0" w:color="auto"/>
      </w:divBdr>
      <w:divsChild>
        <w:div w:id="611479057">
          <w:marLeft w:val="288"/>
          <w:marRight w:val="0"/>
          <w:marTop w:val="0"/>
          <w:marBottom w:val="0"/>
          <w:divBdr>
            <w:top w:val="none" w:sz="0" w:space="0" w:color="auto"/>
            <w:left w:val="none" w:sz="0" w:space="0" w:color="auto"/>
            <w:bottom w:val="none" w:sz="0" w:space="0" w:color="auto"/>
            <w:right w:val="none" w:sz="0" w:space="0" w:color="auto"/>
          </w:divBdr>
        </w:div>
        <w:div w:id="425468467">
          <w:marLeft w:val="288"/>
          <w:marRight w:val="0"/>
          <w:marTop w:val="0"/>
          <w:marBottom w:val="0"/>
          <w:divBdr>
            <w:top w:val="none" w:sz="0" w:space="0" w:color="auto"/>
            <w:left w:val="none" w:sz="0" w:space="0" w:color="auto"/>
            <w:bottom w:val="none" w:sz="0" w:space="0" w:color="auto"/>
            <w:right w:val="none" w:sz="0" w:space="0" w:color="auto"/>
          </w:divBdr>
        </w:div>
        <w:div w:id="278683752">
          <w:marLeft w:val="288"/>
          <w:marRight w:val="0"/>
          <w:marTop w:val="0"/>
          <w:marBottom w:val="0"/>
          <w:divBdr>
            <w:top w:val="none" w:sz="0" w:space="0" w:color="auto"/>
            <w:left w:val="none" w:sz="0" w:space="0" w:color="auto"/>
            <w:bottom w:val="none" w:sz="0" w:space="0" w:color="auto"/>
            <w:right w:val="none" w:sz="0" w:space="0" w:color="auto"/>
          </w:divBdr>
        </w:div>
      </w:divsChild>
    </w:div>
    <w:div w:id="248857221">
      <w:bodyDiv w:val="1"/>
      <w:marLeft w:val="0"/>
      <w:marRight w:val="0"/>
      <w:marTop w:val="0"/>
      <w:marBottom w:val="0"/>
      <w:divBdr>
        <w:top w:val="none" w:sz="0" w:space="0" w:color="auto"/>
        <w:left w:val="none" w:sz="0" w:space="0" w:color="auto"/>
        <w:bottom w:val="none" w:sz="0" w:space="0" w:color="auto"/>
        <w:right w:val="none" w:sz="0" w:space="0" w:color="auto"/>
      </w:divBdr>
      <w:divsChild>
        <w:div w:id="1522015715">
          <w:marLeft w:val="288"/>
          <w:marRight w:val="0"/>
          <w:marTop w:val="0"/>
          <w:marBottom w:val="0"/>
          <w:divBdr>
            <w:top w:val="none" w:sz="0" w:space="0" w:color="auto"/>
            <w:left w:val="none" w:sz="0" w:space="0" w:color="auto"/>
            <w:bottom w:val="none" w:sz="0" w:space="0" w:color="auto"/>
            <w:right w:val="none" w:sz="0" w:space="0" w:color="auto"/>
          </w:divBdr>
        </w:div>
        <w:div w:id="785008569">
          <w:marLeft w:val="288"/>
          <w:marRight w:val="0"/>
          <w:marTop w:val="0"/>
          <w:marBottom w:val="0"/>
          <w:divBdr>
            <w:top w:val="none" w:sz="0" w:space="0" w:color="auto"/>
            <w:left w:val="none" w:sz="0" w:space="0" w:color="auto"/>
            <w:bottom w:val="none" w:sz="0" w:space="0" w:color="auto"/>
            <w:right w:val="none" w:sz="0" w:space="0" w:color="auto"/>
          </w:divBdr>
        </w:div>
      </w:divsChild>
    </w:div>
    <w:div w:id="1205143090">
      <w:bodyDiv w:val="1"/>
      <w:marLeft w:val="0"/>
      <w:marRight w:val="0"/>
      <w:marTop w:val="0"/>
      <w:marBottom w:val="0"/>
      <w:divBdr>
        <w:top w:val="none" w:sz="0" w:space="0" w:color="auto"/>
        <w:left w:val="none" w:sz="0" w:space="0" w:color="auto"/>
        <w:bottom w:val="none" w:sz="0" w:space="0" w:color="auto"/>
        <w:right w:val="none" w:sz="0" w:space="0" w:color="auto"/>
      </w:divBdr>
    </w:div>
    <w:div w:id="1316373937">
      <w:bodyDiv w:val="1"/>
      <w:marLeft w:val="0"/>
      <w:marRight w:val="0"/>
      <w:marTop w:val="0"/>
      <w:marBottom w:val="0"/>
      <w:divBdr>
        <w:top w:val="none" w:sz="0" w:space="0" w:color="auto"/>
        <w:left w:val="none" w:sz="0" w:space="0" w:color="auto"/>
        <w:bottom w:val="none" w:sz="0" w:space="0" w:color="auto"/>
        <w:right w:val="none" w:sz="0" w:space="0" w:color="auto"/>
      </w:divBdr>
    </w:div>
    <w:div w:id="1913157849">
      <w:bodyDiv w:val="1"/>
      <w:marLeft w:val="0"/>
      <w:marRight w:val="0"/>
      <w:marTop w:val="0"/>
      <w:marBottom w:val="0"/>
      <w:divBdr>
        <w:top w:val="none" w:sz="0" w:space="0" w:color="auto"/>
        <w:left w:val="none" w:sz="0" w:space="0" w:color="auto"/>
        <w:bottom w:val="none" w:sz="0" w:space="0" w:color="auto"/>
        <w:right w:val="none" w:sz="0" w:space="0" w:color="auto"/>
      </w:divBdr>
    </w:div>
    <w:div w:id="21221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3" ma:contentTypeDescription="Create a new document." ma:contentTypeScope="" ma:versionID="f96698c679d0e9b7658fed4531bcda18">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81860d8b5102cbfd2a2dbb96d0ca4ba5"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c555b-3272-4fe8-a45f-c1764148281d}"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ADDF-1945-4EB2-B60B-20BC93910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643F6-298D-49E8-ADC2-44EEC77A221B}">
  <ds:schemaRefs>
    <ds:schemaRef ds:uri="http://schemas.microsoft.com/sharepoint/v3/contenttype/forms"/>
  </ds:schemaRefs>
</ds:datastoreItem>
</file>

<file path=customXml/itemProps3.xml><?xml version="1.0" encoding="utf-8"?>
<ds:datastoreItem xmlns:ds="http://schemas.openxmlformats.org/officeDocument/2006/customXml" ds:itemID="{5CC2E5F7-9443-4AC1-B8E8-52A51D8A71ED}">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4.xml><?xml version="1.0" encoding="utf-8"?>
<ds:datastoreItem xmlns:ds="http://schemas.openxmlformats.org/officeDocument/2006/customXml" ds:itemID="{CE1E8D37-ADEC-3844-B0EB-2B7584A0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4687</Words>
  <Characters>26722</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battogtokh.b</dc:creator>
  <cp:lastModifiedBy>Microsoft Office User</cp:lastModifiedBy>
  <cp:revision>2</cp:revision>
  <cp:lastPrinted>2022-12-05T04:22:00Z</cp:lastPrinted>
  <dcterms:created xsi:type="dcterms:W3CDTF">2024-01-02T05:49:00Z</dcterms:created>
  <dcterms:modified xsi:type="dcterms:W3CDTF">2024-01-02T05:49:00Z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GrammarlyDocumentId">
    <vt:lpwstr>45652054ba8b67b25e4b45bdc5dcbc08384c2a97ba4cbe46da18855e289d4e91</vt:lpwstr>
  </property>
  <property fmtid="{D5CDD505-2E9C-101B-9397-08002B2CF9AE}" pid="4" name="MediaServiceImageTags">
    <vt:lpwstr/>
  </property>
</Properties>
</file>