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48D6" w14:textId="77777777" w:rsidR="00611B4B" w:rsidRDefault="00611B4B" w:rsidP="00611B4B">
      <w:pPr>
        <w:spacing w:after="0" w:line="240" w:lineRule="auto"/>
        <w:jc w:val="center"/>
        <w:rPr>
          <w:rFonts w:ascii="Arial" w:eastAsia="Times New Roman" w:hAnsi="Arial" w:cs="Arial"/>
          <w:b/>
          <w:kern w:val="0"/>
          <w:sz w:val="24"/>
          <w:szCs w:val="24"/>
          <w:lang w:val="mn-MN"/>
          <w14:ligatures w14:val="none"/>
        </w:rPr>
      </w:pPr>
      <w:r>
        <w:rPr>
          <w:rFonts w:ascii="Arial" w:eastAsia="Times New Roman" w:hAnsi="Arial" w:cs="Arial"/>
          <w:b/>
          <w:kern w:val="0"/>
          <w:sz w:val="24"/>
          <w:szCs w:val="24"/>
          <w:lang w:val="mn-MN"/>
          <w14:ligatures w14:val="none"/>
        </w:rPr>
        <w:t xml:space="preserve">ӨРИЙН УДИРДЛАГЫН ТУХАЙ ХУУЛЬД НЭМЭЛТ, ӨӨРЧЛӨЛТ ОРУУЛАХ </w:t>
      </w:r>
    </w:p>
    <w:p w14:paraId="5E6FDED5" w14:textId="4C0C427E" w:rsidR="00611B4B" w:rsidRPr="00352701" w:rsidRDefault="00611B4B" w:rsidP="00611B4B">
      <w:pPr>
        <w:spacing w:after="0" w:line="240" w:lineRule="auto"/>
        <w:jc w:val="center"/>
        <w:rPr>
          <w:rFonts w:ascii="Arial" w:eastAsia="Times New Roman" w:hAnsi="Arial" w:cs="Arial"/>
          <w:b/>
          <w:caps/>
          <w:kern w:val="0"/>
          <w:sz w:val="24"/>
          <w:szCs w:val="24"/>
          <w:lang w:val="mn-MN"/>
          <w14:ligatures w14:val="none"/>
        </w:rPr>
      </w:pPr>
      <w:r w:rsidRPr="00352701">
        <w:rPr>
          <w:rFonts w:ascii="Arial" w:eastAsia="Times New Roman" w:hAnsi="Arial" w:cs="Arial"/>
          <w:b/>
          <w:kern w:val="0"/>
          <w:sz w:val="24"/>
          <w:szCs w:val="24"/>
          <w:lang w:val="mn-MN"/>
          <w14:ligatures w14:val="none"/>
        </w:rPr>
        <w:t xml:space="preserve">ТУХАЙ ХУУЛИЙН ТӨСЛИЙН </w:t>
      </w:r>
      <w:r>
        <w:rPr>
          <w:rFonts w:ascii="Arial" w:eastAsia="Times New Roman" w:hAnsi="Arial" w:cs="Arial"/>
          <w:b/>
          <w:kern w:val="0"/>
          <w:sz w:val="24"/>
          <w:szCs w:val="24"/>
          <w:lang w:val="mn-MN"/>
          <w14:ligatures w14:val="none"/>
        </w:rPr>
        <w:t>ТОВЧ</w:t>
      </w:r>
      <w:r w:rsidRPr="00352701">
        <w:rPr>
          <w:rFonts w:ascii="Arial" w:eastAsia="Times New Roman" w:hAnsi="Arial" w:cs="Arial"/>
          <w:b/>
          <w:kern w:val="0"/>
          <w:sz w:val="24"/>
          <w:szCs w:val="24"/>
          <w:lang w:val="mn-MN"/>
          <w14:ligatures w14:val="none"/>
        </w:rPr>
        <w:t xml:space="preserve"> ТАНИЛЦУУЛГА</w:t>
      </w:r>
    </w:p>
    <w:p w14:paraId="347DE1B7" w14:textId="1AFD8FD3" w:rsidR="00D56D47" w:rsidRDefault="00D56D47" w:rsidP="00D56D47">
      <w:pPr>
        <w:pStyle w:val="paragraph"/>
        <w:shd w:val="clear" w:color="auto" w:fill="FFFFFF"/>
        <w:spacing w:before="0" w:beforeAutospacing="0" w:after="0" w:afterAutospacing="0"/>
        <w:ind w:firstLine="720"/>
        <w:jc w:val="both"/>
        <w:textAlignment w:val="baseline"/>
        <w:rPr>
          <w:rFonts w:ascii="Segoe UI" w:hAnsi="Segoe UI" w:cs="Segoe UI"/>
          <w:sz w:val="18"/>
          <w:szCs w:val="18"/>
        </w:rPr>
      </w:pPr>
    </w:p>
    <w:p w14:paraId="67C129B0" w14:textId="77777777" w:rsidR="00611B4B" w:rsidRPr="00EF20F9" w:rsidRDefault="00611B4B" w:rsidP="00611B4B">
      <w:pPr>
        <w:spacing w:after="0" w:line="240" w:lineRule="auto"/>
        <w:ind w:firstLine="720"/>
        <w:jc w:val="both"/>
        <w:rPr>
          <w:rFonts w:ascii="Arial" w:hAnsi="Arial" w:cs="Arial"/>
          <w:sz w:val="24"/>
          <w:szCs w:val="24"/>
          <w:lang w:val="mn-MN"/>
        </w:rPr>
      </w:pPr>
    </w:p>
    <w:p w14:paraId="5C48FC6D" w14:textId="3E0E604D" w:rsidR="00D56D47" w:rsidRDefault="00FA4687" w:rsidP="00D56D47">
      <w:pPr>
        <w:pStyle w:val="paragraph"/>
        <w:shd w:val="clear" w:color="auto" w:fill="FFFFFF"/>
        <w:spacing w:before="0" w:beforeAutospacing="0" w:after="0"/>
        <w:ind w:firstLine="720"/>
        <w:jc w:val="both"/>
        <w:textAlignment w:val="baseline"/>
        <w:rPr>
          <w:rFonts w:ascii="Segoe UI" w:hAnsi="Segoe UI" w:cs="Segoe UI"/>
          <w:sz w:val="18"/>
          <w:szCs w:val="18"/>
        </w:rPr>
      </w:pPr>
      <w:r>
        <w:rPr>
          <w:rStyle w:val="normaltextrun"/>
          <w:rFonts w:ascii="Arial" w:hAnsi="Arial" w:cs="Arial"/>
          <w:lang w:val="mn-MN"/>
        </w:rPr>
        <w:t xml:space="preserve">Нийслэл Улаанбаатар хот </w:t>
      </w:r>
      <w:r w:rsidR="00D56D47">
        <w:rPr>
          <w:rStyle w:val="normaltextrun"/>
          <w:rFonts w:ascii="Arial" w:hAnsi="Arial" w:cs="Arial"/>
          <w:lang w:val="mn-MN"/>
        </w:rPr>
        <w:t>2022 оны байдлаар Монгол Улсын дотоодын нийт бүтээгдэхүүний 64 хувийг дангаар үйлдвэрлэж б</w:t>
      </w:r>
      <w:r>
        <w:rPr>
          <w:rStyle w:val="normaltextrun"/>
          <w:rFonts w:ascii="Arial" w:hAnsi="Arial" w:cs="Arial"/>
          <w:lang w:val="mn-MN"/>
        </w:rPr>
        <w:t>айгаа</w:t>
      </w:r>
      <w:r w:rsidR="00D56D47">
        <w:rPr>
          <w:rStyle w:val="normaltextrun"/>
          <w:rFonts w:ascii="Arial" w:hAnsi="Arial" w:cs="Arial"/>
          <w:lang w:val="mn-MN"/>
        </w:rPr>
        <w:t xml:space="preserve"> </w:t>
      </w:r>
      <w:r>
        <w:rPr>
          <w:rStyle w:val="normaltextrun"/>
          <w:rFonts w:ascii="Arial" w:hAnsi="Arial" w:cs="Arial"/>
          <w:lang w:val="mn-MN"/>
        </w:rPr>
        <w:t>бөгөөд х</w:t>
      </w:r>
      <w:r w:rsidR="00D56D47">
        <w:rPr>
          <w:rStyle w:val="normaltextrun"/>
          <w:rFonts w:ascii="Arial" w:hAnsi="Arial" w:cs="Arial"/>
          <w:lang w:val="mn-MN"/>
        </w:rPr>
        <w:t>отын төсвийн 90.1 хувийг татварын орлогоор, 9.9 хувийг татварын бус орлогоор бүрдүүлж байна. Төсөв дагасан уг санхүүгийн схемийг шинэчлэн, олон улсын жишиг хотуудын эдийн засгийн хөгжилтэй ижил түвшинд хүрэх нэг чухал алхам бол хөрөнгийн зах зээлээс хөрөнгө босгох, томоохон төслүүдийн санхүүжилтийг шийдвэрлэх механизм юм.</w:t>
      </w:r>
      <w:r w:rsidR="00D56D47">
        <w:rPr>
          <w:rStyle w:val="eop"/>
          <w:rFonts w:ascii="Arial" w:hAnsi="Arial" w:cs="Arial"/>
        </w:rPr>
        <w:t> </w:t>
      </w:r>
    </w:p>
    <w:p w14:paraId="257BA451" w14:textId="2E499264" w:rsidR="00D56D47" w:rsidRDefault="00D56D47" w:rsidP="00FA4687">
      <w:pPr>
        <w:pStyle w:val="paragraph"/>
        <w:shd w:val="clear" w:color="auto" w:fill="FFFFFF"/>
        <w:spacing w:before="0" w:beforeAutospacing="0" w:after="0"/>
        <w:ind w:firstLine="720"/>
        <w:jc w:val="both"/>
        <w:textAlignment w:val="baseline"/>
        <w:rPr>
          <w:rFonts w:ascii="Segoe UI" w:hAnsi="Segoe UI" w:cs="Segoe UI"/>
          <w:sz w:val="18"/>
          <w:szCs w:val="18"/>
        </w:rPr>
      </w:pPr>
      <w:r>
        <w:rPr>
          <w:rStyle w:val="normaltextrun"/>
          <w:rFonts w:ascii="Arial" w:hAnsi="Arial" w:cs="Arial"/>
          <w:lang w:val="mn-MN"/>
        </w:rPr>
        <w:t>Монгол Улсын хөрөнгийн зах зээлд орон нутгийн болон ногоон бонд зэрэг нийгмийн, байгаль орчинд эерэг нөлөө үзүүлэх төсөл, хөтөлбөрүүдийг санхүүжүүлэх хариуцлагатай хөрөнгө оруулагчид хангалтгүй байгаа бөгөөд гол сонирхож буй субьект нь арилжааны банкууд болж байна.</w:t>
      </w:r>
      <w:r>
        <w:rPr>
          <w:rStyle w:val="eop"/>
          <w:rFonts w:ascii="Arial" w:hAnsi="Arial" w:cs="Arial"/>
        </w:rPr>
        <w:t> </w:t>
      </w:r>
      <w:r>
        <w:rPr>
          <w:rStyle w:val="normaltextrun"/>
          <w:rFonts w:ascii="Arial" w:hAnsi="Arial" w:cs="Arial"/>
          <w:lang w:val="mn-MN"/>
        </w:rPr>
        <w:t>Арилжааны банкуудын хувьд аль болох өгөөж өндөр өрийн хэрэгсэлд хөрөнгө оруулах сонирхолтой бөгөөд Банкны тухай хуулийн дагуу арилжааны банкны худалдан авах үнэт цаасны нийт дүн нь банкны өөрийн хөрөнгийн 20 хувиас хэтрэхгүй бөгөөд улмаар нийслэлийн хэмжээний томоохон төсөл</w:t>
      </w:r>
      <w:r w:rsidR="00FA4687">
        <w:rPr>
          <w:rStyle w:val="normaltextrun"/>
          <w:rFonts w:ascii="Arial" w:hAnsi="Arial" w:cs="Arial"/>
          <w:lang w:val="mn-MN"/>
        </w:rPr>
        <w:t>, арга хэмжээг</w:t>
      </w:r>
      <w:r>
        <w:rPr>
          <w:rStyle w:val="normaltextrun"/>
          <w:rFonts w:ascii="Arial" w:hAnsi="Arial" w:cs="Arial"/>
          <w:lang w:val="mn-MN"/>
        </w:rPr>
        <w:t xml:space="preserve"> санхүүжүүлэх хөрөнгө оруулалтыг</w:t>
      </w:r>
      <w:r w:rsidR="00FA4687">
        <w:rPr>
          <w:rStyle w:val="normaltextrun"/>
          <w:rFonts w:ascii="Arial" w:hAnsi="Arial" w:cs="Arial"/>
          <w:lang w:val="mn-MN"/>
        </w:rPr>
        <w:t xml:space="preserve"> зөвхөн</w:t>
      </w:r>
      <w:r>
        <w:rPr>
          <w:rStyle w:val="normaltextrun"/>
          <w:rFonts w:ascii="Arial" w:hAnsi="Arial" w:cs="Arial"/>
          <w:lang w:val="mn-MN"/>
        </w:rPr>
        <w:t xml:space="preserve"> дотоодын зах зээлээс босгох зах зээл хязгаарлагдмал байна. </w:t>
      </w:r>
      <w:r>
        <w:rPr>
          <w:rStyle w:val="eop"/>
          <w:rFonts w:ascii="Arial" w:hAnsi="Arial" w:cs="Arial"/>
        </w:rPr>
        <w:t> </w:t>
      </w:r>
    </w:p>
    <w:p w14:paraId="39BB7C91" w14:textId="5781DCA5" w:rsidR="00D56D47" w:rsidRDefault="00D56D47" w:rsidP="00D56D47">
      <w:pPr>
        <w:pStyle w:val="paragraph"/>
        <w:shd w:val="clear" w:color="auto" w:fill="FFFFFF"/>
        <w:spacing w:before="0" w:beforeAutospacing="0" w:after="0"/>
        <w:ind w:firstLine="720"/>
        <w:jc w:val="both"/>
        <w:textAlignment w:val="baseline"/>
        <w:rPr>
          <w:rFonts w:ascii="Segoe UI" w:hAnsi="Segoe UI" w:cs="Segoe UI"/>
          <w:sz w:val="18"/>
          <w:szCs w:val="18"/>
        </w:rPr>
      </w:pPr>
      <w:r>
        <w:rPr>
          <w:rStyle w:val="normaltextrun"/>
          <w:rFonts w:ascii="Arial" w:hAnsi="Arial" w:cs="Arial"/>
          <w:lang w:val="mn-MN"/>
        </w:rPr>
        <w:t>Нөгөө талаар олон улсын зах зээл дээр уур амьсгалын өөрчлөлтийн нөлөөг сааруулах, хүлэмжийн хийн ялгарлыг багасгах чиглэлээр дэлхийн улс орнууд далайцтай арга хэмжээ авч хэрэгжүүлж байна. Үүний нэг нь ногоон санхүүжилтийг хөгжүүлэх явдал бөгөөд хөгжингүй улс орнууд ихээхэн хэмжээний хөрөнгийг энэ чиглэлийн хөрөнгө оруулалтад зориулах чиг хандлага дэлхий даяар эрчимжиж байна. Түүнчлэн хүлэмжийн хийн ялгаралыг бууруулахад чиглэсэн ногоон зээл болон бондын хүү бага бөгөөд 2023 оны 4 сарын Олон Улсын Валютын Сангийн судалгаанаас үзэхэд хөгжиж буй орнуудын хувьд ногоон болон энгийн бондын хүүгийн түвшиний зөрүү 2% орчим байна.</w:t>
      </w:r>
      <w:r>
        <w:rPr>
          <w:rStyle w:val="normaltextrun"/>
          <w:sz w:val="28"/>
          <w:szCs w:val="28"/>
          <w:lang w:val="mn-MN"/>
        </w:rPr>
        <w:t> </w:t>
      </w:r>
      <w:r>
        <w:rPr>
          <w:rStyle w:val="normaltextrun"/>
          <w:rFonts w:ascii="Arial" w:hAnsi="Arial" w:cs="Arial"/>
          <w:lang w:val="mn-MN"/>
        </w:rPr>
        <w:t> </w:t>
      </w:r>
      <w:r>
        <w:rPr>
          <w:rStyle w:val="eop"/>
          <w:rFonts w:ascii="Arial" w:hAnsi="Arial" w:cs="Arial"/>
        </w:rPr>
        <w:t> </w:t>
      </w:r>
    </w:p>
    <w:p w14:paraId="68A69E6A" w14:textId="77777777" w:rsidR="00D56D47" w:rsidRDefault="00D56D47" w:rsidP="00D56D47">
      <w:pPr>
        <w:pStyle w:val="paragraph"/>
        <w:shd w:val="clear" w:color="auto" w:fill="FFFFFF"/>
        <w:spacing w:before="0" w:beforeAutospacing="0" w:after="0"/>
        <w:ind w:firstLine="720"/>
        <w:jc w:val="both"/>
        <w:textAlignment w:val="baseline"/>
        <w:rPr>
          <w:rFonts w:ascii="Segoe UI" w:hAnsi="Segoe UI" w:cs="Segoe UI"/>
          <w:sz w:val="18"/>
          <w:szCs w:val="18"/>
        </w:rPr>
      </w:pPr>
      <w:r>
        <w:rPr>
          <w:rStyle w:val="normaltextrun"/>
          <w:rFonts w:ascii="Arial" w:hAnsi="Arial" w:cs="Arial"/>
          <w:lang w:val="mn-MN"/>
        </w:rPr>
        <w:t>Мөн бага өгөөжтэй ч нийгмийн болон байгаль орчны хувьд эерэг нөлөөлөл авчрах төсөл хөтөлбөрт хөрөнгө оруулах “үр нөлөөллийн хөрөнгө оруулалт” хийх хөрөнгө оруулагч, донор байгууллагуудын сонирхол их байна. Эдгээр хөрөнгө оруулагчид ашгийн төлөө гэхээс илүүтэйгээр эрсдэлгүй, нийгмийн ач холбогдол өндөртэй өрийн хэрэгслүүдийг хямд эх үүсвэрээр санхүүжүүлэх сонирхол өндөр байна.</w:t>
      </w:r>
      <w:r>
        <w:rPr>
          <w:rStyle w:val="eop"/>
          <w:rFonts w:ascii="Arial" w:hAnsi="Arial" w:cs="Arial"/>
        </w:rPr>
        <w:t> </w:t>
      </w:r>
    </w:p>
    <w:p w14:paraId="5B183D3F" w14:textId="36C1D6F8" w:rsidR="00D56D47" w:rsidRDefault="00D56D47" w:rsidP="00D56D47">
      <w:pPr>
        <w:pStyle w:val="paragraph"/>
        <w:shd w:val="clear" w:color="auto" w:fill="FFFFFF"/>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Иймд дээрх хэрэгцээ, шаардлагыг үндэслэн нийслэл олон улсын зах зээлд үнэт цаас гаргах боломжийг бүрдүүлэх зорилгоор</w:t>
      </w:r>
      <w:r>
        <w:rPr>
          <w:rStyle w:val="normaltextrun"/>
          <w:rFonts w:ascii="Arial" w:hAnsi="Arial" w:cs="Arial"/>
        </w:rPr>
        <w:t xml:space="preserve"> </w:t>
      </w:r>
      <w:r>
        <w:rPr>
          <w:rStyle w:val="normaltextrun"/>
          <w:rFonts w:ascii="Arial" w:hAnsi="Arial" w:cs="Arial"/>
          <w:lang w:val="mn-MN"/>
        </w:rPr>
        <w:t>Өрийн удирдлагын тухай хуульд нэмэлт өөрчлөлт оруулах төслийг боловсруул</w:t>
      </w:r>
      <w:r w:rsidR="00FA4687">
        <w:rPr>
          <w:rStyle w:val="normaltextrun"/>
          <w:rFonts w:ascii="Arial" w:hAnsi="Arial" w:cs="Arial"/>
          <w:lang w:val="mn-MN"/>
        </w:rPr>
        <w:t>лаа</w:t>
      </w:r>
      <w:r>
        <w:rPr>
          <w:rStyle w:val="normaltextrun"/>
          <w:rFonts w:ascii="Arial" w:hAnsi="Arial" w:cs="Arial"/>
          <w:lang w:val="mn-MN"/>
        </w:rPr>
        <w:t>.</w:t>
      </w:r>
      <w:r>
        <w:rPr>
          <w:rStyle w:val="eop"/>
          <w:rFonts w:ascii="Arial" w:hAnsi="Arial" w:cs="Arial"/>
        </w:rPr>
        <w:t> </w:t>
      </w:r>
    </w:p>
    <w:p w14:paraId="4BF27393" w14:textId="77777777" w:rsidR="00D56D47" w:rsidRDefault="00D56D47" w:rsidP="00D56D47">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14:paraId="2F48B881" w14:textId="77777777" w:rsidR="00D56D47" w:rsidRDefault="00D56D47" w:rsidP="00D56D47">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 xml:space="preserve">Нийслэлийн үнэт цаасыг олон улсын зах зээлд гаргах эрх зүйн орчныг бий болгосноор урт хугацаатай, зардал багатай өрийн хэрэгслийг зах зээлд гаргах, үүний үр дүнд төсөвт ирэх ачааллыг бууруулж, нийслэл хөгжлийн болон томоохон төслүүдийг санхүүжүүлэх боломжийг бүрдүүлэх, цаашлаад Монгол Улсын валютын </w:t>
      </w:r>
      <w:r>
        <w:rPr>
          <w:rStyle w:val="normaltextrun"/>
          <w:rFonts w:ascii="Arial" w:hAnsi="Arial" w:cs="Arial"/>
          <w:lang w:val="mn-MN"/>
        </w:rPr>
        <w:lastRenderedPageBreak/>
        <w:t>нөөц бүрдүүлэлт, төгрөгийн ханшийн чангаралт, гадаадын хөрөнгө оруулалтад эерэг нөлөөлөл үзүүлнэ гэж үзэж байна.</w:t>
      </w:r>
      <w:r>
        <w:rPr>
          <w:rStyle w:val="eop"/>
          <w:rFonts w:ascii="Arial" w:hAnsi="Arial" w:cs="Arial"/>
        </w:rPr>
        <w:t> </w:t>
      </w:r>
    </w:p>
    <w:p w14:paraId="64D2F0CF" w14:textId="35BF229F" w:rsidR="00D56D47" w:rsidRDefault="00D56D47" w:rsidP="00D56D4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B6D2A64" w14:textId="31E84D83" w:rsidR="00D56D47" w:rsidRDefault="00D56D47" w:rsidP="00D56D47">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Нийслэл нь олон улсын зах зээлд үнэт цаас гаргах боломжтой болсонтой холбогдуулан Төрийн болон орон нутгийн өмчийн хөрөнгөөр бараа, ажил, үйлчилгээ худалдан авах тухай хуульд нэмэлт оруулах тухай хуулийн төсөл боловсруулсан бөгөөд төсөлд нийслэл нь Засгийн газар, төрийн өмчит компанийн нэгэн адил дотоодын болон олон улсын санхүүгийн зах зээл дээр үнэт цаас гаргах, арилжаалах, олон улсын зах зээл, банк, санхүүгийн байгууллагаас арилжааны нөхцөлтэй зээл авахтай холбоотой үйлчилгээ худалдан авах харилцаанд тус хууль хамаарахгүй байхаар нэмж тусгасан.</w:t>
      </w:r>
      <w:r>
        <w:rPr>
          <w:rStyle w:val="eop"/>
          <w:rFonts w:ascii="Arial" w:hAnsi="Arial" w:cs="Arial"/>
        </w:rPr>
        <w:t> </w:t>
      </w:r>
    </w:p>
    <w:p w14:paraId="75FFF519" w14:textId="77777777" w:rsidR="00D56D47" w:rsidRDefault="00D56D47" w:rsidP="00D56D47">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14:paraId="776AB7D0" w14:textId="6ABE1C2D" w:rsidR="00D56D47" w:rsidRDefault="00D56D47" w:rsidP="00D56D47">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 xml:space="preserve">Түүнчлэн </w:t>
      </w:r>
      <w:r w:rsidR="00FA4687">
        <w:rPr>
          <w:rFonts w:ascii="Arial" w:hAnsi="Arial" w:cs="Arial"/>
          <w:lang w:val="mn-MN"/>
        </w:rPr>
        <w:t xml:space="preserve">Нийслэл Улаанбаатар хотын замын хөдөлгөөний түгжрэлийг бууруулах, гэр хорооллыг орон сууцжуулах тухай хуулийн хэрэгжилтийг хангах зорилгоор </w:t>
      </w:r>
      <w:r>
        <w:rPr>
          <w:rStyle w:val="normaltextrun"/>
          <w:rFonts w:ascii="Arial" w:hAnsi="Arial" w:cs="Arial"/>
          <w:lang w:val="mn-MN"/>
        </w:rPr>
        <w:t>нийслэлийн гэр хорооллын дахин төлөвлөлтийн хүрээнд хэрэгжих Сэлбэ дэд төвд түшиглэсэн гэр хорооллыг орон сууцжуулах төсөл, арга хэмжээг санхүүжүүлэх зориулалтаар гаргах нийслэлийн гадаад үнэт цааст зориулж 2024 оны төсвийн жилд Засгийн газрын өрийн баталгаа гаргах Монгол Улсын Их Хурлын тогтоолын төслийг боловсруул</w:t>
      </w:r>
      <w:r w:rsidR="00FA4687">
        <w:rPr>
          <w:rStyle w:val="normaltextrun"/>
          <w:rFonts w:ascii="Arial" w:hAnsi="Arial" w:cs="Arial"/>
          <w:lang w:val="mn-MN"/>
        </w:rPr>
        <w:t>лаа</w:t>
      </w:r>
      <w:r>
        <w:rPr>
          <w:rStyle w:val="normaltextrun"/>
          <w:rFonts w:ascii="Arial" w:hAnsi="Arial" w:cs="Arial"/>
          <w:lang w:val="mn-MN"/>
        </w:rPr>
        <w:t>. </w:t>
      </w:r>
      <w:r>
        <w:rPr>
          <w:rStyle w:val="eop"/>
          <w:rFonts w:ascii="Arial" w:hAnsi="Arial" w:cs="Arial"/>
        </w:rPr>
        <w:t> </w:t>
      </w:r>
    </w:p>
    <w:p w14:paraId="64364F7D" w14:textId="77777777" w:rsidR="00FA4687" w:rsidRDefault="00FA4687" w:rsidP="00FA4687">
      <w:pPr>
        <w:spacing w:after="0" w:line="240" w:lineRule="auto"/>
        <w:jc w:val="center"/>
        <w:rPr>
          <w:rStyle w:val="eop"/>
          <w:rFonts w:ascii="Arial" w:hAnsi="Arial" w:cs="Arial"/>
        </w:rPr>
      </w:pPr>
    </w:p>
    <w:p w14:paraId="4DBFB4FC" w14:textId="61FDE490" w:rsidR="00FA4687" w:rsidRPr="00EF20F9" w:rsidRDefault="00D56D47" w:rsidP="00FA4687">
      <w:pPr>
        <w:spacing w:after="0" w:line="240" w:lineRule="auto"/>
        <w:jc w:val="center"/>
        <w:rPr>
          <w:rFonts w:ascii="Arial" w:eastAsia="Times New Roman" w:hAnsi="Arial" w:cs="Arial"/>
          <w:noProof/>
          <w:kern w:val="0"/>
          <w:sz w:val="24"/>
          <w:szCs w:val="24"/>
          <w14:ligatures w14:val="none"/>
        </w:rPr>
      </w:pPr>
      <w:r>
        <w:rPr>
          <w:rStyle w:val="eop"/>
          <w:rFonts w:ascii="Arial" w:hAnsi="Arial" w:cs="Arial"/>
        </w:rPr>
        <w:t> </w:t>
      </w:r>
      <w:r w:rsidR="00FA4687" w:rsidRPr="00EF20F9">
        <w:rPr>
          <w:rFonts w:ascii="Arial" w:eastAsia="Times New Roman" w:hAnsi="Arial" w:cs="Arial"/>
          <w:noProof/>
          <w:kern w:val="0"/>
          <w:sz w:val="24"/>
          <w:szCs w:val="24"/>
          <w:lang w:val="mn-MN"/>
          <w14:ligatures w14:val="none"/>
        </w:rPr>
        <w:t>---о0о---</w:t>
      </w:r>
    </w:p>
    <w:p w14:paraId="5149792A" w14:textId="4E8F13F8" w:rsidR="00D56D47" w:rsidRPr="00D56D47" w:rsidRDefault="00D56D47" w:rsidP="00D56D47">
      <w:pPr>
        <w:pStyle w:val="paragraph"/>
        <w:spacing w:before="0" w:beforeAutospacing="0" w:after="0" w:afterAutospacing="0"/>
        <w:jc w:val="both"/>
        <w:textAlignment w:val="baseline"/>
        <w:rPr>
          <w:rFonts w:ascii="Segoe UI" w:hAnsi="Segoe UI" w:cs="Segoe UI"/>
          <w:sz w:val="18"/>
          <w:szCs w:val="18"/>
        </w:rPr>
      </w:pPr>
    </w:p>
    <w:sectPr w:rsidR="00D56D47" w:rsidRPr="00D56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47"/>
    <w:rsid w:val="00611B4B"/>
    <w:rsid w:val="00BD632D"/>
    <w:rsid w:val="00D56D47"/>
    <w:rsid w:val="00FA4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E83A"/>
  <w15:chartTrackingRefBased/>
  <w15:docId w15:val="{64E77525-5C24-4753-92C8-6890EF33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6D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6D47"/>
  </w:style>
  <w:style w:type="character" w:customStyle="1" w:styleId="eop">
    <w:name w:val="eop"/>
    <w:basedOn w:val="DefaultParagraphFont"/>
    <w:rsid w:val="00D56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270674">
      <w:bodyDiv w:val="1"/>
      <w:marLeft w:val="0"/>
      <w:marRight w:val="0"/>
      <w:marTop w:val="0"/>
      <w:marBottom w:val="0"/>
      <w:divBdr>
        <w:top w:val="none" w:sz="0" w:space="0" w:color="auto"/>
        <w:left w:val="none" w:sz="0" w:space="0" w:color="auto"/>
        <w:bottom w:val="none" w:sz="0" w:space="0" w:color="auto"/>
        <w:right w:val="none" w:sz="0" w:space="0" w:color="auto"/>
      </w:divBdr>
      <w:divsChild>
        <w:div w:id="101344799">
          <w:marLeft w:val="0"/>
          <w:marRight w:val="0"/>
          <w:marTop w:val="0"/>
          <w:marBottom w:val="0"/>
          <w:divBdr>
            <w:top w:val="none" w:sz="0" w:space="0" w:color="auto"/>
            <w:left w:val="none" w:sz="0" w:space="0" w:color="auto"/>
            <w:bottom w:val="none" w:sz="0" w:space="0" w:color="auto"/>
            <w:right w:val="none" w:sz="0" w:space="0" w:color="auto"/>
          </w:divBdr>
        </w:div>
        <w:div w:id="1435783804">
          <w:marLeft w:val="0"/>
          <w:marRight w:val="0"/>
          <w:marTop w:val="0"/>
          <w:marBottom w:val="0"/>
          <w:divBdr>
            <w:top w:val="none" w:sz="0" w:space="0" w:color="auto"/>
            <w:left w:val="none" w:sz="0" w:space="0" w:color="auto"/>
            <w:bottom w:val="none" w:sz="0" w:space="0" w:color="auto"/>
            <w:right w:val="none" w:sz="0" w:space="0" w:color="auto"/>
          </w:divBdr>
        </w:div>
        <w:div w:id="178928836">
          <w:marLeft w:val="0"/>
          <w:marRight w:val="0"/>
          <w:marTop w:val="0"/>
          <w:marBottom w:val="0"/>
          <w:divBdr>
            <w:top w:val="none" w:sz="0" w:space="0" w:color="auto"/>
            <w:left w:val="none" w:sz="0" w:space="0" w:color="auto"/>
            <w:bottom w:val="none" w:sz="0" w:space="0" w:color="auto"/>
            <w:right w:val="none" w:sz="0" w:space="0" w:color="auto"/>
          </w:divBdr>
        </w:div>
        <w:div w:id="1274292128">
          <w:marLeft w:val="0"/>
          <w:marRight w:val="0"/>
          <w:marTop w:val="0"/>
          <w:marBottom w:val="0"/>
          <w:divBdr>
            <w:top w:val="none" w:sz="0" w:space="0" w:color="auto"/>
            <w:left w:val="none" w:sz="0" w:space="0" w:color="auto"/>
            <w:bottom w:val="none" w:sz="0" w:space="0" w:color="auto"/>
            <w:right w:val="none" w:sz="0" w:space="0" w:color="auto"/>
          </w:divBdr>
        </w:div>
        <w:div w:id="1169516082">
          <w:marLeft w:val="0"/>
          <w:marRight w:val="0"/>
          <w:marTop w:val="0"/>
          <w:marBottom w:val="0"/>
          <w:divBdr>
            <w:top w:val="none" w:sz="0" w:space="0" w:color="auto"/>
            <w:left w:val="none" w:sz="0" w:space="0" w:color="auto"/>
            <w:bottom w:val="none" w:sz="0" w:space="0" w:color="auto"/>
            <w:right w:val="none" w:sz="0" w:space="0" w:color="auto"/>
          </w:divBdr>
        </w:div>
        <w:div w:id="1086606840">
          <w:marLeft w:val="0"/>
          <w:marRight w:val="0"/>
          <w:marTop w:val="0"/>
          <w:marBottom w:val="0"/>
          <w:divBdr>
            <w:top w:val="none" w:sz="0" w:space="0" w:color="auto"/>
            <w:left w:val="none" w:sz="0" w:space="0" w:color="auto"/>
            <w:bottom w:val="none" w:sz="0" w:space="0" w:color="auto"/>
            <w:right w:val="none" w:sz="0" w:space="0" w:color="auto"/>
          </w:divBdr>
        </w:div>
        <w:div w:id="1036468912">
          <w:marLeft w:val="0"/>
          <w:marRight w:val="0"/>
          <w:marTop w:val="0"/>
          <w:marBottom w:val="0"/>
          <w:divBdr>
            <w:top w:val="none" w:sz="0" w:space="0" w:color="auto"/>
            <w:left w:val="none" w:sz="0" w:space="0" w:color="auto"/>
            <w:bottom w:val="none" w:sz="0" w:space="0" w:color="auto"/>
            <w:right w:val="none" w:sz="0" w:space="0" w:color="auto"/>
          </w:divBdr>
        </w:div>
        <w:div w:id="1712608462">
          <w:marLeft w:val="0"/>
          <w:marRight w:val="0"/>
          <w:marTop w:val="0"/>
          <w:marBottom w:val="0"/>
          <w:divBdr>
            <w:top w:val="none" w:sz="0" w:space="0" w:color="auto"/>
            <w:left w:val="none" w:sz="0" w:space="0" w:color="auto"/>
            <w:bottom w:val="none" w:sz="0" w:space="0" w:color="auto"/>
            <w:right w:val="none" w:sz="0" w:space="0" w:color="auto"/>
          </w:divBdr>
        </w:div>
        <w:div w:id="116031310">
          <w:marLeft w:val="0"/>
          <w:marRight w:val="0"/>
          <w:marTop w:val="0"/>
          <w:marBottom w:val="0"/>
          <w:divBdr>
            <w:top w:val="none" w:sz="0" w:space="0" w:color="auto"/>
            <w:left w:val="none" w:sz="0" w:space="0" w:color="auto"/>
            <w:bottom w:val="none" w:sz="0" w:space="0" w:color="auto"/>
            <w:right w:val="none" w:sz="0" w:space="0" w:color="auto"/>
          </w:divBdr>
        </w:div>
        <w:div w:id="2117018183">
          <w:marLeft w:val="0"/>
          <w:marRight w:val="0"/>
          <w:marTop w:val="0"/>
          <w:marBottom w:val="0"/>
          <w:divBdr>
            <w:top w:val="none" w:sz="0" w:space="0" w:color="auto"/>
            <w:left w:val="none" w:sz="0" w:space="0" w:color="auto"/>
            <w:bottom w:val="none" w:sz="0" w:space="0" w:color="auto"/>
            <w:right w:val="none" w:sz="0" w:space="0" w:color="auto"/>
          </w:divBdr>
        </w:div>
        <w:div w:id="578759537">
          <w:marLeft w:val="0"/>
          <w:marRight w:val="0"/>
          <w:marTop w:val="0"/>
          <w:marBottom w:val="0"/>
          <w:divBdr>
            <w:top w:val="none" w:sz="0" w:space="0" w:color="auto"/>
            <w:left w:val="none" w:sz="0" w:space="0" w:color="auto"/>
            <w:bottom w:val="none" w:sz="0" w:space="0" w:color="auto"/>
            <w:right w:val="none" w:sz="0" w:space="0" w:color="auto"/>
          </w:divBdr>
        </w:div>
        <w:div w:id="430511011">
          <w:marLeft w:val="0"/>
          <w:marRight w:val="0"/>
          <w:marTop w:val="0"/>
          <w:marBottom w:val="0"/>
          <w:divBdr>
            <w:top w:val="none" w:sz="0" w:space="0" w:color="auto"/>
            <w:left w:val="none" w:sz="0" w:space="0" w:color="auto"/>
            <w:bottom w:val="none" w:sz="0" w:space="0" w:color="auto"/>
            <w:right w:val="none" w:sz="0" w:space="0" w:color="auto"/>
          </w:divBdr>
        </w:div>
        <w:div w:id="1540975788">
          <w:marLeft w:val="0"/>
          <w:marRight w:val="0"/>
          <w:marTop w:val="0"/>
          <w:marBottom w:val="0"/>
          <w:divBdr>
            <w:top w:val="none" w:sz="0" w:space="0" w:color="auto"/>
            <w:left w:val="none" w:sz="0" w:space="0" w:color="auto"/>
            <w:bottom w:val="none" w:sz="0" w:space="0" w:color="auto"/>
            <w:right w:val="none" w:sz="0" w:space="0" w:color="auto"/>
          </w:divBdr>
        </w:div>
        <w:div w:id="660038385">
          <w:marLeft w:val="0"/>
          <w:marRight w:val="0"/>
          <w:marTop w:val="0"/>
          <w:marBottom w:val="0"/>
          <w:divBdr>
            <w:top w:val="none" w:sz="0" w:space="0" w:color="auto"/>
            <w:left w:val="none" w:sz="0" w:space="0" w:color="auto"/>
            <w:bottom w:val="none" w:sz="0" w:space="0" w:color="auto"/>
            <w:right w:val="none" w:sz="0" w:space="0" w:color="auto"/>
          </w:divBdr>
        </w:div>
        <w:div w:id="1866602599">
          <w:marLeft w:val="0"/>
          <w:marRight w:val="0"/>
          <w:marTop w:val="0"/>
          <w:marBottom w:val="0"/>
          <w:divBdr>
            <w:top w:val="none" w:sz="0" w:space="0" w:color="auto"/>
            <w:left w:val="none" w:sz="0" w:space="0" w:color="auto"/>
            <w:bottom w:val="none" w:sz="0" w:space="0" w:color="auto"/>
            <w:right w:val="none" w:sz="0" w:space="0" w:color="auto"/>
          </w:divBdr>
        </w:div>
        <w:div w:id="1063674550">
          <w:marLeft w:val="0"/>
          <w:marRight w:val="0"/>
          <w:marTop w:val="0"/>
          <w:marBottom w:val="0"/>
          <w:divBdr>
            <w:top w:val="none" w:sz="0" w:space="0" w:color="auto"/>
            <w:left w:val="none" w:sz="0" w:space="0" w:color="auto"/>
            <w:bottom w:val="none" w:sz="0" w:space="0" w:color="auto"/>
            <w:right w:val="none" w:sz="0" w:space="0" w:color="auto"/>
          </w:divBdr>
        </w:div>
        <w:div w:id="2068412633">
          <w:marLeft w:val="0"/>
          <w:marRight w:val="0"/>
          <w:marTop w:val="0"/>
          <w:marBottom w:val="0"/>
          <w:divBdr>
            <w:top w:val="none" w:sz="0" w:space="0" w:color="auto"/>
            <w:left w:val="none" w:sz="0" w:space="0" w:color="auto"/>
            <w:bottom w:val="none" w:sz="0" w:space="0" w:color="auto"/>
            <w:right w:val="none" w:sz="0" w:space="0" w:color="auto"/>
          </w:divBdr>
        </w:div>
        <w:div w:id="1440177721">
          <w:marLeft w:val="0"/>
          <w:marRight w:val="0"/>
          <w:marTop w:val="0"/>
          <w:marBottom w:val="0"/>
          <w:divBdr>
            <w:top w:val="none" w:sz="0" w:space="0" w:color="auto"/>
            <w:left w:val="none" w:sz="0" w:space="0" w:color="auto"/>
            <w:bottom w:val="none" w:sz="0" w:space="0" w:color="auto"/>
            <w:right w:val="none" w:sz="0" w:space="0" w:color="auto"/>
          </w:divBdr>
        </w:div>
        <w:div w:id="1632904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Erdenebadrakh Lkhagvadorj</dc:creator>
  <cp:keywords/>
  <dc:description/>
  <cp:lastModifiedBy>Naraa</cp:lastModifiedBy>
  <cp:revision>2</cp:revision>
  <dcterms:created xsi:type="dcterms:W3CDTF">2024-01-11T09:02:00Z</dcterms:created>
  <dcterms:modified xsi:type="dcterms:W3CDTF">2024-01-11T09:02:00Z</dcterms:modified>
</cp:coreProperties>
</file>