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7D17" w14:textId="77777777" w:rsidR="0013271A" w:rsidRPr="00CF4E62" w:rsidRDefault="0013271A" w:rsidP="00545E9A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C075ECD" w14:textId="0B0831D3" w:rsidR="002B5EE5" w:rsidRPr="00CF4E62" w:rsidRDefault="00CF4E62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</w:pPr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Эцсийн найруулга</w:t>
      </w:r>
    </w:p>
    <w:p w14:paraId="3E390ABF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D5E0439" w14:textId="77777777" w:rsidR="002B5EE5" w:rsidRPr="002D36F4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2D36F4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МОНГОЛ УЛСЫН ХУУЛЬ</w:t>
      </w:r>
    </w:p>
    <w:p w14:paraId="0AD4D973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2A6C2FB" w14:textId="2E467EEE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202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3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оны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CF4E62"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12 дугаар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r w:rsidR="00CF4E62"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           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Улаанбаатар</w:t>
      </w:r>
      <w:proofErr w:type="spellEnd"/>
    </w:p>
    <w:p w14:paraId="7292E57B" w14:textId="71196789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CF4E62"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08-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ны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өдөр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хот</w:t>
      </w:r>
      <w:proofErr w:type="spellEnd"/>
    </w:p>
    <w:p w14:paraId="087A98C5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243856C" w14:textId="7D03EBC7" w:rsidR="002B5EE5" w:rsidRPr="00CF4E62" w:rsidRDefault="002B5EE5" w:rsidP="00545E9A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ЦЭРГИЙН АЛБА ХААГЧИЙН ТЭТГЭВЭР, ТЭТГЭМЖИЙН ТУХАЙ ХУУЛЬД</w:t>
      </w:r>
    </w:p>
    <w:p w14:paraId="5362617E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НЭМЭЛТ, ӨӨРЧЛӨЛТ ОРУУЛАХ ТУХАЙ</w:t>
      </w:r>
    </w:p>
    <w:p w14:paraId="0042EFC6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2F53FF8" w14:textId="0EBFF08D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1 </w:t>
      </w:r>
      <w:proofErr w:type="spellStart"/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дүгээр</w:t>
      </w:r>
      <w:proofErr w:type="spellEnd"/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CF4E62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зүйл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.Цэргийн</w:t>
      </w:r>
      <w:proofErr w:type="spellEnd"/>
      <w:proofErr w:type="gram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хаагчийн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тэтгэвэр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тэтгэмжийн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тухаи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хуульд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доор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дурдсан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агуулгатаи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 </w:t>
      </w:r>
      <w:r w:rsidR="002D36F4" w:rsidRPr="002D36F4">
        <w:rPr>
          <w:rFonts w:ascii="Arial" w:eastAsiaTheme="minorHAnsi" w:hAnsi="Arial" w:cs="Arial"/>
          <w:color w:val="000000"/>
          <w:sz w:val="24"/>
          <w:szCs w:val="24"/>
          <w:u w:val="single"/>
          <w:lang w:val="mn-MN" w:eastAsia="en-US"/>
        </w:rPr>
        <w:t xml:space="preserve">дараах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хэсэг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нэмсүгэи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̆: </w:t>
      </w:r>
    </w:p>
    <w:p w14:paraId="35A3DA0C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9F0D520" w14:textId="35110C2C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1/17</w:t>
      </w:r>
      <w:r w:rsidRPr="00CF4E62">
        <w:rPr>
          <w:rFonts w:ascii="Arial" w:eastAsiaTheme="minorHAnsi" w:hAnsi="Arial" w:cs="Arial"/>
          <w:b/>
          <w:color w:val="000000"/>
          <w:sz w:val="24"/>
          <w:szCs w:val="24"/>
          <w:vertAlign w:val="superscript"/>
          <w:lang w:eastAsia="en-US"/>
        </w:rPr>
        <w:t>1</w:t>
      </w:r>
      <w:r w:rsidRPr="00CF4E62">
        <w:rPr>
          <w:rFonts w:ascii="Arial" w:eastAsiaTheme="minorHAnsi" w:hAnsi="Arial" w:cs="Arial"/>
          <w:b/>
          <w:color w:val="000000"/>
          <w:position w:val="16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дүгээр</w:t>
      </w:r>
      <w:proofErr w:type="spellEnd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зүйлийн</w:t>
      </w:r>
      <w:proofErr w:type="spellEnd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 xml:space="preserve"> 4</w:t>
      </w:r>
      <w:r w:rsidR="00430C5D">
        <w:rPr>
          <w:rFonts w:ascii="Arial" w:eastAsiaTheme="minorHAnsi" w:hAnsi="Arial" w:cs="Arial"/>
          <w:b/>
          <w:color w:val="000000"/>
          <w:sz w:val="24"/>
          <w:szCs w:val="24"/>
          <w:lang w:val="mn-MN" w:eastAsia="en-US"/>
        </w:rPr>
        <w:t>, 5 дахь</w:t>
      </w:r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хэсэг</w:t>
      </w:r>
      <w:proofErr w:type="spellEnd"/>
      <w:r w:rsidRPr="00CF4E62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 xml:space="preserve">: </w:t>
      </w:r>
    </w:p>
    <w:p w14:paraId="572D1380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751FE66" w14:textId="6A0CBF49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“</w:t>
      </w:r>
      <w:proofErr w:type="gram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4.</w:t>
      </w:r>
      <w:r w:rsidR="00104DB7"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Цэргийн</w:t>
      </w:r>
      <w:proofErr w:type="gramEnd"/>
      <w:r w:rsidR="00104DB7"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алба хаагч эмэгтэйн </w:t>
      </w:r>
      <w:proofErr w:type="spellStart"/>
      <w:r w:rsidRPr="00CF4E62">
        <w:rPr>
          <w:rFonts w:ascii="Arial" w:hAnsi="Arial" w:cs="Arial"/>
          <w:color w:val="000000" w:themeColor="text1"/>
          <w:sz w:val="24"/>
          <w:szCs w:val="24"/>
        </w:rPr>
        <w:t>жирэмснии</w:t>
      </w:r>
      <w:proofErr w:type="spellEnd"/>
      <w:r w:rsidRPr="00CF4E62">
        <w:rPr>
          <w:rFonts w:ascii="Arial" w:hAnsi="Arial" w:cs="Arial"/>
          <w:color w:val="000000" w:themeColor="text1"/>
          <w:sz w:val="24"/>
          <w:szCs w:val="24"/>
        </w:rPr>
        <w:t>̆ болон</w:t>
      </w:r>
      <w:r w:rsidRPr="00CF4E6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амаржсаны,</w:t>
      </w:r>
      <w:r w:rsidRPr="00CF4E6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хүүхэд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асрах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чөлөөтэи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байсан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хугацааг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цэргийн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хаасан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хугацаанд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оруулан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тооцно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</w:p>
    <w:p w14:paraId="1D65B8EE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</w:p>
    <w:p w14:paraId="3FC478A5" w14:textId="4C8DA851" w:rsidR="00104DB7" w:rsidRPr="00CF4E62" w:rsidRDefault="00104DB7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5.Цэргийн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хаагч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эмэгтэйн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энэ хуулийн 17</w:t>
      </w:r>
      <w:r w:rsidRPr="00CF4E62">
        <w:rPr>
          <w:rFonts w:ascii="Arial" w:eastAsiaTheme="minorHAnsi" w:hAnsi="Arial" w:cs="Arial"/>
          <w:color w:val="000000"/>
          <w:sz w:val="24"/>
          <w:szCs w:val="24"/>
          <w:vertAlign w:val="superscript"/>
          <w:lang w:val="mn-MN" w:eastAsia="en-US"/>
        </w:rPr>
        <w:t>1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дүгээр зүйлийн 4 дэх хэсэгт заасан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хугацааны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төлбөл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зохих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эрүүл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мэндийн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даатгалын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шимтгэлийг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тухайн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үед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мөрдөж байгаа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хөдөлмөрийн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хөлснии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доод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хэмжээнээс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тооцон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бүр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улсын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төсвөөс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хариуцан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төлөх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шимтгэл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ийг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тухайн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хаагчийн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анги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байгууллага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нийгмийн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даатгалын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байгууллагад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тайлагна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ж, шилжүүлнэ.”</w:t>
      </w:r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14:paraId="4411B923" w14:textId="77777777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18AC79E2" w14:textId="2BE7AFC1" w:rsidR="001F7180" w:rsidRPr="00CF4E62" w:rsidRDefault="000854F2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545E9A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val="mn-MN" w:eastAsia="en-US"/>
        </w:rPr>
        <w:t>2</w:t>
      </w:r>
      <w:r w:rsidR="001F7180" w:rsidRPr="00545E9A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/</w:t>
      </w:r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24 д</w:t>
      </w:r>
      <w:proofErr w:type="spellStart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үгээр</w:t>
      </w:r>
      <w:proofErr w:type="spellEnd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зүйлийн</w:t>
      </w:r>
      <w:proofErr w:type="spellEnd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2 </w:t>
      </w:r>
      <w:proofErr w:type="spellStart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дахь</w:t>
      </w:r>
      <w:proofErr w:type="spellEnd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хэсэг</w:t>
      </w:r>
      <w:proofErr w:type="spellEnd"/>
      <w:r w:rsidR="001F7180" w:rsidRPr="00CF4E62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: </w:t>
      </w:r>
    </w:p>
    <w:p w14:paraId="2BCCA4C6" w14:textId="77777777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</w:p>
    <w:p w14:paraId="64DA1951" w14:textId="41950760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“</w:t>
      </w:r>
      <w:proofErr w:type="gram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2.Цэргийн</w:t>
      </w:r>
      <w:proofErr w:type="gram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хаагчийн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тэтгэвэр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тэтгэмжийн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тухаи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Pr="00E0322F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хуулии</w:t>
      </w:r>
      <w:proofErr w:type="spellEnd"/>
      <w:r w:rsidRPr="00E0322F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̆</w:t>
      </w:r>
      <w:r w:rsidR="00366619" w:rsidRPr="00E0322F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val="mn-MN" w:eastAsia="en-US"/>
        </w:rPr>
        <w:t>н</w:t>
      </w:r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хэрэгжилтийг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хангахтаи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холбогдсон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зааврыг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батлан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854F2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хамгаалах</w:t>
      </w:r>
      <w:proofErr w:type="spellEnd"/>
      <w:r w:rsidR="000854F2" w:rsidRPr="000854F2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val="mn-MN" w:eastAsia="en-US"/>
        </w:rPr>
        <w:t>ын</w:t>
      </w:r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болон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нийгмийн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хамгааллын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асуудал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эрхэлсэн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Засгийн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газрын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гишүүд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хамтран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батална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.” </w:t>
      </w:r>
    </w:p>
    <w:p w14:paraId="53D0027E" w14:textId="77777777" w:rsidR="00104DB7" w:rsidRPr="00CF4E62" w:rsidRDefault="00104DB7" w:rsidP="00545E9A">
      <w:pPr>
        <w:suppressAutoHyphens w:val="0"/>
        <w:spacing w:after="0" w:line="240" w:lineRule="auto"/>
        <w:jc w:val="both"/>
        <w:rPr>
          <w:rFonts w:ascii="Arial" w:hAnsi="Arial" w:cs="Arial"/>
          <w:dstrike/>
          <w:sz w:val="24"/>
          <w:szCs w:val="24"/>
          <w:lang w:val="en-MN" w:eastAsia="en-US"/>
        </w:rPr>
      </w:pPr>
    </w:p>
    <w:p w14:paraId="300EED47" w14:textId="263CE9AF" w:rsidR="001F7180" w:rsidRPr="00CF4E62" w:rsidRDefault="00ED25F6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mn-MN" w:eastAsia="en-US"/>
        </w:rPr>
        <w:t>2</w:t>
      </w:r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дугаар</w:t>
      </w:r>
      <w:proofErr w:type="spellEnd"/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зүйл</w:t>
      </w:r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.Цэргийн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хаагчийн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тэтгэвэр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тэтгэмжийн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тухаи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хуулийн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19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дүгээр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зүйлийн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дахь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хэсгийг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доор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дурдсанаар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өөрчлөн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найруулсугаи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̆: </w:t>
      </w:r>
    </w:p>
    <w:p w14:paraId="47B17D28" w14:textId="77777777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7F1B427E" w14:textId="3A3AE1A1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“</w:t>
      </w:r>
      <w:proofErr w:type="gram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2.Цэргийн</w:t>
      </w:r>
      <w:proofErr w:type="gram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албыг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10-аас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доошгүи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жил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хаасан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цэргийн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хаагч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орон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тоо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зохион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байгуулалтын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өөрчлөлт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биеийн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эрүүл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мэндээр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түүнчлэн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цэргийн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хаах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нас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хэтэрч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ажлаас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чөлөөлөгдвөл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түүнд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18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сарын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цалин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хөлстэи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тэнцэх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хэмжээнии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тэтгэмжийг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нэг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удаа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олгоно</w:t>
      </w:r>
      <w:proofErr w:type="spellEnd"/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D937E8">
        <w:rPr>
          <w:rFonts w:ascii="Arial" w:eastAsiaTheme="minorHAnsi" w:hAnsi="Arial" w:cs="Arial"/>
          <w:color w:val="000000" w:themeColor="text1"/>
          <w:sz w:val="24"/>
          <w:szCs w:val="24"/>
          <w:lang w:val="mn-MN" w:eastAsia="en-US"/>
        </w:rPr>
        <w:t>”</w:t>
      </w:r>
      <w:r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3D2C93E" w14:textId="77777777" w:rsidR="001F7180" w:rsidRPr="00C84B58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dstrike/>
          <w:color w:val="000000" w:themeColor="text1"/>
          <w:sz w:val="24"/>
          <w:szCs w:val="24"/>
          <w:lang w:val="mn-MN" w:eastAsia="en-US"/>
        </w:rPr>
      </w:pPr>
    </w:p>
    <w:p w14:paraId="587F37E6" w14:textId="7A959693" w:rsidR="001F7180" w:rsidRDefault="00ED25F6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mn-MN" w:eastAsia="en-US"/>
        </w:rPr>
        <w:t>3 дугаар</w:t>
      </w:r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зүйл</w:t>
      </w:r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.Цэргийн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хаагчийн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тэтгэвэр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тэтгэмжийн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тухаи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хуулийн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дугаар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зүйлийн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дахь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D937E8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хэсгии</w:t>
      </w:r>
      <w:proofErr w:type="spellEnd"/>
      <w:r w:rsidR="001F7180" w:rsidRPr="00D937E8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̆</w:t>
      </w:r>
      <w:r w:rsidR="00D937E8" w:rsidRPr="00D937E8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val="mn-MN" w:eastAsia="en-US"/>
        </w:rPr>
        <w:t>н</w:t>
      </w:r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“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халагдсан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бол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”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гэснийг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“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чөлөөлөгдсөн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бол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”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гэж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18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дугаар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зүйлийн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дэх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хэсгийн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“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халагдах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тохиолдолд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”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гэснийг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“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чөлөөлөгдсөн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тохиолдолд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”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гэж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тус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тус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өөрчилсүгэи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̆. </w:t>
      </w:r>
    </w:p>
    <w:p w14:paraId="35E6264A" w14:textId="77777777" w:rsidR="00C84B58" w:rsidRPr="00CF4E62" w:rsidRDefault="00C84B58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3904D5F" w14:textId="5F1FD6B2" w:rsidR="001F7180" w:rsidRPr="00CF4E62" w:rsidRDefault="00ED25F6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mn-MN" w:eastAsia="en-US"/>
        </w:rPr>
        <w:t>4 дүгээр</w:t>
      </w:r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зүйл</w:t>
      </w:r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.Цэргийн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алба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хаагчийн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тэтгэвэр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тэтгэмжийн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тухаи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хуулийн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17</w:t>
      </w:r>
      <w:r w:rsidR="00C84B58" w:rsidRPr="00C84B58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val="mn-MN" w:eastAsia="en-US"/>
        </w:rPr>
        <w:t>1</w:t>
      </w:r>
      <w:r w:rsidR="001F7180" w:rsidRPr="00CF4E62">
        <w:rPr>
          <w:rFonts w:ascii="Arial" w:eastAsiaTheme="minorHAnsi" w:hAnsi="Arial" w:cs="Arial"/>
          <w:color w:val="000000" w:themeColor="text1"/>
          <w:position w:val="16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дүгээр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зүйлийн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дахь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хэсгийн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“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Энэ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тохиолдолд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уг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эхийн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зөвхөн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хоёр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удаагийн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төрөлт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хамаарна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.”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гэснийг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хассугаи</w:t>
      </w:r>
      <w:proofErr w:type="spellEnd"/>
      <w:r w:rsidR="001F7180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̆. </w:t>
      </w:r>
    </w:p>
    <w:p w14:paraId="71F4EEAE" w14:textId="77777777" w:rsidR="001F7180" w:rsidRPr="00CF4E62" w:rsidRDefault="001F7180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6FEE475" w14:textId="3336CAE5" w:rsidR="00104DB7" w:rsidRPr="00CF4E62" w:rsidRDefault="00ED25F6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mn-MN" w:eastAsia="en-US"/>
        </w:rPr>
        <w:t>5</w:t>
      </w:r>
      <w:r w:rsidR="00104DB7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дугаар</w:t>
      </w:r>
      <w:proofErr w:type="spellEnd"/>
      <w:r w:rsidR="00104DB7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зүйл.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Энэ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хуулийг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202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val="mn-MN" w:eastAsia="en-US"/>
        </w:rPr>
        <w:t>4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оны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val="mn-MN" w:eastAsia="en-US"/>
        </w:rPr>
        <w:t>01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дүгээр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сарын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val="mn-MN" w:eastAsia="en-US"/>
        </w:rPr>
        <w:t xml:space="preserve"> 01</w:t>
      </w:r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-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нии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̆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өдрөөс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эхлэн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дагаж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мөрдөнө</w:t>
      </w:r>
      <w:proofErr w:type="spellEnd"/>
      <w:r w:rsidR="00104DB7" w:rsidRPr="00CF4E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</w:p>
    <w:p w14:paraId="212841A5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06B0F5D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6393402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1B8D06AC" w14:textId="5040CF3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15A48F2" w14:textId="77777777" w:rsidR="002C6AB6" w:rsidRPr="00CF4E62" w:rsidRDefault="002C6AB6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C45B513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9406368" w14:textId="77777777" w:rsidR="002B5EE5" w:rsidRPr="00CF4E62" w:rsidRDefault="002B5EE5" w:rsidP="00545E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Гарын</w:t>
      </w:r>
      <w:proofErr w:type="spellEnd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CF4E6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үсэг</w:t>
      </w:r>
      <w:proofErr w:type="spellEnd"/>
    </w:p>
    <w:p w14:paraId="66326DE3" w14:textId="77777777" w:rsidR="002B5EE5" w:rsidRPr="00CF4E62" w:rsidRDefault="002B5EE5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E86E4" w14:textId="62099B85" w:rsidR="002B5EE5" w:rsidRPr="00CF4E62" w:rsidRDefault="002B5EE5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5A02F95" w14:textId="0D4E410C" w:rsidR="00005BFE" w:rsidRPr="00CF4E62" w:rsidRDefault="00005BFE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E221BA4" w14:textId="4D8B117C" w:rsidR="00005BFE" w:rsidRPr="00CF4E62" w:rsidRDefault="00005BFE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B2A90A5" w14:textId="77777777" w:rsidR="00005BFE" w:rsidRPr="00CF4E62" w:rsidRDefault="00005BFE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D79A21C" w14:textId="77777777" w:rsidR="002B5EE5" w:rsidRPr="00CF4E62" w:rsidRDefault="002B5EE5" w:rsidP="00545E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8D3C5A1" w14:textId="77777777" w:rsidR="0013271A" w:rsidRPr="00CF4E62" w:rsidRDefault="0013271A" w:rsidP="00545E9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sectPr w:rsidR="0013271A" w:rsidRPr="00CF4E62" w:rsidSect="002D36F4">
      <w:footerReference w:type="default" r:id="rId8"/>
      <w:pgSz w:w="12240" w:h="15840" w:code="1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92F6" w14:textId="77777777" w:rsidR="00CA7A84" w:rsidRDefault="00CA7A84">
      <w:pPr>
        <w:spacing w:after="0" w:line="240" w:lineRule="auto"/>
      </w:pPr>
      <w:r>
        <w:separator/>
      </w:r>
    </w:p>
  </w:endnote>
  <w:endnote w:type="continuationSeparator" w:id="0">
    <w:p w14:paraId="0473E50C" w14:textId="77777777" w:rsidR="00CA7A84" w:rsidRDefault="00CA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NewtonMTT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AA90" w14:textId="77777777" w:rsidR="00C40A00" w:rsidRDefault="005D710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5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3456BD" w14:textId="77777777" w:rsidR="00C40A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A9B6" w14:textId="77777777" w:rsidR="00CA7A84" w:rsidRDefault="00CA7A84">
      <w:pPr>
        <w:spacing w:after="0" w:line="240" w:lineRule="auto"/>
      </w:pPr>
      <w:r>
        <w:separator/>
      </w:r>
    </w:p>
  </w:footnote>
  <w:footnote w:type="continuationSeparator" w:id="0">
    <w:p w14:paraId="41D4376F" w14:textId="77777777" w:rsidR="00CA7A84" w:rsidRDefault="00CA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E6A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72A1"/>
    <w:multiLevelType w:val="hybridMultilevel"/>
    <w:tmpl w:val="E9ACFC62"/>
    <w:lvl w:ilvl="0" w:tplc="F3967E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11207E7"/>
    <w:multiLevelType w:val="multilevel"/>
    <w:tmpl w:val="96B8AD9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D2463"/>
    <w:multiLevelType w:val="multilevel"/>
    <w:tmpl w:val="276A9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12344B"/>
    <w:multiLevelType w:val="hybridMultilevel"/>
    <w:tmpl w:val="9AE82E72"/>
    <w:lvl w:ilvl="0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5" w15:restartNumberingAfterBreak="0">
    <w:nsid w:val="27DB2BEB"/>
    <w:multiLevelType w:val="hybridMultilevel"/>
    <w:tmpl w:val="E9ACFC62"/>
    <w:lvl w:ilvl="0" w:tplc="F3967E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54976C0"/>
    <w:multiLevelType w:val="multilevel"/>
    <w:tmpl w:val="4D423B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4C8F56CE"/>
    <w:multiLevelType w:val="multilevel"/>
    <w:tmpl w:val="DDF6E7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E8267F"/>
    <w:multiLevelType w:val="multilevel"/>
    <w:tmpl w:val="224C13DC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1966CB"/>
    <w:multiLevelType w:val="multilevel"/>
    <w:tmpl w:val="9598735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5F116CFF"/>
    <w:multiLevelType w:val="hybridMultilevel"/>
    <w:tmpl w:val="98C41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1827F1"/>
    <w:multiLevelType w:val="multilevel"/>
    <w:tmpl w:val="F52648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440"/>
      </w:pPr>
      <w:rPr>
        <w:rFonts w:hint="default"/>
      </w:rPr>
    </w:lvl>
  </w:abstractNum>
  <w:abstractNum w:abstractNumId="12" w15:restartNumberingAfterBreak="0">
    <w:nsid w:val="613B60FC"/>
    <w:multiLevelType w:val="multilevel"/>
    <w:tmpl w:val="E14CD7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 w15:restartNumberingAfterBreak="0">
    <w:nsid w:val="696E653A"/>
    <w:multiLevelType w:val="multilevel"/>
    <w:tmpl w:val="F370C0A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21760D"/>
    <w:multiLevelType w:val="multilevel"/>
    <w:tmpl w:val="E5E65F9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48662200">
    <w:abstractNumId w:val="0"/>
  </w:num>
  <w:num w:numId="2" w16cid:durableId="718012812">
    <w:abstractNumId w:val="11"/>
  </w:num>
  <w:num w:numId="3" w16cid:durableId="705642022">
    <w:abstractNumId w:val="3"/>
  </w:num>
  <w:num w:numId="4" w16cid:durableId="1627153427">
    <w:abstractNumId w:val="9"/>
  </w:num>
  <w:num w:numId="5" w16cid:durableId="581333223">
    <w:abstractNumId w:val="7"/>
  </w:num>
  <w:num w:numId="6" w16cid:durableId="359936324">
    <w:abstractNumId w:val="14"/>
  </w:num>
  <w:num w:numId="7" w16cid:durableId="610553312">
    <w:abstractNumId w:val="12"/>
  </w:num>
  <w:num w:numId="8" w16cid:durableId="1756629180">
    <w:abstractNumId w:val="8"/>
  </w:num>
  <w:num w:numId="9" w16cid:durableId="1412502034">
    <w:abstractNumId w:val="2"/>
  </w:num>
  <w:num w:numId="10" w16cid:durableId="536164351">
    <w:abstractNumId w:val="6"/>
  </w:num>
  <w:num w:numId="11" w16cid:durableId="525409995">
    <w:abstractNumId w:val="13"/>
  </w:num>
  <w:num w:numId="12" w16cid:durableId="510334484">
    <w:abstractNumId w:val="1"/>
  </w:num>
  <w:num w:numId="13" w16cid:durableId="1382896683">
    <w:abstractNumId w:val="5"/>
  </w:num>
  <w:num w:numId="14" w16cid:durableId="431436566">
    <w:abstractNumId w:val="4"/>
  </w:num>
  <w:num w:numId="15" w16cid:durableId="1696298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74"/>
    <w:rsid w:val="00005BFE"/>
    <w:rsid w:val="000854F2"/>
    <w:rsid w:val="000C17AC"/>
    <w:rsid w:val="000F6DCA"/>
    <w:rsid w:val="00104DB7"/>
    <w:rsid w:val="001111CB"/>
    <w:rsid w:val="0013271A"/>
    <w:rsid w:val="00141973"/>
    <w:rsid w:val="00175C09"/>
    <w:rsid w:val="001C39A7"/>
    <w:rsid w:val="001D1E17"/>
    <w:rsid w:val="001E1C9C"/>
    <w:rsid w:val="001F7180"/>
    <w:rsid w:val="00231D3A"/>
    <w:rsid w:val="002B0D28"/>
    <w:rsid w:val="002B5EE5"/>
    <w:rsid w:val="002C6AB6"/>
    <w:rsid w:val="002D36F4"/>
    <w:rsid w:val="002D4872"/>
    <w:rsid w:val="00301D5C"/>
    <w:rsid w:val="00304013"/>
    <w:rsid w:val="003053C1"/>
    <w:rsid w:val="00310C75"/>
    <w:rsid w:val="00366619"/>
    <w:rsid w:val="00390736"/>
    <w:rsid w:val="00394E51"/>
    <w:rsid w:val="003C453F"/>
    <w:rsid w:val="003D1010"/>
    <w:rsid w:val="003E7BB6"/>
    <w:rsid w:val="003F7B7D"/>
    <w:rsid w:val="00414CB3"/>
    <w:rsid w:val="00427731"/>
    <w:rsid w:val="00430C5D"/>
    <w:rsid w:val="00444E23"/>
    <w:rsid w:val="004556F1"/>
    <w:rsid w:val="00473C74"/>
    <w:rsid w:val="004C66E4"/>
    <w:rsid w:val="0052609D"/>
    <w:rsid w:val="00536319"/>
    <w:rsid w:val="00545E9A"/>
    <w:rsid w:val="005A1563"/>
    <w:rsid w:val="005D7102"/>
    <w:rsid w:val="005E32CD"/>
    <w:rsid w:val="006166AA"/>
    <w:rsid w:val="00636D1B"/>
    <w:rsid w:val="00680B1D"/>
    <w:rsid w:val="006A0740"/>
    <w:rsid w:val="006A2B35"/>
    <w:rsid w:val="006D3939"/>
    <w:rsid w:val="00704B4A"/>
    <w:rsid w:val="007508D4"/>
    <w:rsid w:val="007668D8"/>
    <w:rsid w:val="00774F4A"/>
    <w:rsid w:val="007C46DB"/>
    <w:rsid w:val="007D117B"/>
    <w:rsid w:val="007F4404"/>
    <w:rsid w:val="008014C0"/>
    <w:rsid w:val="00815585"/>
    <w:rsid w:val="00817A60"/>
    <w:rsid w:val="00817BEE"/>
    <w:rsid w:val="0083662B"/>
    <w:rsid w:val="008A5EE6"/>
    <w:rsid w:val="009443F2"/>
    <w:rsid w:val="00965B72"/>
    <w:rsid w:val="00986235"/>
    <w:rsid w:val="009B58B2"/>
    <w:rsid w:val="009C677C"/>
    <w:rsid w:val="00A06901"/>
    <w:rsid w:val="00A203BA"/>
    <w:rsid w:val="00A4264D"/>
    <w:rsid w:val="00A51435"/>
    <w:rsid w:val="00A67057"/>
    <w:rsid w:val="00AB6B65"/>
    <w:rsid w:val="00AF27A3"/>
    <w:rsid w:val="00B04A30"/>
    <w:rsid w:val="00B307E3"/>
    <w:rsid w:val="00B3463D"/>
    <w:rsid w:val="00B45661"/>
    <w:rsid w:val="00B62FFD"/>
    <w:rsid w:val="00B80DF5"/>
    <w:rsid w:val="00BB13C7"/>
    <w:rsid w:val="00BD4873"/>
    <w:rsid w:val="00BE5A68"/>
    <w:rsid w:val="00C21367"/>
    <w:rsid w:val="00C32972"/>
    <w:rsid w:val="00C84A0B"/>
    <w:rsid w:val="00C84B58"/>
    <w:rsid w:val="00C93AB0"/>
    <w:rsid w:val="00C9645D"/>
    <w:rsid w:val="00CA728F"/>
    <w:rsid w:val="00CA7A84"/>
    <w:rsid w:val="00CD18BA"/>
    <w:rsid w:val="00CF47C6"/>
    <w:rsid w:val="00CF4E62"/>
    <w:rsid w:val="00D209BB"/>
    <w:rsid w:val="00D3740F"/>
    <w:rsid w:val="00D937E8"/>
    <w:rsid w:val="00DB2B5E"/>
    <w:rsid w:val="00DD0690"/>
    <w:rsid w:val="00DE4B0E"/>
    <w:rsid w:val="00E0322F"/>
    <w:rsid w:val="00E04633"/>
    <w:rsid w:val="00E04D32"/>
    <w:rsid w:val="00E560AF"/>
    <w:rsid w:val="00E70713"/>
    <w:rsid w:val="00E87305"/>
    <w:rsid w:val="00ED25F6"/>
    <w:rsid w:val="00F06AF3"/>
    <w:rsid w:val="00F829FD"/>
    <w:rsid w:val="00F91F5C"/>
    <w:rsid w:val="00FB5775"/>
    <w:rsid w:val="00FC2E26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F5B8"/>
  <w15:chartTrackingRefBased/>
  <w15:docId w15:val="{9FBB0C4C-FA4F-354D-8496-266910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74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7102"/>
    <w:pPr>
      <w:keepNext/>
      <w:suppressAutoHyphens w:val="0"/>
      <w:autoSpaceDE w:val="0"/>
      <w:autoSpaceDN w:val="0"/>
      <w:spacing w:before="240" w:after="240" w:line="240" w:lineRule="auto"/>
      <w:jc w:val="center"/>
      <w:outlineLvl w:val="2"/>
    </w:pPr>
    <w:rPr>
      <w:rFonts w:ascii="Times New Roman" w:eastAsia="MS Mincho" w:hAnsi="Times New Roman" w:cs="Times New Roman"/>
      <w:b/>
      <w:bCs/>
      <w:noProof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473C74"/>
  </w:style>
  <w:style w:type="character" w:customStyle="1" w:styleId="Absatz-Standardschriftart">
    <w:name w:val="Absatz-Standardschriftart"/>
    <w:rsid w:val="00473C74"/>
  </w:style>
  <w:style w:type="character" w:customStyle="1" w:styleId="WW-DefaultParagraphFont">
    <w:name w:val="WW-Default Paragraph Font"/>
    <w:rsid w:val="00473C74"/>
  </w:style>
  <w:style w:type="character" w:styleId="Emphasis">
    <w:name w:val="Emphasis"/>
    <w:qFormat/>
    <w:rsid w:val="00473C74"/>
    <w:rPr>
      <w:i/>
      <w:iCs/>
    </w:rPr>
  </w:style>
  <w:style w:type="character" w:customStyle="1" w:styleId="hascaption">
    <w:name w:val="hascaption"/>
    <w:basedOn w:val="WW-DefaultParagraphFont"/>
    <w:rsid w:val="00473C74"/>
  </w:style>
  <w:style w:type="character" w:customStyle="1" w:styleId="BalloonTextChar">
    <w:name w:val="Balloon Text Char"/>
    <w:rsid w:val="00473C7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erChar">
    <w:name w:val="Header Char"/>
    <w:rsid w:val="00473C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uiPriority w:val="99"/>
    <w:rsid w:val="00473C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rsid w:val="00473C74"/>
    <w:rPr>
      <w:sz w:val="16"/>
      <w:szCs w:val="16"/>
    </w:rPr>
  </w:style>
  <w:style w:type="character" w:customStyle="1" w:styleId="CommentTextChar">
    <w:name w:val="Comment Text Char"/>
    <w:basedOn w:val="WW-DefaultParagraphFont"/>
    <w:rsid w:val="00473C74"/>
  </w:style>
  <w:style w:type="character" w:customStyle="1" w:styleId="CommentSubjectChar">
    <w:name w:val="Comment Subject Char"/>
    <w:rsid w:val="00473C74"/>
    <w:rPr>
      <w:b/>
      <w:bCs/>
    </w:rPr>
  </w:style>
  <w:style w:type="paragraph" w:customStyle="1" w:styleId="Heading">
    <w:name w:val="Heading"/>
    <w:basedOn w:val="WW-DefaultStyle"/>
    <w:next w:val="WW-TextBody"/>
    <w:rsid w:val="00473C74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3C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3C74"/>
    <w:rPr>
      <w:rFonts w:ascii="Calibri" w:eastAsia="Times New Roman" w:hAnsi="Calibri" w:cs="Calibri"/>
      <w:sz w:val="22"/>
      <w:szCs w:val="22"/>
      <w:lang w:val="en-US" w:eastAsia="zh-CN"/>
    </w:rPr>
  </w:style>
  <w:style w:type="paragraph" w:styleId="List">
    <w:name w:val="List"/>
    <w:basedOn w:val="WW-TextBody"/>
    <w:rsid w:val="00473C74"/>
  </w:style>
  <w:style w:type="paragraph" w:styleId="Caption">
    <w:name w:val="caption"/>
    <w:basedOn w:val="WW-DefaultStyle"/>
    <w:qFormat/>
    <w:rsid w:val="00473C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WW-DefaultStyle"/>
    <w:rsid w:val="00473C74"/>
    <w:pPr>
      <w:suppressLineNumbers/>
    </w:pPr>
  </w:style>
  <w:style w:type="paragraph" w:customStyle="1" w:styleId="WW-DefaultStyle">
    <w:name w:val="WW-Default Style"/>
    <w:rsid w:val="00473C74"/>
    <w:pPr>
      <w:widowControl w:val="0"/>
      <w:suppressAutoHyphens/>
      <w:spacing w:line="100" w:lineRule="atLeast"/>
    </w:pPr>
    <w:rPr>
      <w:rFonts w:ascii="Arial" w:eastAsia="Lucida Sans Unicode" w:hAnsi="Arial" w:cs="Mangal"/>
      <w:color w:val="00000A"/>
      <w:lang w:eastAsia="zh-CN" w:bidi="hi-IN"/>
    </w:rPr>
  </w:style>
  <w:style w:type="paragraph" w:customStyle="1" w:styleId="WW-TextBody">
    <w:name w:val="WW-Text Body"/>
    <w:basedOn w:val="WW-DefaultStyle"/>
    <w:rsid w:val="00473C74"/>
    <w:pPr>
      <w:spacing w:after="120"/>
    </w:pPr>
  </w:style>
  <w:style w:type="paragraph" w:styleId="NormalWeb">
    <w:name w:val="Normal (Web)"/>
    <w:basedOn w:val="WW-DefaultStyle"/>
    <w:uiPriority w:val="99"/>
    <w:rsid w:val="00473C74"/>
    <w:pPr>
      <w:spacing w:before="280" w:after="280"/>
    </w:pPr>
  </w:style>
  <w:style w:type="paragraph" w:styleId="BalloonText">
    <w:name w:val="Balloon Text"/>
    <w:basedOn w:val="WW-DefaultStyle"/>
    <w:link w:val="BalloonTextChar1"/>
    <w:rsid w:val="00473C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473C74"/>
    <w:rPr>
      <w:rFonts w:ascii="Tahoma" w:eastAsia="Lucida Sans Unicode" w:hAnsi="Tahoma" w:cs="Tahoma"/>
      <w:color w:val="00000A"/>
      <w:sz w:val="16"/>
      <w:szCs w:val="16"/>
      <w:lang w:val="en-US" w:eastAsia="zh-CN" w:bidi="hi-IN"/>
    </w:rPr>
  </w:style>
  <w:style w:type="paragraph" w:styleId="Header">
    <w:name w:val="header"/>
    <w:basedOn w:val="WW-DefaultStyle"/>
    <w:link w:val="HeaderChar1"/>
    <w:rsid w:val="00473C74"/>
  </w:style>
  <w:style w:type="character" w:customStyle="1" w:styleId="HeaderChar1">
    <w:name w:val="Header Char1"/>
    <w:basedOn w:val="DefaultParagraphFont"/>
    <w:link w:val="Header"/>
    <w:rsid w:val="00473C74"/>
    <w:rPr>
      <w:rFonts w:ascii="Arial" w:eastAsia="Lucida Sans Unicode" w:hAnsi="Arial" w:cs="Mangal"/>
      <w:color w:val="00000A"/>
      <w:lang w:val="en-US" w:eastAsia="zh-CN" w:bidi="hi-IN"/>
    </w:rPr>
  </w:style>
  <w:style w:type="paragraph" w:styleId="Footer">
    <w:name w:val="footer"/>
    <w:basedOn w:val="WW-DefaultStyle"/>
    <w:link w:val="FooterChar1"/>
    <w:uiPriority w:val="99"/>
    <w:rsid w:val="00473C74"/>
  </w:style>
  <w:style w:type="character" w:customStyle="1" w:styleId="FooterChar1">
    <w:name w:val="Footer Char1"/>
    <w:basedOn w:val="DefaultParagraphFont"/>
    <w:link w:val="Footer"/>
    <w:rsid w:val="00473C74"/>
    <w:rPr>
      <w:rFonts w:ascii="Arial" w:eastAsia="Lucida Sans Unicode" w:hAnsi="Arial" w:cs="Mangal"/>
      <w:color w:val="00000A"/>
      <w:lang w:val="en-US" w:eastAsia="zh-CN" w:bidi="hi-IN"/>
    </w:rPr>
  </w:style>
  <w:style w:type="paragraph" w:styleId="CommentText">
    <w:name w:val="annotation text"/>
    <w:basedOn w:val="Normal"/>
    <w:link w:val="CommentTextChar1"/>
    <w:rsid w:val="00473C7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473C74"/>
    <w:rPr>
      <w:rFonts w:ascii="Calibri" w:eastAsia="Times New Roman" w:hAnsi="Calibri" w:cs="Calibr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1"/>
    <w:rsid w:val="00473C7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473C74"/>
    <w:rPr>
      <w:rFonts w:ascii="Calibri" w:eastAsia="Times New Roman" w:hAnsi="Calibri" w:cs="Calibri"/>
      <w:b/>
      <w:bCs/>
      <w:sz w:val="20"/>
      <w:szCs w:val="20"/>
      <w:lang w:val="en-US" w:eastAsia="zh-CN"/>
    </w:rPr>
  </w:style>
  <w:style w:type="paragraph" w:customStyle="1" w:styleId="WW-DefaultStyle1">
    <w:name w:val="WW-Default Style1"/>
    <w:rsid w:val="00473C74"/>
    <w:pPr>
      <w:widowControl w:val="0"/>
      <w:suppressAutoHyphens/>
      <w:spacing w:line="100" w:lineRule="atLeast"/>
    </w:pPr>
    <w:rPr>
      <w:rFonts w:ascii="Arial" w:eastAsia="Lucida Sans Unicode" w:hAnsi="Arial" w:cs="Mangal"/>
      <w:color w:val="00000A"/>
      <w:lang w:eastAsia="zh-CN" w:bidi="hi-IN"/>
    </w:rPr>
  </w:style>
  <w:style w:type="character" w:customStyle="1" w:styleId="InternetLink">
    <w:name w:val="Internet Link"/>
    <w:uiPriority w:val="99"/>
    <w:unhideWhenUsed/>
    <w:rsid w:val="00473C74"/>
    <w:rPr>
      <w:color w:val="0563C1"/>
      <w:u w:val="single"/>
    </w:rPr>
  </w:style>
  <w:style w:type="paragraph" w:styleId="Title">
    <w:name w:val="Title"/>
    <w:basedOn w:val="Normal"/>
    <w:link w:val="TitleChar"/>
    <w:uiPriority w:val="10"/>
    <w:qFormat/>
    <w:rsid w:val="00473C74"/>
    <w:pPr>
      <w:suppressAutoHyphens w:val="0"/>
      <w:spacing w:after="0" w:line="240" w:lineRule="auto"/>
      <w:jc w:val="center"/>
    </w:pPr>
    <w:rPr>
      <w:rFonts w:ascii="Times New Roman Mon" w:hAnsi="Times New Roman Mon" w:cs="Times New Roman"/>
      <w:b/>
      <w:bCs/>
      <w:color w:val="3366FF"/>
      <w:sz w:val="44"/>
      <w:szCs w:val="24"/>
      <w:lang w:val="ms-MY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73C74"/>
    <w:rPr>
      <w:rFonts w:ascii="Times New Roman Mon" w:eastAsia="Times New Roman" w:hAnsi="Times New Roman Mon" w:cs="Times New Roman"/>
      <w:b/>
      <w:bCs/>
      <w:color w:val="3366FF"/>
      <w:sz w:val="44"/>
      <w:lang w:val="ms-MY" w:eastAsia="x-none"/>
    </w:rPr>
  </w:style>
  <w:style w:type="character" w:styleId="Hyperlink">
    <w:name w:val="Hyperlink"/>
    <w:uiPriority w:val="99"/>
    <w:unhideWhenUsed/>
    <w:rsid w:val="00473C7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73C74"/>
    <w:rPr>
      <w:color w:val="954F72"/>
      <w:u w:val="single"/>
    </w:rPr>
  </w:style>
  <w:style w:type="table" w:styleId="TableGrid">
    <w:name w:val="Table Grid"/>
    <w:basedOn w:val="TableNormal"/>
    <w:uiPriority w:val="59"/>
    <w:rsid w:val="00473C7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73C74"/>
    <w:rPr>
      <w:b/>
      <w:bCs/>
    </w:rPr>
  </w:style>
  <w:style w:type="character" w:customStyle="1" w:styleId="highlight">
    <w:name w:val="highlight"/>
    <w:basedOn w:val="DefaultParagraphFont"/>
    <w:rsid w:val="00473C74"/>
  </w:style>
  <w:style w:type="paragraph" w:customStyle="1" w:styleId="msghead">
    <w:name w:val="msg_head"/>
    <w:basedOn w:val="Normal"/>
    <w:rsid w:val="00473C7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73C74"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C7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9"/>
    <w:rsid w:val="005D7102"/>
    <w:rPr>
      <w:rFonts w:ascii="Times New Roman" w:eastAsia="MS Mincho" w:hAnsi="Times New Roman" w:cs="Times New Roman"/>
      <w:b/>
      <w:bCs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5D7102"/>
    <w:pPr>
      <w:suppressAutoHyphens w:val="0"/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7102"/>
    <w:rPr>
      <w:rFonts w:ascii="Courier New" w:eastAsia="MS Mincho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5D7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D7102"/>
    <w:pPr>
      <w:suppressAutoHyphens w:val="0"/>
      <w:autoSpaceDE w:val="0"/>
      <w:autoSpaceDN w:val="0"/>
      <w:spacing w:after="0" w:line="240" w:lineRule="auto"/>
      <w:ind w:firstLine="720"/>
      <w:jc w:val="both"/>
    </w:pPr>
    <w:rPr>
      <w:rFonts w:ascii="NewtonMTT" w:eastAsia="MS Mincho" w:hAnsi="NewtonMTT" w:cs="NewtonMTT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7102"/>
    <w:rPr>
      <w:rFonts w:ascii="NewtonMTT" w:eastAsia="MS Mincho" w:hAnsi="NewtonMTT" w:cs="NewtonMTT"/>
    </w:rPr>
  </w:style>
  <w:style w:type="paragraph" w:styleId="ListParagraph">
    <w:name w:val="List Paragraph"/>
    <w:basedOn w:val="Normal"/>
    <w:uiPriority w:val="34"/>
    <w:qFormat/>
    <w:rsid w:val="007668D8"/>
    <w:pPr>
      <w:tabs>
        <w:tab w:val="left" w:pos="720"/>
      </w:tabs>
      <w:spacing w:after="160" w:line="252" w:lineRule="auto"/>
      <w:ind w:left="720"/>
    </w:pPr>
    <w:rPr>
      <w:rFonts w:ascii="Arial" w:eastAsia="Droid Sans Fallback" w:hAnsi="Arial"/>
      <w:color w:val="00000A"/>
      <w:sz w:val="24"/>
      <w:lang w:eastAsia="en-US"/>
    </w:rPr>
  </w:style>
  <w:style w:type="paragraph" w:customStyle="1" w:styleId="Default">
    <w:name w:val="Default"/>
    <w:rsid w:val="007668D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0E3024-8C8A-9C4B-B97C-F7A49304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naran.0426@yahoo.com</cp:lastModifiedBy>
  <cp:revision>225</cp:revision>
  <cp:lastPrinted>2023-12-11T02:22:00Z</cp:lastPrinted>
  <dcterms:created xsi:type="dcterms:W3CDTF">2022-01-07T02:24:00Z</dcterms:created>
  <dcterms:modified xsi:type="dcterms:W3CDTF">2023-12-14T03:35:00Z</dcterms:modified>
</cp:coreProperties>
</file>