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44299" w14:textId="77777777" w:rsidR="002C1558" w:rsidRDefault="002C1558" w:rsidP="002C1558">
      <w:pPr>
        <w:pStyle w:val="Heading2"/>
        <w:spacing w:before="0" w:line="276" w:lineRule="auto"/>
        <w:jc w:val="center"/>
        <w:rPr>
          <w:rFonts w:ascii="Arial" w:hAnsi="Arial" w:cs="Arial"/>
          <w:b/>
          <w:color w:val="000000" w:themeColor="text1"/>
          <w:sz w:val="24"/>
          <w:szCs w:val="24"/>
          <w:lang w:val="mn-MN"/>
        </w:rPr>
      </w:pPr>
      <w:r>
        <w:rPr>
          <w:rFonts w:ascii="Arial" w:hAnsi="Arial" w:cs="Arial"/>
          <w:color w:val="000000" w:themeColor="text1"/>
          <w:sz w:val="24"/>
          <w:szCs w:val="24"/>
          <w:lang w:val="mn-MN"/>
        </w:rPr>
        <w:t>ТОВЧ ТАНИЛЦУУЛГА</w:t>
      </w:r>
    </w:p>
    <w:p w14:paraId="414BB223" w14:textId="77777777" w:rsidR="002C1558" w:rsidRDefault="002C1558" w:rsidP="002C1558">
      <w:pPr>
        <w:spacing w:line="276" w:lineRule="auto"/>
        <w:jc w:val="center"/>
        <w:rPr>
          <w:rFonts w:ascii="Arial" w:hAnsi="Arial" w:cs="Arial"/>
          <w:b/>
          <w:color w:val="000000" w:themeColor="text1"/>
          <w:lang w:val="mn-MN"/>
        </w:rPr>
      </w:pPr>
    </w:p>
    <w:p w14:paraId="0FFDB84B" w14:textId="77777777" w:rsidR="002C1558" w:rsidRDefault="002C1558" w:rsidP="002C1558">
      <w:pPr>
        <w:ind w:left="3686"/>
        <w:jc w:val="right"/>
        <w:rPr>
          <w:rFonts w:ascii="Arial" w:hAnsi="Arial" w:cs="Arial"/>
          <w:i/>
          <w:color w:val="000000" w:themeColor="text1"/>
          <w:lang w:val="mn-MN"/>
        </w:rPr>
      </w:pPr>
      <w:r>
        <w:rPr>
          <w:rFonts w:ascii="Arial" w:hAnsi="Arial" w:cs="Arial"/>
          <w:i/>
          <w:color w:val="000000" w:themeColor="text1"/>
          <w:lang w:val="mn-MN"/>
        </w:rPr>
        <w:t>Гаалийн тариф, гаалийн татварын тухай хуульд хуульд өөрчлөлт оруулах тухай</w:t>
      </w:r>
    </w:p>
    <w:p w14:paraId="1393C4FA" w14:textId="77777777" w:rsidR="002C1558" w:rsidRDefault="002C1558" w:rsidP="002C1558">
      <w:pPr>
        <w:ind w:left="3686"/>
        <w:jc w:val="right"/>
        <w:rPr>
          <w:rFonts w:ascii="Arial" w:hAnsi="Arial" w:cs="Arial"/>
          <w:i/>
          <w:color w:val="000000" w:themeColor="text1"/>
          <w:lang w:val="mn-MN"/>
        </w:rPr>
      </w:pPr>
      <w:r>
        <w:rPr>
          <w:rFonts w:ascii="Arial" w:hAnsi="Arial" w:cs="Arial"/>
          <w:i/>
          <w:color w:val="000000" w:themeColor="text1"/>
          <w:lang w:val="mn-MN"/>
        </w:rPr>
        <w:t xml:space="preserve"> хуулийн төсөл</w:t>
      </w:r>
    </w:p>
    <w:p w14:paraId="26F87959" w14:textId="77777777" w:rsidR="002C1558" w:rsidRDefault="002C1558" w:rsidP="002C1558">
      <w:pPr>
        <w:ind w:left="3686"/>
        <w:jc w:val="right"/>
        <w:rPr>
          <w:rFonts w:ascii="Arial" w:hAnsi="Arial" w:cs="Arial"/>
          <w:i/>
          <w:color w:val="000000" w:themeColor="text1"/>
          <w:lang w:val="mn-MN"/>
        </w:rPr>
      </w:pPr>
    </w:p>
    <w:p w14:paraId="25540C99" w14:textId="77777777" w:rsidR="002C1558" w:rsidRDefault="002C1558" w:rsidP="002C1558">
      <w:pPr>
        <w:pStyle w:val="NormalWeb"/>
        <w:spacing w:before="0" w:beforeAutospacing="0" w:after="0" w:afterAutospacing="0"/>
        <w:ind w:firstLine="720"/>
        <w:contextualSpacing/>
        <w:jc w:val="both"/>
        <w:rPr>
          <w:rFonts w:ascii="Arial" w:hAnsi="Arial" w:cs="Arial"/>
          <w:noProof/>
          <w:color w:val="000000" w:themeColor="text1"/>
          <w:lang w:val="mn-MN"/>
        </w:rPr>
      </w:pPr>
      <w:r>
        <w:rPr>
          <w:rFonts w:ascii="Arial" w:hAnsi="Arial" w:cs="Arial"/>
          <w:noProof/>
          <w:lang w:val="mn-MN"/>
        </w:rPr>
        <w:t xml:space="preserve">Үйлдвэрлэл, технологийн паркийг байгуулахад Гаалийн тариф, гаалийн татварын тухай хуулиар </w:t>
      </w:r>
      <w:r>
        <w:rPr>
          <w:rFonts w:ascii="Arial" w:hAnsi="Arial" w:cs="Arial"/>
          <w:noProof/>
          <w:color w:val="000000" w:themeColor="text1"/>
          <w:lang w:val="mn-MN"/>
        </w:rPr>
        <w:t>Үйлдвэрлэл, технологийн паркийн удирдлага, нэгжийн үндсэн хөрөнгө бий болгоход шаардагдах, дотоодын үйлдвэрлэлээс хангах боломжгүй импортоор оруулж байгаа барилгын материал, дэд бүтэц, тоног төхөөрөмжид гаалийн болон нэмэгдсэн өртгийн албан татвар</w:t>
      </w:r>
      <w:r>
        <w:rPr>
          <w:rFonts w:ascii="Arial" w:hAnsi="Arial" w:cs="Arial"/>
          <w:noProof/>
          <w:lang w:val="mn-MN"/>
        </w:rPr>
        <w:t>ын хөнгөлөлт, чөлөөлөлт үзүүлэхээр</w:t>
      </w:r>
      <w:r>
        <w:rPr>
          <w:rFonts w:ascii="Arial" w:hAnsi="Arial" w:cs="Arial"/>
          <w:noProof/>
          <w:color w:val="000000" w:themeColor="text1"/>
          <w:lang w:val="mn-MN"/>
        </w:rPr>
        <w:t xml:space="preserve"> зохицуулсан байдаг.</w:t>
      </w:r>
    </w:p>
    <w:p w14:paraId="24740514" w14:textId="77777777" w:rsidR="002C1558" w:rsidRDefault="002C1558" w:rsidP="002C1558">
      <w:pPr>
        <w:pStyle w:val="NormalWeb"/>
        <w:spacing w:before="0" w:beforeAutospacing="0" w:after="0" w:afterAutospacing="0"/>
        <w:ind w:firstLine="720"/>
        <w:contextualSpacing/>
        <w:jc w:val="both"/>
        <w:rPr>
          <w:rFonts w:ascii="Arial" w:hAnsi="Arial" w:cs="Arial"/>
          <w:noProof/>
          <w:color w:val="000000" w:themeColor="text1"/>
          <w:lang w:val="mn-MN"/>
        </w:rPr>
      </w:pPr>
    </w:p>
    <w:p w14:paraId="11F38C49" w14:textId="77777777" w:rsidR="002C1558" w:rsidRDefault="002C1558" w:rsidP="002C1558">
      <w:pPr>
        <w:pStyle w:val="NormalWeb"/>
        <w:spacing w:before="0" w:beforeAutospacing="0" w:after="0" w:afterAutospacing="0"/>
        <w:ind w:firstLine="720"/>
        <w:contextualSpacing/>
        <w:jc w:val="both"/>
        <w:rPr>
          <w:rFonts w:ascii="Arial" w:hAnsi="Arial" w:cs="Arial"/>
          <w:noProof/>
          <w:color w:val="000000" w:themeColor="text1"/>
          <w:lang w:val="mn-MN"/>
        </w:rPr>
      </w:pPr>
      <w:r>
        <w:rPr>
          <w:rFonts w:ascii="Arial" w:hAnsi="Arial" w:cs="Arial"/>
          <w:noProof/>
          <w:color w:val="000000" w:themeColor="text1"/>
          <w:lang w:val="mn-MN"/>
        </w:rPr>
        <w:t>Гаалийн тариф, гаалийн татварын тухай хуулийн “Гаалийн албан татвараас чөлөөлөгдөх барааны жагсаалт” гэсэн 38 дугаар зүйлийн 38.1.20 дахь заалт болон “Гаалийн болон бусад албан татвар төлөх хугацааг сунгах, хэсэгчлэн төлөх” гэсэн 40 дүгээр зүйлийн 40.4 дэх хэсгийн зохицуулалтыг гаалийн татвараас хугацаагүй чөлөөлөх барааг зохицуулсан уг хуулийн 38 дугаар зүйлд нийцүүлэн хууль хэрэглээг тодорхой болгох зорилгоор хуулийн төслийг боловсруулсан.</w:t>
      </w:r>
    </w:p>
    <w:p w14:paraId="475992F4" w14:textId="77777777" w:rsidR="002C1558" w:rsidRDefault="002C1558" w:rsidP="002C1558">
      <w:pPr>
        <w:spacing w:line="276" w:lineRule="auto"/>
        <w:ind w:firstLine="567"/>
        <w:jc w:val="both"/>
        <w:rPr>
          <w:rFonts w:ascii="Arial" w:hAnsi="Arial" w:cs="Arial"/>
          <w:color w:val="000000" w:themeColor="text1"/>
          <w:lang w:val="mn-MN"/>
        </w:rPr>
      </w:pPr>
    </w:p>
    <w:p w14:paraId="52676A97" w14:textId="77777777" w:rsidR="002C1558" w:rsidRDefault="002C1558" w:rsidP="002C1558">
      <w:pPr>
        <w:pStyle w:val="NormalWeb"/>
        <w:spacing w:before="0" w:beforeAutospacing="0" w:after="0" w:afterAutospacing="0"/>
        <w:ind w:firstLine="720"/>
        <w:contextualSpacing/>
        <w:jc w:val="both"/>
        <w:rPr>
          <w:rFonts w:ascii="Arial" w:hAnsi="Arial" w:cs="Arial"/>
        </w:rPr>
      </w:pPr>
      <w:proofErr w:type="spellStart"/>
      <w:r>
        <w:rPr>
          <w:rFonts w:ascii="Arial" w:hAnsi="Arial" w:cs="Arial"/>
        </w:rPr>
        <w:t>Гаалийн</w:t>
      </w:r>
      <w:proofErr w:type="spellEnd"/>
      <w:r>
        <w:rPr>
          <w:rFonts w:ascii="Arial" w:hAnsi="Arial" w:cs="Arial"/>
        </w:rPr>
        <w:t xml:space="preserve"> </w:t>
      </w:r>
      <w:proofErr w:type="spellStart"/>
      <w:r>
        <w:rPr>
          <w:rFonts w:ascii="Arial" w:hAnsi="Arial" w:cs="Arial"/>
        </w:rPr>
        <w:t>тариф</w:t>
      </w:r>
      <w:proofErr w:type="spellEnd"/>
      <w:r>
        <w:rPr>
          <w:rFonts w:ascii="Arial" w:hAnsi="Arial" w:cs="Arial"/>
        </w:rPr>
        <w:t xml:space="preserve">, </w:t>
      </w:r>
      <w:proofErr w:type="spellStart"/>
      <w:r>
        <w:rPr>
          <w:rFonts w:ascii="Arial" w:hAnsi="Arial" w:cs="Arial"/>
        </w:rPr>
        <w:t>гаалийн</w:t>
      </w:r>
      <w:proofErr w:type="spellEnd"/>
      <w:r>
        <w:rPr>
          <w:rFonts w:ascii="Arial" w:hAnsi="Arial" w:cs="Arial"/>
        </w:rPr>
        <w:t xml:space="preserve"> </w:t>
      </w:r>
      <w:proofErr w:type="spellStart"/>
      <w:r>
        <w:rPr>
          <w:rFonts w:ascii="Arial" w:hAnsi="Arial" w:cs="Arial"/>
        </w:rPr>
        <w:t>татварын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2 </w:t>
      </w:r>
      <w:proofErr w:type="spellStart"/>
      <w:r>
        <w:rPr>
          <w:rFonts w:ascii="Arial" w:hAnsi="Arial" w:cs="Arial"/>
        </w:rPr>
        <w:t>зүйлтэй</w:t>
      </w:r>
      <w:proofErr w:type="spellEnd"/>
      <w:r>
        <w:rPr>
          <w:rFonts w:ascii="Arial" w:hAnsi="Arial" w:cs="Arial"/>
        </w:rPr>
        <w:t>.</w:t>
      </w:r>
    </w:p>
    <w:p w14:paraId="6470F56D" w14:textId="77777777" w:rsidR="002C1558" w:rsidRDefault="002C1558" w:rsidP="002C1558">
      <w:pPr>
        <w:pStyle w:val="NormalWeb"/>
        <w:spacing w:before="0" w:beforeAutospacing="0" w:after="0" w:afterAutospacing="0"/>
        <w:ind w:firstLine="720"/>
        <w:contextualSpacing/>
        <w:jc w:val="both"/>
        <w:rPr>
          <w:rFonts w:ascii="Arial" w:hAnsi="Arial" w:cs="Arial"/>
        </w:rPr>
      </w:pPr>
    </w:p>
    <w:p w14:paraId="5C8436E1" w14:textId="77777777" w:rsidR="002C1558" w:rsidRDefault="002C1558" w:rsidP="002C1558">
      <w:pPr>
        <w:pStyle w:val="NormalWeb"/>
        <w:spacing w:before="0" w:beforeAutospacing="0" w:after="0" w:afterAutospacing="0"/>
        <w:ind w:firstLine="720"/>
        <w:contextualSpacing/>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w:t>
      </w:r>
      <w:proofErr w:type="spellStart"/>
      <w:r>
        <w:rPr>
          <w:rFonts w:ascii="Arial" w:hAnsi="Arial" w:cs="Arial"/>
        </w:rPr>
        <w:t>дараах</w:t>
      </w:r>
      <w:proofErr w:type="spellEnd"/>
      <w:r>
        <w:rPr>
          <w:rFonts w:ascii="Arial" w:hAnsi="Arial" w:cs="Arial"/>
        </w:rPr>
        <w:t xml:space="preserve"> </w:t>
      </w:r>
      <w:proofErr w:type="spellStart"/>
      <w:r>
        <w:rPr>
          <w:rFonts w:ascii="Arial" w:hAnsi="Arial" w:cs="Arial"/>
        </w:rPr>
        <w:t>өөрчлөлтийг</w:t>
      </w:r>
      <w:proofErr w:type="spellEnd"/>
      <w:r>
        <w:rPr>
          <w:rFonts w:ascii="Arial" w:hAnsi="Arial" w:cs="Arial"/>
        </w:rPr>
        <w:t xml:space="preserve"> </w:t>
      </w:r>
      <w:proofErr w:type="spellStart"/>
      <w:r>
        <w:rPr>
          <w:rFonts w:ascii="Arial" w:hAnsi="Arial" w:cs="Arial"/>
        </w:rPr>
        <w:t>тусгалаа</w:t>
      </w:r>
      <w:proofErr w:type="spellEnd"/>
      <w:r>
        <w:rPr>
          <w:rFonts w:ascii="Arial" w:hAnsi="Arial" w:cs="Arial"/>
        </w:rPr>
        <w:t xml:space="preserve">. </w:t>
      </w:r>
      <w:proofErr w:type="spellStart"/>
      <w:r>
        <w:rPr>
          <w:rFonts w:ascii="Arial" w:hAnsi="Arial" w:cs="Arial"/>
        </w:rPr>
        <w:t>Үүнд</w:t>
      </w:r>
      <w:proofErr w:type="spellEnd"/>
      <w:r>
        <w:rPr>
          <w:rFonts w:ascii="Arial" w:hAnsi="Arial" w:cs="Arial"/>
        </w:rPr>
        <w:t>:</w:t>
      </w:r>
    </w:p>
    <w:p w14:paraId="573A3F3C" w14:textId="77777777" w:rsidR="002C1558" w:rsidRDefault="002C1558" w:rsidP="002C1558">
      <w:pPr>
        <w:pStyle w:val="NormalWeb"/>
        <w:spacing w:before="0" w:beforeAutospacing="0" w:after="0" w:afterAutospacing="0"/>
        <w:ind w:firstLine="720"/>
        <w:contextualSpacing/>
        <w:jc w:val="both"/>
        <w:rPr>
          <w:rFonts w:ascii="Arial" w:hAnsi="Arial" w:cs="Arial"/>
        </w:rPr>
      </w:pPr>
    </w:p>
    <w:p w14:paraId="7098D768" w14:textId="77777777" w:rsidR="002C1558" w:rsidRDefault="002C1558" w:rsidP="002C1558">
      <w:pPr>
        <w:ind w:firstLine="720"/>
        <w:jc w:val="both"/>
        <w:rPr>
          <w:rFonts w:ascii="Arial" w:hAnsi="Arial" w:cs="Arial"/>
          <w:noProof/>
          <w:color w:val="000000" w:themeColor="text1"/>
          <w:lang w:val="mn-MN"/>
        </w:rPr>
      </w:pP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төслийн</w:t>
      </w:r>
      <w:proofErr w:type="spellEnd"/>
      <w:r>
        <w:rPr>
          <w:rFonts w:ascii="Arial" w:hAnsi="Arial" w:cs="Arial"/>
          <w:color w:val="000000" w:themeColor="text1"/>
        </w:rPr>
        <w:t xml:space="preserve"> 1 </w:t>
      </w:r>
      <w:proofErr w:type="spellStart"/>
      <w:r>
        <w:rPr>
          <w:rFonts w:ascii="Arial" w:hAnsi="Arial" w:cs="Arial"/>
          <w:color w:val="000000" w:themeColor="text1"/>
        </w:rPr>
        <w:t>дүгээр</w:t>
      </w:r>
      <w:proofErr w:type="spellEnd"/>
      <w:r>
        <w:rPr>
          <w:rFonts w:ascii="Arial" w:hAnsi="Arial" w:cs="Arial"/>
          <w:color w:val="000000" w:themeColor="text1"/>
        </w:rPr>
        <w:t xml:space="preserve"> </w:t>
      </w:r>
      <w:proofErr w:type="spellStart"/>
      <w:r>
        <w:rPr>
          <w:rFonts w:ascii="Arial" w:hAnsi="Arial" w:cs="Arial"/>
          <w:color w:val="000000" w:themeColor="text1"/>
        </w:rPr>
        <w:t>зүйлээр</w:t>
      </w:r>
      <w:proofErr w:type="spellEnd"/>
      <w:r>
        <w:rPr>
          <w:rFonts w:ascii="Arial" w:hAnsi="Arial" w:cs="Arial"/>
          <w:color w:val="000000" w:themeColor="text1"/>
        </w:rPr>
        <w:t xml:space="preserve"> </w:t>
      </w:r>
      <w:r>
        <w:rPr>
          <w:rFonts w:ascii="Arial" w:hAnsi="Arial" w:cs="Arial"/>
          <w:noProof/>
          <w:color w:val="000000" w:themeColor="text1"/>
          <w:lang w:val="mn-MN"/>
        </w:rPr>
        <w:t>Гаалийн тариф, гаалийн татварын тухай хуулийн “Гаалийн албан татвараас чөлөөлөгдөх барааны жагсаалт” гэсэн 38 дугаар зүйлийн 38.1.20 дахь заалтад өөрчлөлт оруулан үйлдвэрлэл, технологийн паркийн удирдлага, нэгж өөрийн үндсэн хөрөнгөд бүртгэж үндсэн үйл ажиллагаандаа ашигласан барилгын материал, дэд бүтэц, тоног төхөөрөмж гаалийн албан татвараас хугацаагүй чөлөөлөх.</w:t>
      </w:r>
    </w:p>
    <w:p w14:paraId="328C9F3A" w14:textId="77777777" w:rsidR="002C1558" w:rsidRDefault="002C1558" w:rsidP="002C1558">
      <w:pPr>
        <w:ind w:firstLine="720"/>
        <w:jc w:val="both"/>
        <w:rPr>
          <w:rFonts w:ascii="Arial" w:hAnsi="Arial" w:cs="Arial"/>
          <w:noProof/>
          <w:color w:val="000000" w:themeColor="text1"/>
          <w:lang w:val="mn-MN"/>
        </w:rPr>
      </w:pPr>
    </w:p>
    <w:p w14:paraId="57C54405" w14:textId="77777777" w:rsidR="002C1558" w:rsidRDefault="002C1558" w:rsidP="002C1558">
      <w:pPr>
        <w:ind w:firstLine="720"/>
        <w:jc w:val="both"/>
        <w:rPr>
          <w:rFonts w:ascii="Arial" w:hAnsi="Arial" w:cs="Arial"/>
          <w:noProof/>
          <w:color w:val="000000" w:themeColor="text1"/>
          <w:lang w:val="mn-MN"/>
        </w:rPr>
      </w:pPr>
      <w:r>
        <w:rPr>
          <w:rFonts w:ascii="Arial" w:hAnsi="Arial" w:cs="Arial"/>
          <w:noProof/>
          <w:color w:val="000000" w:themeColor="text1"/>
          <w:lang w:val="mn-MN"/>
        </w:rPr>
        <w:t>Хуулийн төслийн 2 дугаар зүйлээр Гаалийн тариф, гаалийн татварын тухай хуулийн “Гаалийн болон бусад албан татвар төлөх хугацааг сунгах, хэсэгчлэн төлөх” гэсэн 40 дүгээр зүйлийн 40.4 дэх хэсэгт өөрчлөлт оруулан Үйлдвэрлэл, технологийн паркийн удирдлага, нэгжийн үндсэн хөрөнгө бий болгоход шаардагдах, дотоодын үйлдвэрлэлээс хангах боломжгүй импортоор оруулж байгаа барилгын материал, дэд бүтэц, тоног төхөөрөмжийн нэмэгдсэн өртгийн албан татварын төлөх хугацааг 4 жил хүртэлх хугацаагаар нэг удаа сунгах шийдвэрийг Засгийн газар гаргахаар зохицуулсан.</w:t>
      </w:r>
    </w:p>
    <w:p w14:paraId="45CF4663" w14:textId="77777777" w:rsidR="002C1558" w:rsidRDefault="002C1558" w:rsidP="002C1558">
      <w:pPr>
        <w:pStyle w:val="NormalWeb"/>
        <w:spacing w:before="0" w:beforeAutospacing="0" w:after="0" w:afterAutospacing="0"/>
        <w:ind w:firstLine="720"/>
        <w:contextualSpacing/>
        <w:jc w:val="both"/>
        <w:rPr>
          <w:rFonts w:ascii="Arial" w:hAnsi="Arial" w:cs="Arial"/>
        </w:rPr>
      </w:pPr>
    </w:p>
    <w:p w14:paraId="3BCC2440" w14:textId="77777777" w:rsidR="002C1558" w:rsidRDefault="002C1558" w:rsidP="002C1558">
      <w:pPr>
        <w:ind w:firstLine="720"/>
        <w:jc w:val="both"/>
        <w:rPr>
          <w:rFonts w:ascii="Arial" w:hAnsi="Arial" w:cs="Arial"/>
          <w:noProof/>
          <w:lang w:val="mn-MN"/>
        </w:rPr>
      </w:pPr>
      <w:r>
        <w:rPr>
          <w:rFonts w:ascii="Arial" w:hAnsi="Arial" w:cs="Arial"/>
          <w:color w:val="000000" w:themeColor="text1"/>
          <w:lang w:val="mn-MN"/>
        </w:rPr>
        <w:t xml:space="preserve">Хуулийн төсөл батлагдсанаар Үйлдвэрлэл, технологийн паркийн үйл ажиллагаанд </w:t>
      </w:r>
      <w:r>
        <w:rPr>
          <w:rFonts w:ascii="Arial" w:hAnsi="Arial" w:cs="Arial"/>
          <w:noProof/>
          <w:lang w:val="mn-MN"/>
        </w:rPr>
        <w:t>төрөөс бодлогын болон бусад шаардлагатай дэмжлэгийг үзүүлэх хууль эрх зүйн орчин бүрдэж, хөрөнгө оруулалт татах эрх зүйн таатай орчин бий болж, гадаад дотоодын хөрөнгө оруулалт нэмэгдэн үйлдвэрлэлийг цогцолбороор нь хөгжүүлэх боломж бүрдэнэ.</w:t>
      </w:r>
    </w:p>
    <w:p w14:paraId="21976E63" w14:textId="77777777" w:rsidR="002C1558" w:rsidRDefault="002C1558" w:rsidP="002C1558">
      <w:pPr>
        <w:ind w:firstLine="720"/>
        <w:jc w:val="both"/>
        <w:rPr>
          <w:rFonts w:ascii="Arial" w:hAnsi="Arial" w:cs="Arial"/>
          <w:noProof/>
          <w:lang w:val="mn-MN"/>
        </w:rPr>
      </w:pPr>
    </w:p>
    <w:p w14:paraId="3CBEDF9D" w14:textId="77777777" w:rsidR="002C1558" w:rsidRDefault="002C1558" w:rsidP="002C1558">
      <w:pPr>
        <w:jc w:val="center"/>
        <w:rPr>
          <w:rStyle w:val="normaltextrun"/>
          <w:rFonts w:ascii="Arial" w:hAnsi="Arial" w:cs="Arial"/>
          <w:color w:val="000000" w:themeColor="text1"/>
          <w:lang w:val="mn-MN"/>
        </w:rPr>
      </w:pPr>
      <w:r>
        <w:rPr>
          <w:rStyle w:val="normaltextrun"/>
          <w:rFonts w:ascii="Arial" w:hAnsi="Arial" w:cs="Arial"/>
          <w:color w:val="000000" w:themeColor="text1"/>
          <w:lang w:val="mn-MN"/>
        </w:rPr>
        <w:t>---о0о---</w:t>
      </w:r>
    </w:p>
    <w:sectPr w:rsidR="002C1558" w:rsidSect="005B655A">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30693" w14:textId="77777777" w:rsidR="005B655A" w:rsidRDefault="005B655A" w:rsidP="002C1558">
      <w:r>
        <w:separator/>
      </w:r>
    </w:p>
  </w:endnote>
  <w:endnote w:type="continuationSeparator" w:id="0">
    <w:p w14:paraId="4B3430C3" w14:textId="77777777" w:rsidR="005B655A" w:rsidRDefault="005B655A" w:rsidP="002C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on">
    <w:altName w:val="Arial"/>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20AE0" w14:textId="77777777" w:rsidR="005B655A" w:rsidRDefault="005B655A" w:rsidP="002C1558">
      <w:r>
        <w:separator/>
      </w:r>
    </w:p>
  </w:footnote>
  <w:footnote w:type="continuationSeparator" w:id="0">
    <w:p w14:paraId="12640708" w14:textId="77777777" w:rsidR="005B655A" w:rsidRDefault="005B655A" w:rsidP="002C1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num w:numId="1" w16cid:durableId="1519272426">
    <w:abstractNumId w:val="0"/>
  </w:num>
  <w:num w:numId="2" w16cid:durableId="177871947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58"/>
    <w:rsid w:val="002C1558"/>
    <w:rsid w:val="005B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05A1"/>
  <w15:chartTrackingRefBased/>
  <w15:docId w15:val="{B49E242F-40CC-489D-832B-0D1688A8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558"/>
    <w:pPr>
      <w:spacing w:after="0" w:line="240" w:lineRule="auto"/>
    </w:pPr>
    <w:rPr>
      <w:rFonts w:ascii="Times New Roman" w:hAnsi="Times New Roman" w:cs="Times New Roman"/>
      <w:kern w:val="0"/>
      <w:sz w:val="24"/>
      <w:szCs w:val="24"/>
      <w14:ligatures w14:val="none"/>
    </w:rPr>
  </w:style>
  <w:style w:type="paragraph" w:styleId="Heading2">
    <w:name w:val="heading 2"/>
    <w:basedOn w:val="Normal"/>
    <w:next w:val="Normal"/>
    <w:link w:val="Heading2Char"/>
    <w:uiPriority w:val="9"/>
    <w:semiHidden/>
    <w:unhideWhenUsed/>
    <w:qFormat/>
    <w:rsid w:val="002C1558"/>
    <w:pPr>
      <w:keepNext/>
      <w:keepLines/>
      <w:spacing w:before="4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C1558"/>
    <w:rPr>
      <w:rFonts w:asciiTheme="majorHAnsi" w:eastAsiaTheme="majorEastAsia" w:hAnsiTheme="majorHAnsi" w:cstheme="majorBidi"/>
      <w:color w:val="2F5496" w:themeColor="accent1" w:themeShade="BF"/>
      <w:kern w:val="0"/>
      <w:sz w:val="26"/>
      <w:szCs w:val="26"/>
      <w14:ligatures w14:val="none"/>
    </w:rPr>
  </w:style>
  <w:style w:type="paragraph" w:customStyle="1" w:styleId="msonormal0">
    <w:name w:val="msonormal"/>
    <w:basedOn w:val="Normal"/>
    <w:uiPriority w:val="99"/>
    <w:rsid w:val="002C1558"/>
    <w:pPr>
      <w:spacing w:before="100" w:beforeAutospacing="1" w:after="100" w:afterAutospacing="1"/>
    </w:pPr>
    <w:rPr>
      <w:rFonts w:eastAsia="Times New Roman"/>
    </w:rPr>
  </w:style>
  <w:style w:type="paragraph" w:styleId="NormalWeb">
    <w:name w:val="Normal (Web)"/>
    <w:basedOn w:val="Normal"/>
    <w:uiPriority w:val="99"/>
    <w:semiHidden/>
    <w:unhideWhenUsed/>
    <w:rsid w:val="002C1558"/>
    <w:pPr>
      <w:spacing w:before="100" w:beforeAutospacing="1" w:after="100" w:afterAutospacing="1"/>
    </w:pPr>
    <w:rPr>
      <w:rFonts w:eastAsia="Times New Roman"/>
    </w:rPr>
  </w:style>
  <w:style w:type="paragraph" w:styleId="BodyText">
    <w:name w:val="Body Text"/>
    <w:basedOn w:val="Normal"/>
    <w:link w:val="BodyTextChar"/>
    <w:uiPriority w:val="99"/>
    <w:semiHidden/>
    <w:unhideWhenUsed/>
    <w:rsid w:val="002C1558"/>
    <w:pPr>
      <w:spacing w:after="120"/>
    </w:pPr>
    <w:rPr>
      <w:rFonts w:ascii="Arial Mon" w:eastAsia="Times New Roman" w:hAnsi="Arial Mon"/>
    </w:rPr>
  </w:style>
  <w:style w:type="character" w:customStyle="1" w:styleId="BodyTextChar">
    <w:name w:val="Body Text Char"/>
    <w:basedOn w:val="DefaultParagraphFont"/>
    <w:link w:val="BodyText"/>
    <w:uiPriority w:val="99"/>
    <w:semiHidden/>
    <w:rsid w:val="002C1558"/>
    <w:rPr>
      <w:rFonts w:ascii="Arial Mon" w:eastAsia="Times New Roman" w:hAnsi="Arial Mon" w:cs="Times New Roman"/>
      <w:kern w:val="0"/>
      <w:sz w:val="24"/>
      <w:szCs w:val="24"/>
      <w14:ligatures w14:val="none"/>
    </w:rPr>
  </w:style>
  <w:style w:type="character" w:customStyle="1" w:styleId="ListParagraphChar">
    <w:name w:val="List Paragraph Char"/>
    <w:link w:val="ListParagraph"/>
    <w:uiPriority w:val="34"/>
    <w:locked/>
    <w:rsid w:val="002C1558"/>
    <w:rPr>
      <w:rFonts w:ascii="Calibri" w:eastAsia="MS Mincho" w:hAnsi="Calibri" w:cs="Times New Roman"/>
      <w:lang w:eastAsia="ja-JP"/>
    </w:rPr>
  </w:style>
  <w:style w:type="paragraph" w:styleId="ListParagraph">
    <w:name w:val="List Paragraph"/>
    <w:basedOn w:val="Normal"/>
    <w:link w:val="ListParagraphChar"/>
    <w:uiPriority w:val="34"/>
    <w:qFormat/>
    <w:rsid w:val="002C1558"/>
    <w:pPr>
      <w:spacing w:after="160" w:line="256" w:lineRule="auto"/>
      <w:ind w:left="720"/>
      <w:contextualSpacing/>
    </w:pPr>
    <w:rPr>
      <w:rFonts w:ascii="Calibri" w:eastAsia="MS Mincho" w:hAnsi="Calibri"/>
      <w:kern w:val="2"/>
      <w:sz w:val="22"/>
      <w:szCs w:val="22"/>
      <w:lang w:eastAsia="ja-JP"/>
      <w14:ligatures w14:val="standardContextual"/>
    </w:rPr>
  </w:style>
  <w:style w:type="character" w:customStyle="1" w:styleId="normaltextrun">
    <w:name w:val="normaltextrun"/>
    <w:basedOn w:val="DefaultParagraphFont"/>
    <w:rsid w:val="002C1558"/>
  </w:style>
  <w:style w:type="character" w:customStyle="1" w:styleId="highlight2">
    <w:name w:val="highlight2"/>
    <w:rsid w:val="002C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5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Naraa</dc:creator>
  <cp:keywords/>
  <dc:description/>
  <cp:lastModifiedBy>Naraa</cp:lastModifiedBy>
  <cp:revision>1</cp:revision>
  <dcterms:created xsi:type="dcterms:W3CDTF">2024-03-22T01:24:00Z</dcterms:created>
  <dcterms:modified xsi:type="dcterms:W3CDTF">2024-03-22T01:27:00Z</dcterms:modified>
</cp:coreProperties>
</file>