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C73" w14:textId="00B2EEF1" w:rsidR="00146769" w:rsidRPr="008131AE" w:rsidRDefault="00146769" w:rsidP="00BC0436">
      <w:pPr>
        <w:spacing w:after="0" w:line="240" w:lineRule="auto"/>
        <w:ind w:left="720"/>
        <w:rPr>
          <w:rFonts w:cs="Arial"/>
          <w:b/>
          <w:szCs w:val="24"/>
          <w:lang w:val="mn-MN"/>
        </w:rPr>
      </w:pPr>
      <w:bookmarkStart w:id="0" w:name="_Hlk163717618"/>
      <w:bookmarkStart w:id="1" w:name="_Hlk158893297"/>
      <w:r w:rsidRPr="008131AE">
        <w:rPr>
          <w:rFonts w:cs="Arial"/>
          <w:b/>
          <w:szCs w:val="24"/>
          <w:lang w:val="mn-MN"/>
        </w:rPr>
        <w:t>БАТЛАВ</w:t>
      </w:r>
      <w:r w:rsidR="009A3CA3" w:rsidRPr="008131AE">
        <w:rPr>
          <w:rFonts w:cs="Arial"/>
          <w:b/>
          <w:szCs w:val="24"/>
          <w:lang w:val="mn-MN"/>
        </w:rPr>
        <w:t xml:space="preserve">: </w:t>
      </w:r>
    </w:p>
    <w:p w14:paraId="70CF9C6F" w14:textId="77777777" w:rsidR="009A3CA3" w:rsidRPr="008131AE" w:rsidRDefault="009A3CA3" w:rsidP="00BC0436">
      <w:pPr>
        <w:spacing w:after="0" w:line="240" w:lineRule="auto"/>
        <w:ind w:left="720"/>
        <w:rPr>
          <w:rFonts w:cs="Arial"/>
          <w:b/>
          <w:szCs w:val="24"/>
          <w:lang w:val="mn-MN"/>
        </w:rPr>
      </w:pPr>
    </w:p>
    <w:p w14:paraId="62FAB4BF" w14:textId="77777777" w:rsidR="007B07D1" w:rsidRPr="008131AE" w:rsidRDefault="00BC0436" w:rsidP="009A3CA3">
      <w:pPr>
        <w:spacing w:after="0" w:line="240" w:lineRule="auto"/>
        <w:rPr>
          <w:rFonts w:cs="Arial"/>
          <w:b/>
          <w:szCs w:val="24"/>
          <w:lang w:val="mn-MN"/>
        </w:rPr>
      </w:pPr>
      <w:r w:rsidRPr="008131AE">
        <w:rPr>
          <w:rFonts w:cs="Arial"/>
          <w:b/>
          <w:szCs w:val="24"/>
          <w:lang w:val="mn-MN"/>
        </w:rPr>
        <w:t xml:space="preserve">           </w:t>
      </w:r>
      <w:r w:rsidR="009A3CA3" w:rsidRPr="008131AE">
        <w:rPr>
          <w:rFonts w:cs="Arial"/>
          <w:b/>
          <w:szCs w:val="24"/>
          <w:lang w:val="mn-MN"/>
        </w:rPr>
        <w:t>МОНГОЛ УЛСЫН</w:t>
      </w:r>
    </w:p>
    <w:p w14:paraId="64943806" w14:textId="3DDFFCE3" w:rsidR="00146769" w:rsidRPr="008131AE" w:rsidRDefault="009A3CA3" w:rsidP="007B07D1">
      <w:pPr>
        <w:spacing w:after="0" w:line="240" w:lineRule="auto"/>
        <w:ind w:firstLine="720"/>
        <w:rPr>
          <w:rFonts w:cs="Arial"/>
          <w:szCs w:val="24"/>
          <w:lang w:val="mn-MN"/>
        </w:rPr>
      </w:pPr>
      <w:r w:rsidRPr="008131AE">
        <w:rPr>
          <w:rFonts w:cs="Arial"/>
          <w:b/>
          <w:szCs w:val="24"/>
          <w:lang w:val="mn-MN"/>
        </w:rPr>
        <w:t xml:space="preserve"> ЕРӨНХИЙЛӨГЧ                           </w:t>
      </w:r>
      <w:r w:rsidR="007B07D1" w:rsidRPr="008131AE">
        <w:rPr>
          <w:rFonts w:cs="Arial"/>
          <w:b/>
          <w:szCs w:val="24"/>
          <w:lang w:val="mn-MN"/>
        </w:rPr>
        <w:t xml:space="preserve">                              </w:t>
      </w:r>
      <w:r w:rsidRPr="008131AE">
        <w:rPr>
          <w:rFonts w:cs="Arial"/>
          <w:b/>
          <w:szCs w:val="24"/>
          <w:lang w:val="mn-MN"/>
        </w:rPr>
        <w:t xml:space="preserve">        УХНААГИЙН ХҮРЭЛСҮХ </w:t>
      </w:r>
    </w:p>
    <w:p w14:paraId="2536250F" w14:textId="77777777" w:rsidR="00146769" w:rsidRPr="008131AE" w:rsidRDefault="00146769" w:rsidP="00146769">
      <w:pPr>
        <w:tabs>
          <w:tab w:val="left" w:pos="7395"/>
        </w:tabs>
        <w:spacing w:after="0" w:line="240" w:lineRule="auto"/>
        <w:rPr>
          <w:rFonts w:cs="Arial"/>
          <w:szCs w:val="24"/>
          <w:lang w:val="mn-MN"/>
        </w:rPr>
      </w:pPr>
    </w:p>
    <w:bookmarkEnd w:id="0"/>
    <w:p w14:paraId="293872FD" w14:textId="77777777" w:rsidR="00FD3CD4" w:rsidRPr="008131AE" w:rsidRDefault="00FD3CD4" w:rsidP="00146769">
      <w:pPr>
        <w:tabs>
          <w:tab w:val="left" w:pos="7395"/>
        </w:tabs>
        <w:spacing w:after="0" w:line="240" w:lineRule="auto"/>
        <w:rPr>
          <w:rFonts w:cs="Arial"/>
          <w:szCs w:val="24"/>
          <w:lang w:val="mn-MN"/>
        </w:rPr>
      </w:pPr>
    </w:p>
    <w:p w14:paraId="458FCF50" w14:textId="77777777" w:rsidR="00481A7C" w:rsidRPr="008131AE" w:rsidRDefault="009A3CA3" w:rsidP="004E1F37">
      <w:pPr>
        <w:spacing w:after="0" w:line="240" w:lineRule="auto"/>
        <w:jc w:val="center"/>
        <w:rPr>
          <w:rFonts w:cs="Arial"/>
          <w:b/>
          <w:szCs w:val="24"/>
          <w:shd w:val="clear" w:color="auto" w:fill="FFFFFF"/>
          <w:lang w:val="mn-MN"/>
        </w:rPr>
      </w:pPr>
      <w:r w:rsidRPr="008131AE">
        <w:rPr>
          <w:rFonts w:cs="Arial"/>
          <w:b/>
          <w:szCs w:val="24"/>
          <w:shd w:val="clear" w:color="auto" w:fill="FFFFFF"/>
          <w:lang w:val="mn-MN"/>
        </w:rPr>
        <w:t>ЦЭРГИЙН АЛБА ХААГЧИЙН ТЭТГЭВЭР, ТЭТГЭМЖИЙН ТУХАЙ</w:t>
      </w:r>
    </w:p>
    <w:p w14:paraId="51A74815" w14:textId="77777777" w:rsidR="00481A7C" w:rsidRPr="008131AE" w:rsidRDefault="009A3CA3" w:rsidP="00481A7C">
      <w:pPr>
        <w:spacing w:after="0" w:line="240" w:lineRule="auto"/>
        <w:jc w:val="center"/>
        <w:rPr>
          <w:rFonts w:cs="Arial"/>
          <w:b/>
          <w:szCs w:val="24"/>
          <w:lang w:val="mn-MN"/>
        </w:rPr>
      </w:pPr>
      <w:r w:rsidRPr="008131AE">
        <w:rPr>
          <w:rFonts w:cs="Arial"/>
          <w:b/>
          <w:szCs w:val="24"/>
          <w:shd w:val="clear" w:color="auto" w:fill="FFFFFF"/>
          <w:lang w:val="mn-MN"/>
        </w:rPr>
        <w:t xml:space="preserve"> ХУУЛЬД НЭМЭЛТ</w:t>
      </w:r>
      <w:r w:rsidR="00481A7C" w:rsidRPr="008131AE">
        <w:rPr>
          <w:rFonts w:cs="Arial"/>
          <w:b/>
          <w:szCs w:val="24"/>
          <w:shd w:val="clear" w:color="auto" w:fill="FFFFFF"/>
          <w:lang w:val="mn-MN"/>
        </w:rPr>
        <w:t>, ӨӨРЧЛӨЛТ</w:t>
      </w:r>
      <w:r w:rsidRPr="008131AE">
        <w:rPr>
          <w:rFonts w:cs="Arial"/>
          <w:b/>
          <w:szCs w:val="24"/>
          <w:shd w:val="clear" w:color="auto" w:fill="FFFFFF"/>
          <w:lang w:val="mn-MN"/>
        </w:rPr>
        <w:t xml:space="preserve"> ОРУУЛАХ ТУХАЙ ХУУЛИЙН</w:t>
      </w:r>
      <w:r w:rsidR="00146769" w:rsidRPr="008131AE">
        <w:rPr>
          <w:rFonts w:cs="Arial"/>
          <w:b/>
          <w:szCs w:val="24"/>
          <w:lang w:val="mn-MN"/>
        </w:rPr>
        <w:t xml:space="preserve"> </w:t>
      </w:r>
    </w:p>
    <w:p w14:paraId="75A012C6" w14:textId="6030F802" w:rsidR="00146769" w:rsidRPr="008131AE" w:rsidRDefault="00146769" w:rsidP="00481A7C">
      <w:pPr>
        <w:spacing w:after="0" w:line="240" w:lineRule="auto"/>
        <w:jc w:val="center"/>
        <w:rPr>
          <w:rFonts w:cs="Arial"/>
          <w:b/>
          <w:szCs w:val="24"/>
          <w:shd w:val="clear" w:color="auto" w:fill="FFFFFF"/>
          <w:lang w:val="mn-MN"/>
        </w:rPr>
      </w:pPr>
      <w:r w:rsidRPr="008131AE">
        <w:rPr>
          <w:rFonts w:cs="Arial"/>
          <w:b/>
          <w:szCs w:val="24"/>
          <w:lang w:val="mn-MN"/>
        </w:rPr>
        <w:t>ТӨСЛИЙН ҮЗЭЛ БАРИМТЛАЛ</w:t>
      </w:r>
    </w:p>
    <w:p w14:paraId="18FD1EFB" w14:textId="77777777" w:rsidR="00146769" w:rsidRPr="008131AE" w:rsidRDefault="00146769" w:rsidP="00FD3CD4">
      <w:pPr>
        <w:tabs>
          <w:tab w:val="left" w:pos="7395"/>
        </w:tabs>
        <w:spacing w:after="0" w:line="240" w:lineRule="auto"/>
        <w:ind w:left="270" w:firstLine="90"/>
        <w:rPr>
          <w:rFonts w:cs="Arial"/>
          <w:b/>
          <w:szCs w:val="24"/>
          <w:lang w:val="mn-MN"/>
        </w:rPr>
      </w:pPr>
    </w:p>
    <w:p w14:paraId="419A5023" w14:textId="6E47FFEF" w:rsidR="00146769" w:rsidRPr="008131AE" w:rsidRDefault="00146769" w:rsidP="00146769">
      <w:pPr>
        <w:tabs>
          <w:tab w:val="left" w:pos="720"/>
        </w:tabs>
        <w:spacing w:after="0" w:line="240" w:lineRule="auto"/>
        <w:rPr>
          <w:rFonts w:cs="Arial"/>
          <w:b/>
          <w:szCs w:val="24"/>
          <w:lang w:val="mn-MN"/>
        </w:rPr>
      </w:pPr>
      <w:r w:rsidRPr="008131AE">
        <w:rPr>
          <w:rFonts w:cs="Arial"/>
          <w:b/>
          <w:szCs w:val="24"/>
          <w:lang w:val="mn-MN"/>
        </w:rPr>
        <w:tab/>
        <w:t>Нэг.Хуулийн төсөл боловсруулах үндэслэл, шаардлага</w:t>
      </w:r>
    </w:p>
    <w:p w14:paraId="58011718" w14:textId="77777777" w:rsidR="00146769" w:rsidRPr="008131AE" w:rsidRDefault="00146769" w:rsidP="00146769">
      <w:pPr>
        <w:tabs>
          <w:tab w:val="left" w:pos="567"/>
        </w:tabs>
        <w:spacing w:after="0" w:line="240" w:lineRule="auto"/>
        <w:rPr>
          <w:rFonts w:cs="Arial"/>
          <w:b/>
          <w:szCs w:val="24"/>
          <w:lang w:val="mn-MN"/>
        </w:rPr>
      </w:pPr>
    </w:p>
    <w:p w14:paraId="3CDFDF64" w14:textId="718E56E7" w:rsidR="00146769" w:rsidRPr="008131AE" w:rsidRDefault="00146769" w:rsidP="00B6625D">
      <w:pPr>
        <w:pStyle w:val="NoSpacing"/>
        <w:jc w:val="both"/>
        <w:rPr>
          <w:rFonts w:cs="Arial"/>
          <w:szCs w:val="24"/>
          <w:lang w:val="mn-MN"/>
        </w:rPr>
      </w:pPr>
      <w:r w:rsidRPr="008131AE">
        <w:rPr>
          <w:b/>
          <w:lang w:val="mn-MN"/>
        </w:rPr>
        <w:tab/>
      </w:r>
      <w:r w:rsidRPr="008131AE">
        <w:rPr>
          <w:rFonts w:cs="Arial"/>
          <w:szCs w:val="24"/>
          <w:lang w:val="mn-MN"/>
        </w:rPr>
        <w:t xml:space="preserve">Монгол Улсын Үндсэн хуулийн Арван </w:t>
      </w:r>
      <w:proofErr w:type="spellStart"/>
      <w:r w:rsidRPr="008131AE">
        <w:rPr>
          <w:rFonts w:cs="Arial"/>
          <w:szCs w:val="24"/>
          <w:lang w:val="mn-MN"/>
        </w:rPr>
        <w:t>зургадугаар</w:t>
      </w:r>
      <w:proofErr w:type="spellEnd"/>
      <w:r w:rsidRPr="008131AE">
        <w:rPr>
          <w:rFonts w:cs="Arial"/>
          <w:szCs w:val="24"/>
          <w:lang w:val="mn-MN"/>
        </w:rPr>
        <w:t xml:space="preserve"> зүйлд “Монгол Улсын ир</w:t>
      </w:r>
      <w:r w:rsidR="00FD3CD4" w:rsidRPr="008131AE">
        <w:rPr>
          <w:rFonts w:cs="Arial"/>
          <w:szCs w:val="24"/>
          <w:lang w:val="mn-MN"/>
        </w:rPr>
        <w:t>гэн дараах</w:t>
      </w:r>
      <w:r w:rsidRPr="008131AE">
        <w:rPr>
          <w:rFonts w:cs="Arial"/>
          <w:szCs w:val="24"/>
          <w:lang w:val="mn-MN"/>
        </w:rPr>
        <w:t xml:space="preserve"> үндсэн эрх, эрх чөлөөг баталгаатай эдэлнэ”, мөн зүйлийн </w:t>
      </w:r>
      <w:r w:rsidR="00987977" w:rsidRPr="008131AE">
        <w:rPr>
          <w:rFonts w:cs="Arial"/>
          <w:szCs w:val="24"/>
          <w:lang w:val="mn-MN"/>
        </w:rPr>
        <w:t>1 дэх хэсгийн 5-д</w:t>
      </w:r>
      <w:r w:rsidRPr="008131AE">
        <w:rPr>
          <w:rFonts w:cs="Arial"/>
          <w:szCs w:val="24"/>
          <w:lang w:val="mn-MN"/>
        </w:rPr>
        <w:t xml:space="preserve"> </w:t>
      </w:r>
      <w:r w:rsidR="00987977" w:rsidRPr="008131AE">
        <w:rPr>
          <w:rFonts w:cs="Arial"/>
          <w:szCs w:val="24"/>
          <w:lang w:val="mn-MN"/>
        </w:rPr>
        <w:t>“</w:t>
      </w:r>
      <w:r w:rsidR="00987977" w:rsidRPr="008131AE">
        <w:rPr>
          <w:rFonts w:cs="Arial"/>
          <w:szCs w:val="24"/>
          <w:shd w:val="clear" w:color="auto" w:fill="FFFFFF"/>
          <w:lang w:val="mn-MN"/>
        </w:rPr>
        <w:t>өндөр наслах, хөдөлмөрийн чадвар алдах, хүүхэд төрүүлэх, асрах болон хуульд заасан бусад тохиолдолд эд, мөнгөний тусламж авах эрхтэй</w:t>
      </w:r>
      <w:r w:rsidRPr="008131AE">
        <w:rPr>
          <w:rFonts w:cs="Arial"/>
          <w:szCs w:val="24"/>
          <w:lang w:val="mn-MN"/>
        </w:rPr>
        <w:t>;”, Арван есдүгээр зүйлийн 1 дэх хэсэгт “</w:t>
      </w:r>
      <w:r w:rsidR="00987977" w:rsidRPr="008131AE">
        <w:rPr>
          <w:rFonts w:cs="Arial"/>
          <w:szCs w:val="24"/>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8131AE">
        <w:rPr>
          <w:rFonts w:cs="Arial"/>
          <w:szCs w:val="24"/>
          <w:lang w:val="mn-MN"/>
        </w:rPr>
        <w:t xml:space="preserve">.” гэж заасан байдаг. </w:t>
      </w:r>
    </w:p>
    <w:p w14:paraId="7389D9D7" w14:textId="77777777" w:rsidR="00321886" w:rsidRPr="008131AE" w:rsidRDefault="00321886" w:rsidP="00B6625D">
      <w:pPr>
        <w:pStyle w:val="NoSpacing"/>
        <w:jc w:val="both"/>
        <w:rPr>
          <w:rFonts w:cs="Arial"/>
          <w:szCs w:val="24"/>
          <w:lang w:val="mn-MN"/>
        </w:rPr>
      </w:pPr>
    </w:p>
    <w:p w14:paraId="5FF96AEA" w14:textId="5A0A8A77" w:rsidR="004E1F37" w:rsidRPr="008131AE" w:rsidRDefault="00321886" w:rsidP="00B6625D">
      <w:pPr>
        <w:pStyle w:val="NoSpacing"/>
        <w:jc w:val="both"/>
        <w:rPr>
          <w:rFonts w:eastAsia="Times New Roman" w:cs="Arial"/>
          <w:szCs w:val="24"/>
          <w:lang w:val="mn-MN"/>
        </w:rPr>
      </w:pPr>
      <w:r w:rsidRPr="008131AE">
        <w:rPr>
          <w:rFonts w:cs="Arial"/>
          <w:szCs w:val="24"/>
          <w:lang w:val="mn-MN"/>
        </w:rPr>
        <w:tab/>
      </w:r>
      <w:r w:rsidR="004E1F37" w:rsidRPr="008131AE">
        <w:rPr>
          <w:rFonts w:cs="Arial"/>
          <w:szCs w:val="24"/>
          <w:lang w:val="mn-MN"/>
        </w:rPr>
        <w:t>Цэргийн алба хаагчийн тэтгэвэр, тэтгэмжийн тухай хуул</w:t>
      </w:r>
      <w:r w:rsidR="00995BAC" w:rsidRPr="008131AE">
        <w:rPr>
          <w:rFonts w:cs="Arial"/>
          <w:szCs w:val="24"/>
          <w:lang w:val="mn-MN"/>
        </w:rPr>
        <w:t xml:space="preserve">иар </w:t>
      </w:r>
      <w:r w:rsidR="004E1F37" w:rsidRPr="008131AE">
        <w:rPr>
          <w:rFonts w:cs="Arial"/>
          <w:szCs w:val="24"/>
          <w:lang w:val="mn-MN"/>
        </w:rPr>
        <w:t>з</w:t>
      </w:r>
      <w:r w:rsidR="004E1F37" w:rsidRPr="008131AE">
        <w:rPr>
          <w:rFonts w:eastAsia="Times New Roman" w:cs="Arial"/>
          <w:szCs w:val="24"/>
          <w:lang w:val="mn-MN"/>
        </w:rPr>
        <w:t xml:space="preserve">эвсэгт хүчин, хилийн ба дотоодын цэрэг, тагнуул, төрийн тусгай хамгаалалт, цагдаа, шүүхийн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холбоотой олон салбарын алба хаагчдын нийгмийн хамгаалал, эрх зүйн байдалтай холбогдох харилцааг зохицуулж байна. </w:t>
      </w:r>
    </w:p>
    <w:p w14:paraId="3066E477" w14:textId="77777777" w:rsidR="004E1F37" w:rsidRPr="008131AE" w:rsidRDefault="004E1F37" w:rsidP="00B6625D">
      <w:pPr>
        <w:pStyle w:val="NoSpacing"/>
        <w:jc w:val="both"/>
        <w:rPr>
          <w:rFonts w:eastAsia="Times New Roman" w:cs="Arial"/>
          <w:szCs w:val="24"/>
          <w:lang w:val="mn-MN"/>
        </w:rPr>
      </w:pPr>
    </w:p>
    <w:p w14:paraId="09D918BD" w14:textId="2D71D5A5" w:rsidR="00B6625D" w:rsidRPr="008131AE" w:rsidRDefault="00995BAC" w:rsidP="00B6625D">
      <w:pPr>
        <w:pStyle w:val="NoSpacing"/>
        <w:ind w:firstLine="720"/>
        <w:jc w:val="both"/>
        <w:rPr>
          <w:rFonts w:cs="Arial"/>
          <w:color w:val="333333"/>
          <w:szCs w:val="24"/>
          <w:shd w:val="clear" w:color="auto" w:fill="FFFFFF"/>
          <w:lang w:val="mn-MN"/>
        </w:rPr>
      </w:pPr>
      <w:r w:rsidRPr="008131AE">
        <w:rPr>
          <w:rFonts w:cs="Arial"/>
          <w:noProof/>
          <w:szCs w:val="24"/>
          <w:shd w:val="clear" w:color="auto" w:fill="FFFFFF"/>
          <w:lang w:val="mn-MN"/>
        </w:rPr>
        <w:t xml:space="preserve">Түүнчлэн </w:t>
      </w:r>
      <w:r w:rsidR="00DA64B3" w:rsidRPr="008131AE">
        <w:rPr>
          <w:rFonts w:cs="Arial"/>
          <w:noProof/>
          <w:szCs w:val="24"/>
          <w:shd w:val="clear" w:color="auto" w:fill="FFFFFF"/>
          <w:lang w:val="mn-MN"/>
        </w:rPr>
        <w:t>эдгээр алба хаагчдын</w:t>
      </w:r>
      <w:r w:rsidR="009C2D0B" w:rsidRPr="008131AE">
        <w:rPr>
          <w:rFonts w:cs="Arial"/>
          <w:noProof/>
          <w:szCs w:val="24"/>
          <w:shd w:val="clear" w:color="auto" w:fill="FFFFFF"/>
          <w:lang w:val="mn-MN"/>
        </w:rPr>
        <w:t xml:space="preserve"> </w:t>
      </w:r>
      <w:r w:rsidRPr="008131AE">
        <w:rPr>
          <w:rFonts w:eastAsia="Times New Roman" w:cs="Arial"/>
          <w:szCs w:val="24"/>
          <w:lang w:val="mn-MN"/>
        </w:rPr>
        <w:t xml:space="preserve">нийгмийн хамгаалал, эрх зүйн байдалтай холбогдох харилцааг </w:t>
      </w:r>
      <w:r w:rsidR="00DA64B3" w:rsidRPr="008131AE">
        <w:rPr>
          <w:rFonts w:eastAsia="Times New Roman" w:cs="Arial"/>
          <w:szCs w:val="24"/>
          <w:lang w:val="mn-MN"/>
        </w:rPr>
        <w:t>салбарын хуулиудаар</w:t>
      </w:r>
      <w:r w:rsidR="003C36C6" w:rsidRPr="008131AE">
        <w:rPr>
          <w:rFonts w:eastAsia="Times New Roman" w:cs="Arial"/>
          <w:szCs w:val="24"/>
          <w:lang w:val="mn-MN"/>
        </w:rPr>
        <w:t xml:space="preserve"> </w:t>
      </w:r>
      <w:r w:rsidR="00D67296" w:rsidRPr="008131AE">
        <w:rPr>
          <w:rFonts w:eastAsia="Times New Roman" w:cs="Arial"/>
          <w:szCs w:val="24"/>
          <w:lang w:val="mn-MN"/>
        </w:rPr>
        <w:t xml:space="preserve">тусгайлан </w:t>
      </w:r>
      <w:r w:rsidR="00DA64B3" w:rsidRPr="008131AE">
        <w:rPr>
          <w:rFonts w:eastAsia="Times New Roman" w:cs="Arial"/>
          <w:szCs w:val="24"/>
          <w:lang w:val="mn-MN"/>
        </w:rPr>
        <w:t>зохицуулж байн</w:t>
      </w:r>
      <w:r w:rsidRPr="008131AE">
        <w:rPr>
          <w:rFonts w:cs="Arial"/>
          <w:noProof/>
          <w:szCs w:val="24"/>
          <w:shd w:val="clear" w:color="auto" w:fill="FFFFFF"/>
          <w:lang w:val="mn-MN"/>
        </w:rPr>
        <w:t>а. Т</w:t>
      </w:r>
      <w:r w:rsidR="00A765B8" w:rsidRPr="008131AE">
        <w:rPr>
          <w:rFonts w:cs="Arial"/>
          <w:noProof/>
          <w:szCs w:val="24"/>
          <w:shd w:val="clear" w:color="auto" w:fill="FFFFFF"/>
          <w:lang w:val="mn-MN"/>
        </w:rPr>
        <w:t>ухайлбал, Гамшгаас хамгаалах тухай хуулиар “</w:t>
      </w:r>
      <w:r w:rsidR="00A765B8" w:rsidRPr="008131AE">
        <w:rPr>
          <w:rFonts w:eastAsia="Times New Roman" w:cs="Arial"/>
          <w:szCs w:val="24"/>
          <w:lang w:val="mn-MN"/>
        </w:rPr>
        <w:t>Онцгой байдлын байгууллагын алба хаагч албан үүргээ гүйцэтгэж яваад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 Монгол У</w:t>
      </w:r>
      <w:r w:rsidR="00B6625D" w:rsidRPr="008131AE">
        <w:rPr>
          <w:rFonts w:eastAsia="Times New Roman" w:cs="Arial"/>
          <w:szCs w:val="24"/>
          <w:lang w:val="mn-MN"/>
        </w:rPr>
        <w:t>л</w:t>
      </w:r>
      <w:r w:rsidR="00A765B8" w:rsidRPr="008131AE">
        <w:rPr>
          <w:rFonts w:eastAsia="Times New Roman" w:cs="Arial"/>
          <w:szCs w:val="24"/>
          <w:lang w:val="mn-MN"/>
        </w:rPr>
        <w:t>сын хилийн тухай хуул</w:t>
      </w:r>
      <w:r w:rsidR="00B6625D" w:rsidRPr="008131AE">
        <w:rPr>
          <w:rFonts w:eastAsia="Times New Roman" w:cs="Arial"/>
          <w:szCs w:val="24"/>
          <w:lang w:val="mn-MN"/>
        </w:rPr>
        <w:t>ийн 38.4-т “</w:t>
      </w:r>
      <w:r w:rsidR="00A765B8" w:rsidRPr="008131AE">
        <w:rPr>
          <w:rFonts w:eastAsia="Times New Roman" w:cs="Arial"/>
          <w:szCs w:val="24"/>
          <w:lang w:val="mn-MN"/>
        </w:rPr>
        <w:t>Иргэн улсын хилд албан үүрэг гүйцэтгэх үедээ гэмт халдлагын улмаас амь насаа алдвал түүний гэр бүлд энэ хуулийн 39.8-д заасан цалингийн дунджаар тооцсон таван жилийн цалинтай тэнцэх хэмжээний нэг удаагийн буцалтгүй тэтгэмж олгоно.”, Цагдаагийн а</w:t>
      </w:r>
      <w:r w:rsidR="00B6625D" w:rsidRPr="008131AE">
        <w:rPr>
          <w:rFonts w:eastAsia="Times New Roman" w:cs="Arial"/>
          <w:szCs w:val="24"/>
          <w:lang w:val="mn-MN"/>
        </w:rPr>
        <w:t>лб</w:t>
      </w:r>
      <w:r w:rsidR="00A765B8" w:rsidRPr="008131AE">
        <w:rPr>
          <w:rFonts w:eastAsia="Times New Roman" w:cs="Arial"/>
          <w:szCs w:val="24"/>
          <w:lang w:val="mn-MN"/>
        </w:rPr>
        <w:t>аны тухай хуул</w:t>
      </w:r>
      <w:r w:rsidR="00B6625D" w:rsidRPr="008131AE">
        <w:rPr>
          <w:rFonts w:eastAsia="Times New Roman" w:cs="Arial"/>
          <w:szCs w:val="24"/>
          <w:lang w:val="mn-MN"/>
        </w:rPr>
        <w:t>ийн</w:t>
      </w:r>
      <w:r w:rsidR="00A765B8" w:rsidRPr="008131AE">
        <w:rPr>
          <w:rFonts w:eastAsia="Times New Roman" w:cs="Arial"/>
          <w:szCs w:val="24"/>
          <w:lang w:val="mn-MN"/>
        </w:rPr>
        <w:t xml:space="preserve"> 86.1</w:t>
      </w:r>
      <w:r w:rsidR="00B6625D" w:rsidRPr="008131AE">
        <w:rPr>
          <w:rFonts w:eastAsia="Times New Roman" w:cs="Arial"/>
          <w:szCs w:val="24"/>
          <w:lang w:val="mn-MN"/>
        </w:rPr>
        <w:t>-д “</w:t>
      </w:r>
      <w:r w:rsidR="00A765B8" w:rsidRPr="008131AE">
        <w:rPr>
          <w:rFonts w:eastAsia="Times New Roman" w:cs="Arial"/>
          <w:szCs w:val="24"/>
          <w:lang w:val="mn-MN"/>
        </w:rPr>
        <w:t>Цагдаагийн алба хаагч албан үүргээ гүйцэтгэж яваад гэмт халдлагын улмаас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w:t>
      </w:r>
      <w:r w:rsidR="00504C27" w:rsidRPr="008131AE">
        <w:rPr>
          <w:rFonts w:eastAsia="Times New Roman" w:cs="Arial"/>
          <w:szCs w:val="24"/>
          <w:lang w:val="mn-MN"/>
        </w:rPr>
        <w:t xml:space="preserve"> </w:t>
      </w:r>
      <w:r w:rsidR="00A765B8" w:rsidRPr="008131AE">
        <w:rPr>
          <w:rFonts w:eastAsia="Times New Roman" w:cs="Arial"/>
          <w:szCs w:val="24"/>
          <w:lang w:val="mn-MN"/>
        </w:rPr>
        <w:t xml:space="preserve">зэргээр ялгамжтай тогтоосон </w:t>
      </w:r>
      <w:r w:rsidR="00B6625D" w:rsidRPr="008131AE">
        <w:rPr>
          <w:rFonts w:cs="Arial"/>
          <w:color w:val="333333"/>
          <w:szCs w:val="24"/>
          <w:shd w:val="clear" w:color="auto" w:fill="FFFFFF"/>
          <w:lang w:val="mn-MN"/>
        </w:rPr>
        <w:t xml:space="preserve">байна. </w:t>
      </w:r>
    </w:p>
    <w:p w14:paraId="79F4F74A" w14:textId="77777777" w:rsidR="00B6625D" w:rsidRPr="008131AE" w:rsidRDefault="00B6625D" w:rsidP="00B6625D">
      <w:pPr>
        <w:pStyle w:val="NoSpacing"/>
        <w:jc w:val="both"/>
        <w:rPr>
          <w:rFonts w:cs="Arial"/>
          <w:color w:val="333333"/>
          <w:szCs w:val="24"/>
          <w:shd w:val="clear" w:color="auto" w:fill="FFFFFF"/>
          <w:lang w:val="mn-MN"/>
        </w:rPr>
      </w:pPr>
    </w:p>
    <w:p w14:paraId="724474CD" w14:textId="621C61CE" w:rsidR="00146769" w:rsidRPr="008131AE" w:rsidRDefault="00BA108A" w:rsidP="006375F8">
      <w:pPr>
        <w:pStyle w:val="NoSpacing"/>
        <w:jc w:val="both"/>
        <w:rPr>
          <w:rFonts w:cs="Arial"/>
          <w:lang w:val="mn-MN"/>
        </w:rPr>
      </w:pPr>
      <w:r w:rsidRPr="008131AE">
        <w:rPr>
          <w:rFonts w:cs="Arial"/>
          <w:color w:val="333333"/>
          <w:szCs w:val="24"/>
          <w:shd w:val="clear" w:color="auto" w:fill="FFFFFF"/>
          <w:lang w:val="mn-MN"/>
        </w:rPr>
        <w:tab/>
      </w:r>
      <w:bookmarkStart w:id="2" w:name="_Hlk163718839"/>
      <w:r w:rsidRPr="008131AE">
        <w:rPr>
          <w:rFonts w:cs="Arial"/>
          <w:szCs w:val="24"/>
          <w:shd w:val="clear" w:color="auto" w:fill="FFFFFF"/>
          <w:lang w:val="mn-MN"/>
        </w:rPr>
        <w:t xml:space="preserve">Иймд Цэргийн алба хаагчийн </w:t>
      </w:r>
      <w:r w:rsidRPr="008131AE">
        <w:rPr>
          <w:rFonts w:cs="Arial"/>
          <w:noProof/>
          <w:szCs w:val="24"/>
          <w:shd w:val="clear" w:color="auto" w:fill="FFFFFF"/>
          <w:lang w:val="mn-MN"/>
        </w:rPr>
        <w:t xml:space="preserve">тэтгэвэр, тэтгэмжийн тухай хуулийн 10 дугаар зүйлд цэргийн алба хаагчийн хөдөлмөрийн чадвар алдсаны тэтгэвэр авах нөхцөл, шалтгааныг зааж өгсөн бөгөөд салбарын бусад хуультай уялдуулан </w:t>
      </w:r>
      <w:r w:rsidR="003C36C6" w:rsidRPr="008131AE">
        <w:rPr>
          <w:rFonts w:cs="Arial"/>
          <w:noProof/>
          <w:szCs w:val="24"/>
          <w:shd w:val="clear" w:color="auto" w:fill="FFFFFF"/>
          <w:lang w:val="mn-MN"/>
        </w:rPr>
        <w:t xml:space="preserve">цэргийн алба хаагчийн </w:t>
      </w:r>
      <w:r w:rsidR="003C36C6" w:rsidRPr="008131AE">
        <w:rPr>
          <w:rFonts w:eastAsia="Times New Roman" w:cs="Arial"/>
          <w:noProof/>
          <w:lang w:val="mn-MN"/>
        </w:rPr>
        <w:t xml:space="preserve">хуульд заасан чиг үүргээ гүйцэтгэж яваад гэмт халдлагад өртөх, </w:t>
      </w:r>
      <w:r w:rsidR="003C36C6" w:rsidRPr="008131AE">
        <w:rPr>
          <w:rFonts w:cs="Arial"/>
          <w:noProof/>
          <w:lang w:val="mn-MN"/>
        </w:rPr>
        <w:t xml:space="preserve">гэмт хэргийг таслан зогсоох, онц байдлын үед хөдөлмөрийн </w:t>
      </w:r>
      <w:r w:rsidR="00402265" w:rsidRPr="008131AE">
        <w:rPr>
          <w:rFonts w:cs="Arial"/>
          <w:noProof/>
          <w:lang w:val="mn-MN"/>
        </w:rPr>
        <w:t>ч</w:t>
      </w:r>
      <w:r w:rsidR="003C36C6" w:rsidRPr="008131AE">
        <w:rPr>
          <w:rFonts w:cs="Arial"/>
          <w:noProof/>
          <w:lang w:val="mn-MN"/>
        </w:rPr>
        <w:t xml:space="preserve">адвар алдсаны тэтгэвэр авах эрхийг нэмж тусгах, </w:t>
      </w:r>
      <w:r w:rsidR="00402265" w:rsidRPr="008131AE">
        <w:rPr>
          <w:rFonts w:cs="Arial"/>
          <w:noProof/>
          <w:lang w:val="mn-MN"/>
        </w:rPr>
        <w:t xml:space="preserve">түүнчлэн </w:t>
      </w:r>
      <w:bookmarkStart w:id="3" w:name="_Hlk163826075"/>
      <w:r w:rsidR="000F06B6" w:rsidRPr="008131AE">
        <w:rPr>
          <w:rFonts w:cs="Arial"/>
          <w:szCs w:val="24"/>
          <w:shd w:val="clear" w:color="auto" w:fill="FFFFFF"/>
          <w:lang w:val="mn-MN"/>
        </w:rPr>
        <w:t xml:space="preserve">байлдааны талбар, энхийг дэмжих ажиллагаанд үүрэг гүйцэтгэх, террорист </w:t>
      </w:r>
      <w:r w:rsidR="000F06B6" w:rsidRPr="008131AE">
        <w:rPr>
          <w:rFonts w:cs="Arial"/>
          <w:szCs w:val="24"/>
          <w:shd w:val="clear" w:color="auto" w:fill="FFFFFF"/>
          <w:lang w:val="mn-MN"/>
        </w:rPr>
        <w:lastRenderedPageBreak/>
        <w:t xml:space="preserve">үйлдлийн сөрөг тусгай ажиллагаанд оролцох, байлдааны галт хэрэгслээр буудлага хийх, дэлбэрэх бодис, тэсэлгээний хэрэгсэл, аюултай хорт бодистой үүргийнхээ дагуу харьцах, гамшиг, онцгой нөхцөлийн байдалд ажиллах, </w:t>
      </w:r>
      <w:r w:rsidR="000F06B6" w:rsidRPr="008131AE">
        <w:rPr>
          <w:rFonts w:eastAsia="Times New Roman" w:cs="Arial"/>
          <w:noProof/>
          <w:lang w:val="mn-MN"/>
        </w:rPr>
        <w:t xml:space="preserve">хуульд заасан чиг үүргээ гүйцэтгэж яваад гэмт халдлагад өртөх, </w:t>
      </w:r>
      <w:r w:rsidR="000F06B6" w:rsidRPr="008131AE">
        <w:rPr>
          <w:rFonts w:cs="Arial"/>
          <w:noProof/>
          <w:lang w:val="mn-MN"/>
        </w:rPr>
        <w:t>гэмт хэргийг таслан зогсоох, онц байдлын үед</w:t>
      </w:r>
      <w:r w:rsidR="000F06B6" w:rsidRPr="008131AE">
        <w:rPr>
          <w:rFonts w:cs="Arial"/>
          <w:szCs w:val="24"/>
          <w:shd w:val="clear" w:color="auto" w:fill="FFFFFF"/>
          <w:lang w:val="mn-MN"/>
        </w:rPr>
        <w:t xml:space="preserve">, </w:t>
      </w:r>
      <w:r w:rsidR="000F06B6" w:rsidRPr="008131AE">
        <w:rPr>
          <w:rFonts w:cs="Arial"/>
          <w:szCs w:val="24"/>
          <w:shd w:val="clear" w:color="auto" w:fill="FFFFFF"/>
          <w:lang w:val="mn-MN"/>
        </w:rPr>
        <w:t>улсын хил, онц чухал объектыг хамгаалсны улмаас</w:t>
      </w:r>
      <w:r w:rsidR="000F06B6" w:rsidRPr="008131AE">
        <w:rPr>
          <w:rFonts w:cs="Arial"/>
          <w:szCs w:val="24"/>
          <w:shd w:val="clear" w:color="auto" w:fill="FFFFFF"/>
          <w:lang w:val="mn-MN"/>
        </w:rPr>
        <w:t xml:space="preserve"> </w:t>
      </w:r>
      <w:r w:rsidRPr="008131AE">
        <w:rPr>
          <w:rFonts w:cs="Arial"/>
          <w:noProof/>
          <w:szCs w:val="24"/>
          <w:shd w:val="clear" w:color="auto" w:fill="FFFFFF"/>
          <w:lang w:val="mn-MN"/>
        </w:rPr>
        <w:t xml:space="preserve">нас барсан </w:t>
      </w:r>
      <w:bookmarkEnd w:id="3"/>
      <w:r w:rsidRPr="008131AE">
        <w:rPr>
          <w:rFonts w:cs="Arial"/>
          <w:noProof/>
          <w:szCs w:val="24"/>
          <w:shd w:val="clear" w:color="auto" w:fill="FFFFFF"/>
          <w:lang w:val="mn-MN"/>
        </w:rPr>
        <w:t>цэргийн алба хаагчийн ар гэрт олгох тэтгэвэр, тэтгэмжий</w:t>
      </w:r>
      <w:r w:rsidR="00F544ED" w:rsidRPr="008131AE">
        <w:rPr>
          <w:rFonts w:cs="Arial"/>
          <w:noProof/>
          <w:szCs w:val="24"/>
          <w:shd w:val="clear" w:color="auto" w:fill="FFFFFF"/>
          <w:lang w:val="mn-MN"/>
        </w:rPr>
        <w:t>н эрх зүйн зохицуулалтыг сайжруулах</w:t>
      </w:r>
      <w:r w:rsidR="0099245F" w:rsidRPr="008131AE">
        <w:rPr>
          <w:rFonts w:cs="Arial"/>
          <w:noProof/>
          <w:szCs w:val="24"/>
          <w:shd w:val="clear" w:color="auto" w:fill="FFFFFF"/>
          <w:lang w:val="mn-MN"/>
        </w:rPr>
        <w:t xml:space="preserve"> </w:t>
      </w:r>
      <w:r w:rsidR="0099245F" w:rsidRPr="008131AE">
        <w:rPr>
          <w:rFonts w:cs="Arial"/>
          <w:noProof/>
          <w:szCs w:val="20"/>
          <w:shd w:val="clear" w:color="auto" w:fill="FFFFFF"/>
          <w:lang w:val="mn-MN"/>
        </w:rPr>
        <w:t>шаардлагатай</w:t>
      </w:r>
      <w:r w:rsidR="00F544ED" w:rsidRPr="008131AE">
        <w:rPr>
          <w:rFonts w:cs="Arial"/>
          <w:szCs w:val="24"/>
          <w:shd w:val="clear" w:color="auto" w:fill="FFFFFF"/>
          <w:lang w:val="mn-MN"/>
        </w:rPr>
        <w:t xml:space="preserve"> </w:t>
      </w:r>
      <w:r w:rsidR="00F02190" w:rsidRPr="008131AE">
        <w:rPr>
          <w:rFonts w:cs="Arial"/>
          <w:szCs w:val="24"/>
          <w:shd w:val="clear" w:color="auto" w:fill="FFFFFF"/>
          <w:lang w:val="mn-MN"/>
        </w:rPr>
        <w:t>байна</w:t>
      </w:r>
      <w:r w:rsidR="00146769" w:rsidRPr="008131AE">
        <w:rPr>
          <w:rFonts w:cs="Arial"/>
          <w:lang w:val="mn-MN"/>
        </w:rPr>
        <w:t xml:space="preserve">.  </w:t>
      </w:r>
    </w:p>
    <w:bookmarkEnd w:id="2"/>
    <w:p w14:paraId="597E9FE5" w14:textId="77777777" w:rsidR="00146769" w:rsidRPr="008131AE" w:rsidRDefault="00146769" w:rsidP="00146769">
      <w:pPr>
        <w:tabs>
          <w:tab w:val="left" w:pos="720"/>
        </w:tabs>
        <w:spacing w:after="0" w:line="240" w:lineRule="auto"/>
        <w:jc w:val="both"/>
        <w:rPr>
          <w:rFonts w:cs="Arial"/>
          <w:lang w:val="mn-MN"/>
        </w:rPr>
      </w:pPr>
    </w:p>
    <w:p w14:paraId="69C8FFDC" w14:textId="270BC65A" w:rsidR="00146769" w:rsidRPr="008131AE" w:rsidRDefault="00146769" w:rsidP="00146769">
      <w:pPr>
        <w:tabs>
          <w:tab w:val="left" w:pos="567"/>
        </w:tabs>
        <w:spacing w:after="0" w:line="240" w:lineRule="auto"/>
        <w:jc w:val="both"/>
        <w:rPr>
          <w:rFonts w:cs="Arial"/>
          <w:b/>
          <w:szCs w:val="24"/>
          <w:shd w:val="clear" w:color="auto" w:fill="FFFFFF"/>
          <w:lang w:val="mn-MN"/>
        </w:rPr>
      </w:pPr>
      <w:r w:rsidRPr="008131AE">
        <w:rPr>
          <w:rFonts w:cs="Arial"/>
          <w:lang w:val="mn-MN"/>
        </w:rPr>
        <w:tab/>
      </w:r>
      <w:r w:rsidRPr="008131AE">
        <w:rPr>
          <w:rFonts w:cs="Arial"/>
          <w:b/>
          <w:szCs w:val="24"/>
          <w:shd w:val="clear" w:color="auto" w:fill="FFFFFF"/>
          <w:lang w:val="mn-MN"/>
        </w:rPr>
        <w:t>Хоёр.Хуулийн зорилго, ерөнхий бүтэц, зохицуулах харилцаа, хамрах хүрээ</w:t>
      </w:r>
    </w:p>
    <w:p w14:paraId="5F0C9BCC" w14:textId="77777777" w:rsidR="00146769" w:rsidRPr="008131AE" w:rsidRDefault="00146769" w:rsidP="00146769">
      <w:pPr>
        <w:tabs>
          <w:tab w:val="left" w:pos="720"/>
        </w:tabs>
        <w:spacing w:after="0" w:line="240" w:lineRule="auto"/>
        <w:jc w:val="both"/>
        <w:rPr>
          <w:lang w:val="mn-MN"/>
        </w:rPr>
      </w:pPr>
    </w:p>
    <w:p w14:paraId="01C1CB23" w14:textId="00CFFE96" w:rsidR="00146769" w:rsidRPr="008131AE" w:rsidRDefault="00146769" w:rsidP="00146769">
      <w:pPr>
        <w:tabs>
          <w:tab w:val="left" w:pos="720"/>
        </w:tabs>
        <w:spacing w:after="0" w:line="240" w:lineRule="auto"/>
        <w:jc w:val="both"/>
        <w:rPr>
          <w:rFonts w:cs="Arial"/>
          <w:szCs w:val="24"/>
          <w:lang w:val="mn-MN"/>
        </w:rPr>
      </w:pPr>
      <w:r w:rsidRPr="008131AE">
        <w:rPr>
          <w:lang w:val="mn-MN"/>
        </w:rPr>
        <w:tab/>
      </w:r>
      <w:r w:rsidRPr="008131AE">
        <w:rPr>
          <w:rFonts w:cs="Arial"/>
          <w:szCs w:val="24"/>
          <w:lang w:val="mn-MN"/>
        </w:rPr>
        <w:t>Хуулийн төсөл</w:t>
      </w:r>
      <w:r w:rsidR="00C13DBF" w:rsidRPr="008131AE">
        <w:rPr>
          <w:rFonts w:cs="Arial"/>
          <w:szCs w:val="24"/>
          <w:lang w:val="mn-MN"/>
        </w:rPr>
        <w:t xml:space="preserve">д </w:t>
      </w:r>
      <w:r w:rsidR="00A4212E" w:rsidRPr="008131AE">
        <w:rPr>
          <w:rFonts w:cs="Arial"/>
          <w:noProof/>
          <w:szCs w:val="24"/>
          <w:lang w:val="mn-MN"/>
        </w:rPr>
        <w:t>албан үүргээ гүйцэтгэж яваад</w:t>
      </w:r>
      <w:r w:rsidR="009B0CB7" w:rsidRPr="008131AE">
        <w:rPr>
          <w:rFonts w:cs="Arial"/>
          <w:noProof/>
          <w:szCs w:val="24"/>
          <w:lang w:val="mn-MN"/>
        </w:rPr>
        <w:t xml:space="preserve"> </w:t>
      </w:r>
      <w:r w:rsidR="006504F3" w:rsidRPr="008131AE">
        <w:rPr>
          <w:rFonts w:cs="Arial"/>
          <w:szCs w:val="24"/>
          <w:shd w:val="clear" w:color="auto" w:fill="FFFFFF"/>
          <w:lang w:val="mn-MN"/>
        </w:rPr>
        <w:t xml:space="preserve">амь насаа </w:t>
      </w:r>
      <w:r w:rsidR="007966D0" w:rsidRPr="008131AE">
        <w:rPr>
          <w:rFonts w:cs="Arial"/>
          <w:szCs w:val="24"/>
          <w:shd w:val="clear" w:color="auto" w:fill="FFFFFF"/>
          <w:lang w:val="mn-MN"/>
        </w:rPr>
        <w:t>алдсан цэргийн алба хаагчийн гэр бүлд олгох нийгмийн хамгааллын дэмжлэгийг сайжруулахтай</w:t>
      </w:r>
      <w:r w:rsidR="000E4DD3" w:rsidRPr="008131AE">
        <w:rPr>
          <w:rFonts w:cs="Arial"/>
          <w:szCs w:val="24"/>
          <w:lang w:val="mn-MN"/>
        </w:rPr>
        <w:t xml:space="preserve"> холбогдсон </w:t>
      </w:r>
      <w:r w:rsidR="009B0CB7" w:rsidRPr="008131AE">
        <w:rPr>
          <w:rFonts w:cs="Arial"/>
          <w:szCs w:val="24"/>
          <w:lang w:val="mn-MN"/>
        </w:rPr>
        <w:t>зохицуулалтыг тусгана</w:t>
      </w:r>
      <w:r w:rsidR="006F6C0D" w:rsidRPr="008131AE">
        <w:rPr>
          <w:rFonts w:cs="Arial"/>
          <w:szCs w:val="24"/>
          <w:lang w:val="mn-MN"/>
        </w:rPr>
        <w:t xml:space="preserve">. </w:t>
      </w:r>
      <w:r w:rsidRPr="008131AE">
        <w:rPr>
          <w:rFonts w:cs="Arial"/>
          <w:szCs w:val="24"/>
          <w:lang w:val="mn-MN"/>
        </w:rPr>
        <w:t xml:space="preserve"> </w:t>
      </w:r>
    </w:p>
    <w:p w14:paraId="029AB205" w14:textId="77777777" w:rsidR="00146769" w:rsidRPr="008131AE" w:rsidRDefault="00146769" w:rsidP="00146769">
      <w:pPr>
        <w:tabs>
          <w:tab w:val="left" w:pos="720"/>
        </w:tabs>
        <w:spacing w:after="0" w:line="240" w:lineRule="auto"/>
        <w:jc w:val="both"/>
        <w:rPr>
          <w:rFonts w:cs="Arial"/>
          <w:szCs w:val="24"/>
          <w:lang w:val="mn-MN"/>
        </w:rPr>
      </w:pPr>
    </w:p>
    <w:p w14:paraId="3CBDB618" w14:textId="09C539D3" w:rsidR="00DC17C5" w:rsidRPr="008131AE" w:rsidRDefault="006F6C0D" w:rsidP="00DC17C5">
      <w:pPr>
        <w:tabs>
          <w:tab w:val="left" w:pos="720"/>
        </w:tabs>
        <w:spacing w:after="0" w:line="240" w:lineRule="auto"/>
        <w:jc w:val="both"/>
        <w:rPr>
          <w:rStyle w:val="Strong"/>
          <w:b w:val="0"/>
          <w:szCs w:val="24"/>
          <w:lang w:val="mn-MN"/>
        </w:rPr>
      </w:pPr>
      <w:r w:rsidRPr="008131AE">
        <w:rPr>
          <w:lang w:val="mn-MN"/>
        </w:rPr>
        <w:tab/>
      </w:r>
      <w:r w:rsidR="00DC17C5" w:rsidRPr="008131AE">
        <w:rPr>
          <w:rFonts w:cs="Arial"/>
          <w:b/>
          <w:szCs w:val="24"/>
          <w:lang w:val="mn-MN"/>
        </w:rPr>
        <w:t xml:space="preserve">Гурав.Хуулийн төсөл батлагдсаны дараа </w:t>
      </w:r>
      <w:proofErr w:type="spellStart"/>
      <w:r w:rsidR="00DC17C5" w:rsidRPr="008131AE">
        <w:rPr>
          <w:rFonts w:cs="Arial"/>
          <w:b/>
          <w:szCs w:val="24"/>
          <w:lang w:val="mn-MN"/>
        </w:rPr>
        <w:t>үүсч</w:t>
      </w:r>
      <w:proofErr w:type="spellEnd"/>
      <w:r w:rsidR="00DC17C5" w:rsidRPr="008131AE">
        <w:rPr>
          <w:rFonts w:cs="Arial"/>
          <w:b/>
          <w:szCs w:val="24"/>
          <w:lang w:val="mn-MN"/>
        </w:rPr>
        <w:t xml:space="preserve"> болох нийгэм, эдийн засаг, хууль зүйн үр дагавар, тэдгээрийг шийдвэрлэх талаар авч хэрэгжүүлэх арга хэмжээний санал</w:t>
      </w:r>
      <w:r w:rsidR="00DC17C5" w:rsidRPr="008131AE">
        <w:rPr>
          <w:rStyle w:val="Strong"/>
          <w:szCs w:val="24"/>
          <w:lang w:val="mn-MN"/>
        </w:rPr>
        <w:t xml:space="preserve">  </w:t>
      </w:r>
    </w:p>
    <w:p w14:paraId="54FF859E" w14:textId="77777777" w:rsidR="00DC17C5" w:rsidRPr="008131AE" w:rsidRDefault="00DC17C5" w:rsidP="00146769">
      <w:pPr>
        <w:tabs>
          <w:tab w:val="left" w:pos="720"/>
        </w:tabs>
        <w:spacing w:after="0" w:line="240" w:lineRule="auto"/>
        <w:jc w:val="both"/>
        <w:rPr>
          <w:rFonts w:cs="Arial"/>
          <w:szCs w:val="24"/>
          <w:lang w:val="mn-MN"/>
        </w:rPr>
      </w:pPr>
    </w:p>
    <w:p w14:paraId="69B5E280" w14:textId="607979D1" w:rsidR="00DC17C5" w:rsidRPr="008131AE" w:rsidRDefault="00DC17C5" w:rsidP="00146769">
      <w:pPr>
        <w:tabs>
          <w:tab w:val="left" w:pos="720"/>
        </w:tabs>
        <w:spacing w:after="0" w:line="240" w:lineRule="auto"/>
        <w:jc w:val="both"/>
        <w:rPr>
          <w:rFonts w:cs="Arial"/>
          <w:szCs w:val="24"/>
          <w:lang w:val="mn-MN"/>
        </w:rPr>
      </w:pPr>
      <w:r w:rsidRPr="008131AE">
        <w:rPr>
          <w:rFonts w:cs="Arial"/>
          <w:szCs w:val="24"/>
          <w:lang w:val="mn-MN"/>
        </w:rPr>
        <w:tab/>
      </w:r>
      <w:r w:rsidR="00A43C68" w:rsidRPr="008131AE">
        <w:rPr>
          <w:rFonts w:cs="Arial"/>
          <w:szCs w:val="24"/>
          <w:lang w:val="mn-MN"/>
        </w:rPr>
        <w:t>Х</w:t>
      </w:r>
      <w:r w:rsidRPr="008131AE">
        <w:rPr>
          <w:rFonts w:cs="Arial"/>
          <w:szCs w:val="24"/>
          <w:lang w:val="mn-MN"/>
        </w:rPr>
        <w:t xml:space="preserve">уулийн </w:t>
      </w:r>
      <w:r w:rsidR="007966D0" w:rsidRPr="008131AE">
        <w:rPr>
          <w:rFonts w:cs="Arial"/>
          <w:szCs w:val="24"/>
          <w:lang w:val="mn-MN"/>
        </w:rPr>
        <w:t xml:space="preserve">төсөл батлагдсанаар </w:t>
      </w:r>
      <w:r w:rsidR="00B23062" w:rsidRPr="008131AE">
        <w:rPr>
          <w:rFonts w:cs="Arial"/>
          <w:lang w:val="mn-MN" w:eastAsia="mn-MN"/>
        </w:rPr>
        <w:t xml:space="preserve">хуулийн үйлчлэлд хамаарах байгууллагын </w:t>
      </w:r>
      <w:r w:rsidR="00B23062" w:rsidRPr="008131AE">
        <w:rPr>
          <w:rFonts w:cs="Arial"/>
          <w:lang w:val="mn-MN"/>
        </w:rPr>
        <w:t xml:space="preserve">алба хаагчдын </w:t>
      </w:r>
      <w:r w:rsidR="00F934E8" w:rsidRPr="008131AE">
        <w:rPr>
          <w:rFonts w:cs="Arial"/>
          <w:szCs w:val="24"/>
          <w:lang w:val="mn-MN"/>
        </w:rPr>
        <w:t>гэр бүлд олгох тэтгэвэр, тэтгэмж нэмэгдэж</w:t>
      </w:r>
      <w:r w:rsidR="007966D0" w:rsidRPr="008131AE">
        <w:rPr>
          <w:rFonts w:cs="Arial"/>
          <w:szCs w:val="24"/>
          <w:lang w:val="mn-MN"/>
        </w:rPr>
        <w:t xml:space="preserve">, </w:t>
      </w:r>
      <w:r w:rsidR="008C1FEC" w:rsidRPr="008131AE">
        <w:rPr>
          <w:rFonts w:cs="Arial"/>
          <w:lang w:val="mn-MN"/>
        </w:rPr>
        <w:t xml:space="preserve">нийгмийн баталгаа </w:t>
      </w:r>
      <w:r w:rsidR="007966D0" w:rsidRPr="008131AE">
        <w:rPr>
          <w:rFonts w:cs="Arial"/>
          <w:szCs w:val="24"/>
          <w:lang w:val="mn-MN"/>
        </w:rPr>
        <w:t>сайжир</w:t>
      </w:r>
      <w:r w:rsidR="00B23062" w:rsidRPr="008131AE">
        <w:rPr>
          <w:rFonts w:cs="Arial"/>
          <w:szCs w:val="24"/>
          <w:lang w:val="mn-MN"/>
        </w:rPr>
        <w:t xml:space="preserve">ч, </w:t>
      </w:r>
      <w:r w:rsidRPr="008131AE">
        <w:rPr>
          <w:rFonts w:cs="Arial"/>
          <w:szCs w:val="24"/>
          <w:lang w:val="mn-MN"/>
        </w:rPr>
        <w:t xml:space="preserve">нийгэмд эерэг нөлөө үзүүлнэ. </w:t>
      </w:r>
    </w:p>
    <w:p w14:paraId="01BF3C1E" w14:textId="77777777" w:rsidR="00DC17C5" w:rsidRPr="008131AE" w:rsidRDefault="00DC17C5" w:rsidP="00146769">
      <w:pPr>
        <w:tabs>
          <w:tab w:val="left" w:pos="720"/>
        </w:tabs>
        <w:spacing w:after="0" w:line="240" w:lineRule="auto"/>
        <w:jc w:val="both"/>
        <w:rPr>
          <w:rFonts w:cs="Arial"/>
          <w:szCs w:val="24"/>
          <w:lang w:val="mn-MN"/>
        </w:rPr>
      </w:pPr>
    </w:p>
    <w:p w14:paraId="01FDBC0F" w14:textId="5B325B13" w:rsidR="00752993" w:rsidRPr="008131AE" w:rsidRDefault="00DC17C5" w:rsidP="00752993">
      <w:pPr>
        <w:tabs>
          <w:tab w:val="left" w:pos="720"/>
        </w:tabs>
        <w:spacing w:after="0" w:line="240" w:lineRule="auto"/>
        <w:jc w:val="both"/>
        <w:rPr>
          <w:rFonts w:cs="Arial"/>
          <w:b/>
          <w:szCs w:val="24"/>
          <w:lang w:val="mn-MN"/>
        </w:rPr>
      </w:pPr>
      <w:r w:rsidRPr="008131AE">
        <w:rPr>
          <w:rFonts w:cs="Arial"/>
          <w:szCs w:val="24"/>
          <w:lang w:val="mn-MN"/>
        </w:rPr>
        <w:tab/>
      </w:r>
      <w:r w:rsidR="00752993" w:rsidRPr="008131AE">
        <w:rPr>
          <w:rFonts w:cs="Arial"/>
          <w:b/>
          <w:szCs w:val="24"/>
          <w:lang w:val="mn-MN"/>
        </w:rPr>
        <w:t xml:space="preserve">Дөрөв.Хуулийн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7E2437F4" w14:textId="77777777" w:rsidR="00752993" w:rsidRPr="008131AE" w:rsidRDefault="00752993" w:rsidP="00146769">
      <w:pPr>
        <w:tabs>
          <w:tab w:val="left" w:pos="720"/>
        </w:tabs>
        <w:spacing w:after="0" w:line="240" w:lineRule="auto"/>
        <w:jc w:val="both"/>
        <w:rPr>
          <w:rFonts w:cs="Arial"/>
          <w:szCs w:val="24"/>
          <w:lang w:val="mn-MN"/>
        </w:rPr>
      </w:pPr>
    </w:p>
    <w:p w14:paraId="4E8387CC" w14:textId="39B670A2" w:rsidR="00752993" w:rsidRPr="008131AE" w:rsidRDefault="00752993" w:rsidP="00146769">
      <w:pPr>
        <w:tabs>
          <w:tab w:val="left" w:pos="720"/>
        </w:tabs>
        <w:spacing w:after="0" w:line="240" w:lineRule="auto"/>
        <w:jc w:val="both"/>
        <w:rPr>
          <w:rFonts w:cs="Arial"/>
          <w:szCs w:val="24"/>
          <w:lang w:val="mn-MN"/>
        </w:rPr>
      </w:pPr>
      <w:r w:rsidRPr="008131AE">
        <w:rPr>
          <w:rFonts w:cs="Arial"/>
          <w:szCs w:val="24"/>
          <w:lang w:val="mn-MN"/>
        </w:rPr>
        <w:tab/>
      </w:r>
      <w:r w:rsidR="00A43C68" w:rsidRPr="008131AE">
        <w:rPr>
          <w:rFonts w:cs="Arial"/>
          <w:szCs w:val="24"/>
          <w:lang w:val="mn-MN"/>
        </w:rPr>
        <w:t>Х</w:t>
      </w:r>
      <w:r w:rsidRPr="008131AE">
        <w:rPr>
          <w:rFonts w:cs="Arial"/>
          <w:szCs w:val="24"/>
          <w:lang w:val="mn-MN"/>
        </w:rPr>
        <w:t>уулийн төсөл нь Монгол Улсын Үндсэн хууль, Монгол Улсын нэгдэн орсон олон улсын гэрээ, конвенц боло</w:t>
      </w:r>
      <w:r w:rsidR="00C70B8C" w:rsidRPr="008131AE">
        <w:rPr>
          <w:rFonts w:cs="Arial"/>
          <w:szCs w:val="24"/>
          <w:lang w:val="mn-MN"/>
        </w:rPr>
        <w:t xml:space="preserve">н бусад хууль тогтоомжид нийцсэн </w:t>
      </w:r>
      <w:r w:rsidR="00B64323" w:rsidRPr="008131AE">
        <w:rPr>
          <w:rFonts w:cs="Arial"/>
          <w:szCs w:val="24"/>
          <w:lang w:val="mn-MN"/>
        </w:rPr>
        <w:t>байна</w:t>
      </w:r>
      <w:r w:rsidR="00CE1F78" w:rsidRPr="008131AE">
        <w:rPr>
          <w:rFonts w:cs="Arial"/>
          <w:szCs w:val="24"/>
          <w:lang w:val="mn-MN"/>
        </w:rPr>
        <w:t>.</w:t>
      </w:r>
    </w:p>
    <w:p w14:paraId="26FD8D21" w14:textId="77777777" w:rsidR="00C70B8C" w:rsidRPr="008131AE" w:rsidRDefault="00C70B8C" w:rsidP="00146769">
      <w:pPr>
        <w:tabs>
          <w:tab w:val="left" w:pos="720"/>
        </w:tabs>
        <w:spacing w:after="0" w:line="240" w:lineRule="auto"/>
        <w:jc w:val="both"/>
        <w:rPr>
          <w:rFonts w:cs="Arial"/>
          <w:szCs w:val="24"/>
          <w:lang w:val="mn-MN"/>
        </w:rPr>
      </w:pPr>
    </w:p>
    <w:p w14:paraId="681BF3AB" w14:textId="77777777" w:rsidR="00C70B8C" w:rsidRPr="008131AE" w:rsidRDefault="00C70B8C" w:rsidP="00146769">
      <w:pPr>
        <w:tabs>
          <w:tab w:val="left" w:pos="720"/>
        </w:tabs>
        <w:spacing w:after="0" w:line="240" w:lineRule="auto"/>
        <w:jc w:val="both"/>
        <w:rPr>
          <w:rFonts w:cs="Arial"/>
          <w:szCs w:val="24"/>
          <w:lang w:val="mn-MN"/>
        </w:rPr>
      </w:pPr>
    </w:p>
    <w:p w14:paraId="373A8E13" w14:textId="77777777" w:rsidR="008C1FEC" w:rsidRPr="008131AE" w:rsidRDefault="008C1FEC" w:rsidP="007966D0">
      <w:pPr>
        <w:tabs>
          <w:tab w:val="left" w:pos="720"/>
        </w:tabs>
        <w:spacing w:after="0" w:line="240" w:lineRule="auto"/>
        <w:jc w:val="center"/>
        <w:rPr>
          <w:rFonts w:cs="Arial"/>
          <w:szCs w:val="24"/>
          <w:lang w:val="mn-MN"/>
        </w:rPr>
      </w:pPr>
    </w:p>
    <w:p w14:paraId="0D3C97F3" w14:textId="77777777" w:rsidR="00FA5317" w:rsidRPr="008131AE" w:rsidRDefault="00FA5317" w:rsidP="007966D0">
      <w:pPr>
        <w:tabs>
          <w:tab w:val="left" w:pos="720"/>
        </w:tabs>
        <w:spacing w:after="0" w:line="240" w:lineRule="auto"/>
        <w:jc w:val="center"/>
        <w:rPr>
          <w:rFonts w:cs="Arial"/>
          <w:szCs w:val="24"/>
          <w:lang w:val="mn-MN"/>
        </w:rPr>
      </w:pPr>
    </w:p>
    <w:p w14:paraId="112E80D6" w14:textId="77777777" w:rsidR="00FA5317" w:rsidRPr="008131AE" w:rsidRDefault="00FA5317" w:rsidP="007966D0">
      <w:pPr>
        <w:tabs>
          <w:tab w:val="left" w:pos="720"/>
        </w:tabs>
        <w:spacing w:after="0" w:line="240" w:lineRule="auto"/>
        <w:jc w:val="center"/>
        <w:rPr>
          <w:rFonts w:cs="Arial"/>
          <w:szCs w:val="24"/>
          <w:lang w:val="mn-MN"/>
        </w:rPr>
      </w:pPr>
    </w:p>
    <w:p w14:paraId="2E13115E" w14:textId="689E04E4" w:rsidR="00146769" w:rsidRPr="008131AE" w:rsidRDefault="00C70B8C" w:rsidP="007966D0">
      <w:pPr>
        <w:tabs>
          <w:tab w:val="left" w:pos="720"/>
        </w:tabs>
        <w:spacing w:after="0" w:line="240" w:lineRule="auto"/>
        <w:jc w:val="center"/>
        <w:rPr>
          <w:rFonts w:cs="Arial"/>
          <w:szCs w:val="24"/>
          <w:lang w:val="mn-MN"/>
        </w:rPr>
      </w:pPr>
      <w:r w:rsidRPr="008131AE">
        <w:rPr>
          <w:rFonts w:cs="Arial"/>
          <w:szCs w:val="24"/>
          <w:lang w:val="mn-MN"/>
        </w:rPr>
        <w:t>---</w:t>
      </w:r>
      <w:proofErr w:type="spellStart"/>
      <w:r w:rsidRPr="008131AE">
        <w:rPr>
          <w:rFonts w:cs="Arial"/>
          <w:szCs w:val="24"/>
          <w:lang w:val="mn-MN"/>
        </w:rPr>
        <w:t>оОо</w:t>
      </w:r>
      <w:proofErr w:type="spellEnd"/>
      <w:r w:rsidRPr="008131AE">
        <w:rPr>
          <w:rFonts w:cs="Arial"/>
          <w:szCs w:val="24"/>
          <w:lang w:val="mn-MN"/>
        </w:rPr>
        <w:t>---</w:t>
      </w:r>
    </w:p>
    <w:p w14:paraId="2C8E17D2" w14:textId="77777777" w:rsidR="00146769" w:rsidRPr="008131AE" w:rsidRDefault="00146769" w:rsidP="00146769">
      <w:pPr>
        <w:tabs>
          <w:tab w:val="left" w:pos="720"/>
        </w:tabs>
        <w:spacing w:after="0" w:line="240" w:lineRule="auto"/>
        <w:jc w:val="both"/>
        <w:rPr>
          <w:rFonts w:cs="Arial"/>
          <w:szCs w:val="24"/>
          <w:lang w:val="mn-MN"/>
        </w:rPr>
      </w:pPr>
    </w:p>
    <w:p w14:paraId="62349081" w14:textId="77777777" w:rsidR="00146769" w:rsidRPr="008131AE" w:rsidRDefault="00146769" w:rsidP="00146769">
      <w:pPr>
        <w:tabs>
          <w:tab w:val="left" w:pos="720"/>
        </w:tabs>
        <w:spacing w:after="0" w:line="240" w:lineRule="auto"/>
        <w:jc w:val="both"/>
        <w:rPr>
          <w:rFonts w:cs="Arial"/>
          <w:szCs w:val="24"/>
          <w:lang w:val="mn-MN"/>
        </w:rPr>
      </w:pPr>
    </w:p>
    <w:bookmarkEnd w:id="1"/>
    <w:p w14:paraId="188ED68E" w14:textId="77777777" w:rsidR="0093385B" w:rsidRPr="008131AE" w:rsidRDefault="0093385B" w:rsidP="00146769">
      <w:pPr>
        <w:rPr>
          <w:lang w:val="mn-MN"/>
        </w:rPr>
      </w:pPr>
    </w:p>
    <w:sectPr w:rsidR="0093385B" w:rsidRPr="008131AE" w:rsidSect="008622E3">
      <w:footerReference w:type="default" r:id="rId6"/>
      <w:pgSz w:w="12240" w:h="15840"/>
      <w:pgMar w:top="900" w:right="810" w:bottom="126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C9A7C" w14:textId="77777777" w:rsidR="008622E3" w:rsidRDefault="008622E3" w:rsidP="00952BB3">
      <w:pPr>
        <w:spacing w:after="0" w:line="240" w:lineRule="auto"/>
      </w:pPr>
      <w:r>
        <w:separator/>
      </w:r>
    </w:p>
  </w:endnote>
  <w:endnote w:type="continuationSeparator" w:id="0">
    <w:p w14:paraId="7F358FAF" w14:textId="77777777" w:rsidR="008622E3" w:rsidRDefault="008622E3" w:rsidP="0095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454320"/>
      <w:docPartObj>
        <w:docPartGallery w:val="Page Numbers (Bottom of Page)"/>
        <w:docPartUnique/>
      </w:docPartObj>
    </w:sdtPr>
    <w:sdtEndPr>
      <w:rPr>
        <w:noProof/>
      </w:rPr>
    </w:sdtEndPr>
    <w:sdtContent>
      <w:p w14:paraId="1D70BC9F" w14:textId="77777777" w:rsidR="00952BB3" w:rsidRDefault="00952BB3">
        <w:pPr>
          <w:pStyle w:val="Footer"/>
          <w:jc w:val="center"/>
        </w:pPr>
        <w:r>
          <w:fldChar w:fldCharType="begin"/>
        </w:r>
        <w:r>
          <w:instrText xml:space="preserve"> PAGE   \* MERGEFORMAT </w:instrText>
        </w:r>
        <w:r>
          <w:fldChar w:fldCharType="separate"/>
        </w:r>
        <w:r w:rsidR="00BA3ED8">
          <w:rPr>
            <w:noProof/>
          </w:rPr>
          <w:t>3</w:t>
        </w:r>
        <w:r>
          <w:rPr>
            <w:noProof/>
          </w:rPr>
          <w:fldChar w:fldCharType="end"/>
        </w:r>
      </w:p>
    </w:sdtContent>
  </w:sdt>
  <w:p w14:paraId="0900D198" w14:textId="77777777" w:rsidR="00952BB3" w:rsidRDefault="0095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86B3F" w14:textId="77777777" w:rsidR="008622E3" w:rsidRDefault="008622E3" w:rsidP="00952BB3">
      <w:pPr>
        <w:spacing w:after="0" w:line="240" w:lineRule="auto"/>
      </w:pPr>
      <w:r>
        <w:separator/>
      </w:r>
    </w:p>
  </w:footnote>
  <w:footnote w:type="continuationSeparator" w:id="0">
    <w:p w14:paraId="3DCBFECB" w14:textId="77777777" w:rsidR="008622E3" w:rsidRDefault="008622E3" w:rsidP="00952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5B"/>
    <w:rsid w:val="00002011"/>
    <w:rsid w:val="00025798"/>
    <w:rsid w:val="00053535"/>
    <w:rsid w:val="000701E6"/>
    <w:rsid w:val="00085170"/>
    <w:rsid w:val="000C46DB"/>
    <w:rsid w:val="000E4DD3"/>
    <w:rsid w:val="000F06B6"/>
    <w:rsid w:val="00146769"/>
    <w:rsid w:val="001620F2"/>
    <w:rsid w:val="00180BE8"/>
    <w:rsid w:val="001B7BFB"/>
    <w:rsid w:val="001C5CB8"/>
    <w:rsid w:val="001D1B20"/>
    <w:rsid w:val="001E5B06"/>
    <w:rsid w:val="001E6085"/>
    <w:rsid w:val="00220866"/>
    <w:rsid w:val="002570E7"/>
    <w:rsid w:val="002708C2"/>
    <w:rsid w:val="0027327B"/>
    <w:rsid w:val="002B1ABC"/>
    <w:rsid w:val="003179F2"/>
    <w:rsid w:val="00321886"/>
    <w:rsid w:val="0036456C"/>
    <w:rsid w:val="00374111"/>
    <w:rsid w:val="00380776"/>
    <w:rsid w:val="00397D8F"/>
    <w:rsid w:val="003C36C6"/>
    <w:rsid w:val="003C4140"/>
    <w:rsid w:val="003D3D2C"/>
    <w:rsid w:val="003E580F"/>
    <w:rsid w:val="00402265"/>
    <w:rsid w:val="00463262"/>
    <w:rsid w:val="00470513"/>
    <w:rsid w:val="00481A7C"/>
    <w:rsid w:val="00492171"/>
    <w:rsid w:val="004A4FBE"/>
    <w:rsid w:val="004A7E36"/>
    <w:rsid w:val="004C01BE"/>
    <w:rsid w:val="004E1F37"/>
    <w:rsid w:val="004E2F72"/>
    <w:rsid w:val="00504C27"/>
    <w:rsid w:val="00516954"/>
    <w:rsid w:val="00523C31"/>
    <w:rsid w:val="00571ACB"/>
    <w:rsid w:val="00573266"/>
    <w:rsid w:val="00577A87"/>
    <w:rsid w:val="005C2DD8"/>
    <w:rsid w:val="005C73ED"/>
    <w:rsid w:val="005D472D"/>
    <w:rsid w:val="005F4361"/>
    <w:rsid w:val="00632F3A"/>
    <w:rsid w:val="006375F8"/>
    <w:rsid w:val="006453F1"/>
    <w:rsid w:val="006504F3"/>
    <w:rsid w:val="00673859"/>
    <w:rsid w:val="00675E56"/>
    <w:rsid w:val="00694CEC"/>
    <w:rsid w:val="006F6C0D"/>
    <w:rsid w:val="00730033"/>
    <w:rsid w:val="00730852"/>
    <w:rsid w:val="0075242D"/>
    <w:rsid w:val="00752993"/>
    <w:rsid w:val="007800EB"/>
    <w:rsid w:val="007966D0"/>
    <w:rsid w:val="007B07D1"/>
    <w:rsid w:val="0080249C"/>
    <w:rsid w:val="00811B44"/>
    <w:rsid w:val="008131AE"/>
    <w:rsid w:val="00823841"/>
    <w:rsid w:val="008622E3"/>
    <w:rsid w:val="008814CC"/>
    <w:rsid w:val="00884D90"/>
    <w:rsid w:val="00887E31"/>
    <w:rsid w:val="00891D8B"/>
    <w:rsid w:val="0089415E"/>
    <w:rsid w:val="008C1FEC"/>
    <w:rsid w:val="008E7A2D"/>
    <w:rsid w:val="008F738C"/>
    <w:rsid w:val="008F7E7D"/>
    <w:rsid w:val="0093385B"/>
    <w:rsid w:val="00936FEC"/>
    <w:rsid w:val="00942EE6"/>
    <w:rsid w:val="00952BB3"/>
    <w:rsid w:val="009533C7"/>
    <w:rsid w:val="00976795"/>
    <w:rsid w:val="00980A6F"/>
    <w:rsid w:val="00982ABA"/>
    <w:rsid w:val="00984651"/>
    <w:rsid w:val="00987977"/>
    <w:rsid w:val="0099245F"/>
    <w:rsid w:val="00995BAC"/>
    <w:rsid w:val="009A3CA3"/>
    <w:rsid w:val="009B0CB7"/>
    <w:rsid w:val="009C2D0B"/>
    <w:rsid w:val="00A4212E"/>
    <w:rsid w:val="00A43C68"/>
    <w:rsid w:val="00A765B8"/>
    <w:rsid w:val="00AB4A76"/>
    <w:rsid w:val="00AE1B2C"/>
    <w:rsid w:val="00B05B15"/>
    <w:rsid w:val="00B23062"/>
    <w:rsid w:val="00B64323"/>
    <w:rsid w:val="00B6625D"/>
    <w:rsid w:val="00B82C00"/>
    <w:rsid w:val="00BA108A"/>
    <w:rsid w:val="00BA3ED8"/>
    <w:rsid w:val="00BA61C0"/>
    <w:rsid w:val="00BB09A2"/>
    <w:rsid w:val="00BC0436"/>
    <w:rsid w:val="00C13353"/>
    <w:rsid w:val="00C13DBF"/>
    <w:rsid w:val="00C350DF"/>
    <w:rsid w:val="00C63F89"/>
    <w:rsid w:val="00C648EF"/>
    <w:rsid w:val="00C65C9A"/>
    <w:rsid w:val="00C70B8C"/>
    <w:rsid w:val="00C928CF"/>
    <w:rsid w:val="00CE1F78"/>
    <w:rsid w:val="00D35840"/>
    <w:rsid w:val="00D431E4"/>
    <w:rsid w:val="00D4764E"/>
    <w:rsid w:val="00D67296"/>
    <w:rsid w:val="00D841E4"/>
    <w:rsid w:val="00DA64B3"/>
    <w:rsid w:val="00DC17C5"/>
    <w:rsid w:val="00DC4F04"/>
    <w:rsid w:val="00DD2C64"/>
    <w:rsid w:val="00E05004"/>
    <w:rsid w:val="00E30E9C"/>
    <w:rsid w:val="00E43017"/>
    <w:rsid w:val="00E51E7F"/>
    <w:rsid w:val="00E650E7"/>
    <w:rsid w:val="00E858F2"/>
    <w:rsid w:val="00E96E5E"/>
    <w:rsid w:val="00EA0E8B"/>
    <w:rsid w:val="00EA40A2"/>
    <w:rsid w:val="00EE7F2D"/>
    <w:rsid w:val="00F02190"/>
    <w:rsid w:val="00F54305"/>
    <w:rsid w:val="00F544ED"/>
    <w:rsid w:val="00F607C9"/>
    <w:rsid w:val="00F934E8"/>
    <w:rsid w:val="00FA5317"/>
    <w:rsid w:val="00FD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AC40"/>
  <w15:chartTrackingRefBased/>
  <w15:docId w15:val="{1080BCED-FC4A-4FA2-84EC-BA07B9F6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B44"/>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DC17C5"/>
    <w:rPr>
      <w:b/>
      <w:bCs/>
    </w:rPr>
  </w:style>
  <w:style w:type="paragraph" w:styleId="BalloonText">
    <w:name w:val="Balloon Text"/>
    <w:basedOn w:val="Normal"/>
    <w:link w:val="BalloonTextChar"/>
    <w:uiPriority w:val="99"/>
    <w:semiHidden/>
    <w:unhideWhenUsed/>
    <w:rsid w:val="00AB4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76"/>
    <w:rPr>
      <w:rFonts w:ascii="Segoe UI" w:hAnsi="Segoe UI" w:cs="Segoe UI"/>
      <w:sz w:val="18"/>
      <w:szCs w:val="18"/>
    </w:rPr>
  </w:style>
  <w:style w:type="paragraph" w:styleId="ListParagraph">
    <w:name w:val="List Paragraph"/>
    <w:basedOn w:val="Normal"/>
    <w:uiPriority w:val="34"/>
    <w:qFormat/>
    <w:rsid w:val="00FD3CD4"/>
    <w:pPr>
      <w:ind w:left="720"/>
      <w:contextualSpacing/>
    </w:pPr>
  </w:style>
  <w:style w:type="paragraph" w:styleId="NoSpacing">
    <w:name w:val="No Spacing"/>
    <w:uiPriority w:val="1"/>
    <w:qFormat/>
    <w:rsid w:val="00942EE6"/>
    <w:pPr>
      <w:spacing w:after="0" w:line="240" w:lineRule="auto"/>
    </w:pPr>
    <w:rPr>
      <w:rFonts w:ascii="Arial" w:hAnsi="Arial"/>
      <w:sz w:val="24"/>
    </w:rPr>
  </w:style>
  <w:style w:type="paragraph" w:styleId="Header">
    <w:name w:val="header"/>
    <w:basedOn w:val="Normal"/>
    <w:link w:val="HeaderChar"/>
    <w:uiPriority w:val="99"/>
    <w:unhideWhenUsed/>
    <w:rsid w:val="0095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BB3"/>
    <w:rPr>
      <w:rFonts w:ascii="Arial" w:hAnsi="Arial"/>
      <w:sz w:val="24"/>
    </w:rPr>
  </w:style>
  <w:style w:type="paragraph" w:styleId="Footer">
    <w:name w:val="footer"/>
    <w:basedOn w:val="Normal"/>
    <w:link w:val="FooterChar"/>
    <w:uiPriority w:val="99"/>
    <w:unhideWhenUsed/>
    <w:rsid w:val="0095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BB3"/>
    <w:rPr>
      <w:rFonts w:ascii="Arial" w:hAnsi="Arial"/>
      <w:sz w:val="24"/>
    </w:rPr>
  </w:style>
  <w:style w:type="paragraph" w:styleId="FootnoteText">
    <w:name w:val="footnote text"/>
    <w:basedOn w:val="Normal"/>
    <w:link w:val="FootnoteTextChar"/>
    <w:uiPriority w:val="99"/>
    <w:unhideWhenUsed/>
    <w:rsid w:val="0005353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5353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3535"/>
    <w:rPr>
      <w:vertAlign w:val="superscript"/>
    </w:rPr>
  </w:style>
  <w:style w:type="character" w:customStyle="1" w:styleId="highlight2">
    <w:name w:val="highlight2"/>
    <w:basedOn w:val="DefaultParagraphFont"/>
    <w:rsid w:val="00A765B8"/>
  </w:style>
  <w:style w:type="character" w:styleId="CommentReference">
    <w:name w:val="annotation reference"/>
    <w:basedOn w:val="DefaultParagraphFont"/>
    <w:uiPriority w:val="99"/>
    <w:semiHidden/>
    <w:unhideWhenUsed/>
    <w:rsid w:val="009B0CB7"/>
    <w:rPr>
      <w:sz w:val="16"/>
      <w:szCs w:val="16"/>
    </w:rPr>
  </w:style>
  <w:style w:type="paragraph" w:styleId="CommentText">
    <w:name w:val="annotation text"/>
    <w:basedOn w:val="Normal"/>
    <w:link w:val="CommentTextChar"/>
    <w:uiPriority w:val="99"/>
    <w:semiHidden/>
    <w:unhideWhenUsed/>
    <w:rsid w:val="009B0CB7"/>
    <w:pPr>
      <w:spacing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9B0CB7"/>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37524">
      <w:bodyDiv w:val="1"/>
      <w:marLeft w:val="0"/>
      <w:marRight w:val="0"/>
      <w:marTop w:val="0"/>
      <w:marBottom w:val="0"/>
      <w:divBdr>
        <w:top w:val="none" w:sz="0" w:space="0" w:color="auto"/>
        <w:left w:val="none" w:sz="0" w:space="0" w:color="auto"/>
        <w:bottom w:val="none" w:sz="0" w:space="0" w:color="auto"/>
        <w:right w:val="none" w:sz="0" w:space="0" w:color="auto"/>
      </w:divBdr>
    </w:div>
    <w:div w:id="725377697">
      <w:bodyDiv w:val="1"/>
      <w:marLeft w:val="0"/>
      <w:marRight w:val="0"/>
      <w:marTop w:val="0"/>
      <w:marBottom w:val="0"/>
      <w:divBdr>
        <w:top w:val="none" w:sz="0" w:space="0" w:color="auto"/>
        <w:left w:val="none" w:sz="0" w:space="0" w:color="auto"/>
        <w:bottom w:val="none" w:sz="0" w:space="0" w:color="auto"/>
        <w:right w:val="none" w:sz="0" w:space="0" w:color="auto"/>
      </w:divBdr>
    </w:div>
    <w:div w:id="11208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106</cp:revision>
  <cp:lastPrinted>2024-04-12T06:33:00Z</cp:lastPrinted>
  <dcterms:created xsi:type="dcterms:W3CDTF">2020-10-26T03:36:00Z</dcterms:created>
  <dcterms:modified xsi:type="dcterms:W3CDTF">2024-04-12T07:08:00Z</dcterms:modified>
</cp:coreProperties>
</file>