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5289"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57441282"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6986DCAA"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75CC64FC"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3D4B01B9"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018DD886"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39B836A4"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6B1500A0"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1FC5F7A2"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08B9BEEC"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58DE18A2"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5B63E1D5"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21DB8032"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7CD1D381"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18ABF7CC"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184E115F"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p>
    <w:p w14:paraId="05FD2F33" w14:textId="77777777" w:rsidR="00D709F9" w:rsidRPr="00C367CB" w:rsidRDefault="00D709F9" w:rsidP="00D709F9">
      <w:pPr>
        <w:spacing w:after="0" w:line="240" w:lineRule="auto"/>
        <w:jc w:val="center"/>
        <w:rPr>
          <w:rFonts w:ascii="Arial" w:eastAsia="Times New Roman" w:hAnsi="Arial" w:cs="Arial"/>
          <w:b/>
          <w:noProof/>
          <w:sz w:val="24"/>
          <w:szCs w:val="24"/>
          <w:lang w:val="mn-MN"/>
        </w:rPr>
      </w:pPr>
      <w:r w:rsidRPr="00C367CB">
        <w:rPr>
          <w:rFonts w:ascii="Arial" w:eastAsia="Times New Roman" w:hAnsi="Arial" w:cs="Arial"/>
          <w:b/>
          <w:noProof/>
          <w:sz w:val="24"/>
          <w:szCs w:val="24"/>
          <w:lang w:val="mn-MN"/>
        </w:rPr>
        <w:t>ЦЭРГИЙН АЛБА ХААГЧИЙН ТЭТГЭВЭР, ТЭТГЭМЖИЙН ТУХАЙ ХУУЛИЙН</w:t>
      </w:r>
    </w:p>
    <w:p w14:paraId="5D086828" w14:textId="65E0878A" w:rsidR="00D709F9" w:rsidRPr="00C367CB" w:rsidRDefault="00D709F9" w:rsidP="00D709F9">
      <w:pPr>
        <w:spacing w:after="0" w:line="240" w:lineRule="auto"/>
        <w:jc w:val="center"/>
        <w:rPr>
          <w:rFonts w:ascii="Arial" w:eastAsia="Times New Roman" w:hAnsi="Arial" w:cs="Arial"/>
          <w:b/>
          <w:noProof/>
          <w:sz w:val="24"/>
          <w:szCs w:val="24"/>
          <w:lang w:val="mn-MN"/>
        </w:rPr>
      </w:pPr>
      <w:r w:rsidRPr="00C367CB">
        <w:rPr>
          <w:rFonts w:ascii="Arial" w:eastAsia="Times New Roman" w:hAnsi="Arial" w:cs="Arial"/>
          <w:b/>
          <w:noProof/>
          <w:sz w:val="24"/>
          <w:szCs w:val="24"/>
          <w:lang w:val="mn-MN"/>
        </w:rPr>
        <w:t>ХЭРЭГЖИЛТИЙН ҮР ДАГАВАРТ ХИЙСЭН ҮНЭЛГЭЭ</w:t>
      </w:r>
    </w:p>
    <w:p w14:paraId="26909BF4" w14:textId="77777777" w:rsidR="00D709F9" w:rsidRPr="00C367CB" w:rsidRDefault="00D709F9" w:rsidP="00D709F9">
      <w:pPr>
        <w:spacing w:after="0" w:line="240" w:lineRule="auto"/>
        <w:jc w:val="both"/>
        <w:rPr>
          <w:noProof/>
          <w:lang w:val="mn-MN"/>
        </w:rPr>
      </w:pPr>
    </w:p>
    <w:p w14:paraId="14BB95D1" w14:textId="77777777" w:rsidR="00D709F9" w:rsidRPr="00C367CB" w:rsidRDefault="00D709F9" w:rsidP="00D709F9">
      <w:pPr>
        <w:spacing w:after="0" w:line="240" w:lineRule="auto"/>
        <w:ind w:left="-142"/>
        <w:rPr>
          <w:rFonts w:ascii="Arial" w:eastAsia="Times New Roman" w:hAnsi="Arial" w:cs="Arial"/>
          <w:noProof/>
          <w:sz w:val="24"/>
          <w:szCs w:val="24"/>
          <w:lang w:val="mn-MN"/>
        </w:rPr>
      </w:pPr>
    </w:p>
    <w:p w14:paraId="7B6F32E9" w14:textId="77777777" w:rsidR="00D709F9" w:rsidRPr="00C367CB" w:rsidRDefault="00D709F9" w:rsidP="00D709F9">
      <w:pPr>
        <w:spacing w:after="0" w:line="240" w:lineRule="auto"/>
        <w:ind w:left="-142"/>
        <w:rPr>
          <w:rFonts w:ascii="Arial" w:eastAsia="Times New Roman" w:hAnsi="Arial" w:cs="Arial"/>
          <w:noProof/>
          <w:sz w:val="24"/>
          <w:szCs w:val="24"/>
          <w:lang w:val="mn-MN"/>
        </w:rPr>
      </w:pPr>
    </w:p>
    <w:p w14:paraId="7401197D"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693BD28F"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3709A56C"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081BE22D"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30C085D5"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64DAF9AB"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3FA9054A"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523CBE80"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F650D70"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62C172D4"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325F13A5"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0481789D"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5FCC013"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C619D13"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47D3CBA0"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23379E5B"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27C2CBBF"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70F2B2F"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1BF8B13F"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2EB48B70"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5F562173"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064E29D9"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FA820FA"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70060B08"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32E2279F"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6C1CB815"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2916C007"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68D18809"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495CA3A6"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p>
    <w:p w14:paraId="01FF041B"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r w:rsidRPr="00C367CB">
        <w:rPr>
          <w:rFonts w:ascii="Arial" w:eastAsia="Times New Roman" w:hAnsi="Arial" w:cs="Arial"/>
          <w:noProof/>
          <w:sz w:val="24"/>
          <w:szCs w:val="24"/>
          <w:lang w:val="mn-MN"/>
        </w:rPr>
        <w:t>Улаанбаатар хот</w:t>
      </w:r>
    </w:p>
    <w:p w14:paraId="2F4D2965" w14:textId="77777777" w:rsidR="00D709F9" w:rsidRPr="00C367CB" w:rsidRDefault="00D709F9" w:rsidP="00D709F9">
      <w:pPr>
        <w:spacing w:after="0" w:line="240" w:lineRule="auto"/>
        <w:ind w:left="-142"/>
        <w:jc w:val="center"/>
        <w:rPr>
          <w:rFonts w:ascii="Arial" w:eastAsia="Times New Roman" w:hAnsi="Arial" w:cs="Arial"/>
          <w:noProof/>
          <w:sz w:val="24"/>
          <w:szCs w:val="24"/>
          <w:lang w:val="mn-MN"/>
        </w:rPr>
      </w:pPr>
      <w:r w:rsidRPr="00C367CB">
        <w:rPr>
          <w:rFonts w:ascii="Arial" w:eastAsia="Times New Roman" w:hAnsi="Arial" w:cs="Arial"/>
          <w:noProof/>
          <w:sz w:val="24"/>
          <w:szCs w:val="24"/>
          <w:lang w:val="mn-MN"/>
        </w:rPr>
        <w:t>2024 он</w:t>
      </w:r>
    </w:p>
    <w:p w14:paraId="3E39DA44" w14:textId="77777777" w:rsidR="00D709F9" w:rsidRPr="00C367CB" w:rsidRDefault="00D709F9" w:rsidP="00D709F9">
      <w:pPr>
        <w:spacing w:after="0" w:line="240" w:lineRule="auto"/>
        <w:jc w:val="center"/>
        <w:rPr>
          <w:rFonts w:ascii="Arial" w:hAnsi="Arial" w:cs="Arial"/>
          <w:noProof/>
          <w:sz w:val="24"/>
          <w:lang w:val="mn-MN"/>
        </w:rPr>
      </w:pPr>
      <w:r w:rsidRPr="00C367CB">
        <w:rPr>
          <w:rFonts w:ascii="Arial" w:hAnsi="Arial" w:cs="Arial"/>
          <w:noProof/>
          <w:sz w:val="24"/>
          <w:lang w:val="mn-MN"/>
        </w:rPr>
        <w:lastRenderedPageBreak/>
        <w:t>АГУУЛГА</w:t>
      </w:r>
    </w:p>
    <w:p w14:paraId="4C7733A0" w14:textId="77777777" w:rsidR="00D709F9" w:rsidRPr="00C367CB" w:rsidRDefault="00D709F9" w:rsidP="00D709F9">
      <w:pPr>
        <w:spacing w:after="0" w:line="240" w:lineRule="auto"/>
        <w:jc w:val="center"/>
        <w:rPr>
          <w:rFonts w:ascii="Arial" w:hAnsi="Arial" w:cs="Arial"/>
          <w:noProof/>
          <w:sz w:val="24"/>
          <w:lang w:val="mn-MN"/>
        </w:rPr>
      </w:pPr>
    </w:p>
    <w:p w14:paraId="14046190"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Удиртгал</w:t>
      </w:r>
    </w:p>
    <w:p w14:paraId="071F7C07" w14:textId="77777777" w:rsidR="00D709F9" w:rsidRPr="00C367CB" w:rsidRDefault="00D709F9" w:rsidP="00D709F9">
      <w:pPr>
        <w:spacing w:after="0" w:line="240" w:lineRule="auto"/>
        <w:jc w:val="both"/>
        <w:rPr>
          <w:rFonts w:ascii="Arial" w:hAnsi="Arial" w:cs="Arial"/>
          <w:noProof/>
          <w:sz w:val="24"/>
          <w:lang w:val="mn-MN"/>
        </w:rPr>
      </w:pPr>
    </w:p>
    <w:p w14:paraId="5DE5BA2F"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НЭГ.ТӨЛӨВЛӨХ ҮЕ ШАТ</w:t>
      </w:r>
    </w:p>
    <w:p w14:paraId="6A3ACE17" w14:textId="77777777" w:rsidR="00EA2362" w:rsidRPr="00C367CB" w:rsidRDefault="00EA2362" w:rsidP="00D709F9">
      <w:pPr>
        <w:spacing w:after="0" w:line="240" w:lineRule="auto"/>
        <w:jc w:val="both"/>
        <w:rPr>
          <w:rFonts w:ascii="Arial" w:hAnsi="Arial" w:cs="Arial"/>
          <w:noProof/>
          <w:sz w:val="24"/>
          <w:lang w:val="mn-MN"/>
        </w:rPr>
      </w:pPr>
    </w:p>
    <w:p w14:paraId="51248C44"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1.1. Үнэлгээ хийх шалтгааныг тодорхойлох</w:t>
      </w:r>
    </w:p>
    <w:p w14:paraId="0225FBD3"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1.2. Үнэлгээ хийх хүрээг тогтоох</w:t>
      </w:r>
    </w:p>
    <w:p w14:paraId="063A8F71"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1.3. Шалгуур үзүүлэлтийг сонгож тогтоох</w:t>
      </w:r>
    </w:p>
    <w:p w14:paraId="0F9DA7F7"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1.4. Үнэлгээний харьцуулах хэлбэрийг сонгох</w:t>
      </w:r>
    </w:p>
    <w:p w14:paraId="2E4164E5"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1.5. Шалгуур үзүүлэлтийг томьёолох</w:t>
      </w:r>
    </w:p>
    <w:p w14:paraId="1DC87C4C" w14:textId="77777777" w:rsidR="00D709F9" w:rsidRPr="00C367CB" w:rsidRDefault="00D709F9" w:rsidP="00D709F9">
      <w:pPr>
        <w:spacing w:after="0" w:line="240" w:lineRule="auto"/>
        <w:ind w:firstLine="720"/>
        <w:jc w:val="both"/>
        <w:rPr>
          <w:rFonts w:ascii="Arial" w:hAnsi="Arial" w:cs="Arial"/>
          <w:noProof/>
          <w:sz w:val="24"/>
          <w:lang w:val="mn-MN"/>
        </w:rPr>
      </w:pPr>
      <w:r w:rsidRPr="00C367CB">
        <w:rPr>
          <w:rFonts w:ascii="Arial" w:hAnsi="Arial" w:cs="Arial"/>
          <w:noProof/>
          <w:sz w:val="24"/>
          <w:lang w:val="mn-MN"/>
        </w:rPr>
        <w:t>1.6. Мэдээлэл цуглуулах аргыг сонгох</w:t>
      </w:r>
    </w:p>
    <w:p w14:paraId="2F553C4D" w14:textId="77777777" w:rsidR="00D709F9" w:rsidRPr="00C367CB" w:rsidRDefault="00D709F9" w:rsidP="00D709F9">
      <w:pPr>
        <w:spacing w:after="0" w:line="240" w:lineRule="auto"/>
        <w:jc w:val="both"/>
        <w:rPr>
          <w:rFonts w:ascii="Arial" w:hAnsi="Arial" w:cs="Arial"/>
          <w:noProof/>
          <w:sz w:val="24"/>
          <w:lang w:val="mn-MN"/>
        </w:rPr>
      </w:pPr>
    </w:p>
    <w:p w14:paraId="73F71925"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ХОЁР.ХЭРЭГЖҮҮЛЭХ ҮЕ ШАТ</w:t>
      </w:r>
    </w:p>
    <w:p w14:paraId="698C875A" w14:textId="77777777" w:rsidR="00D709F9" w:rsidRPr="00C367CB" w:rsidRDefault="00D709F9" w:rsidP="00D709F9">
      <w:pPr>
        <w:spacing w:after="0" w:line="240" w:lineRule="auto"/>
        <w:jc w:val="both"/>
        <w:rPr>
          <w:rFonts w:ascii="Arial" w:hAnsi="Arial" w:cs="Arial"/>
          <w:noProof/>
          <w:sz w:val="24"/>
          <w:lang w:val="mn-MN"/>
        </w:rPr>
      </w:pPr>
    </w:p>
    <w:p w14:paraId="4F31874C"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ab/>
        <w:t>2.1. Холбогдох субьектээс судалгаа авах</w:t>
      </w:r>
    </w:p>
    <w:p w14:paraId="3A205543" w14:textId="77777777" w:rsidR="00D709F9" w:rsidRPr="00C367CB" w:rsidRDefault="00D709F9" w:rsidP="00D709F9">
      <w:pPr>
        <w:spacing w:after="0" w:line="240" w:lineRule="auto"/>
        <w:jc w:val="both"/>
        <w:rPr>
          <w:rFonts w:ascii="Arial" w:hAnsi="Arial" w:cs="Arial"/>
          <w:noProof/>
          <w:sz w:val="24"/>
          <w:lang w:val="mn-MN"/>
        </w:rPr>
      </w:pPr>
    </w:p>
    <w:p w14:paraId="0573BF57"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ГУРАВ.ҮНЭЛЭХ ҮЕ ШАТ</w:t>
      </w:r>
    </w:p>
    <w:p w14:paraId="44801178" w14:textId="77777777" w:rsidR="00D709F9" w:rsidRPr="00C367CB" w:rsidRDefault="00D709F9" w:rsidP="00D709F9">
      <w:pPr>
        <w:spacing w:after="0" w:line="240" w:lineRule="auto"/>
        <w:ind w:left="720"/>
        <w:jc w:val="both"/>
        <w:rPr>
          <w:rFonts w:ascii="Arial" w:hAnsi="Arial" w:cs="Arial"/>
          <w:noProof/>
          <w:sz w:val="24"/>
          <w:lang w:val="mn-MN"/>
        </w:rPr>
      </w:pPr>
    </w:p>
    <w:p w14:paraId="002B1086" w14:textId="77777777" w:rsidR="00D709F9" w:rsidRPr="00C367CB" w:rsidRDefault="00D709F9" w:rsidP="00D709F9">
      <w:pPr>
        <w:spacing w:after="0" w:line="240" w:lineRule="auto"/>
        <w:ind w:left="720"/>
        <w:jc w:val="both"/>
        <w:rPr>
          <w:rFonts w:ascii="Arial" w:hAnsi="Arial" w:cs="Arial"/>
          <w:noProof/>
          <w:sz w:val="24"/>
          <w:lang w:val="mn-MN"/>
        </w:rPr>
      </w:pPr>
      <w:r w:rsidRPr="00C367CB">
        <w:rPr>
          <w:rFonts w:ascii="Arial" w:hAnsi="Arial" w:cs="Arial"/>
          <w:noProof/>
          <w:sz w:val="24"/>
          <w:lang w:val="mn-MN"/>
        </w:rPr>
        <w:t>3.1. “Зорилгод хүрсэн түвшин” шалгуур үзүүлэлтийн хүрээнд үнэлсэн байдал</w:t>
      </w:r>
    </w:p>
    <w:p w14:paraId="0F2595B0" w14:textId="77777777" w:rsidR="00D709F9" w:rsidRPr="00C367CB" w:rsidRDefault="00D709F9" w:rsidP="00D709F9">
      <w:pPr>
        <w:spacing w:after="0" w:line="240" w:lineRule="auto"/>
        <w:jc w:val="both"/>
        <w:rPr>
          <w:rFonts w:ascii="Arial" w:hAnsi="Arial" w:cs="Arial"/>
          <w:noProof/>
          <w:sz w:val="24"/>
          <w:lang w:val="mn-MN"/>
        </w:rPr>
      </w:pPr>
    </w:p>
    <w:p w14:paraId="2FEC2C79"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ДӨРӨВ.ДҮГНЭЛТ</w:t>
      </w:r>
    </w:p>
    <w:p w14:paraId="1272F442" w14:textId="77777777" w:rsidR="00D709F9" w:rsidRPr="00C367CB" w:rsidRDefault="00D709F9" w:rsidP="00D709F9">
      <w:pPr>
        <w:spacing w:after="0" w:line="240" w:lineRule="auto"/>
        <w:jc w:val="both"/>
        <w:rPr>
          <w:rFonts w:ascii="Arial" w:hAnsi="Arial" w:cs="Arial"/>
          <w:noProof/>
          <w:sz w:val="24"/>
          <w:lang w:val="mn-MN"/>
        </w:rPr>
      </w:pPr>
    </w:p>
    <w:p w14:paraId="5F114CE9" w14:textId="77777777" w:rsidR="00D709F9" w:rsidRPr="00C367CB" w:rsidRDefault="00D709F9" w:rsidP="00D709F9">
      <w:pPr>
        <w:spacing w:after="0" w:line="240" w:lineRule="auto"/>
        <w:jc w:val="both"/>
        <w:rPr>
          <w:rFonts w:ascii="Arial" w:hAnsi="Arial" w:cs="Arial"/>
          <w:noProof/>
          <w:sz w:val="24"/>
          <w:lang w:val="mn-MN"/>
        </w:rPr>
      </w:pPr>
      <w:r w:rsidRPr="00C367CB">
        <w:rPr>
          <w:rFonts w:ascii="Arial" w:hAnsi="Arial" w:cs="Arial"/>
          <w:noProof/>
          <w:sz w:val="24"/>
          <w:lang w:val="mn-MN"/>
        </w:rPr>
        <w:t>ТАВ.САНАЛ</w:t>
      </w:r>
    </w:p>
    <w:p w14:paraId="35C064AE" w14:textId="77777777" w:rsidR="00D709F9" w:rsidRPr="00C367CB" w:rsidRDefault="00D709F9" w:rsidP="00D709F9">
      <w:pPr>
        <w:spacing w:after="0" w:line="240" w:lineRule="auto"/>
        <w:rPr>
          <w:rFonts w:ascii="Arial" w:hAnsi="Arial" w:cs="Arial"/>
          <w:noProof/>
          <w:sz w:val="24"/>
          <w:lang w:val="mn-MN"/>
        </w:rPr>
      </w:pPr>
      <w:r w:rsidRPr="00C367CB">
        <w:rPr>
          <w:rFonts w:ascii="Arial" w:hAnsi="Arial" w:cs="Arial"/>
          <w:noProof/>
          <w:sz w:val="24"/>
          <w:lang w:val="mn-MN"/>
        </w:rPr>
        <w:br w:type="page"/>
      </w:r>
    </w:p>
    <w:p w14:paraId="30E33F7A" w14:textId="77777777" w:rsidR="00D709F9" w:rsidRPr="00C367CB" w:rsidRDefault="00D709F9" w:rsidP="00D709F9">
      <w:pPr>
        <w:spacing w:after="0" w:line="240" w:lineRule="auto"/>
        <w:jc w:val="center"/>
        <w:rPr>
          <w:rFonts w:ascii="Arial" w:hAnsi="Arial" w:cs="Arial"/>
          <w:b/>
          <w:noProof/>
          <w:sz w:val="24"/>
          <w:lang w:val="mn-MN"/>
        </w:rPr>
      </w:pPr>
      <w:r w:rsidRPr="00C367CB">
        <w:rPr>
          <w:rFonts w:ascii="Arial" w:hAnsi="Arial" w:cs="Arial"/>
          <w:b/>
          <w:noProof/>
          <w:sz w:val="24"/>
          <w:lang w:val="mn-MN"/>
        </w:rPr>
        <w:lastRenderedPageBreak/>
        <w:t>УДИРТГАЛ</w:t>
      </w:r>
    </w:p>
    <w:p w14:paraId="1907041D" w14:textId="77777777" w:rsidR="00D709F9" w:rsidRPr="00C367CB" w:rsidRDefault="00D709F9" w:rsidP="00D709F9">
      <w:pPr>
        <w:spacing w:after="0" w:line="240" w:lineRule="auto"/>
        <w:jc w:val="center"/>
        <w:rPr>
          <w:rFonts w:ascii="Arial" w:hAnsi="Arial" w:cs="Arial"/>
          <w:b/>
          <w:noProof/>
          <w:sz w:val="24"/>
          <w:lang w:val="mn-MN"/>
        </w:rPr>
      </w:pPr>
    </w:p>
    <w:p w14:paraId="3D358961" w14:textId="3D09184F" w:rsidR="00D709F9" w:rsidRPr="00C367CB" w:rsidRDefault="00D709F9" w:rsidP="00D709F9">
      <w:pPr>
        <w:spacing w:after="0" w:line="240" w:lineRule="auto"/>
        <w:ind w:firstLine="720"/>
        <w:jc w:val="both"/>
        <w:rPr>
          <w:rFonts w:ascii="Arial" w:hAnsi="Arial" w:cs="Arial"/>
          <w:noProof/>
          <w:sz w:val="24"/>
          <w:lang w:val="mn-MN"/>
        </w:rPr>
      </w:pPr>
      <w:r w:rsidRPr="00C367CB">
        <w:rPr>
          <w:rFonts w:ascii="Arial" w:hAnsi="Arial" w:cs="Arial"/>
          <w:noProof/>
          <w:sz w:val="24"/>
          <w:lang w:val="mn-MN"/>
        </w:rPr>
        <w:t>Дэлхийн улс орон бүр өөрийн үндэсний аюулгүй байдлыг хангах тусгайлсан чиг үүрэг бүхий байгууллагатай байдаг бөгөөд тухайн байгууллагын ажилтан, алба хаагчдад улс орнууд харилцан адилгүй нийгэм хамгааллын үйлчилгээ үзүүлдэг. Монгол Улсын хувьд үндэсний аюулгүй байдлыг хангах чиг үүрэгтэй байгууллагуудыг тус харилцааг зохицуулж буй Үндэсний аюулгүй байдлын тухай хуулийн 7 дугаар зүйлд заасан.</w:t>
      </w:r>
    </w:p>
    <w:p w14:paraId="49E41498" w14:textId="77777777" w:rsidR="00D709F9" w:rsidRPr="00C367CB" w:rsidRDefault="00D709F9" w:rsidP="00D709F9">
      <w:pPr>
        <w:spacing w:after="0" w:line="240" w:lineRule="auto"/>
        <w:ind w:firstLine="720"/>
        <w:jc w:val="both"/>
        <w:rPr>
          <w:rFonts w:ascii="Arial" w:hAnsi="Arial" w:cs="Arial"/>
          <w:noProof/>
          <w:sz w:val="24"/>
          <w:lang w:val="mn-MN"/>
        </w:rPr>
      </w:pPr>
    </w:p>
    <w:p w14:paraId="4DF6FA90" w14:textId="648C2F20"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lang w:val="mn-MN"/>
        </w:rPr>
        <w:t xml:space="preserve">Үндэсний аюулгүй байдлыг хангах чиг үүрэгтэй </w:t>
      </w:r>
      <w:r w:rsidRPr="00C367CB">
        <w:rPr>
          <w:rFonts w:ascii="Arial" w:hAnsi="Arial" w:cs="Arial"/>
          <w:noProof/>
          <w:sz w:val="24"/>
          <w:szCs w:val="20"/>
          <w:shd w:val="clear" w:color="auto" w:fill="FFFFFF"/>
          <w:lang w:val="mn-MN"/>
        </w:rPr>
        <w:t>Зэвсэгт хүчин, хилийн ба дотоодын цэрэг, тагнуул, төрийн тусгай хамгаалалт, цагдаа, шүүх шинжилгээний болон авлигатай тэмцэх, онцгой байдлын асуудал эрхэлсэн болон шүүхийн шийдвэр гүйцэтгэх байгууллагад алба хааж буй генерал, офицер, ахлагч, түрүүч, байлдагч, цэрэг, цагдаагийн сургуулийн сонсогч /цаашид “цэргийн алба хаагч” гэх/ нарт тэтгэвэр, тэтгэмж тогтоож олгохтой холбогдсон харилцааг зохицуулсан Цэргийн алба хаагчийн тэтгэвэр тэтгэмжийн тухай хуулий</w:t>
      </w:r>
      <w:r w:rsidR="00EA2362" w:rsidRPr="00C367CB">
        <w:rPr>
          <w:rFonts w:ascii="Arial" w:hAnsi="Arial" w:cs="Arial"/>
          <w:noProof/>
          <w:sz w:val="24"/>
          <w:szCs w:val="20"/>
          <w:shd w:val="clear" w:color="auto" w:fill="FFFFFF"/>
          <w:lang w:val="mn-MN"/>
        </w:rPr>
        <w:t>г</w:t>
      </w:r>
      <w:r w:rsidRPr="00C367CB">
        <w:rPr>
          <w:rFonts w:ascii="Arial" w:hAnsi="Arial" w:cs="Arial"/>
          <w:noProof/>
          <w:sz w:val="24"/>
          <w:szCs w:val="20"/>
          <w:shd w:val="clear" w:color="auto" w:fill="FFFFFF"/>
          <w:lang w:val="mn-MN"/>
        </w:rPr>
        <w:t xml:space="preserve"> Монгол Улсын Их Хурал 1994 онд баталсан. Тус хууль батлагдсанаас хойш цаг үеийн болон нийгмийн хэрэгцээ шаардлагаар нийт 27 удаа нэмэлт, өөрчлөлт орж, тухайн хуулийг нэг мөр мөрдөх, хэрэглэх талаар Улсын дээд шүүх 2 тайлбар гаргасан.</w:t>
      </w:r>
    </w:p>
    <w:p w14:paraId="16F73D02"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25EC2F46"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Цэргийн алба хаагчийн тэтгэвэр, тэтгэмжийн тухай хуулийн 10, 14, 20 дугаар зүйлд заасны дагуу үндэсний аюулгүй байдлыг хангах чиг үүрэгтэй байгууллага болох Зэвсэгт хүчний Жанжин штабаас албан үүргээ гүйцэтгэж яваад амь эрсэдсэн, нас барсан цэргийн алба хаагчийн гэр бүлд сүүлийн 5 жилийн хугацаанд 715,172,277 сая төгрөгийн нэг удаагийн тэтгэмжийг олгоод байна.</w:t>
      </w:r>
      <w:r w:rsidRPr="00C367CB">
        <w:rPr>
          <w:rStyle w:val="FootnoteReference"/>
          <w:rFonts w:ascii="Arial" w:hAnsi="Arial" w:cs="Arial"/>
          <w:noProof/>
          <w:sz w:val="24"/>
          <w:shd w:val="clear" w:color="auto" w:fill="FFFFFF"/>
          <w:lang w:val="mn-MN"/>
        </w:rPr>
        <w:footnoteReference w:id="1"/>
      </w:r>
    </w:p>
    <w:p w14:paraId="70DE5716"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1CBFCBD9" w14:textId="77777777" w:rsidR="00D709F9" w:rsidRPr="00C367CB" w:rsidRDefault="00D709F9" w:rsidP="00D709F9">
      <w:pPr>
        <w:spacing w:after="0" w:line="240" w:lineRule="auto"/>
        <w:ind w:left="-142" w:firstLine="862"/>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Монгол Улсын Их Хурлын 2021 оны 1 дүгээр сарын 22-ны өдрийн 12 дугаар тогтоолоор баталсан “Монгол Улсын хууль тогтоомжийг 2024 он хүртэл боловсронгуй болгох үндсэн чиглэл” баримт бичигт батлан хамгаалах чиглэлээр Цэргийн алба хаагчийн тэтгэвэр, тэтгэмжийн тухай хуульд нэмэлт, өөрчлөлт оруулахаар тусгаж, Ахмад настны тухай хуульд заасан нийгмийн баталгаагаар хангагдах, цэргийн тэтгэвэр авагч нас барсан тохиолдолд түүний ар гэрт оршуулгын тэтгэмж олгохтой холбоотой эрх зүйн зохицуулалтыг тусгахаар заасан.</w:t>
      </w:r>
    </w:p>
    <w:p w14:paraId="04FC0A32" w14:textId="77777777" w:rsidR="00D709F9" w:rsidRPr="00C367CB" w:rsidRDefault="00D709F9" w:rsidP="00D709F9">
      <w:pPr>
        <w:spacing w:after="0" w:line="240" w:lineRule="auto"/>
        <w:ind w:left="-142" w:firstLine="862"/>
        <w:jc w:val="both"/>
        <w:rPr>
          <w:rFonts w:ascii="Arial" w:eastAsia="Times New Roman" w:hAnsi="Arial" w:cs="Arial"/>
          <w:noProof/>
          <w:sz w:val="24"/>
          <w:szCs w:val="24"/>
          <w:lang w:val="mn-MN"/>
        </w:rPr>
      </w:pPr>
    </w:p>
    <w:p w14:paraId="541FC2C8" w14:textId="70F8D9BB"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Дээрх Монгол Улсын Их Хурлын 2021 оны 12 дугаар тогтоолын дагуу нас барсан цэргийн алба хаагчийн ар гэрт төрөөс үзүүлэх нийгэм хамгааллын зохицуулалт болох Цэргийн алба хаагчийн тэтгэвэр, тэтгэмжийн тухай хуулийн 10, 14, 20 дугаар зүйлийн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аргачлал”-ыг баримтлан үнэлгээ хийсэн болно.</w:t>
      </w:r>
    </w:p>
    <w:p w14:paraId="61804959" w14:textId="77777777" w:rsidR="00D709F9" w:rsidRPr="00C367CB" w:rsidRDefault="00D709F9" w:rsidP="00D709F9">
      <w:pPr>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br w:type="page"/>
      </w:r>
    </w:p>
    <w:p w14:paraId="118ABB3E" w14:textId="77777777" w:rsidR="00D709F9" w:rsidRPr="00C367CB" w:rsidRDefault="00D709F9" w:rsidP="00D709F9">
      <w:pPr>
        <w:spacing w:after="0" w:line="240" w:lineRule="auto"/>
        <w:jc w:val="center"/>
        <w:rPr>
          <w:rFonts w:ascii="Arial" w:hAnsi="Arial" w:cs="Arial"/>
          <w:b/>
          <w:noProof/>
          <w:sz w:val="24"/>
          <w:szCs w:val="20"/>
          <w:shd w:val="clear" w:color="auto" w:fill="FFFFFF"/>
          <w:lang w:val="mn-MN"/>
        </w:rPr>
      </w:pPr>
      <w:r w:rsidRPr="00C367CB">
        <w:rPr>
          <w:rFonts w:ascii="Arial" w:hAnsi="Arial" w:cs="Arial"/>
          <w:b/>
          <w:noProof/>
          <w:sz w:val="24"/>
          <w:szCs w:val="20"/>
          <w:shd w:val="clear" w:color="auto" w:fill="FFFFFF"/>
          <w:lang w:val="mn-MN"/>
        </w:rPr>
        <w:lastRenderedPageBreak/>
        <w:t>НЭГ.ТӨЛӨВЛӨХ ҮЕ ШАТ</w:t>
      </w:r>
    </w:p>
    <w:p w14:paraId="123E002F" w14:textId="77777777" w:rsidR="00D709F9" w:rsidRPr="00C367CB" w:rsidRDefault="00D709F9" w:rsidP="00D709F9">
      <w:pPr>
        <w:spacing w:after="0" w:line="240" w:lineRule="auto"/>
        <w:jc w:val="center"/>
        <w:rPr>
          <w:rFonts w:ascii="Arial" w:hAnsi="Arial" w:cs="Arial"/>
          <w:noProof/>
          <w:sz w:val="24"/>
          <w:szCs w:val="20"/>
          <w:shd w:val="clear" w:color="auto" w:fill="FFFFFF"/>
          <w:lang w:val="mn-MN"/>
        </w:rPr>
      </w:pPr>
    </w:p>
    <w:p w14:paraId="6F99C990"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Цэргийн алба хаагчийн тэтгэвэр, тэтгэмжийн тухай хууль /цаашид “ЦАХТТтХ” гэх/-ийн 10, 14, 20 дугаар зүйлийн хэрэгжилтийн үр дагаварт үнэлгээ хийх ажлыг Засгийн газрын 2016 оны 59 дүгээр тогтоолын 6 дугаар хавсралтаар батлагдсан “Хууль тогтоомжийн хэрэгжилтийн үр дагаварт үнэлгээ хийх аргачлал”-ын /цаашид “аргачлал” гэх/ дагуу төлөвлөх, хэрэгжүүлэх, үнэлэх гэсэн 3 үе шаттайгаар хийж гүйцэтгэсэн ба “төлөвлөх” шатанд дараах ажлыг хийж гүйцэтгэв. Үүнд:</w:t>
      </w:r>
    </w:p>
    <w:p w14:paraId="79D685E1"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35DB1096"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1. Үнэлгээ хийх шалтгааныг тодорхойлох;</w:t>
      </w:r>
    </w:p>
    <w:p w14:paraId="30180A1C"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2. Үнэлгээ хийх хүрээг тогтоох;</w:t>
      </w:r>
    </w:p>
    <w:p w14:paraId="25488FD1"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3. Шалгуур үзүүлэлтийг сонгож тогтоох;</w:t>
      </w:r>
    </w:p>
    <w:p w14:paraId="6BC20EE1"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4. Харьцуулах хэлбэрийг сонгох;</w:t>
      </w:r>
    </w:p>
    <w:p w14:paraId="0EC1B24C"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5. Шалгуур үзүүлэлтийг томьёолох;</w:t>
      </w:r>
    </w:p>
    <w:p w14:paraId="37E1B818"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6. Мэдээлэл цуглуулах аргыг сонгох.</w:t>
      </w:r>
    </w:p>
    <w:p w14:paraId="69604A2E"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2E0AC245" w14:textId="77777777" w:rsidR="00D709F9" w:rsidRPr="00C367CB" w:rsidRDefault="00D709F9" w:rsidP="00D709F9">
      <w:pPr>
        <w:spacing w:after="0" w:line="240" w:lineRule="auto"/>
        <w:jc w:val="both"/>
        <w:rPr>
          <w:rFonts w:ascii="Arial" w:hAnsi="Arial" w:cs="Arial"/>
          <w:b/>
          <w:noProof/>
          <w:sz w:val="24"/>
          <w:szCs w:val="20"/>
          <w:shd w:val="clear" w:color="auto" w:fill="FFFFFF"/>
          <w:lang w:val="mn-MN"/>
        </w:rPr>
      </w:pPr>
      <w:r w:rsidRPr="00C367CB">
        <w:rPr>
          <w:rFonts w:ascii="Arial" w:hAnsi="Arial" w:cs="Arial"/>
          <w:noProof/>
          <w:sz w:val="24"/>
          <w:szCs w:val="20"/>
          <w:shd w:val="clear" w:color="auto" w:fill="FFFFFF"/>
          <w:lang w:val="mn-MN"/>
        </w:rPr>
        <w:tab/>
      </w:r>
      <w:r w:rsidRPr="00C367CB">
        <w:rPr>
          <w:rFonts w:ascii="Arial" w:hAnsi="Arial" w:cs="Arial"/>
          <w:b/>
          <w:noProof/>
          <w:sz w:val="24"/>
          <w:szCs w:val="20"/>
          <w:shd w:val="clear" w:color="auto" w:fill="FFFFFF"/>
          <w:lang w:val="mn-MN"/>
        </w:rPr>
        <w:t>1.1. Үнэлгээ хийх шалтгааныг тодорхойлох</w:t>
      </w:r>
    </w:p>
    <w:p w14:paraId="6DCB98B2"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36ADD761"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Цэргийн алба хаагч нь ЦАХТТтХ-ийн 10 дугаар зүйлийн 1 дэх хэсэгт заасан шалтгааны улмаас нас барсан бол түүний гэр бүлийн хөдөлмөрийн чадваргүй гишүүдийн тэжээгчээ алдсаны тэтгэвэр авах, нас барагчийн ар гэрт олгох тэтгэмжийн харилцааг өнөөдрийн нөхцөлд шинээр зохицуулах шаардлага үүссэн эсэхийг тодорхойлох зорилгоор хулийн хэрэгжилтийг үнэлэх зайлшгүй шаардлагатай тул энэхүү судалгааг хийв.</w:t>
      </w:r>
    </w:p>
    <w:p w14:paraId="462C81AC"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347790BB" w14:textId="77777777" w:rsidR="00D709F9" w:rsidRPr="00C367CB" w:rsidRDefault="00D709F9" w:rsidP="00D709F9">
      <w:pPr>
        <w:spacing w:after="0" w:line="240" w:lineRule="auto"/>
        <w:jc w:val="both"/>
        <w:rPr>
          <w:rFonts w:ascii="Arial" w:hAnsi="Arial" w:cs="Arial"/>
          <w:b/>
          <w:noProof/>
          <w:sz w:val="24"/>
          <w:szCs w:val="20"/>
          <w:shd w:val="clear" w:color="auto" w:fill="FFFFFF"/>
          <w:lang w:val="mn-MN"/>
        </w:rPr>
      </w:pPr>
      <w:r w:rsidRPr="00C367CB">
        <w:rPr>
          <w:rFonts w:ascii="Arial" w:hAnsi="Arial" w:cs="Arial"/>
          <w:noProof/>
          <w:sz w:val="24"/>
          <w:szCs w:val="20"/>
          <w:shd w:val="clear" w:color="auto" w:fill="FFFFFF"/>
          <w:lang w:val="mn-MN"/>
        </w:rPr>
        <w:tab/>
      </w:r>
      <w:r w:rsidRPr="00C367CB">
        <w:rPr>
          <w:rFonts w:ascii="Arial" w:hAnsi="Arial" w:cs="Arial"/>
          <w:b/>
          <w:noProof/>
          <w:sz w:val="24"/>
          <w:szCs w:val="20"/>
          <w:shd w:val="clear" w:color="auto" w:fill="FFFFFF"/>
          <w:lang w:val="mn-MN"/>
        </w:rPr>
        <w:t>1.2. Үнэлгээ хийх хүрээг тогтоох</w:t>
      </w:r>
    </w:p>
    <w:p w14:paraId="69F82954"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70565BB9"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Үнэлгээний хүрээ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чиглэх шаардлагатай тул хүрээг дараах зохицуулалтаар тогтоолоо. Үүнд:</w:t>
      </w:r>
    </w:p>
    <w:p w14:paraId="3C09AABD"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59E7E91A" w14:textId="77777777" w:rsidR="00D709F9" w:rsidRPr="00C367CB" w:rsidRDefault="00D709F9" w:rsidP="00D709F9">
      <w:pPr>
        <w:spacing w:after="0" w:line="240" w:lineRule="auto"/>
        <w:ind w:firstLine="720"/>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 xml:space="preserve">- 10 дугаар зүйл /Хөдөлмөрийн чадвар алдсаны тэтгэвэр авах эрх/, </w:t>
      </w:r>
    </w:p>
    <w:p w14:paraId="30E67F7C" w14:textId="77777777" w:rsidR="00D709F9" w:rsidRPr="00C367CB" w:rsidRDefault="00D709F9" w:rsidP="00D709F9">
      <w:p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ab/>
        <w:t xml:space="preserve">- 14 дүгээр зүйл /Тэжээгчээ алдсаны тэтгэврийн хэмжээ/, </w:t>
      </w:r>
    </w:p>
    <w:p w14:paraId="15B58740" w14:textId="77777777" w:rsidR="00D709F9" w:rsidRPr="00C367CB" w:rsidRDefault="00D709F9" w:rsidP="00D709F9">
      <w:p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ab/>
        <w:t>- 20 дугаар зүйл /Нас барагчийн ар гэрт олгох тэтгэмж/.</w:t>
      </w:r>
    </w:p>
    <w:p w14:paraId="70125580"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0A66F2A2" w14:textId="77777777" w:rsidR="00D709F9" w:rsidRPr="00C367CB" w:rsidRDefault="00D709F9" w:rsidP="00D709F9">
      <w:pPr>
        <w:spacing w:after="0" w:line="240" w:lineRule="auto"/>
        <w:jc w:val="both"/>
        <w:rPr>
          <w:rFonts w:ascii="Arial" w:hAnsi="Arial" w:cs="Arial"/>
          <w:b/>
          <w:noProof/>
          <w:sz w:val="24"/>
          <w:szCs w:val="20"/>
          <w:shd w:val="clear" w:color="auto" w:fill="FFFFFF"/>
          <w:lang w:val="mn-MN"/>
        </w:rPr>
      </w:pPr>
      <w:r w:rsidRPr="00C367CB">
        <w:rPr>
          <w:rFonts w:ascii="Arial" w:hAnsi="Arial" w:cs="Arial"/>
          <w:noProof/>
          <w:sz w:val="24"/>
          <w:szCs w:val="20"/>
          <w:shd w:val="clear" w:color="auto" w:fill="FFFFFF"/>
          <w:lang w:val="mn-MN"/>
        </w:rPr>
        <w:tab/>
      </w:r>
      <w:r w:rsidRPr="00C367CB">
        <w:rPr>
          <w:rFonts w:ascii="Arial" w:hAnsi="Arial" w:cs="Arial"/>
          <w:b/>
          <w:noProof/>
          <w:sz w:val="24"/>
          <w:szCs w:val="20"/>
          <w:shd w:val="clear" w:color="auto" w:fill="FFFFFF"/>
          <w:lang w:val="mn-MN"/>
        </w:rPr>
        <w:t>1.3. Шалгуур үзүүлэлтийг сонгож тогтоох</w:t>
      </w:r>
    </w:p>
    <w:p w14:paraId="2A76F051"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2FEE277F" w14:textId="77777777" w:rsidR="00D709F9" w:rsidRPr="00C367CB" w:rsidRDefault="00D709F9" w:rsidP="00D709F9">
      <w:pPr>
        <w:spacing w:after="0" w:line="240" w:lineRule="auto"/>
        <w:jc w:val="both"/>
        <w:rPr>
          <w:rFonts w:ascii="Arial" w:eastAsia="Times New Roman" w:hAnsi="Arial" w:cs="Arial"/>
          <w:noProof/>
          <w:sz w:val="24"/>
          <w:szCs w:val="24"/>
          <w:lang w:val="mn-MN"/>
        </w:rPr>
      </w:pPr>
      <w:r w:rsidRPr="00C367CB">
        <w:rPr>
          <w:rFonts w:ascii="Arial" w:hAnsi="Arial" w:cs="Arial"/>
          <w:noProof/>
          <w:sz w:val="24"/>
          <w:szCs w:val="20"/>
          <w:shd w:val="clear" w:color="auto" w:fill="FFFFFF"/>
          <w:lang w:val="mn-MN"/>
        </w:rPr>
        <w:tab/>
        <w:t xml:space="preserve">Засгийн газрын 2016 оны 59 дүгээр тогтоолын 6 дугаар хавсралтаар батлагдсан “Хууль тогтоомжийн хэрэгжилтийн үр дагаварт үнэлгээ хийх аргачлал”-ын дагуу дээрх хуулийн зохицуулалтуудын хэрэгжилтийг үнэлэхэд оновчтой, бодитой, </w:t>
      </w:r>
      <w:r w:rsidRPr="00C367CB">
        <w:rPr>
          <w:rFonts w:ascii="Arial" w:eastAsia="Times New Roman" w:hAnsi="Arial" w:cs="Arial"/>
          <w:noProof/>
          <w:sz w:val="24"/>
          <w:szCs w:val="24"/>
          <w:lang w:val="mn-MN"/>
        </w:rPr>
        <w:t xml:space="preserve">хэмжиж болохуйц байдлыг баримталж, мөн үнэлгээний хүрээ, онцлогоос хамааран дараах шалгуур үзүүлэлтийг сонгосон болно. Үүнд: </w:t>
      </w:r>
    </w:p>
    <w:p w14:paraId="5E6E0555" w14:textId="77777777" w:rsidR="00D709F9" w:rsidRPr="00C367CB" w:rsidRDefault="00D709F9" w:rsidP="00D709F9">
      <w:pPr>
        <w:spacing w:after="0" w:line="240" w:lineRule="auto"/>
        <w:jc w:val="both"/>
        <w:rPr>
          <w:rFonts w:ascii="Arial" w:eastAsia="Times New Roman" w:hAnsi="Arial" w:cs="Arial"/>
          <w:noProof/>
          <w:sz w:val="24"/>
          <w:szCs w:val="24"/>
          <w:lang w:val="mn-MN"/>
        </w:rPr>
      </w:pPr>
    </w:p>
    <w:p w14:paraId="3DCF71AF" w14:textId="77777777" w:rsidR="00D709F9" w:rsidRPr="00C367CB" w:rsidRDefault="00D709F9" w:rsidP="00D709F9">
      <w:p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ab/>
        <w:t>1. “Зорилгодоо нийцэж байгаа байдал”.</w:t>
      </w:r>
    </w:p>
    <w:p w14:paraId="5A491E50"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421CD7CD" w14:textId="77777777" w:rsidR="00D709F9" w:rsidRPr="00C367CB" w:rsidRDefault="00D709F9" w:rsidP="00D709F9">
      <w:pPr>
        <w:spacing w:after="0" w:line="240" w:lineRule="auto"/>
        <w:jc w:val="both"/>
        <w:rPr>
          <w:rFonts w:ascii="Arial" w:hAnsi="Arial" w:cs="Arial"/>
          <w:b/>
          <w:noProof/>
          <w:sz w:val="24"/>
          <w:szCs w:val="20"/>
          <w:shd w:val="clear" w:color="auto" w:fill="FFFFFF"/>
          <w:lang w:val="mn-MN"/>
        </w:rPr>
      </w:pPr>
      <w:r w:rsidRPr="00C367CB">
        <w:rPr>
          <w:rFonts w:ascii="Arial" w:hAnsi="Arial" w:cs="Arial"/>
          <w:noProof/>
          <w:sz w:val="24"/>
          <w:szCs w:val="20"/>
          <w:shd w:val="clear" w:color="auto" w:fill="FFFFFF"/>
          <w:lang w:val="mn-MN"/>
        </w:rPr>
        <w:tab/>
      </w:r>
      <w:r w:rsidRPr="00C367CB">
        <w:rPr>
          <w:rFonts w:ascii="Arial" w:hAnsi="Arial" w:cs="Arial"/>
          <w:b/>
          <w:noProof/>
          <w:sz w:val="24"/>
          <w:szCs w:val="20"/>
          <w:shd w:val="clear" w:color="auto" w:fill="FFFFFF"/>
          <w:lang w:val="mn-MN"/>
        </w:rPr>
        <w:t>1.4. Харьцуулах хэлбэрийг сонгох</w:t>
      </w:r>
    </w:p>
    <w:p w14:paraId="678FAD29"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0DF2E7FF" w14:textId="22C85395"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Үнэлгээний явцад ЦАХТТтХ-ийн 10, 14, 20 дугаар зүйлийг аргачлалын 3.5.3.1-т заасан “байх ёстой</w:t>
      </w:r>
      <w:r w:rsidR="00EA2362" w:rsidRPr="00C367CB">
        <w:rPr>
          <w:rFonts w:ascii="Arial" w:hAnsi="Arial" w:cs="Arial"/>
          <w:noProof/>
          <w:sz w:val="24"/>
          <w:szCs w:val="20"/>
          <w:shd w:val="clear" w:color="auto" w:fill="FFFFFF"/>
          <w:lang w:val="mn-MN"/>
        </w:rPr>
        <w:t xml:space="preserve"> </w:t>
      </w:r>
      <w:r w:rsidRPr="00C367CB">
        <w:rPr>
          <w:rFonts w:ascii="Arial" w:hAnsi="Arial" w:cs="Arial"/>
          <w:noProof/>
          <w:sz w:val="24"/>
          <w:szCs w:val="20"/>
          <w:shd w:val="clear" w:color="auto" w:fill="FFFFFF"/>
          <w:lang w:val="mn-MN"/>
        </w:rPr>
        <w:t>болон одоо байгаа” хэлбэрийг сонгосон болно.</w:t>
      </w:r>
    </w:p>
    <w:p w14:paraId="3ABADCE8"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2DB97DC2"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tbl>
      <w:tblPr>
        <w:tblStyle w:val="TableGrid"/>
        <w:tblW w:w="0" w:type="auto"/>
        <w:tblLook w:val="04A0" w:firstRow="1" w:lastRow="0" w:firstColumn="1" w:lastColumn="0" w:noHBand="0" w:noVBand="1"/>
      </w:tblPr>
      <w:tblGrid>
        <w:gridCol w:w="704"/>
        <w:gridCol w:w="2552"/>
        <w:gridCol w:w="5948"/>
      </w:tblGrid>
      <w:tr w:rsidR="00D709F9" w:rsidRPr="00C367CB" w14:paraId="1115BB20" w14:textId="77777777" w:rsidTr="0026609A">
        <w:tc>
          <w:tcPr>
            <w:tcW w:w="704" w:type="dxa"/>
            <w:vAlign w:val="center"/>
          </w:tcPr>
          <w:p w14:paraId="401A4E46" w14:textId="77777777" w:rsidR="00D709F9" w:rsidRPr="00C367CB" w:rsidRDefault="00D709F9" w:rsidP="0026609A">
            <w:pPr>
              <w:jc w:val="center"/>
              <w:rPr>
                <w:rFonts w:ascii="Arial" w:hAnsi="Arial" w:cs="Arial"/>
                <w:b/>
                <w:bCs/>
                <w:noProof/>
                <w:shd w:val="clear" w:color="auto" w:fill="FFFFFF"/>
                <w:lang w:val="mn-MN"/>
              </w:rPr>
            </w:pPr>
            <w:r w:rsidRPr="00C367CB">
              <w:rPr>
                <w:rFonts w:ascii="Arial" w:hAnsi="Arial" w:cs="Arial"/>
                <w:b/>
                <w:bCs/>
                <w:noProof/>
                <w:shd w:val="clear" w:color="auto" w:fill="FFFFFF"/>
                <w:lang w:val="mn-MN"/>
              </w:rPr>
              <w:lastRenderedPageBreak/>
              <w:t>Д/д</w:t>
            </w:r>
          </w:p>
        </w:tc>
        <w:tc>
          <w:tcPr>
            <w:tcW w:w="2552" w:type="dxa"/>
            <w:vAlign w:val="center"/>
          </w:tcPr>
          <w:p w14:paraId="4C39A241" w14:textId="77777777" w:rsidR="00D709F9" w:rsidRPr="00C367CB" w:rsidRDefault="00D709F9" w:rsidP="0026609A">
            <w:pPr>
              <w:jc w:val="center"/>
              <w:rPr>
                <w:rFonts w:ascii="Arial" w:hAnsi="Arial" w:cs="Arial"/>
                <w:b/>
                <w:bCs/>
                <w:noProof/>
                <w:shd w:val="clear" w:color="auto" w:fill="FFFFFF"/>
                <w:lang w:val="mn-MN"/>
              </w:rPr>
            </w:pPr>
            <w:r w:rsidRPr="00C367CB">
              <w:rPr>
                <w:rFonts w:ascii="Arial" w:hAnsi="Arial" w:cs="Arial"/>
                <w:b/>
                <w:bCs/>
                <w:noProof/>
                <w:shd w:val="clear" w:color="auto" w:fill="FFFFFF"/>
                <w:lang w:val="mn-MN"/>
              </w:rPr>
              <w:t>Харьцуулах хэлбэр</w:t>
            </w:r>
          </w:p>
        </w:tc>
        <w:tc>
          <w:tcPr>
            <w:tcW w:w="5948" w:type="dxa"/>
            <w:vAlign w:val="center"/>
          </w:tcPr>
          <w:p w14:paraId="5A1274BF" w14:textId="77777777" w:rsidR="00D709F9" w:rsidRPr="00C367CB" w:rsidRDefault="00D709F9" w:rsidP="0026609A">
            <w:pPr>
              <w:jc w:val="center"/>
              <w:rPr>
                <w:rFonts w:ascii="Arial" w:hAnsi="Arial" w:cs="Arial"/>
                <w:b/>
                <w:bCs/>
                <w:noProof/>
                <w:shd w:val="clear" w:color="auto" w:fill="FFFFFF"/>
                <w:lang w:val="mn-MN"/>
              </w:rPr>
            </w:pPr>
            <w:r w:rsidRPr="00C367CB">
              <w:rPr>
                <w:rFonts w:ascii="Arial" w:hAnsi="Arial" w:cs="Arial"/>
                <w:b/>
                <w:bCs/>
                <w:noProof/>
                <w:shd w:val="clear" w:color="auto" w:fill="FFFFFF"/>
                <w:lang w:val="mn-MN"/>
              </w:rPr>
              <w:t>Ойлголт, онцлог</w:t>
            </w:r>
          </w:p>
        </w:tc>
      </w:tr>
      <w:tr w:rsidR="00D709F9" w:rsidRPr="00C367CB" w14:paraId="4E2BAD47" w14:textId="77777777" w:rsidTr="0026609A">
        <w:tc>
          <w:tcPr>
            <w:tcW w:w="704" w:type="dxa"/>
          </w:tcPr>
          <w:p w14:paraId="09B87825" w14:textId="77777777" w:rsidR="00D709F9" w:rsidRPr="00C367CB" w:rsidRDefault="00D709F9" w:rsidP="0026609A">
            <w:pPr>
              <w:jc w:val="center"/>
              <w:rPr>
                <w:rFonts w:ascii="Arial" w:hAnsi="Arial" w:cs="Arial"/>
                <w:noProof/>
                <w:shd w:val="clear" w:color="auto" w:fill="FFFFFF"/>
                <w:lang w:val="mn-MN"/>
              </w:rPr>
            </w:pPr>
            <w:r w:rsidRPr="00C367CB">
              <w:rPr>
                <w:rFonts w:ascii="Arial" w:hAnsi="Arial" w:cs="Arial"/>
                <w:noProof/>
                <w:shd w:val="clear" w:color="auto" w:fill="FFFFFF"/>
                <w:lang w:val="mn-MN"/>
              </w:rPr>
              <w:t>1</w:t>
            </w:r>
          </w:p>
        </w:tc>
        <w:tc>
          <w:tcPr>
            <w:tcW w:w="2552" w:type="dxa"/>
          </w:tcPr>
          <w:p w14:paraId="04E5DBCB"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Байх ёстой болон одоо байгаа</w:t>
            </w:r>
          </w:p>
        </w:tc>
        <w:tc>
          <w:tcPr>
            <w:tcW w:w="5948" w:type="dxa"/>
          </w:tcPr>
          <w:p w14:paraId="012D9EA4"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тогтоомж хүчин төгөлдөр үйлчилж эхэлснээс хойш гарсан үр дагавар (одоо байгаа нөхцөл байдал)-ыг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w:t>
            </w:r>
          </w:p>
        </w:tc>
      </w:tr>
      <w:tr w:rsidR="00D709F9" w:rsidRPr="00C367CB" w14:paraId="7957E860" w14:textId="77777777" w:rsidTr="0026609A">
        <w:tc>
          <w:tcPr>
            <w:tcW w:w="704" w:type="dxa"/>
          </w:tcPr>
          <w:p w14:paraId="7CA3635E" w14:textId="77777777" w:rsidR="00D709F9" w:rsidRPr="00C367CB" w:rsidRDefault="00D709F9" w:rsidP="0026609A">
            <w:pPr>
              <w:jc w:val="center"/>
              <w:rPr>
                <w:rFonts w:ascii="Arial" w:hAnsi="Arial" w:cs="Arial"/>
                <w:noProof/>
                <w:shd w:val="clear" w:color="auto" w:fill="FFFFFF"/>
                <w:lang w:val="mn-MN"/>
              </w:rPr>
            </w:pPr>
            <w:r w:rsidRPr="00C367CB">
              <w:rPr>
                <w:rFonts w:ascii="Arial" w:hAnsi="Arial" w:cs="Arial"/>
                <w:noProof/>
                <w:shd w:val="clear" w:color="auto" w:fill="FFFFFF"/>
                <w:lang w:val="mn-MN"/>
              </w:rPr>
              <w:t>2</w:t>
            </w:r>
          </w:p>
        </w:tc>
        <w:tc>
          <w:tcPr>
            <w:tcW w:w="2552" w:type="dxa"/>
          </w:tcPr>
          <w:p w14:paraId="23280C01"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тогтоомж батлагдахаас өмнөх болон хууль тогтоомж батлагдсанаас хойш</w:t>
            </w:r>
          </w:p>
        </w:tc>
        <w:tc>
          <w:tcPr>
            <w:tcW w:w="5948" w:type="dxa"/>
          </w:tcPr>
          <w:p w14:paraId="526149C5"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 хийхийг</w:t>
            </w:r>
          </w:p>
        </w:tc>
      </w:tr>
      <w:tr w:rsidR="00D709F9" w:rsidRPr="00C367CB" w14:paraId="5C8EA00D" w14:textId="77777777" w:rsidTr="0026609A">
        <w:tc>
          <w:tcPr>
            <w:tcW w:w="704" w:type="dxa"/>
          </w:tcPr>
          <w:p w14:paraId="3C7A9499" w14:textId="77777777" w:rsidR="00D709F9" w:rsidRPr="00C367CB" w:rsidRDefault="00D709F9" w:rsidP="0026609A">
            <w:pPr>
              <w:jc w:val="center"/>
              <w:rPr>
                <w:rFonts w:ascii="Arial" w:hAnsi="Arial" w:cs="Arial"/>
                <w:noProof/>
                <w:shd w:val="clear" w:color="auto" w:fill="FFFFFF"/>
                <w:lang w:val="mn-MN"/>
              </w:rPr>
            </w:pPr>
            <w:r w:rsidRPr="00C367CB">
              <w:rPr>
                <w:rFonts w:ascii="Arial" w:hAnsi="Arial" w:cs="Arial"/>
                <w:noProof/>
                <w:shd w:val="clear" w:color="auto" w:fill="FFFFFF"/>
                <w:lang w:val="mn-MN"/>
              </w:rPr>
              <w:t>3</w:t>
            </w:r>
          </w:p>
        </w:tc>
        <w:tc>
          <w:tcPr>
            <w:tcW w:w="2552" w:type="dxa"/>
          </w:tcPr>
          <w:p w14:paraId="45A396CF"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хүчин төгөлдөр үйлчилж эхэлснээс хойш</w:t>
            </w:r>
          </w:p>
        </w:tc>
        <w:tc>
          <w:tcPr>
            <w:tcW w:w="5948" w:type="dxa"/>
          </w:tcPr>
          <w:p w14:paraId="2FDD6C40"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тогтоомж хүчин төгөлдөр үйлчилж эхэлснээс хойш нөхцөл байдал хэрхэн өөрчлөгдсөнийг он дарааллаар судалж тогтооход чиглэгдэнэ</w:t>
            </w:r>
          </w:p>
        </w:tc>
      </w:tr>
      <w:tr w:rsidR="00D709F9" w:rsidRPr="00C367CB" w14:paraId="6D817D6B" w14:textId="77777777" w:rsidTr="0026609A">
        <w:tc>
          <w:tcPr>
            <w:tcW w:w="704" w:type="dxa"/>
          </w:tcPr>
          <w:p w14:paraId="669EF387" w14:textId="77777777" w:rsidR="00D709F9" w:rsidRPr="00C367CB" w:rsidRDefault="00D709F9" w:rsidP="0026609A">
            <w:pPr>
              <w:jc w:val="center"/>
              <w:rPr>
                <w:rFonts w:ascii="Arial" w:hAnsi="Arial" w:cs="Arial"/>
                <w:noProof/>
                <w:shd w:val="clear" w:color="auto" w:fill="FFFFFF"/>
                <w:lang w:val="mn-MN"/>
              </w:rPr>
            </w:pPr>
            <w:r w:rsidRPr="00C367CB">
              <w:rPr>
                <w:rFonts w:ascii="Arial" w:hAnsi="Arial" w:cs="Arial"/>
                <w:noProof/>
                <w:shd w:val="clear" w:color="auto" w:fill="FFFFFF"/>
                <w:lang w:val="mn-MN"/>
              </w:rPr>
              <w:t>4</w:t>
            </w:r>
          </w:p>
        </w:tc>
        <w:tc>
          <w:tcPr>
            <w:tcW w:w="2552" w:type="dxa"/>
          </w:tcPr>
          <w:p w14:paraId="7AF175F4"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Тохиолдол судлах</w:t>
            </w:r>
          </w:p>
        </w:tc>
        <w:tc>
          <w:tcPr>
            <w:tcW w:w="5948" w:type="dxa"/>
          </w:tcPr>
          <w:p w14:paraId="1C4711C5" w14:textId="77777777" w:rsidR="00D709F9" w:rsidRPr="00C367CB" w:rsidRDefault="00D709F9" w:rsidP="0026609A">
            <w:pPr>
              <w:jc w:val="both"/>
              <w:rPr>
                <w:rFonts w:ascii="Arial" w:hAnsi="Arial" w:cs="Arial"/>
                <w:noProof/>
                <w:shd w:val="clear" w:color="auto" w:fill="FFFFFF"/>
                <w:lang w:val="mn-MN"/>
              </w:rPr>
            </w:pPr>
            <w:r w:rsidRPr="00C367CB">
              <w:rPr>
                <w:rFonts w:ascii="Arial" w:hAnsi="Arial" w:cs="Arial"/>
                <w:noProof/>
                <w:shd w:val="clear" w:color="auto" w:fill="FFFFFF"/>
                <w:lang w:val="mn-MN"/>
              </w:rPr>
              <w:t>хууль тогтоомж (түүний зүйл, хэсэг, заалт), эсхүл үнэлгээний хүрээгээр тогтоосон ижил төстэй эрх зүйн хэм хэмжээ өөр, өөр орчин нөхцөлд (бусад улсад, өөр орон нутагт гэх мэт) хэрэгжиж байгаа байдлыг харьцуулан дүн шинжилгээ хийхийг</w:t>
            </w:r>
          </w:p>
        </w:tc>
      </w:tr>
    </w:tbl>
    <w:p w14:paraId="1BB55D52"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17C9D88D" w14:textId="77777777" w:rsidR="00D709F9" w:rsidRPr="00C367CB" w:rsidRDefault="00D709F9" w:rsidP="00D709F9">
      <w:pPr>
        <w:spacing w:after="0" w:line="240" w:lineRule="auto"/>
        <w:ind w:firstLine="720"/>
        <w:jc w:val="both"/>
        <w:rPr>
          <w:rFonts w:ascii="Arial" w:hAnsi="Arial" w:cs="Arial"/>
          <w:b/>
          <w:noProof/>
          <w:sz w:val="24"/>
          <w:szCs w:val="20"/>
          <w:shd w:val="clear" w:color="auto" w:fill="FFFFFF"/>
          <w:lang w:val="mn-MN"/>
        </w:rPr>
      </w:pPr>
      <w:r w:rsidRPr="00C367CB">
        <w:rPr>
          <w:rFonts w:ascii="Arial" w:hAnsi="Arial" w:cs="Arial"/>
          <w:b/>
          <w:noProof/>
          <w:sz w:val="24"/>
          <w:szCs w:val="20"/>
          <w:shd w:val="clear" w:color="auto" w:fill="FFFFFF"/>
          <w:lang w:val="mn-MN"/>
        </w:rPr>
        <w:t xml:space="preserve">1.5. Шалгуур үзүүлэлтийг томьёолох </w:t>
      </w:r>
    </w:p>
    <w:p w14:paraId="358550D2"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56A1CE3F" w14:textId="2656762F" w:rsidR="00D709F9" w:rsidRPr="00C367CB" w:rsidRDefault="00D709F9" w:rsidP="000F43BD">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 xml:space="preserve">Аргачлалын 3.6-д заасны дагуу дараах байдлаар шалгуур үзүүлэлтийг томьёолов. </w:t>
      </w:r>
    </w:p>
    <w:p w14:paraId="22C767E2"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56E8FE3A" w14:textId="77777777" w:rsidR="00D709F9" w:rsidRPr="00C367CB" w:rsidRDefault="00D709F9" w:rsidP="00D709F9">
      <w:pPr>
        <w:spacing w:after="0" w:line="240" w:lineRule="auto"/>
        <w:jc w:val="center"/>
        <w:rPr>
          <w:rFonts w:ascii="Arial" w:hAnsi="Arial" w:cs="Arial"/>
          <w:b/>
          <w:noProof/>
          <w:sz w:val="24"/>
          <w:szCs w:val="20"/>
          <w:shd w:val="clear" w:color="auto" w:fill="FFFFFF"/>
          <w:lang w:val="mn-MN"/>
        </w:rPr>
      </w:pPr>
      <w:r w:rsidRPr="00C367CB">
        <w:rPr>
          <w:rFonts w:ascii="Arial" w:hAnsi="Arial" w:cs="Arial"/>
          <w:b/>
          <w:noProof/>
          <w:sz w:val="24"/>
          <w:szCs w:val="20"/>
          <w:shd w:val="clear" w:color="auto" w:fill="FFFFFF"/>
          <w:lang w:val="mn-MN"/>
        </w:rPr>
        <w:t>ХОЁР. ХЭРЭГЖҮҮЛЭХ ҮЕ ШАТ</w:t>
      </w:r>
    </w:p>
    <w:p w14:paraId="436DC898" w14:textId="77777777" w:rsidR="00D709F9" w:rsidRPr="00C367CB" w:rsidRDefault="00D709F9" w:rsidP="00D709F9">
      <w:pPr>
        <w:spacing w:after="0" w:line="240" w:lineRule="auto"/>
        <w:jc w:val="center"/>
        <w:rPr>
          <w:rFonts w:ascii="Arial" w:hAnsi="Arial" w:cs="Arial"/>
          <w:noProof/>
          <w:sz w:val="24"/>
          <w:szCs w:val="20"/>
          <w:shd w:val="clear" w:color="auto" w:fill="FFFFFF"/>
          <w:lang w:val="mn-MN"/>
        </w:rPr>
      </w:pPr>
    </w:p>
    <w:p w14:paraId="65B53AAB"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Хэрэгжүүлэх үе шатны гол зорилго нь хэрэгцээтэй, шаардлагатай байгаа ач холбогдол бүхий мэдээллийг цуглуулах ажиллагааг үнэлгээ хийж байгаа субьект нь ажил болгон гардаж хийх явдал юм.</w:t>
      </w:r>
    </w:p>
    <w:p w14:paraId="7498AEF3"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207C91A5"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Үнэлгээ хийж байгаа субьектэд дараах мэдээлэл бэлэн байна. Үүнд:</w:t>
      </w:r>
    </w:p>
    <w:p w14:paraId="65EC3A09"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327B55F8" w14:textId="77777777" w:rsidR="00D709F9" w:rsidRPr="00C367CB" w:rsidRDefault="00D709F9" w:rsidP="00D709F9">
      <w:pPr>
        <w:spacing w:after="0" w:line="240" w:lineRule="auto"/>
        <w:ind w:firstLine="720"/>
        <w:jc w:val="both"/>
        <w:rPr>
          <w:rFonts w:ascii="Arial" w:eastAsia="Times New Roman" w:hAnsi="Arial" w:cs="Arial"/>
          <w:b/>
          <w:noProof/>
          <w:sz w:val="24"/>
          <w:szCs w:val="24"/>
          <w:lang w:val="mn-MN"/>
        </w:rPr>
      </w:pPr>
      <w:r w:rsidRPr="00C367CB">
        <w:rPr>
          <w:rFonts w:ascii="Arial" w:eastAsia="Times New Roman" w:hAnsi="Arial" w:cs="Arial"/>
          <w:b/>
          <w:noProof/>
          <w:sz w:val="24"/>
          <w:szCs w:val="24"/>
          <w:lang w:val="mn-MN"/>
        </w:rPr>
        <w:t>- Бэлэн байгаа мэдээллийг цуглуулах</w:t>
      </w:r>
    </w:p>
    <w:p w14:paraId="409DD7BF" w14:textId="77777777" w:rsidR="00D709F9" w:rsidRPr="00C367CB" w:rsidRDefault="00D709F9" w:rsidP="00D709F9">
      <w:pPr>
        <w:spacing w:after="0" w:line="240" w:lineRule="auto"/>
        <w:ind w:firstLine="720"/>
        <w:jc w:val="both"/>
        <w:rPr>
          <w:rFonts w:ascii="Arial" w:eastAsia="Times New Roman" w:hAnsi="Arial" w:cs="Arial"/>
          <w:b/>
          <w:noProof/>
          <w:sz w:val="24"/>
          <w:szCs w:val="24"/>
          <w:lang w:val="mn-MN"/>
        </w:rPr>
      </w:pPr>
    </w:p>
    <w:p w14:paraId="026A8D43"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 xml:space="preserve">Хууль, эрх зүйн акт  </w:t>
      </w:r>
    </w:p>
    <w:p w14:paraId="4CB9F2C5"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hAnsi="Arial" w:cs="Arial"/>
          <w:noProof/>
          <w:sz w:val="24"/>
          <w:szCs w:val="24"/>
          <w:lang w:val="mn-MN"/>
        </w:rPr>
        <w:t>Нийгмийн даатгалын сангаас олгох тэтгэвэрийн тухай хууль, 2003</w:t>
      </w:r>
    </w:p>
    <w:p w14:paraId="14A34896"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Цэргийн алба хаагчийн тэтгэвэр, тэтгэмжийн тухай хууль, 1994</w:t>
      </w:r>
    </w:p>
    <w:p w14:paraId="572464E1"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Монгол Улсын хилийн тухай хууль, 2016</w:t>
      </w:r>
    </w:p>
    <w:p w14:paraId="2A3EE308"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Цагдаагийн албаны тухай хууль, 2017</w:t>
      </w:r>
    </w:p>
    <w:p w14:paraId="499874D6"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 xml:space="preserve">Дотоодын цэргийн тухай хууль, 2017 </w:t>
      </w:r>
    </w:p>
    <w:p w14:paraId="78C701CB"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Гамшгаас хамгаалах тухай хууль, 2017</w:t>
      </w:r>
    </w:p>
    <w:p w14:paraId="059CB09A"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Шүүхийн шийдвэр гүйцэтгэх тухай хууль, 2017</w:t>
      </w:r>
    </w:p>
    <w:p w14:paraId="672FAE21" w14:textId="77777777" w:rsidR="00D709F9" w:rsidRPr="00C367CB" w:rsidRDefault="00D709F9" w:rsidP="00D709F9">
      <w:pPr>
        <w:pStyle w:val="ListParagraph"/>
        <w:numPr>
          <w:ilvl w:val="0"/>
          <w:numId w:val="1"/>
        </w:numPr>
        <w:spacing w:after="0" w:line="240" w:lineRule="auto"/>
        <w:jc w:val="both"/>
        <w:rPr>
          <w:rFonts w:ascii="Arial" w:eastAsia="Times New Roman" w:hAnsi="Arial" w:cs="Arial"/>
          <w:noProof/>
          <w:sz w:val="24"/>
          <w:szCs w:val="24"/>
          <w:lang w:val="mn-MN"/>
        </w:rPr>
      </w:pPr>
      <w:r w:rsidRPr="00C367CB">
        <w:rPr>
          <w:rFonts w:ascii="Arial" w:eastAsia="Times New Roman" w:hAnsi="Arial" w:cs="Arial"/>
          <w:noProof/>
          <w:sz w:val="24"/>
          <w:szCs w:val="24"/>
          <w:lang w:val="mn-MN"/>
        </w:rPr>
        <w:t>Монгол Улсын Их Хурлын 2021 оны 1 дүгээр сарын 22-ны өдрийн 12 дугаар тогтоолоор баталсан “Монгол Улсын хууль тогтоомжийг 2024 он хүртэл боловсронгуй болгох үндсэн чиглэл”, 2021</w:t>
      </w:r>
    </w:p>
    <w:p w14:paraId="1D52E8C8" w14:textId="302111D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10B90871" w14:textId="77777777" w:rsidR="00D709F9" w:rsidRPr="00C367CB" w:rsidRDefault="00D709F9" w:rsidP="00D709F9">
      <w:pPr>
        <w:spacing w:after="0" w:line="240" w:lineRule="auto"/>
        <w:jc w:val="center"/>
        <w:rPr>
          <w:rFonts w:ascii="Arial" w:hAnsi="Arial" w:cs="Arial"/>
          <w:b/>
          <w:noProof/>
          <w:sz w:val="24"/>
          <w:szCs w:val="20"/>
          <w:shd w:val="clear" w:color="auto" w:fill="FFFFFF"/>
          <w:lang w:val="mn-MN"/>
        </w:rPr>
      </w:pPr>
      <w:r w:rsidRPr="00C367CB">
        <w:rPr>
          <w:rFonts w:ascii="Arial" w:hAnsi="Arial" w:cs="Arial"/>
          <w:b/>
          <w:noProof/>
          <w:sz w:val="24"/>
          <w:szCs w:val="20"/>
          <w:shd w:val="clear" w:color="auto" w:fill="FFFFFF"/>
          <w:lang w:val="mn-MN"/>
        </w:rPr>
        <w:t>ГУРАВ.ҮНЭЛЭХ ҮЕ ШАТ</w:t>
      </w:r>
    </w:p>
    <w:p w14:paraId="25858AFA" w14:textId="77777777" w:rsidR="00D709F9" w:rsidRPr="00C367CB" w:rsidRDefault="00D709F9" w:rsidP="00D709F9">
      <w:pPr>
        <w:spacing w:after="0" w:line="240" w:lineRule="auto"/>
        <w:jc w:val="center"/>
        <w:rPr>
          <w:rFonts w:ascii="Arial" w:hAnsi="Arial" w:cs="Arial"/>
          <w:noProof/>
          <w:sz w:val="24"/>
          <w:szCs w:val="20"/>
          <w:shd w:val="clear" w:color="auto" w:fill="FFFFFF"/>
          <w:lang w:val="mn-MN"/>
        </w:rPr>
      </w:pPr>
    </w:p>
    <w:p w14:paraId="0F316DF1"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 xml:space="preserve">ЦАХТТтХ-ийн 10 дугаар зүйлийн 1 дэх хэсэгт заасан шалтгаанаар цэргийн алба хаагч нас барах тохиолдол гарч байгаагаас шалтгаалан мөн хуулийн 14, 20 </w:t>
      </w:r>
      <w:r w:rsidRPr="00C367CB">
        <w:rPr>
          <w:rFonts w:ascii="Arial" w:hAnsi="Arial" w:cs="Arial"/>
          <w:noProof/>
          <w:sz w:val="24"/>
          <w:szCs w:val="20"/>
          <w:shd w:val="clear" w:color="auto" w:fill="FFFFFF"/>
          <w:lang w:val="mn-MN"/>
        </w:rPr>
        <w:lastRenderedPageBreak/>
        <w:t xml:space="preserve">дугаар зүйлд заасан тэтгэвэр, тэтгэмжийг түүний ар гэрт олгож байгаа нь Хүснэгт 1-ээс харж болохоор байна. </w:t>
      </w:r>
    </w:p>
    <w:p w14:paraId="76537736"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7B114973"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Иймд цаашид нэмж мэдээлэл цуглуулах шаардлагагүйн дээр тус мэдээлэл нь хангалттай бодит мэдээлэл гэж үнэлгээ хийсэн субьектийн хувьд үзэж байна. Иймд цаашид дээр дурдсан шалтгаанаар тэтгэвэр, тэтгэмж олгож байгаа нь ЦАХТТтХ-ийн 10, 14, 20 дугаар зүйл нь уг хуулийн зорилт, хэрэгцээ, шаардлагатай нийцэж байгаа эсэхийг шалгах шаардлагатай.</w:t>
      </w:r>
    </w:p>
    <w:p w14:paraId="613BC446" w14:textId="77777777" w:rsidR="00D709F9" w:rsidRPr="00C367CB" w:rsidRDefault="00D709F9" w:rsidP="00D709F9">
      <w:pPr>
        <w:spacing w:after="0" w:line="240" w:lineRule="auto"/>
        <w:rPr>
          <w:rFonts w:ascii="Arial" w:hAnsi="Arial" w:cs="Arial"/>
          <w:noProof/>
          <w:sz w:val="24"/>
          <w:szCs w:val="20"/>
          <w:shd w:val="clear" w:color="auto" w:fill="FFFFFF"/>
          <w:lang w:val="mn-MN"/>
        </w:rPr>
      </w:pPr>
    </w:p>
    <w:p w14:paraId="4CE5A93D" w14:textId="77777777" w:rsidR="00D709F9" w:rsidRPr="00C367CB" w:rsidRDefault="00D709F9" w:rsidP="00D709F9">
      <w:pPr>
        <w:spacing w:after="0" w:line="240" w:lineRule="auto"/>
        <w:jc w:val="both"/>
        <w:rPr>
          <w:rFonts w:ascii="Arial" w:hAnsi="Arial" w:cs="Arial"/>
          <w:b/>
          <w:noProof/>
          <w:sz w:val="24"/>
          <w:szCs w:val="20"/>
          <w:shd w:val="clear" w:color="auto" w:fill="FFFFFF"/>
          <w:lang w:val="mn-MN"/>
        </w:rPr>
      </w:pPr>
      <w:r w:rsidRPr="00C367CB">
        <w:rPr>
          <w:rFonts w:ascii="Arial" w:hAnsi="Arial" w:cs="Arial"/>
          <w:noProof/>
          <w:sz w:val="24"/>
          <w:szCs w:val="20"/>
          <w:shd w:val="clear" w:color="auto" w:fill="FFFFFF"/>
          <w:lang w:val="mn-MN"/>
        </w:rPr>
        <w:tab/>
      </w:r>
      <w:r w:rsidRPr="00C367CB">
        <w:rPr>
          <w:rFonts w:ascii="Arial" w:hAnsi="Arial" w:cs="Arial"/>
          <w:b/>
          <w:noProof/>
          <w:sz w:val="24"/>
          <w:szCs w:val="20"/>
          <w:shd w:val="clear" w:color="auto" w:fill="FFFFFF"/>
          <w:lang w:val="mn-MN"/>
        </w:rPr>
        <w:t>3.1. “Зорилгод хүрсэн түвшин” шалгуур үзүүлэлтийн хүрээнд үнэлсэн байдал</w:t>
      </w:r>
    </w:p>
    <w:p w14:paraId="219A7403"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3D614B51"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 xml:space="preserve">ЦАХТТтХ-ийн 1 дүгээр зүйлд тус хуулийн зорилтыг “Энэ хуулийн зорилт нь Зэвсэгт хүчин, хилийн ба дотоодын цэрэг, тагнуул, төрийн тусгай хамгаалалт, цагдаа, шүүх шинжилгээний болон авлигатай тэмцэх, онцгой байдлын асуудал эрхэлсэн болон шүүхийн шийдвэр гүйцэтгэх байгууллагын генерал, офицер, ахлагч, түрүүч, байлдагч, цэрэг, цагдаагийн сургуулийн сонсогч /энэ хуульд цаашид "цэргийн алба хаагч" гэх/ нарт тэтгэвэр, тэтгэмж тогтоож, олгохтой холбогдсон харилцааг зохицуулахад оршино.” гэж заажээ. Үүнээс харахад зөвхөн цэргийн алба хаагчид тэтгэвэр, тэтгэмж тогтоож, олгохтой холбогдсон харилцааг зохицуулахаар заасан байна. </w:t>
      </w:r>
    </w:p>
    <w:p w14:paraId="58932D0E"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213448A1"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Үнэлгээний зүйл №1</w:t>
      </w:r>
    </w:p>
    <w:tbl>
      <w:tblPr>
        <w:tblStyle w:val="TableGrid"/>
        <w:tblW w:w="0" w:type="auto"/>
        <w:tblLook w:val="04A0" w:firstRow="1" w:lastRow="0" w:firstColumn="1" w:lastColumn="0" w:noHBand="0" w:noVBand="1"/>
      </w:tblPr>
      <w:tblGrid>
        <w:gridCol w:w="9204"/>
      </w:tblGrid>
      <w:tr w:rsidR="00D709F9" w:rsidRPr="00C367CB" w14:paraId="27D1A733" w14:textId="77777777" w:rsidTr="0026609A">
        <w:tc>
          <w:tcPr>
            <w:tcW w:w="9204" w:type="dxa"/>
          </w:tcPr>
          <w:p w14:paraId="6DD31A75" w14:textId="77777777" w:rsidR="00D709F9" w:rsidRPr="00C367CB" w:rsidRDefault="00D709F9" w:rsidP="0026609A">
            <w:pPr>
              <w:jc w:val="both"/>
              <w:rPr>
                <w:rFonts w:ascii="Arial" w:eastAsia="Times New Roman" w:hAnsi="Arial" w:cs="Arial"/>
                <w:b/>
                <w:bCs/>
                <w:noProof/>
                <w:color w:val="293E9C"/>
                <w:sz w:val="20"/>
                <w:szCs w:val="20"/>
                <w:lang w:val="mn-MN"/>
              </w:rPr>
            </w:pPr>
            <w:r w:rsidRPr="00C367CB">
              <w:rPr>
                <w:rFonts w:ascii="Arial" w:eastAsia="Times New Roman" w:hAnsi="Arial" w:cs="Arial"/>
                <w:b/>
                <w:bCs/>
                <w:noProof/>
                <w:color w:val="293E9C"/>
                <w:sz w:val="20"/>
                <w:szCs w:val="20"/>
                <w:lang w:val="mn-MN"/>
              </w:rPr>
              <w:t>10 дугаар зүйл. Хөдөлмөрийн чадвар алдсаны тэтгэвэр авах эрх</w:t>
            </w:r>
          </w:p>
          <w:p w14:paraId="56AAEFC4"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зүйлийн гарчигт 2010 оны 7 дугаар сарын 02-ны өдрийн хуулиар өөрчлөлт оруулсан/</w:t>
            </w:r>
          </w:p>
          <w:p w14:paraId="76BD1661"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1.Дор дурдсан шалтгаанаар хөдөлмөрийн чадвар алдсан цэргийн алба хаагч хөдөлмөрийн чадвар алдсаны тэтгэвэр тогтоолгон авах эрхтэй:</w:t>
            </w:r>
          </w:p>
          <w:p w14:paraId="4F1081D2"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хэсэгт 2010 оны 7 дугаар сарын 02-ны өдрийн хууль, 2016 оны 9 дүгээр сарын 01-ний өдрийн хуулиар тус тус өөрчлөлт оруулсан/</w:t>
            </w:r>
          </w:p>
          <w:p w14:paraId="4751356C"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1/ байлдааны талбар, энхийг дэмжих ажиллагаанд үүрэг гүйцэтгэх, террорист үйлдлийн сөрөг тусгай ажиллагаанд оролцох, байлдааны галт хэрэгслээр буудлага хийх, дэлбэрэх бодис, тэсэлгээний хэрэгсэл, аюултай хорт бодистой үүргийнхээ дагуу харьцах, гамшиг, онцгой нөхцөлийн байдалд ажиллах, улсын хил, онц чухал объектыг хамгаалсны улмаас;</w:t>
            </w:r>
          </w:p>
          <w:p w14:paraId="117B4BCD"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заалтад 1999 оны 6 дугаар сарын 10-ны өдрийн хууль, 2002 оны 5 дугаар сарын 17-ны өдрийн хууль, 2004 оны 4 дүгээр сарын 23-ны өдрийн хуулиар тус тус нэмэлт, 2005 оны 5 дугаар сарын 26-ны өдрийн хуулиар өөрчлөлт, 2009 оны 12 дугаар сарын 03-ны өдрийн хуулиар нэмэлт, 2010 оны 5 дугаар сарын 20-ны өдрийн хуулиар өөрчлөлт оруулсан, энэ заалтыг 2010 оны 7 дугаар сарын 02-ны өдрийн хуулиар өөрчлөн найруулсан/</w:t>
            </w:r>
          </w:p>
          <w:p w14:paraId="4217A99A"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2/ энэ зүйлийн 1 дэх хэсгийн 1-д зааснаас бусад албан үүрэг гүйцэтгэхтэй холбогдсон ослын улмаас;</w:t>
            </w:r>
          </w:p>
          <w:p w14:paraId="20D24047"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3/ албан үүрэг гүйцэтгэхтэй холбогдолгүй осол, тарилгын дараахь хүндрэл, ердийн өвчний улмаас.</w:t>
            </w:r>
          </w:p>
          <w:p w14:paraId="3CF8BAA3"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заалтад 2000 оны 4 дүгээр сарын 20-ны өдрийн хуулиар нэмэлт орсон/</w:t>
            </w:r>
          </w:p>
          <w:p w14:paraId="2D1CC6B3"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2.Цэргийн үүрэгтэн дайчилгаатай сургууль, цугларалтад оролцож байхдаа, цэргийн жинхэнэ албанаас халагдсан байлдагч, түрүүч орон нутагтаа хүргэгдэх үед хөдөлмөрийн чадвар алдсан бол энэ хуульд заасны дагуу хөдөлмөрийн чадвар алдсаны тэтгэвэр тогтоолгон авах эрхтэй.</w:t>
            </w:r>
          </w:p>
          <w:p w14:paraId="43FF7F71" w14:textId="77777777" w:rsidR="00D709F9" w:rsidRPr="00C367CB" w:rsidRDefault="00D709F9" w:rsidP="0026609A">
            <w:pPr>
              <w:pStyle w:val="NormalWeb"/>
              <w:shd w:val="clear" w:color="auto" w:fill="FFFFFF"/>
              <w:spacing w:before="0" w:beforeAutospacing="0" w:after="0" w:afterAutospacing="0" w:line="300" w:lineRule="atLeast"/>
              <w:jc w:val="both"/>
              <w:rPr>
                <w:rFonts w:ascii="Arial" w:hAnsi="Arial" w:cs="Arial"/>
                <w:i/>
                <w:iCs/>
                <w:noProof/>
                <w:color w:val="275DFF"/>
                <w:sz w:val="20"/>
                <w:szCs w:val="20"/>
                <w:u w:val="single"/>
                <w:lang w:val="mn-MN"/>
              </w:rPr>
            </w:pPr>
            <w:r w:rsidRPr="00C367CB">
              <w:rPr>
                <w:rFonts w:ascii="Arial" w:hAnsi="Arial" w:cs="Arial"/>
                <w:i/>
                <w:iCs/>
                <w:noProof/>
                <w:color w:val="275DFF"/>
                <w:sz w:val="20"/>
                <w:szCs w:val="20"/>
                <w:u w:val="single"/>
                <w:lang w:val="mn-MN"/>
              </w:rPr>
              <w:t>/Энэ заалтад 2018 оны 6 дугаар сарын 27-ны өдрийн хуулиар өөрчлөлт оруулсан./</w:t>
            </w:r>
          </w:p>
          <w:p w14:paraId="3BC8F7A7" w14:textId="77777777" w:rsidR="00D709F9" w:rsidRPr="00C367CB" w:rsidRDefault="00D709F9" w:rsidP="0026609A">
            <w:pPr>
              <w:pStyle w:val="NormalWeb"/>
              <w:shd w:val="clear" w:color="auto" w:fill="FFFFFF"/>
              <w:spacing w:before="0" w:beforeAutospacing="0" w:after="0" w:afterAutospacing="0" w:line="300" w:lineRule="atLeast"/>
              <w:jc w:val="both"/>
              <w:rPr>
                <w:rFonts w:ascii="Arial" w:hAnsi="Arial" w:cs="Arial"/>
                <w:i/>
                <w:iCs/>
                <w:noProof/>
                <w:color w:val="275DFF"/>
                <w:sz w:val="20"/>
                <w:szCs w:val="20"/>
                <w:u w:val="single"/>
                <w:lang w:val="mn-MN"/>
              </w:rPr>
            </w:pPr>
            <w:r w:rsidRPr="00C367CB">
              <w:rPr>
                <w:rFonts w:ascii="Arial" w:hAnsi="Arial" w:cs="Arial"/>
                <w:i/>
                <w:iCs/>
                <w:noProof/>
                <w:color w:val="275DFF"/>
                <w:sz w:val="20"/>
                <w:szCs w:val="20"/>
                <w:u w:val="single"/>
                <w:lang w:val="mn-MN"/>
              </w:rPr>
              <w:t>/Энэ хэсэгт 2010 оны 7 дугаар сарын 02-ны өдрийн хуулиар өөрчлөлт оруулсан/</w:t>
            </w:r>
          </w:p>
        </w:tc>
      </w:tr>
    </w:tbl>
    <w:p w14:paraId="310807BA"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1C1D26E4"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Үнэлгээний зүйл №2</w:t>
      </w:r>
    </w:p>
    <w:tbl>
      <w:tblPr>
        <w:tblStyle w:val="TableGrid"/>
        <w:tblW w:w="0" w:type="auto"/>
        <w:tblLook w:val="04A0" w:firstRow="1" w:lastRow="0" w:firstColumn="1" w:lastColumn="0" w:noHBand="0" w:noVBand="1"/>
      </w:tblPr>
      <w:tblGrid>
        <w:gridCol w:w="9204"/>
      </w:tblGrid>
      <w:tr w:rsidR="00D709F9" w:rsidRPr="00C367CB" w14:paraId="775F46E8" w14:textId="77777777" w:rsidTr="0026609A">
        <w:tc>
          <w:tcPr>
            <w:tcW w:w="9204" w:type="dxa"/>
          </w:tcPr>
          <w:p w14:paraId="2569B4C6" w14:textId="77777777" w:rsidR="00D709F9" w:rsidRPr="00C367CB" w:rsidRDefault="00D709F9" w:rsidP="0026609A">
            <w:pPr>
              <w:jc w:val="both"/>
              <w:rPr>
                <w:rFonts w:ascii="Arial" w:eastAsia="Times New Roman" w:hAnsi="Arial" w:cs="Arial"/>
                <w:b/>
                <w:bCs/>
                <w:noProof/>
                <w:color w:val="293E9C"/>
                <w:sz w:val="20"/>
                <w:szCs w:val="20"/>
                <w:lang w:val="mn-MN"/>
              </w:rPr>
            </w:pPr>
            <w:r w:rsidRPr="00C367CB">
              <w:rPr>
                <w:rFonts w:ascii="Arial" w:eastAsia="Times New Roman" w:hAnsi="Arial" w:cs="Arial"/>
                <w:b/>
                <w:bCs/>
                <w:noProof/>
                <w:color w:val="293E9C"/>
                <w:sz w:val="20"/>
                <w:szCs w:val="20"/>
                <w:lang w:val="mn-MN"/>
              </w:rPr>
              <w:t>14 дүгээр зүйл. Тэжээгчээ алдсаны тэтгэврийн хэмжээ</w:t>
            </w:r>
          </w:p>
          <w:p w14:paraId="6348CF64"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1.Цэргийн алба хаагч /байлдагч, түрүүчээс бусад/энэ хуулийн 10 дугаар зүйлийн 1 дэх хэсгийн 1,2-т заасан шалтгаанаар нас барсан бол түүний авч байсан сарын дундаж цалин хөлснөөс дор дурдсан хувиар бодож тэжээгчээ алдсаны тэтгэвэр тогтооно:</w:t>
            </w:r>
          </w:p>
          <w:p w14:paraId="7B4929C2"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хэсэгт 2016 оны 9 дүгээр сарын 01-ний өдрийн хуулиар өөрчлөлт оруулсан/</w:t>
            </w:r>
          </w:p>
          <w:p w14:paraId="40D3F009"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1/ хөдөлмөрийн чадваргүй 3, түүнээс дээш хүнтэй бол 100 хувь;</w:t>
            </w:r>
          </w:p>
          <w:p w14:paraId="1DAC6D27"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2/ хөдөлмөрийн чадваргүй 2 хүнтэй бол 75 хувь;</w:t>
            </w:r>
          </w:p>
          <w:p w14:paraId="7AE42983"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3/ хөдөлмөрийн чадваргүй 1 хүнтэй бол 50 хувь.</w:t>
            </w:r>
          </w:p>
          <w:p w14:paraId="1E197736"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2.Энэ зүйлийн 1 дэх хэсэгт зааснаар тогтоосон тэжээгчээ алдсаны тэтгэвэр дээр энэ хуулийн 10 дугаар зүйлийн 1 дэх хэсгийн 1-д заасан шалтгаанаар нас барсан бол тэтгэвэр тогтоолгосон цалин хөлсний 15 хувиар, мөн зүйлийн 1 дэх хэсгийн 2-т заасан шалтгаанаар нас барсан бол 10 хувиар тус тус нэмэгдэл олгоно.</w:t>
            </w:r>
          </w:p>
          <w:p w14:paraId="51FF0664"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хэсгийг 2010 оны 7 дугаар сарын 02-ны өдрийн хуулиар өөрчлөн найруулсан/</w:t>
            </w:r>
          </w:p>
          <w:p w14:paraId="3FA517E0"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3.Цэргийн алба хаагч /байлдагч, түрүүчээс бусад/ энэ хуулийн 10 дугаар зүйлийн 1 дэх хэсгийн 3-т заасан шалтгаанаар нас барсан бол түүний авч байсан сарын дундаж цалин хөлсний 60 хувьд ногдох хэсгээс энэ зүйлийн 1 дэх хэсэгт заасан хувь хэмжээгээр бодож тэжээгчээ алдсаны тэтгэвэр тогтооно.</w:t>
            </w:r>
          </w:p>
          <w:p w14:paraId="3B91B548"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хэсэгт 2016 оны 9 дүгээр сарын 01-ний өдрийн хуулиар өөрчлөлт оруулсан/</w:t>
            </w:r>
          </w:p>
          <w:p w14:paraId="5FE45AE1"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4.Цэргийн жинхэнэ албаны байлдагч, түрүүч, дайчилгаатай сургууль цугларалтад оролцож байгаа цэргийн үүрэгтэн нас барсан бол цэргийн албанд татагдахын өмнө авч байсан сарын дундаж цалин хөлснөөс, хэрэв ажил хөдөлмөр эрхэлж байгаагүй бол Засгийн газраас тогтоосон тухайн үеийн хөдөлмөрийн хөлсний доод хэмжээнээс энэ зүйлийн 1-3 дахь хэсэгт заасан хувь хэмжээгээр бодож тэтгэвэр тогтооно.</w:t>
            </w:r>
          </w:p>
          <w:p w14:paraId="567F4DC4"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заалтад 2018 оны 6 дугаар сарын 27-ны өдрийн хуулиар өөрчлөлт оруулсан./</w:t>
            </w:r>
          </w:p>
          <w:p w14:paraId="6CD744D9"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5.Тэжээгчээ алдсаны тэтгэврийн доод хэмжээ нь Засгийн газраас тогтоосон хөдөлмөрийн хөлсний доод хэмжээний 75 хувиас багагүй байна.</w:t>
            </w:r>
          </w:p>
          <w:p w14:paraId="19792136" w14:textId="77777777" w:rsidR="00D709F9" w:rsidRPr="00C367CB" w:rsidRDefault="00D709F9" w:rsidP="0026609A">
            <w:pPr>
              <w:shd w:val="clear" w:color="auto" w:fill="FFFFFF"/>
              <w:spacing w:before="300" w:after="300"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6.Нийгмийн даатгалын сангаас олгох тэтгэврийн тухай хуулийн 16 дугаар зүйлийн 16.1-д заасан гэр бүлийн хөдөлмөрийн чадваргүй гишүүний хоёр тэжээгч нь нас барсан тохиолдолд тэжээгчээ алдсаны тэтгэврийг нас барсан хоёр цэргийн алба хаагчийн авч байсан цалин хөлсний нийлбэрээс Цэргийн алба хаагчийн тэтгэвэр, тэтгэмжийн тухай хуулийн 14 дүгээр зүйлд заасан хувь хэмжээгээр бодож тогтооно.</w:t>
            </w:r>
          </w:p>
          <w:p w14:paraId="56FBC924" w14:textId="77777777" w:rsidR="00D709F9" w:rsidRPr="00C367CB" w:rsidRDefault="00D709F9" w:rsidP="0026609A">
            <w:pPr>
              <w:shd w:val="clear" w:color="auto" w:fill="FFFFFF"/>
              <w:spacing w:before="300"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хэсэгт "Нийгмийн даатгалын сангаас олгох тэтгэвэр, тэтгэмжийн тухай хуулийн 12 дугаар зүйлийн 1 дэх хэсгийн 1, 2, 3-т" гэснийг "Нийгмийн даатгалын сангаас олгох тэтгэврийн тухай хуулийн 16 дугаар зүйлийн 16.1-д" гэж 2023 оны 07 дугаар сарын 07-ны өдрийн хуулиар өөрчлөлт оруулсан бөгөөд 2024 оны 01 дүгээр сарын 01-ний өдрөөс эхлэн дагаж мөрдөнө./</w:t>
            </w:r>
          </w:p>
          <w:p w14:paraId="14605095"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хэсгийг 2017 оны 1 дүгээр сарын 26-ны өдрийн хуулиар нэмсэн/</w:t>
            </w:r>
          </w:p>
          <w:p w14:paraId="4E002A30" w14:textId="77777777" w:rsidR="00D709F9" w:rsidRPr="00C367CB" w:rsidRDefault="00D709F9" w:rsidP="0026609A">
            <w:pPr>
              <w:jc w:val="both"/>
              <w:rPr>
                <w:rFonts w:ascii="Arial" w:hAnsi="Arial" w:cs="Arial"/>
                <w:noProof/>
                <w:sz w:val="24"/>
                <w:szCs w:val="20"/>
                <w:shd w:val="clear" w:color="auto" w:fill="FFFFFF"/>
                <w:lang w:val="mn-MN"/>
              </w:rPr>
            </w:pPr>
          </w:p>
        </w:tc>
      </w:tr>
    </w:tbl>
    <w:p w14:paraId="1D301976"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594D7BFD"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Үнэлгээний зүйл №3</w:t>
      </w:r>
    </w:p>
    <w:tbl>
      <w:tblPr>
        <w:tblStyle w:val="TableGrid"/>
        <w:tblW w:w="0" w:type="auto"/>
        <w:tblLook w:val="04A0" w:firstRow="1" w:lastRow="0" w:firstColumn="1" w:lastColumn="0" w:noHBand="0" w:noVBand="1"/>
      </w:tblPr>
      <w:tblGrid>
        <w:gridCol w:w="9204"/>
      </w:tblGrid>
      <w:tr w:rsidR="00D709F9" w:rsidRPr="00C367CB" w14:paraId="008F9A1C" w14:textId="77777777" w:rsidTr="0026609A">
        <w:tc>
          <w:tcPr>
            <w:tcW w:w="9204" w:type="dxa"/>
          </w:tcPr>
          <w:p w14:paraId="0C9A74A0" w14:textId="77777777" w:rsidR="00D709F9" w:rsidRPr="00C367CB" w:rsidRDefault="00D709F9" w:rsidP="0026609A">
            <w:pPr>
              <w:jc w:val="both"/>
              <w:rPr>
                <w:rFonts w:ascii="Arial" w:eastAsia="Times New Roman" w:hAnsi="Arial" w:cs="Arial"/>
                <w:b/>
                <w:bCs/>
                <w:noProof/>
                <w:color w:val="293E9C"/>
                <w:sz w:val="20"/>
                <w:szCs w:val="20"/>
                <w:lang w:val="mn-MN"/>
              </w:rPr>
            </w:pPr>
            <w:r w:rsidRPr="00C367CB">
              <w:rPr>
                <w:rFonts w:ascii="Arial" w:eastAsia="Times New Roman" w:hAnsi="Arial" w:cs="Arial"/>
                <w:b/>
                <w:bCs/>
                <w:noProof/>
                <w:color w:val="293E9C"/>
                <w:sz w:val="20"/>
                <w:szCs w:val="20"/>
                <w:lang w:val="mn-MN"/>
              </w:rPr>
              <w:t>20 дугаар зүйл. Нас барагчийн ар гэрт олгох тэтгэмж</w:t>
            </w:r>
          </w:p>
          <w:p w14:paraId="1C78DE31"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lastRenderedPageBreak/>
              <w:t>/Энэ зүйлийн гарчигт 2010 оны 7 дугаар сарын 02-ны өдрийн хуулиар өөрчлөлт оруулсан/</w:t>
            </w:r>
          </w:p>
          <w:p w14:paraId="63F0BCE3"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noProof/>
                <w:color w:val="333333"/>
                <w:sz w:val="20"/>
                <w:szCs w:val="20"/>
                <w:lang w:val="mn-MN"/>
              </w:rPr>
              <w:t>1.Цэргийн алба хаагч, түүнчлэн дайчилгаатай сургууль цугларалтад оролцож байгаа цэргийн үүрэгтэн нас барахад түүний оршуулгад зориулан нас барагчийн ар гэрт олгох тэтгэмж олгоно.</w:t>
            </w:r>
          </w:p>
          <w:p w14:paraId="258B4E6C"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хэсэгт 2010 оны 7 дугаар сарын 02-ны өдрийн хууль, 2016 оны 9 дүгээр сарын 01-ний өдрийн хуулиар тус тус өөрчлөлт оруулсан/</w:t>
            </w:r>
          </w:p>
          <w:p w14:paraId="6C4C45AC"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заалтад 2018 оны 6 дугаар сарын 27-ны өдрийн хуулиар өөрчлөлт оруулсан./</w:t>
            </w:r>
          </w:p>
          <w:p w14:paraId="4519B96A" w14:textId="77777777" w:rsidR="00D709F9" w:rsidRPr="00C367CB" w:rsidRDefault="00D709F9" w:rsidP="0026609A">
            <w:pPr>
              <w:shd w:val="clear" w:color="auto" w:fill="FFFFFF"/>
              <w:spacing w:line="300" w:lineRule="atLeast"/>
              <w:jc w:val="both"/>
              <w:rPr>
                <w:rFonts w:ascii="Arial" w:eastAsia="Times New Roman" w:hAnsi="Arial" w:cs="Arial"/>
                <w:noProof/>
                <w:color w:val="333333"/>
                <w:sz w:val="20"/>
                <w:szCs w:val="20"/>
                <w:lang w:val="mn-MN"/>
              </w:rPr>
            </w:pPr>
            <w:r w:rsidRPr="00C367CB">
              <w:rPr>
                <w:rFonts w:ascii="Arial" w:eastAsia="Times New Roman" w:hAnsi="Arial" w:cs="Arial"/>
                <w:strike/>
                <w:noProof/>
                <w:color w:val="333333"/>
                <w:sz w:val="20"/>
                <w:szCs w:val="20"/>
                <w:lang w:val="mn-MN"/>
              </w:rPr>
              <w:t>2.Оршуулгын тэтгэмж Засгийн газраас тогтоосон хөдөлмөрийн хөлсний доод хэмжээний 6 сарын нийлбэртэй тэнцүү байна.</w:t>
            </w:r>
          </w:p>
          <w:p w14:paraId="06EB00F0" w14:textId="77777777" w:rsidR="00D709F9" w:rsidRPr="00C367CB" w:rsidRDefault="00D709F9" w:rsidP="0026609A">
            <w:pPr>
              <w:shd w:val="clear" w:color="auto" w:fill="FFFFFF"/>
              <w:spacing w:after="150" w:line="300" w:lineRule="atLeast"/>
              <w:jc w:val="both"/>
              <w:rPr>
                <w:rFonts w:ascii="Arial" w:eastAsia="Times New Roman" w:hAnsi="Arial" w:cs="Arial"/>
                <w:i/>
                <w:iCs/>
                <w:noProof/>
                <w:color w:val="275DFF"/>
                <w:sz w:val="20"/>
                <w:szCs w:val="20"/>
                <w:u w:val="single"/>
                <w:lang w:val="mn-MN"/>
              </w:rPr>
            </w:pPr>
            <w:r w:rsidRPr="00C367CB">
              <w:rPr>
                <w:rFonts w:ascii="Arial" w:eastAsia="Times New Roman" w:hAnsi="Arial" w:cs="Arial"/>
                <w:i/>
                <w:iCs/>
                <w:noProof/>
                <w:color w:val="275DFF"/>
                <w:sz w:val="20"/>
                <w:szCs w:val="20"/>
                <w:u w:val="single"/>
                <w:lang w:val="mn-MN"/>
              </w:rPr>
              <w:t>/Энэ хэсгийг 2002 оны 11 дүгээр сарын 21-ний өдрийн хуулиар хүчингүй болсонд тооцсон/</w:t>
            </w:r>
          </w:p>
        </w:tc>
      </w:tr>
    </w:tbl>
    <w:p w14:paraId="2017CA03"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4BADA484"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5F8D2F9C"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Гэсэн хэдий ч ЦАХТТтХ-ийн 19 дүгээр зүйлийн 4 дэх хэсэгт “... тэдний ар гэрт нэг удаа олгоно.” гэж заасан байх тул хууль тогтоогчийн зүгээс тогтоосноос харвал хэрэв цэргийн алба хаагч нас барсан бол ар гэрт олгох боломжтойгоор зохицуулжээ.</w:t>
      </w:r>
    </w:p>
    <w:p w14:paraId="46685920"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2C2FF838" w14:textId="5485A6A2"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Төлөвлөх үе шатанд үнэлгээ хийсэн субьектийн зүгээс шалгуур үзүүлэлтийг “Нас барсан цэргийн алба хаагчийн гэр бүлд ЦАХТТтХ-ийн 10 зүйлд заасан урьдчилсан нөхцөлийн дагуу 14, 20 дугаар зүйлд заасан тэтгэвэр, тэтгэмж нь тэдний цаашдын амьдралын баталгаа болж чадаж байгаа эсэх” гэж тодорхойлсон тул цаашид томьёолсон шалгуур үзүүлэлтийн дагуу цааш шалга</w:t>
      </w:r>
      <w:r w:rsidR="000F43BD" w:rsidRPr="00C367CB">
        <w:rPr>
          <w:rFonts w:ascii="Arial" w:hAnsi="Arial" w:cs="Arial"/>
          <w:noProof/>
          <w:sz w:val="24"/>
          <w:szCs w:val="20"/>
          <w:shd w:val="clear" w:color="auto" w:fill="FFFFFF"/>
          <w:lang w:val="mn-MN"/>
        </w:rPr>
        <w:t>в</w:t>
      </w:r>
      <w:r w:rsidRPr="00C367CB">
        <w:rPr>
          <w:rFonts w:ascii="Arial" w:hAnsi="Arial" w:cs="Arial"/>
          <w:noProof/>
          <w:sz w:val="24"/>
          <w:szCs w:val="20"/>
          <w:shd w:val="clear" w:color="auto" w:fill="FFFFFF"/>
          <w:lang w:val="mn-MN"/>
        </w:rPr>
        <w:t>.</w:t>
      </w:r>
    </w:p>
    <w:p w14:paraId="47523CC8"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38F2A697"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ЦАХТТтХ-ийн 14, 20 дугаар зүйлд заасан тэтгэвэр, тэтгэмж нь нас барсан цэргийн алба хаагчийн гэр бүлд цаашдын амьдралын баталгаа болж чадахгүй байгаа нь практик дээр харагддаг тул мөн хуулийн 10, 14, 20 дугаар зүйлд холбогдох өөрчлөлт хийх хэрэгцээ, шаардлага байгааг харуулж байна.</w:t>
      </w:r>
    </w:p>
    <w:p w14:paraId="4FEDB1D7" w14:textId="77777777" w:rsidR="00D709F9" w:rsidRPr="00C367CB" w:rsidRDefault="00D709F9" w:rsidP="00D709F9">
      <w:pPr>
        <w:spacing w:after="0" w:line="240" w:lineRule="auto"/>
        <w:ind w:firstLine="720"/>
        <w:jc w:val="both"/>
        <w:rPr>
          <w:rFonts w:ascii="Arial" w:hAnsi="Arial" w:cs="Arial"/>
          <w:noProof/>
          <w:sz w:val="24"/>
          <w:szCs w:val="20"/>
          <w:shd w:val="clear" w:color="auto" w:fill="FFFFFF"/>
          <w:lang w:val="mn-MN"/>
        </w:rPr>
      </w:pPr>
    </w:p>
    <w:p w14:paraId="6CCC6DC7" w14:textId="77777777" w:rsidR="00D709F9" w:rsidRPr="00C367CB" w:rsidRDefault="00D709F9" w:rsidP="00D709F9">
      <w:pPr>
        <w:spacing w:after="0" w:line="240" w:lineRule="auto"/>
        <w:jc w:val="center"/>
        <w:rPr>
          <w:rFonts w:ascii="Arial" w:hAnsi="Arial" w:cs="Arial"/>
          <w:b/>
          <w:noProof/>
          <w:sz w:val="24"/>
          <w:szCs w:val="20"/>
          <w:shd w:val="clear" w:color="auto" w:fill="FFFFFF"/>
          <w:lang w:val="mn-MN"/>
        </w:rPr>
      </w:pPr>
      <w:r w:rsidRPr="00C367CB">
        <w:rPr>
          <w:rFonts w:ascii="Arial" w:hAnsi="Arial" w:cs="Arial"/>
          <w:b/>
          <w:noProof/>
          <w:sz w:val="24"/>
          <w:szCs w:val="20"/>
          <w:shd w:val="clear" w:color="auto" w:fill="FFFFFF"/>
          <w:lang w:val="mn-MN"/>
        </w:rPr>
        <w:t>ДӨРӨВ.ДҮГНЭЛТ</w:t>
      </w:r>
    </w:p>
    <w:p w14:paraId="46D42E8D" w14:textId="77777777" w:rsidR="00D709F9" w:rsidRPr="00C367CB" w:rsidRDefault="00D709F9" w:rsidP="00D709F9">
      <w:pPr>
        <w:spacing w:after="0" w:line="240" w:lineRule="auto"/>
        <w:jc w:val="both"/>
        <w:rPr>
          <w:rFonts w:ascii="Arial" w:hAnsi="Arial" w:cs="Arial"/>
          <w:noProof/>
          <w:sz w:val="24"/>
          <w:szCs w:val="20"/>
          <w:shd w:val="clear" w:color="auto" w:fill="FFFFFF"/>
          <w:lang w:val="mn-MN"/>
        </w:rPr>
      </w:pPr>
    </w:p>
    <w:p w14:paraId="550AA346" w14:textId="2918ECED" w:rsidR="00D709F9" w:rsidRPr="00C367CB" w:rsidRDefault="00D709F9" w:rsidP="00D709F9">
      <w:pPr>
        <w:spacing w:after="0" w:line="240" w:lineRule="auto"/>
        <w:jc w:val="both"/>
        <w:rPr>
          <w:rFonts w:ascii="Arial" w:hAnsi="Arial" w:cs="Arial"/>
          <w:noProof/>
          <w:sz w:val="24"/>
          <w:szCs w:val="20"/>
          <w:shd w:val="clear" w:color="auto" w:fill="FFFFFF"/>
          <w:lang w:val="mn-MN"/>
        </w:rPr>
      </w:pPr>
      <w:r w:rsidRPr="00C367CB">
        <w:rPr>
          <w:rFonts w:ascii="Arial" w:hAnsi="Arial" w:cs="Arial"/>
          <w:noProof/>
          <w:sz w:val="24"/>
          <w:szCs w:val="20"/>
          <w:shd w:val="clear" w:color="auto" w:fill="FFFFFF"/>
          <w:lang w:val="mn-MN"/>
        </w:rPr>
        <w:tab/>
        <w:t>Иймд цэргийн алба хаагчдын нийгмийн баталгаа, тэдгээрийн ар гэр өнөөдрийн нийгэмд гэр бүлийн нэг гишүүнгүйгээр үргэлжлүүлэн амьдрахад шаардлагатай нийгэм хамгааллын харилцааг зохицуулах, холбогдох эрх зүйн зохицуулалтад өөрчлөлт оруулах шаардлагатай байна.</w:t>
      </w:r>
    </w:p>
    <w:p w14:paraId="14269C49" w14:textId="77777777" w:rsidR="00D709F9" w:rsidRPr="00C367CB" w:rsidRDefault="00D709F9" w:rsidP="00D709F9">
      <w:pPr>
        <w:spacing w:after="0" w:line="240" w:lineRule="auto"/>
        <w:jc w:val="center"/>
        <w:rPr>
          <w:rFonts w:ascii="Arial" w:hAnsi="Arial" w:cs="Arial"/>
          <w:noProof/>
          <w:sz w:val="24"/>
          <w:szCs w:val="20"/>
          <w:shd w:val="clear" w:color="auto" w:fill="FFFFFF"/>
          <w:lang w:val="mn-MN"/>
        </w:rPr>
      </w:pPr>
    </w:p>
    <w:p w14:paraId="7B48706E" w14:textId="77777777" w:rsidR="00EA2362" w:rsidRPr="00C367CB" w:rsidRDefault="00EA2362" w:rsidP="00D709F9">
      <w:pPr>
        <w:spacing w:after="0" w:line="240" w:lineRule="auto"/>
        <w:ind w:firstLine="720"/>
        <w:jc w:val="center"/>
        <w:rPr>
          <w:rFonts w:ascii="Arial" w:hAnsi="Arial" w:cs="Arial"/>
          <w:b/>
          <w:noProof/>
          <w:sz w:val="24"/>
          <w:szCs w:val="20"/>
          <w:shd w:val="clear" w:color="auto" w:fill="FFFFFF"/>
          <w:lang w:val="mn-MN"/>
        </w:rPr>
      </w:pPr>
    </w:p>
    <w:p w14:paraId="1005071E" w14:textId="4A63EF08" w:rsidR="00D709F9" w:rsidRPr="00C367CB" w:rsidRDefault="00D709F9" w:rsidP="00D709F9">
      <w:pPr>
        <w:spacing w:after="0" w:line="240" w:lineRule="auto"/>
        <w:ind w:firstLine="720"/>
        <w:jc w:val="center"/>
        <w:rPr>
          <w:rFonts w:ascii="Arial" w:hAnsi="Arial" w:cs="Arial"/>
          <w:noProof/>
          <w:sz w:val="24"/>
          <w:szCs w:val="24"/>
          <w:lang w:val="mn-MN"/>
        </w:rPr>
      </w:pPr>
      <w:r w:rsidRPr="00C367CB">
        <w:rPr>
          <w:rFonts w:ascii="Arial" w:hAnsi="Arial" w:cs="Arial"/>
          <w:noProof/>
          <w:sz w:val="24"/>
          <w:szCs w:val="24"/>
          <w:lang w:val="mn-MN"/>
        </w:rPr>
        <w:t>---о0о---</w:t>
      </w:r>
    </w:p>
    <w:p w14:paraId="2BEEB56F" w14:textId="77777777" w:rsidR="00D709F9" w:rsidRPr="00C367CB" w:rsidRDefault="00D709F9" w:rsidP="00D709F9">
      <w:pPr>
        <w:spacing w:after="0" w:line="240" w:lineRule="auto"/>
        <w:jc w:val="both"/>
        <w:rPr>
          <w:noProof/>
          <w:lang w:val="mn-MN"/>
        </w:rPr>
      </w:pPr>
    </w:p>
    <w:p w14:paraId="76A0AAE5" w14:textId="77777777" w:rsidR="00CD5FA9" w:rsidRPr="00C367CB" w:rsidRDefault="00CD5FA9">
      <w:pPr>
        <w:rPr>
          <w:lang w:val="mn-MN"/>
        </w:rPr>
      </w:pPr>
    </w:p>
    <w:sectPr w:rsidR="00CD5FA9" w:rsidRPr="00C367CB" w:rsidSect="007B641F">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50854" w14:textId="77777777" w:rsidR="007B641F" w:rsidRDefault="007B641F" w:rsidP="00D709F9">
      <w:pPr>
        <w:spacing w:after="0" w:line="240" w:lineRule="auto"/>
      </w:pPr>
      <w:r>
        <w:separator/>
      </w:r>
    </w:p>
  </w:endnote>
  <w:endnote w:type="continuationSeparator" w:id="0">
    <w:p w14:paraId="258DF375" w14:textId="77777777" w:rsidR="007B641F" w:rsidRDefault="007B641F"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DB72A" w14:textId="77777777" w:rsidR="007B641F" w:rsidRDefault="007B641F" w:rsidP="00D709F9">
      <w:pPr>
        <w:spacing w:after="0" w:line="240" w:lineRule="auto"/>
      </w:pPr>
      <w:r>
        <w:separator/>
      </w:r>
    </w:p>
  </w:footnote>
  <w:footnote w:type="continuationSeparator" w:id="0">
    <w:p w14:paraId="4018197A" w14:textId="77777777" w:rsidR="007B641F" w:rsidRDefault="007B641F" w:rsidP="00D709F9">
      <w:pPr>
        <w:spacing w:after="0" w:line="240" w:lineRule="auto"/>
      </w:pPr>
      <w:r>
        <w:continuationSeparator/>
      </w:r>
    </w:p>
  </w:footnote>
  <w:footnote w:id="1">
    <w:p w14:paraId="7FB32B40" w14:textId="77777777" w:rsidR="00D709F9" w:rsidRPr="003B2A7F" w:rsidRDefault="00D709F9" w:rsidP="00D709F9">
      <w:pPr>
        <w:pStyle w:val="FootnoteText"/>
        <w:rPr>
          <w:lang w:val="mn-MN"/>
        </w:rPr>
      </w:pPr>
      <w:r>
        <w:rPr>
          <w:rStyle w:val="FootnoteReference"/>
        </w:rPr>
        <w:footnoteRef/>
      </w:r>
      <w:r>
        <w:t xml:space="preserve"> </w:t>
      </w:r>
      <w:r>
        <w:rPr>
          <w:lang w:val="mn-MN"/>
        </w:rPr>
        <w:t>Зэвсэгт хүчний Жанжин штабын даргын тушаалаар 2022, 2023 онд нас барсан цэргийн алба хаагчийн ар гэрт олгосон нэг удаагийн тэтгэмжийн судалгаа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F1527"/>
    <w:multiLevelType w:val="hybridMultilevel"/>
    <w:tmpl w:val="1B62F6E0"/>
    <w:lvl w:ilvl="0" w:tplc="D0FE21F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45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F9"/>
    <w:rsid w:val="00033B33"/>
    <w:rsid w:val="000F43BD"/>
    <w:rsid w:val="001469E9"/>
    <w:rsid w:val="001569E9"/>
    <w:rsid w:val="00451746"/>
    <w:rsid w:val="0067311F"/>
    <w:rsid w:val="007B641F"/>
    <w:rsid w:val="008D2EEE"/>
    <w:rsid w:val="00923445"/>
    <w:rsid w:val="00C367CB"/>
    <w:rsid w:val="00CD5FA9"/>
    <w:rsid w:val="00D709F9"/>
    <w:rsid w:val="00E42D60"/>
    <w:rsid w:val="00EA2362"/>
    <w:rsid w:val="00F70F5B"/>
    <w:rsid w:val="00FA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1074"/>
  <w15:chartTrackingRefBased/>
  <w15:docId w15:val="{AA3A2EBE-1656-419B-81E5-2306FF4F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9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709F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709F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D709F9"/>
    <w:rPr>
      <w:vertAlign w:val="superscript"/>
    </w:rPr>
  </w:style>
  <w:style w:type="paragraph" w:styleId="ListParagraph">
    <w:name w:val="List Paragraph"/>
    <w:basedOn w:val="Normal"/>
    <w:uiPriority w:val="34"/>
    <w:qFormat/>
    <w:rsid w:val="00D709F9"/>
    <w:pPr>
      <w:ind w:left="720"/>
      <w:contextualSpacing/>
    </w:pPr>
  </w:style>
  <w:style w:type="paragraph" w:styleId="NormalWeb">
    <w:name w:val="Normal (Web)"/>
    <w:basedOn w:val="Normal"/>
    <w:uiPriority w:val="99"/>
    <w:unhideWhenUsed/>
    <w:rsid w:val="00D70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2024-04-12T07:48:00Z</cp:lastPrinted>
  <dcterms:created xsi:type="dcterms:W3CDTF">2024-02-16T08:01:00Z</dcterms:created>
  <dcterms:modified xsi:type="dcterms:W3CDTF">2024-04-12T07:49:00Z</dcterms:modified>
</cp:coreProperties>
</file>