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B7470" w14:textId="77777777" w:rsidR="00F534F0" w:rsidRPr="001545C3" w:rsidRDefault="00CC60CA" w:rsidP="00CC60CA">
      <w:pPr>
        <w:pStyle w:val="NoSpacing"/>
        <w:jc w:val="center"/>
        <w:rPr>
          <w:rFonts w:ascii="Arial" w:hAnsi="Arial" w:cs="Arial"/>
          <w:b/>
          <w:bCs/>
          <w:sz w:val="24"/>
          <w:szCs w:val="24"/>
          <w:lang w:val="mn-MN"/>
        </w:rPr>
      </w:pPr>
      <w:r w:rsidRPr="001545C3">
        <w:rPr>
          <w:rFonts w:ascii="Arial" w:hAnsi="Arial" w:cs="Arial"/>
          <w:b/>
          <w:bCs/>
          <w:iCs/>
          <w:sz w:val="24"/>
          <w:szCs w:val="24"/>
          <w:lang w:val="mn-MN"/>
        </w:rPr>
        <w:t>МОНГОЛ УЛСЫН ХҮНИЙ ЭРХИЙН ҮНДЭСНИЙ КОМИССЫН ТУХАЙ ХУУЛ</w:t>
      </w:r>
      <w:r w:rsidRPr="001545C3">
        <w:rPr>
          <w:rFonts w:ascii="Arial" w:hAnsi="Arial" w:cs="Arial"/>
          <w:b/>
          <w:iCs/>
          <w:sz w:val="24"/>
          <w:szCs w:val="24"/>
          <w:lang w:val="mn-MN"/>
        </w:rPr>
        <w:t xml:space="preserve">ЬД НЭМЭЛТ, ӨӨРЧЛӨЛТ ОРУУЛАХ </w:t>
      </w:r>
      <w:r w:rsidRPr="001545C3">
        <w:rPr>
          <w:rFonts w:ascii="Arial" w:hAnsi="Arial" w:cs="Arial"/>
          <w:b/>
          <w:bCs/>
          <w:sz w:val="24"/>
          <w:szCs w:val="24"/>
          <w:lang w:val="mn-MN"/>
        </w:rPr>
        <w:t xml:space="preserve">ТУХАЙ ХУУЛИЙН ТӨСЛИЙГ ХЭРЭГЖҮҮЛЭХТЭЙ ХОЛБОГДОН ГАРАХ ЗАРДЛЫН </w:t>
      </w:r>
    </w:p>
    <w:p w14:paraId="710219C3" w14:textId="30C59254" w:rsidR="00CC60CA" w:rsidRPr="001545C3" w:rsidRDefault="00CC60CA" w:rsidP="00CC60CA">
      <w:pPr>
        <w:pStyle w:val="NoSpacing"/>
        <w:jc w:val="center"/>
        <w:rPr>
          <w:rStyle w:val="Strong"/>
          <w:rFonts w:ascii="Arial" w:hAnsi="Arial" w:cs="Arial"/>
          <w:sz w:val="24"/>
          <w:szCs w:val="24"/>
          <w:lang w:val="mn-MN"/>
        </w:rPr>
      </w:pPr>
      <w:r w:rsidRPr="001545C3">
        <w:rPr>
          <w:rFonts w:ascii="Arial" w:hAnsi="Arial" w:cs="Arial"/>
          <w:b/>
          <w:bCs/>
          <w:sz w:val="24"/>
          <w:szCs w:val="24"/>
          <w:lang w:val="mn-MN"/>
        </w:rPr>
        <w:t>ТООЦОО АВАХ АРГА ХЭМЖЭЭНИЙ САНАЛ</w:t>
      </w:r>
    </w:p>
    <w:p w14:paraId="78A334DD" w14:textId="77777777" w:rsidR="00CC60CA" w:rsidRPr="001545C3" w:rsidRDefault="00CC60CA" w:rsidP="00CC60CA">
      <w:pPr>
        <w:pStyle w:val="NoSpacing"/>
        <w:jc w:val="center"/>
        <w:rPr>
          <w:rFonts w:ascii="Arial" w:hAnsi="Arial" w:cs="Arial"/>
          <w:b/>
          <w:color w:val="000000" w:themeColor="text1"/>
          <w:sz w:val="24"/>
          <w:szCs w:val="24"/>
          <w:lang w:val="mn-MN"/>
        </w:rPr>
      </w:pPr>
    </w:p>
    <w:p w14:paraId="282FF933" w14:textId="3F7DC24D" w:rsidR="00CC60CA" w:rsidRPr="001545C3" w:rsidRDefault="00CC60CA" w:rsidP="00CC60CA">
      <w:pPr>
        <w:ind w:firstLine="720"/>
        <w:jc w:val="both"/>
        <w:rPr>
          <w:rFonts w:ascii="Arial" w:hAnsi="Arial" w:cs="Arial"/>
          <w:sz w:val="24"/>
          <w:szCs w:val="24"/>
          <w:lang w:val="mn-MN"/>
        </w:rPr>
      </w:pPr>
      <w:r w:rsidRPr="001545C3">
        <w:rPr>
          <w:rFonts w:ascii="Arial" w:eastAsia="Calibri" w:hAnsi="Arial" w:cs="Arial"/>
          <w:sz w:val="24"/>
          <w:szCs w:val="24"/>
          <w:lang w:val="mn-MN"/>
        </w:rPr>
        <w:t xml:space="preserve">Монгол Улсын Хүний эрхийн Үндэсний Комиссын тухай </w:t>
      </w:r>
      <w:r w:rsidRPr="001545C3">
        <w:rPr>
          <w:rFonts w:ascii="Arial" w:hAnsi="Arial" w:cs="Arial"/>
          <w:color w:val="000000" w:themeColor="text1"/>
          <w:sz w:val="24"/>
          <w:szCs w:val="24"/>
          <w:lang w:val="mn-MN"/>
        </w:rPr>
        <w:t xml:space="preserve">хуульд өөрчлөлт оруулах тухай хуулийн төслийг батлагдсан тохиолдолд практикт хэрэгжүүлэхтэй холбогдон гарах зардлын тооцоог </w:t>
      </w:r>
      <w:r w:rsidRPr="001545C3">
        <w:rPr>
          <w:rStyle w:val="Emphasis"/>
          <w:rFonts w:ascii="Arial" w:hAnsi="Arial" w:cs="Arial"/>
          <w:i w:val="0"/>
          <w:sz w:val="24"/>
          <w:szCs w:val="24"/>
          <w:lang w:val="mn-MN"/>
        </w:rPr>
        <w:t>Засгийн газрын 2016 оны 59 дүгээр</w:t>
      </w:r>
      <w:r w:rsidRPr="001545C3">
        <w:rPr>
          <w:rFonts w:ascii="Arial" w:hAnsi="Arial" w:cs="Arial"/>
          <w:sz w:val="24"/>
          <w:szCs w:val="24"/>
          <w:lang w:val="mn-MN"/>
        </w:rPr>
        <w:t xml:space="preserve"> </w:t>
      </w:r>
      <w:r w:rsidRPr="001545C3">
        <w:rPr>
          <w:rStyle w:val="Emphasis"/>
          <w:rFonts w:ascii="Arial" w:hAnsi="Arial" w:cs="Arial"/>
          <w:i w:val="0"/>
          <w:sz w:val="24"/>
          <w:szCs w:val="24"/>
          <w:lang w:val="mn-MN"/>
        </w:rPr>
        <w:t>тогтоолын 4 дүгээр хавсралт</w:t>
      </w:r>
      <w:r w:rsidRPr="001545C3">
        <w:rPr>
          <w:rFonts w:ascii="Arial" w:hAnsi="Arial" w:cs="Arial"/>
          <w:sz w:val="24"/>
          <w:szCs w:val="24"/>
          <w:lang w:val="mn-MN"/>
        </w:rPr>
        <w:t>аар баталсан</w:t>
      </w:r>
      <w:r w:rsidRPr="001545C3">
        <w:rPr>
          <w:rFonts w:ascii="Arial" w:hAnsi="Arial" w:cs="Arial"/>
          <w:b/>
          <w:sz w:val="24"/>
          <w:szCs w:val="24"/>
          <w:lang w:val="mn-MN"/>
        </w:rPr>
        <w:t xml:space="preserve"> </w:t>
      </w:r>
      <w:r w:rsidRPr="001545C3">
        <w:rPr>
          <w:rFonts w:ascii="Arial" w:hAnsi="Arial" w:cs="Arial"/>
          <w:sz w:val="24"/>
          <w:szCs w:val="24"/>
          <w:lang w:val="mn-MN"/>
        </w:rPr>
        <w:t xml:space="preserve">“Хууль тогтоомжийг хэрэгжүүлэхтэй холбогдон гарах зардлын тооцоог хийх аргачлал”-ын дагуу хийв. </w:t>
      </w:r>
    </w:p>
    <w:p w14:paraId="5377D731" w14:textId="77777777" w:rsidR="00CC60CA" w:rsidRPr="001545C3" w:rsidRDefault="00CC60CA" w:rsidP="00CC60CA">
      <w:pPr>
        <w:spacing w:after="0"/>
        <w:ind w:firstLine="720"/>
        <w:jc w:val="both"/>
        <w:rPr>
          <w:rFonts w:ascii="Arial" w:eastAsia="Batang" w:hAnsi="Arial" w:cs="Arial"/>
          <w:sz w:val="24"/>
          <w:szCs w:val="24"/>
          <w:lang w:val="mn-MN"/>
        </w:rPr>
      </w:pPr>
      <w:r w:rsidRPr="001545C3">
        <w:rPr>
          <w:rFonts w:ascii="Arial" w:hAnsi="Arial" w:cs="Arial"/>
          <w:b/>
          <w:bCs/>
          <w:sz w:val="24"/>
          <w:szCs w:val="24"/>
          <w:lang w:val="mn-MN"/>
        </w:rPr>
        <w:t>Нэг.</w:t>
      </w:r>
      <w:r w:rsidRPr="001545C3">
        <w:rPr>
          <w:rFonts w:ascii="Arial" w:hAnsi="Arial" w:cs="Arial"/>
          <w:sz w:val="24"/>
          <w:szCs w:val="24"/>
          <w:lang w:val="mn-MN"/>
        </w:rPr>
        <w:t xml:space="preserve"> Энэхүү хуулийн төсөл Улсын төсөвт нэмэлт зардал үүсгэхгүй.</w:t>
      </w:r>
    </w:p>
    <w:p w14:paraId="1799ABE5" w14:textId="77777777" w:rsidR="00532395" w:rsidRPr="001545C3" w:rsidRDefault="00CC60CA" w:rsidP="00532395">
      <w:pPr>
        <w:spacing w:before="120" w:after="0"/>
        <w:ind w:right="171" w:firstLine="720"/>
        <w:jc w:val="both"/>
        <w:rPr>
          <w:rFonts w:ascii="Arial" w:hAnsi="Arial" w:cs="Arial"/>
          <w:b/>
          <w:bCs/>
          <w:sz w:val="24"/>
          <w:szCs w:val="24"/>
          <w:lang w:val="mn-MN"/>
        </w:rPr>
      </w:pPr>
      <w:r w:rsidRPr="001545C3">
        <w:rPr>
          <w:rFonts w:ascii="Arial" w:hAnsi="Arial" w:cs="Arial"/>
          <w:b/>
          <w:bCs/>
          <w:sz w:val="24"/>
          <w:szCs w:val="24"/>
          <w:lang w:val="mn-MN"/>
        </w:rPr>
        <w:t>Хоёр.</w:t>
      </w:r>
      <w:r w:rsidRPr="001545C3">
        <w:rPr>
          <w:rFonts w:ascii="Arial" w:hAnsi="Arial" w:cs="Arial"/>
          <w:sz w:val="24"/>
          <w:szCs w:val="24"/>
          <w:lang w:val="mn-MN"/>
        </w:rPr>
        <w:t xml:space="preserve"> </w:t>
      </w:r>
      <w:r w:rsidR="00532395" w:rsidRPr="001545C3">
        <w:rPr>
          <w:rFonts w:ascii="Arial" w:hAnsi="Arial" w:cs="Arial"/>
          <w:sz w:val="24"/>
          <w:szCs w:val="24"/>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14:paraId="7D643845" w14:textId="77777777" w:rsidR="00532395" w:rsidRPr="001545C3" w:rsidRDefault="00532395" w:rsidP="00532395">
      <w:pPr>
        <w:spacing w:before="120" w:after="0"/>
        <w:ind w:right="171" w:firstLine="567"/>
        <w:jc w:val="both"/>
        <w:rPr>
          <w:rFonts w:ascii="Arial" w:hAnsi="Arial" w:cs="Arial"/>
          <w:b/>
          <w:bCs/>
          <w:sz w:val="24"/>
          <w:szCs w:val="24"/>
          <w:lang w:val="mn-MN"/>
        </w:rPr>
      </w:pPr>
      <w:r w:rsidRPr="001545C3">
        <w:rPr>
          <w:rFonts w:ascii="Arial" w:hAnsi="Arial" w:cs="Arial"/>
          <w:sz w:val="24"/>
          <w:szCs w:val="24"/>
          <w:lang w:val="mn-MN"/>
        </w:rPr>
        <w:t>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p>
    <w:p w14:paraId="08CFA53B" w14:textId="77777777" w:rsidR="00532395" w:rsidRPr="001545C3" w:rsidRDefault="00532395" w:rsidP="00532395">
      <w:pPr>
        <w:spacing w:before="120" w:after="0"/>
        <w:ind w:right="171" w:firstLine="567"/>
        <w:jc w:val="both"/>
        <w:rPr>
          <w:rFonts w:ascii="Arial" w:hAnsi="Arial" w:cs="Arial"/>
          <w:sz w:val="24"/>
          <w:szCs w:val="24"/>
          <w:lang w:val="mn-MN"/>
        </w:rPr>
      </w:pPr>
      <w:r w:rsidRPr="001545C3">
        <w:rPr>
          <w:rFonts w:ascii="Arial" w:hAnsi="Arial" w:cs="Arial"/>
          <w:sz w:val="24"/>
          <w:szCs w:val="24"/>
          <w:lang w:val="mn-MN"/>
        </w:rPr>
        <w:t xml:space="preserve">НҮБ-ын ЭШУС Дэд хороо Монгол Улсад 2017 оны 09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w:t>
      </w:r>
    </w:p>
    <w:p w14:paraId="21028D25" w14:textId="77777777" w:rsidR="00532395" w:rsidRPr="001545C3" w:rsidRDefault="00532395" w:rsidP="00532395">
      <w:pPr>
        <w:spacing w:before="120" w:after="0"/>
        <w:ind w:right="171" w:firstLine="567"/>
        <w:jc w:val="both"/>
        <w:rPr>
          <w:rFonts w:ascii="Arial" w:hAnsi="Arial" w:cs="Arial"/>
          <w:sz w:val="24"/>
          <w:szCs w:val="24"/>
          <w:lang w:val="mn-MN"/>
        </w:rPr>
      </w:pPr>
      <w:r w:rsidRPr="001545C3">
        <w:rPr>
          <w:rFonts w:ascii="Arial"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14:paraId="79ED8D91" w14:textId="77777777" w:rsidR="00532395" w:rsidRPr="001545C3" w:rsidRDefault="00532395" w:rsidP="00532395">
      <w:pPr>
        <w:spacing w:before="120" w:after="0"/>
        <w:ind w:right="171" w:firstLine="567"/>
        <w:jc w:val="both"/>
        <w:rPr>
          <w:rFonts w:ascii="Arial" w:hAnsi="Arial" w:cs="Arial"/>
          <w:bCs/>
          <w:sz w:val="24"/>
          <w:szCs w:val="24"/>
          <w:lang w:val="mn-MN"/>
        </w:rPr>
      </w:pPr>
      <w:r w:rsidRPr="001545C3">
        <w:rPr>
          <w:rFonts w:ascii="Arial" w:hAnsi="Arial" w:cs="Arial"/>
          <w:bCs/>
          <w:sz w:val="24"/>
          <w:szCs w:val="24"/>
          <w:lang w:val="mn-MN"/>
        </w:rPr>
        <w:t>Монгол Улсын Их Хурлаас 2020 оны 01 дүгээр сарын 23-ны өдөр Монгол Улсын Хүний эрхийн Үндэсний Комиссын тухай хуулийн шинэчлэн батлахдаа Эрүү шүүлтээс урьдчилан сэргийлэх асуудал эрхэлсэн гишүүн, түүний бүрэн эрх, чиг үүрэг, эрүү шүүлтээс урьдчилан сэргийлэх үндэсний ажиллагааны эрх зүйн зохицуулалтыг шинээр тусгасан.</w:t>
      </w:r>
    </w:p>
    <w:p w14:paraId="295CFEAB" w14:textId="3CF0D244" w:rsidR="00532395" w:rsidRPr="001545C3" w:rsidRDefault="00532395" w:rsidP="00532395">
      <w:pPr>
        <w:spacing w:before="120" w:after="0"/>
        <w:ind w:right="171" w:firstLine="567"/>
        <w:jc w:val="both"/>
        <w:rPr>
          <w:rFonts w:ascii="Arial" w:hAnsi="Arial" w:cs="Arial"/>
          <w:sz w:val="24"/>
          <w:szCs w:val="24"/>
        </w:rPr>
      </w:pPr>
      <w:r w:rsidRPr="001545C3">
        <w:rPr>
          <w:rFonts w:ascii="Arial" w:hAnsi="Arial" w:cs="Arial"/>
          <w:sz w:val="24"/>
          <w:szCs w:val="24"/>
          <w:lang w:val="mn-MN"/>
        </w:rPr>
        <w:lastRenderedPageBreak/>
        <w:t xml:space="preserve">Тухайлбал, </w:t>
      </w:r>
      <w:r w:rsidR="00203907" w:rsidRPr="001545C3">
        <w:rPr>
          <w:rFonts w:ascii="Arial" w:eastAsia="Calibri" w:hAnsi="Arial" w:cs="Arial"/>
          <w:sz w:val="24"/>
          <w:szCs w:val="24"/>
          <w:lang w:val="mn-MN"/>
        </w:rPr>
        <w:t xml:space="preserve">Монгол Улсын Хүний эрхийн Үндэсний Комиссын тухай </w:t>
      </w:r>
      <w:r w:rsidRPr="001545C3">
        <w:rPr>
          <w:rFonts w:ascii="Arial" w:hAnsi="Arial" w:cs="Arial"/>
          <w:sz w:val="24"/>
          <w:szCs w:val="24"/>
          <w:lang w:val="mn-MN"/>
        </w:rPr>
        <w:t>хуулийн 31 дүгээр зүйлийн 31.3 дахь хэсэгт “Эрүү шүүлтээс урьдчилан сэргийлэх ажиллагааны төсөв нь чиг үүргээ бүрэн, тасралтгүй, үр нөлөөтэй, хараат бусаар эрхлэн явуулахад хүрэлцэхүйц байна.” гэж хуульчилсан.</w:t>
      </w:r>
      <w:r w:rsidRPr="001545C3">
        <w:rPr>
          <w:rFonts w:ascii="Arial" w:hAnsi="Arial" w:cs="Arial"/>
          <w:sz w:val="24"/>
          <w:szCs w:val="24"/>
        </w:rPr>
        <w:t xml:space="preserve"> </w:t>
      </w:r>
    </w:p>
    <w:p w14:paraId="2B017BF7" w14:textId="1733B274" w:rsidR="00CC60CA" w:rsidRDefault="00CC60CA" w:rsidP="000F7DB6">
      <w:pPr>
        <w:pStyle w:val="NoSpacing"/>
        <w:spacing w:line="276" w:lineRule="auto"/>
        <w:jc w:val="center"/>
        <w:rPr>
          <w:rFonts w:ascii="Arial" w:hAnsi="Arial" w:cs="Arial"/>
          <w:b/>
          <w:bCs/>
          <w:sz w:val="24"/>
          <w:szCs w:val="24"/>
          <w:lang w:val="mn-MN"/>
        </w:rPr>
      </w:pPr>
    </w:p>
    <w:p w14:paraId="3551CE4E" w14:textId="6A85541A" w:rsidR="00606FE2" w:rsidRDefault="00203907" w:rsidP="000F7DB6">
      <w:pPr>
        <w:pStyle w:val="NoSpacing"/>
        <w:spacing w:line="276" w:lineRule="auto"/>
        <w:ind w:firstLine="720"/>
        <w:jc w:val="both"/>
        <w:rPr>
          <w:rFonts w:ascii="Arial" w:hAnsi="Arial" w:cs="Arial"/>
          <w:bCs/>
          <w:sz w:val="24"/>
          <w:szCs w:val="24"/>
          <w:lang w:val="mn-MN"/>
        </w:rPr>
      </w:pPr>
      <w:r w:rsidRPr="00203907">
        <w:rPr>
          <w:rFonts w:ascii="Arial" w:hAnsi="Arial" w:cs="Arial"/>
          <w:bCs/>
          <w:sz w:val="24"/>
          <w:szCs w:val="24"/>
          <w:lang w:val="mn-MN"/>
        </w:rPr>
        <w:t xml:space="preserve">НҮБ-ын </w:t>
      </w:r>
      <w:r>
        <w:rPr>
          <w:rFonts w:ascii="Arial" w:hAnsi="Arial" w:cs="Arial"/>
          <w:bCs/>
          <w:sz w:val="24"/>
          <w:szCs w:val="24"/>
          <w:lang w:val="mn-MN"/>
        </w:rPr>
        <w:t>Эрүүдэн шүүх болон бусад хэлбэрээр хэрцгий, хү</w:t>
      </w:r>
      <w:r w:rsidR="00E11C18">
        <w:rPr>
          <w:rFonts w:ascii="Arial" w:hAnsi="Arial" w:cs="Arial"/>
          <w:bCs/>
          <w:sz w:val="24"/>
          <w:szCs w:val="24"/>
          <w:lang w:val="mn-MN"/>
        </w:rPr>
        <w:t>н</w:t>
      </w:r>
      <w:r>
        <w:rPr>
          <w:rFonts w:ascii="Arial" w:hAnsi="Arial" w:cs="Arial"/>
          <w:bCs/>
          <w:sz w:val="24"/>
          <w:szCs w:val="24"/>
          <w:lang w:val="mn-MN"/>
        </w:rPr>
        <w:t xml:space="preserve">лэг бусаар буюу хүний нэр төрийг доромжлон харьцаж шийтгэхийн эсрэг асуудал хариуцсан хороонд </w:t>
      </w:r>
      <w:r w:rsidR="00E11C18">
        <w:rPr>
          <w:rFonts w:ascii="Arial" w:hAnsi="Arial" w:cs="Arial"/>
          <w:bCs/>
          <w:sz w:val="24"/>
          <w:szCs w:val="24"/>
          <w:lang w:val="mn-MN"/>
        </w:rPr>
        <w:t>Монгол У</w:t>
      </w:r>
      <w:r w:rsidR="00862AE5">
        <w:rPr>
          <w:rFonts w:ascii="Arial" w:hAnsi="Arial" w:cs="Arial"/>
          <w:bCs/>
          <w:sz w:val="24"/>
          <w:szCs w:val="24"/>
          <w:lang w:val="mn-MN"/>
        </w:rPr>
        <w:t>л</w:t>
      </w:r>
      <w:r w:rsidR="00E11C18">
        <w:rPr>
          <w:rFonts w:ascii="Arial" w:hAnsi="Arial" w:cs="Arial"/>
          <w:bCs/>
          <w:sz w:val="24"/>
          <w:szCs w:val="24"/>
          <w:lang w:val="mn-MN"/>
        </w:rPr>
        <w:t>сын Засгийн газраас “</w:t>
      </w:r>
      <w:r>
        <w:rPr>
          <w:rFonts w:ascii="Arial" w:hAnsi="Arial" w:cs="Arial"/>
          <w:bCs/>
          <w:sz w:val="24"/>
          <w:szCs w:val="24"/>
          <w:lang w:val="mn-MN"/>
        </w:rPr>
        <w:t xml:space="preserve">Монгол Улсаас </w:t>
      </w:r>
      <w:r w:rsidR="00862AE5">
        <w:rPr>
          <w:rFonts w:ascii="Arial" w:hAnsi="Arial" w:cs="Arial"/>
          <w:bCs/>
          <w:sz w:val="24"/>
          <w:szCs w:val="24"/>
          <w:lang w:val="mn-MN"/>
        </w:rPr>
        <w:t xml:space="preserve">тус </w:t>
      </w:r>
      <w:r>
        <w:rPr>
          <w:rFonts w:ascii="Arial" w:hAnsi="Arial" w:cs="Arial"/>
          <w:bCs/>
          <w:sz w:val="24"/>
          <w:szCs w:val="24"/>
          <w:lang w:val="mn-MN"/>
        </w:rPr>
        <w:t xml:space="preserve">конвенцын хэрэгжилтийн талаар хүргүүлсэн ээлжит Гурав дахь </w:t>
      </w:r>
      <w:r w:rsidR="00E11C18">
        <w:rPr>
          <w:rFonts w:ascii="Arial" w:hAnsi="Arial" w:cs="Arial"/>
          <w:bCs/>
          <w:sz w:val="24"/>
          <w:szCs w:val="24"/>
          <w:lang w:val="mn-MN"/>
        </w:rPr>
        <w:t>2022</w:t>
      </w:r>
      <w:r w:rsidR="00E11C18">
        <w:rPr>
          <w:rFonts w:ascii="Arial" w:hAnsi="Arial" w:cs="Arial"/>
          <w:bCs/>
          <w:sz w:val="24"/>
          <w:szCs w:val="24"/>
          <w:lang w:val="mn-MN"/>
        </w:rPr>
        <w:t xml:space="preserve"> оны </w:t>
      </w:r>
      <w:r>
        <w:rPr>
          <w:rFonts w:ascii="Arial" w:hAnsi="Arial" w:cs="Arial"/>
          <w:bCs/>
          <w:sz w:val="24"/>
          <w:szCs w:val="24"/>
          <w:lang w:val="mn-MN"/>
        </w:rPr>
        <w:t>тайлан</w:t>
      </w:r>
      <w:r w:rsidR="00E11C18">
        <w:rPr>
          <w:rFonts w:ascii="Arial" w:hAnsi="Arial" w:cs="Arial"/>
          <w:bCs/>
          <w:sz w:val="24"/>
          <w:szCs w:val="24"/>
          <w:lang w:val="mn-MN"/>
        </w:rPr>
        <w:t>”</w:t>
      </w:r>
      <w:r>
        <w:rPr>
          <w:rFonts w:ascii="Arial" w:hAnsi="Arial" w:cs="Arial"/>
          <w:bCs/>
          <w:sz w:val="24"/>
          <w:szCs w:val="24"/>
          <w:lang w:val="mn-MN"/>
        </w:rPr>
        <w:t>-гийн 155 дугаар хэсэгт дурдснаар</w:t>
      </w:r>
      <w:r w:rsidR="00E11C18">
        <w:rPr>
          <w:rFonts w:ascii="Arial" w:hAnsi="Arial" w:cs="Arial"/>
          <w:bCs/>
          <w:sz w:val="24"/>
          <w:szCs w:val="24"/>
          <w:lang w:val="mn-MN"/>
        </w:rPr>
        <w:t>:</w:t>
      </w:r>
      <w:r>
        <w:rPr>
          <w:rFonts w:ascii="Arial" w:hAnsi="Arial" w:cs="Arial"/>
          <w:bCs/>
          <w:sz w:val="24"/>
          <w:szCs w:val="24"/>
          <w:lang w:val="mn-MN"/>
        </w:rPr>
        <w:t xml:space="preserve"> “...Эрүү шүүлтийн эсрэг үндэсний механизмыг бий болгож, эрүү шүүлт</w:t>
      </w:r>
      <w:r w:rsidR="00E11C18">
        <w:rPr>
          <w:rFonts w:ascii="Arial" w:hAnsi="Arial" w:cs="Arial"/>
          <w:bCs/>
          <w:sz w:val="24"/>
          <w:szCs w:val="24"/>
          <w:lang w:val="mn-MN"/>
        </w:rPr>
        <w:t>ээ</w:t>
      </w:r>
      <w:r>
        <w:rPr>
          <w:rFonts w:ascii="Arial" w:hAnsi="Arial" w:cs="Arial"/>
          <w:bCs/>
          <w:sz w:val="24"/>
          <w:szCs w:val="24"/>
          <w:lang w:val="mn-MN"/>
        </w:rPr>
        <w:t xml:space="preserve">с урьдчилан сэргийлэх хараат бус үйл ажиллагаагаа явуулах гишүүн болон нэгжийн чиг үүргийг </w:t>
      </w:r>
      <w:r w:rsidR="00862AE5" w:rsidRPr="001545C3">
        <w:rPr>
          <w:rFonts w:ascii="Arial" w:eastAsia="Calibri" w:hAnsi="Arial" w:cs="Arial"/>
          <w:sz w:val="24"/>
          <w:szCs w:val="24"/>
          <w:lang w:val="mn-MN"/>
        </w:rPr>
        <w:t xml:space="preserve">Монгол Улсын Хүний эрхийн Үндэсний Комиссын тухай </w:t>
      </w:r>
      <w:r>
        <w:rPr>
          <w:rFonts w:ascii="Arial" w:hAnsi="Arial" w:cs="Arial"/>
          <w:bCs/>
          <w:sz w:val="24"/>
          <w:szCs w:val="24"/>
          <w:lang w:val="mn-MN"/>
        </w:rPr>
        <w:t xml:space="preserve">хуульд тусгасан. Тус нэгжид удирдах 1 ажилтан буюу комиссараас гадна гүйцэтгэх 7 албан хаагч, үйлчлэх 3 ажилтны орон тоог баталсан байна. </w:t>
      </w:r>
    </w:p>
    <w:p w14:paraId="5F60B315" w14:textId="2EFA8614" w:rsidR="00203907" w:rsidRPr="00203907" w:rsidRDefault="00203907" w:rsidP="000F7DB6">
      <w:pPr>
        <w:pStyle w:val="NoSpacing"/>
        <w:spacing w:line="276" w:lineRule="auto"/>
        <w:ind w:firstLine="720"/>
        <w:jc w:val="both"/>
        <w:rPr>
          <w:rFonts w:ascii="Arial" w:hAnsi="Arial" w:cs="Arial"/>
          <w:bCs/>
          <w:sz w:val="24"/>
          <w:szCs w:val="24"/>
          <w:lang w:val="mn-MN"/>
        </w:rPr>
      </w:pPr>
      <w:r w:rsidRPr="001545C3">
        <w:rPr>
          <w:rFonts w:ascii="Arial" w:eastAsia="Calibri" w:hAnsi="Arial" w:cs="Arial"/>
          <w:sz w:val="24"/>
          <w:szCs w:val="24"/>
          <w:lang w:val="mn-MN"/>
        </w:rPr>
        <w:t xml:space="preserve">Монгол Улсын Хүний эрхийн Үндэсний Комиссын тухай </w:t>
      </w:r>
      <w:r w:rsidRPr="001545C3">
        <w:rPr>
          <w:rFonts w:ascii="Arial" w:hAnsi="Arial" w:cs="Arial"/>
          <w:sz w:val="24"/>
          <w:szCs w:val="24"/>
          <w:lang w:val="mn-MN"/>
        </w:rPr>
        <w:t>хуул</w:t>
      </w:r>
      <w:r>
        <w:rPr>
          <w:rFonts w:ascii="Arial" w:hAnsi="Arial" w:cs="Arial"/>
          <w:sz w:val="24"/>
          <w:szCs w:val="24"/>
          <w:lang w:val="mn-MN"/>
        </w:rPr>
        <w:t>ьд за</w:t>
      </w:r>
      <w:r w:rsidR="00E11C18">
        <w:rPr>
          <w:rFonts w:ascii="Arial" w:hAnsi="Arial" w:cs="Arial"/>
          <w:sz w:val="24"/>
          <w:szCs w:val="24"/>
          <w:lang w:val="mn-MN"/>
        </w:rPr>
        <w:t>а</w:t>
      </w:r>
      <w:r>
        <w:rPr>
          <w:rFonts w:ascii="Arial" w:hAnsi="Arial" w:cs="Arial"/>
          <w:sz w:val="24"/>
          <w:szCs w:val="24"/>
          <w:lang w:val="mn-MN"/>
        </w:rPr>
        <w:t xml:space="preserve">снаар Комисс нь улсын төсвөөс санхүүжих, Комиссын төсөв нь үйл ажиллагаагаа хараат бусаар хэрэгжүүлэх </w:t>
      </w:r>
      <w:r w:rsidR="00E11C18">
        <w:rPr>
          <w:rFonts w:ascii="Arial" w:hAnsi="Arial" w:cs="Arial"/>
          <w:sz w:val="24"/>
          <w:szCs w:val="24"/>
          <w:lang w:val="mn-MN"/>
        </w:rPr>
        <w:t>ш</w:t>
      </w:r>
      <w:r>
        <w:rPr>
          <w:rFonts w:ascii="Arial" w:hAnsi="Arial" w:cs="Arial"/>
          <w:sz w:val="24"/>
          <w:szCs w:val="24"/>
          <w:lang w:val="mn-MN"/>
        </w:rPr>
        <w:t xml:space="preserve">аардлагыг хангасан байх ёстой. </w:t>
      </w:r>
      <w:r w:rsidRPr="001545C3">
        <w:rPr>
          <w:rFonts w:ascii="Arial" w:eastAsia="Calibri" w:hAnsi="Arial" w:cs="Arial"/>
          <w:sz w:val="24"/>
          <w:szCs w:val="24"/>
          <w:lang w:val="mn-MN"/>
        </w:rPr>
        <w:t xml:space="preserve">Монгол Улсын Хүний эрхийн Үндэсний Комиссын тухай </w:t>
      </w:r>
      <w:r w:rsidRPr="001545C3">
        <w:rPr>
          <w:rFonts w:ascii="Arial" w:hAnsi="Arial" w:cs="Arial"/>
          <w:sz w:val="24"/>
          <w:szCs w:val="24"/>
          <w:lang w:val="mn-MN"/>
        </w:rPr>
        <w:t>хуулий</w:t>
      </w:r>
      <w:r>
        <w:rPr>
          <w:rFonts w:ascii="Arial" w:hAnsi="Arial" w:cs="Arial"/>
          <w:sz w:val="24"/>
          <w:szCs w:val="24"/>
          <w:lang w:val="mn-MN"/>
        </w:rPr>
        <w:t xml:space="preserve">г </w:t>
      </w:r>
      <w:r w:rsidR="00E11C18">
        <w:rPr>
          <w:rFonts w:ascii="Arial" w:hAnsi="Arial" w:cs="Arial"/>
          <w:sz w:val="24"/>
          <w:szCs w:val="24"/>
          <w:lang w:val="mn-MN"/>
        </w:rPr>
        <w:t xml:space="preserve">хэрэгжүүлэх тэр дундаа Эрүү шүүлтээс урьдчилан сэргийлэх үндэсний механизмыг үр дүнтэй ажиллуулахтай холбогдох зардлыг </w:t>
      </w:r>
      <w:bookmarkStart w:id="0" w:name="_GoBack"/>
      <w:bookmarkEnd w:id="0"/>
      <w:r w:rsidR="00E11C18">
        <w:rPr>
          <w:rFonts w:ascii="Arial" w:hAnsi="Arial" w:cs="Arial"/>
          <w:sz w:val="24"/>
          <w:szCs w:val="24"/>
          <w:lang w:val="mn-MN"/>
        </w:rPr>
        <w:t>төсөвт тусгасан</w:t>
      </w:r>
      <w:r w:rsidR="002536A1">
        <w:rPr>
          <w:rFonts w:ascii="Arial" w:hAnsi="Arial" w:cs="Arial"/>
          <w:sz w:val="24"/>
          <w:szCs w:val="24"/>
          <w:lang w:val="mn-MN"/>
        </w:rPr>
        <w:t>” гэж тайлагнасан</w:t>
      </w:r>
      <w:r w:rsidR="00862AE5">
        <w:rPr>
          <w:rFonts w:ascii="Arial" w:hAnsi="Arial" w:cs="Arial"/>
          <w:sz w:val="24"/>
          <w:szCs w:val="24"/>
          <w:lang w:val="mn-MN"/>
        </w:rPr>
        <w:t xml:space="preserve"> байна</w:t>
      </w:r>
      <w:r w:rsidR="00E11C18">
        <w:rPr>
          <w:rFonts w:ascii="Arial" w:hAnsi="Arial" w:cs="Arial"/>
          <w:sz w:val="24"/>
          <w:szCs w:val="24"/>
          <w:lang w:val="mn-MN"/>
        </w:rPr>
        <w:t xml:space="preserve">. </w:t>
      </w:r>
    </w:p>
    <w:p w14:paraId="575462D7" w14:textId="77777777" w:rsidR="00E11C18" w:rsidRDefault="00E11C18" w:rsidP="00E11C18">
      <w:pPr>
        <w:pStyle w:val="NoSpacing"/>
        <w:spacing w:line="276" w:lineRule="auto"/>
        <w:ind w:firstLine="720"/>
        <w:jc w:val="both"/>
        <w:rPr>
          <w:rFonts w:ascii="Arial" w:hAnsi="Arial" w:cs="Arial"/>
          <w:sz w:val="24"/>
          <w:szCs w:val="24"/>
          <w:lang w:val="mn-MN"/>
        </w:rPr>
      </w:pPr>
    </w:p>
    <w:p w14:paraId="1DFC80AC" w14:textId="77777777" w:rsidR="000E78C9" w:rsidRDefault="00E11C18" w:rsidP="00E11C18">
      <w:pPr>
        <w:pStyle w:val="NoSpacing"/>
        <w:spacing w:line="276" w:lineRule="auto"/>
        <w:ind w:firstLine="720"/>
        <w:jc w:val="both"/>
        <w:rPr>
          <w:rFonts w:ascii="Arial" w:hAnsi="Arial" w:cs="Arial"/>
          <w:sz w:val="24"/>
          <w:szCs w:val="24"/>
          <w:lang w:val="mn-MN"/>
        </w:rPr>
      </w:pPr>
      <w:r w:rsidRPr="001545C3">
        <w:rPr>
          <w:rFonts w:ascii="Arial" w:hAnsi="Arial" w:cs="Arial"/>
          <w:sz w:val="24"/>
          <w:szCs w:val="24"/>
          <w:lang w:val="mn-MN"/>
        </w:rPr>
        <w:t>Энэхүү хуулийн хуулийн төсөл нэмэлт зардал шаардахгүй</w:t>
      </w:r>
      <w:r>
        <w:rPr>
          <w:rFonts w:ascii="Arial" w:hAnsi="Arial" w:cs="Arial"/>
          <w:sz w:val="24"/>
          <w:szCs w:val="24"/>
          <w:lang w:val="mn-MN"/>
        </w:rPr>
        <w:t xml:space="preserve"> </w:t>
      </w:r>
      <w:r w:rsidRPr="001545C3">
        <w:rPr>
          <w:rFonts w:ascii="Arial" w:hAnsi="Arial" w:cs="Arial"/>
          <w:sz w:val="24"/>
          <w:szCs w:val="24"/>
          <w:lang w:val="mn-MN"/>
        </w:rPr>
        <w:t>асуудал хариуцсан байгууллагын үндсэн төсвийн хүрээнд шийдвэрлээд явах боломжтой</w:t>
      </w:r>
      <w:r w:rsidR="000E78C9">
        <w:rPr>
          <w:rFonts w:ascii="Arial" w:hAnsi="Arial" w:cs="Arial"/>
          <w:sz w:val="24"/>
          <w:szCs w:val="24"/>
          <w:lang w:val="mn-MN"/>
        </w:rPr>
        <w:t xml:space="preserve">. </w:t>
      </w:r>
    </w:p>
    <w:p w14:paraId="27BC17AF" w14:textId="77777777" w:rsidR="000E78C9" w:rsidRDefault="000E78C9" w:rsidP="00E11C18">
      <w:pPr>
        <w:pStyle w:val="NoSpacing"/>
        <w:spacing w:line="276" w:lineRule="auto"/>
        <w:ind w:firstLine="720"/>
        <w:jc w:val="both"/>
        <w:rPr>
          <w:rFonts w:ascii="Arial" w:hAnsi="Arial" w:cs="Arial"/>
          <w:sz w:val="24"/>
          <w:szCs w:val="24"/>
          <w:lang w:val="mn-MN"/>
        </w:rPr>
      </w:pPr>
    </w:p>
    <w:p w14:paraId="0F6F09AC" w14:textId="77777777" w:rsidR="00E11C18" w:rsidRPr="001545C3" w:rsidRDefault="00E11C18" w:rsidP="00E11C18">
      <w:pPr>
        <w:pStyle w:val="NoSpacing"/>
        <w:spacing w:line="276" w:lineRule="auto"/>
        <w:jc w:val="center"/>
        <w:rPr>
          <w:rFonts w:ascii="Arial" w:hAnsi="Arial" w:cs="Arial"/>
          <w:sz w:val="24"/>
          <w:szCs w:val="24"/>
          <w:lang w:val="mn-MN"/>
        </w:rPr>
      </w:pPr>
    </w:p>
    <w:p w14:paraId="31D2D0F2" w14:textId="77777777" w:rsidR="00E11C18" w:rsidRPr="001545C3" w:rsidRDefault="00E11C18" w:rsidP="00E11C18">
      <w:pPr>
        <w:pStyle w:val="NoSpacing"/>
        <w:spacing w:line="276" w:lineRule="auto"/>
        <w:jc w:val="center"/>
        <w:rPr>
          <w:rFonts w:ascii="Arial" w:hAnsi="Arial" w:cs="Arial"/>
          <w:b/>
          <w:bCs/>
          <w:sz w:val="24"/>
          <w:szCs w:val="24"/>
          <w:lang w:val="mn-MN"/>
        </w:rPr>
      </w:pPr>
      <w:r w:rsidRPr="001545C3">
        <w:rPr>
          <w:rFonts w:ascii="Arial" w:hAnsi="Arial" w:cs="Arial"/>
          <w:sz w:val="24"/>
          <w:szCs w:val="24"/>
          <w:lang w:val="mn-MN"/>
        </w:rPr>
        <w:t>--- 000 ---</w:t>
      </w:r>
    </w:p>
    <w:p w14:paraId="008E56AD" w14:textId="77777777" w:rsidR="00CC60CA" w:rsidRPr="00203907" w:rsidRDefault="00CC60CA" w:rsidP="007707AA">
      <w:pPr>
        <w:pStyle w:val="NoSpacing"/>
        <w:jc w:val="center"/>
        <w:rPr>
          <w:rFonts w:ascii="Arial" w:hAnsi="Arial" w:cs="Arial"/>
          <w:bCs/>
          <w:sz w:val="24"/>
          <w:szCs w:val="24"/>
          <w:lang w:val="mn-MN"/>
        </w:rPr>
      </w:pPr>
    </w:p>
    <w:sectPr w:rsidR="00CC60CA" w:rsidRPr="00203907" w:rsidSect="002A2D09">
      <w:headerReference w:type="default" r:id="rId8"/>
      <w:footerReference w:type="default" r:id="rId9"/>
      <w:pgSz w:w="11909" w:h="16834" w:code="9"/>
      <w:pgMar w:top="1134" w:right="851" w:bottom="1134" w:left="1701"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1D203" w14:textId="77777777" w:rsidR="005C10D1" w:rsidRDefault="005C10D1" w:rsidP="00320AE5">
      <w:pPr>
        <w:spacing w:after="0" w:line="240" w:lineRule="auto"/>
      </w:pPr>
      <w:r>
        <w:separator/>
      </w:r>
    </w:p>
  </w:endnote>
  <w:endnote w:type="continuationSeparator" w:id="0">
    <w:p w14:paraId="20365A77" w14:textId="77777777" w:rsidR="005C10D1" w:rsidRDefault="005C10D1" w:rsidP="0032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123454"/>
      <w:docPartObj>
        <w:docPartGallery w:val="Page Numbers (Bottom of Page)"/>
        <w:docPartUnique/>
      </w:docPartObj>
    </w:sdtPr>
    <w:sdtEndPr>
      <w:rPr>
        <w:noProof/>
      </w:rPr>
    </w:sdtEndPr>
    <w:sdtContent>
      <w:p w14:paraId="48CD592A" w14:textId="77777777" w:rsidR="00515F08" w:rsidRDefault="00515F08">
        <w:pPr>
          <w:pStyle w:val="Footer"/>
          <w:jc w:val="center"/>
        </w:pPr>
        <w:r>
          <w:fldChar w:fldCharType="begin"/>
        </w:r>
        <w:r>
          <w:instrText xml:space="preserve"> PAGE   \* MERGEFORMAT </w:instrText>
        </w:r>
        <w:r>
          <w:fldChar w:fldCharType="separate"/>
        </w:r>
        <w:r w:rsidR="00CE7B32">
          <w:rPr>
            <w:noProof/>
          </w:rPr>
          <w:t>4</w:t>
        </w:r>
        <w:r>
          <w:rPr>
            <w:noProof/>
          </w:rPr>
          <w:fldChar w:fldCharType="end"/>
        </w:r>
      </w:p>
    </w:sdtContent>
  </w:sdt>
  <w:p w14:paraId="08E28AA9" w14:textId="77777777" w:rsidR="00991485" w:rsidRDefault="0099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7EF8" w14:textId="77777777" w:rsidR="005C10D1" w:rsidRDefault="005C10D1" w:rsidP="00320AE5">
      <w:pPr>
        <w:spacing w:after="0" w:line="240" w:lineRule="auto"/>
      </w:pPr>
      <w:r>
        <w:separator/>
      </w:r>
    </w:p>
  </w:footnote>
  <w:footnote w:type="continuationSeparator" w:id="0">
    <w:p w14:paraId="67FE72AA" w14:textId="77777777" w:rsidR="005C10D1" w:rsidRDefault="005C10D1" w:rsidP="0032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7605" w14:textId="77777777" w:rsidR="00A37315" w:rsidRDefault="00A37315">
    <w:pPr>
      <w:pStyle w:val="Header"/>
      <w:jc w:val="center"/>
    </w:pPr>
  </w:p>
  <w:p w14:paraId="4BA88CA3" w14:textId="77777777" w:rsidR="00A37315" w:rsidRDefault="00A3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9A3"/>
    <w:multiLevelType w:val="hybridMultilevel"/>
    <w:tmpl w:val="8FC8857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AE5"/>
    <w:rsid w:val="00023F8F"/>
    <w:rsid w:val="00024179"/>
    <w:rsid w:val="00042F0F"/>
    <w:rsid w:val="00047044"/>
    <w:rsid w:val="00061250"/>
    <w:rsid w:val="00065759"/>
    <w:rsid w:val="00066FDD"/>
    <w:rsid w:val="00090391"/>
    <w:rsid w:val="000B3518"/>
    <w:rsid w:val="000B4E19"/>
    <w:rsid w:val="000E78C9"/>
    <w:rsid w:val="000F7DB6"/>
    <w:rsid w:val="00115EE6"/>
    <w:rsid w:val="001261C3"/>
    <w:rsid w:val="00130221"/>
    <w:rsid w:val="001545C3"/>
    <w:rsid w:val="001875D7"/>
    <w:rsid w:val="001E3EC9"/>
    <w:rsid w:val="001F32A6"/>
    <w:rsid w:val="00203907"/>
    <w:rsid w:val="0021134E"/>
    <w:rsid w:val="00252E6A"/>
    <w:rsid w:val="002536A1"/>
    <w:rsid w:val="002A2D09"/>
    <w:rsid w:val="002A583E"/>
    <w:rsid w:val="002B7492"/>
    <w:rsid w:val="002F33B9"/>
    <w:rsid w:val="00320AE5"/>
    <w:rsid w:val="003A25F3"/>
    <w:rsid w:val="003B3C20"/>
    <w:rsid w:val="0042610E"/>
    <w:rsid w:val="0045101B"/>
    <w:rsid w:val="00466831"/>
    <w:rsid w:val="0047331F"/>
    <w:rsid w:val="004B2820"/>
    <w:rsid w:val="004C1C7B"/>
    <w:rsid w:val="004D7432"/>
    <w:rsid w:val="004E7B1E"/>
    <w:rsid w:val="00515F08"/>
    <w:rsid w:val="00532395"/>
    <w:rsid w:val="00544763"/>
    <w:rsid w:val="00592354"/>
    <w:rsid w:val="005C10D1"/>
    <w:rsid w:val="005F4047"/>
    <w:rsid w:val="00606FE2"/>
    <w:rsid w:val="00692A13"/>
    <w:rsid w:val="00700E9B"/>
    <w:rsid w:val="00702A78"/>
    <w:rsid w:val="00706AF5"/>
    <w:rsid w:val="007400F7"/>
    <w:rsid w:val="007613A1"/>
    <w:rsid w:val="00766D1B"/>
    <w:rsid w:val="007707AA"/>
    <w:rsid w:val="007D0716"/>
    <w:rsid w:val="007D1AA7"/>
    <w:rsid w:val="0085559E"/>
    <w:rsid w:val="00862AE5"/>
    <w:rsid w:val="008B081C"/>
    <w:rsid w:val="008C1C20"/>
    <w:rsid w:val="00905E52"/>
    <w:rsid w:val="00947772"/>
    <w:rsid w:val="00991485"/>
    <w:rsid w:val="009F08A0"/>
    <w:rsid w:val="00A1408E"/>
    <w:rsid w:val="00A37315"/>
    <w:rsid w:val="00A610DA"/>
    <w:rsid w:val="00A65F7F"/>
    <w:rsid w:val="00A82C4A"/>
    <w:rsid w:val="00AA2526"/>
    <w:rsid w:val="00AF5BF4"/>
    <w:rsid w:val="00BB4237"/>
    <w:rsid w:val="00BF27F3"/>
    <w:rsid w:val="00C74C92"/>
    <w:rsid w:val="00C91228"/>
    <w:rsid w:val="00C960D5"/>
    <w:rsid w:val="00C97ED8"/>
    <w:rsid w:val="00CC60CA"/>
    <w:rsid w:val="00CE7B32"/>
    <w:rsid w:val="00CF2E29"/>
    <w:rsid w:val="00D120B1"/>
    <w:rsid w:val="00D30A79"/>
    <w:rsid w:val="00D36E36"/>
    <w:rsid w:val="00D7098C"/>
    <w:rsid w:val="00DD4A2B"/>
    <w:rsid w:val="00DF7094"/>
    <w:rsid w:val="00E11C18"/>
    <w:rsid w:val="00E32586"/>
    <w:rsid w:val="00E32FD9"/>
    <w:rsid w:val="00E35BDA"/>
    <w:rsid w:val="00E57958"/>
    <w:rsid w:val="00E8585C"/>
    <w:rsid w:val="00E94056"/>
    <w:rsid w:val="00EA7D0C"/>
    <w:rsid w:val="00EC7480"/>
    <w:rsid w:val="00F01E2B"/>
    <w:rsid w:val="00F17872"/>
    <w:rsid w:val="00F534F0"/>
    <w:rsid w:val="00F7672B"/>
    <w:rsid w:val="00FB5D07"/>
    <w:rsid w:val="00FC0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E8D48"/>
  <w15:docId w15:val="{ED0F1D2F-19A0-426E-A9EA-0652464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AE5"/>
    <w:pPr>
      <w:spacing w:after="200" w:line="276" w:lineRule="auto"/>
    </w:pPr>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E5"/>
    <w:pPr>
      <w:ind w:left="720"/>
      <w:contextualSpacing/>
    </w:pPr>
  </w:style>
  <w:style w:type="table" w:styleId="TableGrid">
    <w:name w:val="Table Grid"/>
    <w:basedOn w:val="TableNormal"/>
    <w:uiPriority w:val="59"/>
    <w:rsid w:val="00320AE5"/>
    <w:pPr>
      <w:spacing w:after="0" w:line="240" w:lineRule="auto"/>
    </w:pPr>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20AE5"/>
    <w:rPr>
      <w:vertAlign w:val="superscript"/>
    </w:rPr>
  </w:style>
  <w:style w:type="paragraph" w:styleId="NormalWeb">
    <w:name w:val="Normal (Web)"/>
    <w:basedOn w:val="Normal"/>
    <w:uiPriority w:val="99"/>
    <w:unhideWhenUsed/>
    <w:rsid w:val="00320AE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320AE5"/>
    <w:rPr>
      <w:i/>
      <w:iCs/>
    </w:rPr>
  </w:style>
  <w:style w:type="character" w:styleId="Strong">
    <w:name w:val="Strong"/>
    <w:basedOn w:val="DefaultParagraphFont"/>
    <w:uiPriority w:val="22"/>
    <w:qFormat/>
    <w:rsid w:val="00320AE5"/>
    <w:rPr>
      <w:b/>
      <w:bCs/>
    </w:rPr>
  </w:style>
  <w:style w:type="paragraph" w:styleId="NoSpacing">
    <w:name w:val="No Spacing"/>
    <w:uiPriority w:val="1"/>
    <w:qFormat/>
    <w:rsid w:val="00320AE5"/>
    <w:pPr>
      <w:spacing w:after="0" w:line="240" w:lineRule="auto"/>
    </w:pPr>
    <w:rPr>
      <w:rFonts w:asciiTheme="minorHAnsi" w:eastAsiaTheme="minorHAnsi" w:hAnsiTheme="minorHAnsi"/>
      <w:sz w:val="22"/>
      <w:lang w:eastAsia="en-US"/>
    </w:rPr>
  </w:style>
  <w:style w:type="paragraph" w:styleId="Header">
    <w:name w:val="header"/>
    <w:basedOn w:val="Normal"/>
    <w:link w:val="HeaderChar"/>
    <w:uiPriority w:val="99"/>
    <w:unhideWhenUsed/>
    <w:rsid w:val="00991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485"/>
    <w:rPr>
      <w:rFonts w:asciiTheme="minorHAnsi" w:eastAsiaTheme="minorHAnsi" w:hAnsiTheme="minorHAnsi"/>
      <w:sz w:val="22"/>
      <w:lang w:eastAsia="en-US"/>
    </w:rPr>
  </w:style>
  <w:style w:type="paragraph" w:styleId="Footer">
    <w:name w:val="footer"/>
    <w:basedOn w:val="Normal"/>
    <w:link w:val="FooterChar"/>
    <w:uiPriority w:val="99"/>
    <w:unhideWhenUsed/>
    <w:rsid w:val="00991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485"/>
    <w:rPr>
      <w:rFonts w:asciiTheme="minorHAnsi" w:eastAsiaTheme="minorHAnsi" w:hAnsiTheme="minorHAnsi"/>
      <w:sz w:val="22"/>
      <w:lang w:eastAsia="en-US"/>
    </w:rPr>
  </w:style>
  <w:style w:type="paragraph" w:styleId="BalloonText">
    <w:name w:val="Balloon Text"/>
    <w:basedOn w:val="Normal"/>
    <w:link w:val="BalloonTextChar"/>
    <w:uiPriority w:val="99"/>
    <w:semiHidden/>
    <w:unhideWhenUsed/>
    <w:rsid w:val="00E32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586"/>
    <w:rPr>
      <w:rFonts w:ascii="Tahoma" w:eastAsiaTheme="minorHAnsi" w:hAnsi="Tahoma" w:cs="Tahoma"/>
      <w:sz w:val="16"/>
      <w:szCs w:val="16"/>
      <w:lang w:eastAsia="en-US"/>
    </w:rPr>
  </w:style>
  <w:style w:type="paragraph" w:styleId="Subtitle">
    <w:name w:val="Subtitle"/>
    <w:basedOn w:val="Normal"/>
    <w:next w:val="Normal"/>
    <w:link w:val="SubtitleChar"/>
    <w:uiPriority w:val="11"/>
    <w:qFormat/>
    <w:rsid w:val="00A610D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10DA"/>
    <w:rPr>
      <w:rFonts w:asciiTheme="minorHAnsi" w:hAnsiTheme="minorHAnsi"/>
      <w:color w:val="5A5A5A" w:themeColor="text1" w:themeTint="A5"/>
      <w:spacing w:val="15"/>
      <w:sz w:val="22"/>
      <w:lang w:eastAsia="en-US"/>
    </w:rPr>
  </w:style>
  <w:style w:type="paragraph" w:styleId="FootnoteText">
    <w:name w:val="footnote text"/>
    <w:basedOn w:val="Normal"/>
    <w:link w:val="FootnoteTextChar"/>
    <w:uiPriority w:val="99"/>
    <w:semiHidden/>
    <w:unhideWhenUsed/>
    <w:rsid w:val="00090391"/>
    <w:pPr>
      <w:spacing w:after="160"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90391"/>
    <w:rPr>
      <w:rFonts w:ascii="Calibri" w:eastAsia="Calibri"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058886">
      <w:bodyDiv w:val="1"/>
      <w:marLeft w:val="0"/>
      <w:marRight w:val="0"/>
      <w:marTop w:val="0"/>
      <w:marBottom w:val="0"/>
      <w:divBdr>
        <w:top w:val="none" w:sz="0" w:space="0" w:color="auto"/>
        <w:left w:val="none" w:sz="0" w:space="0" w:color="auto"/>
        <w:bottom w:val="none" w:sz="0" w:space="0" w:color="auto"/>
        <w:right w:val="none" w:sz="0" w:space="0" w:color="auto"/>
      </w:divBdr>
    </w:div>
    <w:div w:id="1718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BAEE7-3F1A-4E01-8927-3954C191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nhrcm</cp:lastModifiedBy>
  <cp:revision>12</cp:revision>
  <cp:lastPrinted>2017-07-04T04:46:00Z</cp:lastPrinted>
  <dcterms:created xsi:type="dcterms:W3CDTF">2024-02-27T06:10:00Z</dcterms:created>
  <dcterms:modified xsi:type="dcterms:W3CDTF">2024-02-27T07:02:00Z</dcterms:modified>
</cp:coreProperties>
</file>