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xml" ContentType="application/vnd.openxmlformats-officedocument.themeOverride+xml"/>
  <Override PartName="/word/charts/chart2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4.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5.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6.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7.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8.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32F31" w14:textId="7B5D1CC9" w:rsidR="00EE1D3A" w:rsidRPr="00963C14" w:rsidRDefault="00EE1D3A" w:rsidP="006B554F">
      <w:pPr>
        <w:pStyle w:val="NoSpacing"/>
        <w:spacing w:after="288"/>
        <w:jc w:val="center"/>
        <w:rPr>
          <w:rFonts w:ascii="Arial" w:hAnsi="Arial" w:cs="Arial"/>
          <w:sz w:val="24"/>
          <w:szCs w:val="24"/>
          <w:lang w:val="mn-MN"/>
        </w:rPr>
      </w:pPr>
      <w:r w:rsidRPr="00963C14">
        <w:rPr>
          <w:rFonts w:ascii="Arial" w:hAnsi="Arial" w:cs="Arial"/>
          <w:sz w:val="24"/>
          <w:szCs w:val="24"/>
          <w:lang w:val="mn-MN"/>
        </w:rPr>
        <w:t>МОНГОЛ УЛСЫН ЗАСГИЙН ГАЗАР</w:t>
      </w:r>
    </w:p>
    <w:p w14:paraId="28D6489D" w14:textId="77777777" w:rsidR="00EE1D3A" w:rsidRPr="00963C14" w:rsidRDefault="00EE1D3A" w:rsidP="00EE1D3A">
      <w:pPr>
        <w:tabs>
          <w:tab w:val="right" w:leader="dot" w:pos="9354"/>
        </w:tabs>
        <w:spacing w:after="288"/>
        <w:rPr>
          <w:rFonts w:cs="Arial"/>
        </w:rPr>
      </w:pPr>
    </w:p>
    <w:p w14:paraId="3FAC7DDC" w14:textId="77777777" w:rsidR="00EE1D3A" w:rsidRPr="00963C14" w:rsidRDefault="00EE1D3A" w:rsidP="00EE1D3A">
      <w:pPr>
        <w:tabs>
          <w:tab w:val="right" w:leader="dot" w:pos="9354"/>
        </w:tabs>
        <w:spacing w:after="288"/>
        <w:rPr>
          <w:rFonts w:cs="Arial"/>
        </w:rPr>
      </w:pPr>
    </w:p>
    <w:p w14:paraId="57653E0E" w14:textId="77777777" w:rsidR="00EE1D3A" w:rsidRPr="00963C14" w:rsidRDefault="00EE1D3A" w:rsidP="00EE1D3A">
      <w:pPr>
        <w:tabs>
          <w:tab w:val="right" w:leader="dot" w:pos="9354"/>
        </w:tabs>
        <w:spacing w:after="288"/>
        <w:rPr>
          <w:rFonts w:cs="Arial"/>
        </w:rPr>
      </w:pPr>
    </w:p>
    <w:p w14:paraId="620A96D2" w14:textId="77777777" w:rsidR="00EE1D3A" w:rsidRPr="00963C14" w:rsidRDefault="00EE1D3A" w:rsidP="00EE1D3A">
      <w:pPr>
        <w:tabs>
          <w:tab w:val="right" w:leader="dot" w:pos="9354"/>
        </w:tabs>
        <w:spacing w:after="288"/>
        <w:rPr>
          <w:rFonts w:cs="Arial"/>
        </w:rPr>
      </w:pPr>
    </w:p>
    <w:p w14:paraId="4B48DA2B" w14:textId="77777777" w:rsidR="00EE1D3A" w:rsidRPr="00963C14" w:rsidRDefault="00EE1D3A" w:rsidP="00EE1D3A">
      <w:pPr>
        <w:tabs>
          <w:tab w:val="right" w:leader="dot" w:pos="9354"/>
        </w:tabs>
        <w:spacing w:after="288"/>
        <w:rPr>
          <w:rFonts w:cs="Arial"/>
        </w:rPr>
      </w:pPr>
    </w:p>
    <w:p w14:paraId="44E68255" w14:textId="77777777" w:rsidR="00EE1D3A" w:rsidRPr="00963C14" w:rsidRDefault="00EE1D3A" w:rsidP="00EE1D3A">
      <w:pPr>
        <w:tabs>
          <w:tab w:val="right" w:leader="dot" w:pos="9354"/>
        </w:tabs>
        <w:spacing w:after="288"/>
        <w:rPr>
          <w:rFonts w:cs="Arial"/>
          <w:sz w:val="20"/>
          <w:szCs w:val="18"/>
        </w:rPr>
      </w:pPr>
    </w:p>
    <w:p w14:paraId="5A22C122" w14:textId="77777777" w:rsidR="00EE1D3A" w:rsidRPr="00963C14" w:rsidRDefault="00EE1D3A" w:rsidP="00EE1D3A">
      <w:pPr>
        <w:tabs>
          <w:tab w:val="right" w:leader="dot" w:pos="9354"/>
        </w:tabs>
        <w:spacing w:afterLines="0" w:after="0" w:line="240" w:lineRule="auto"/>
        <w:jc w:val="center"/>
        <w:rPr>
          <w:rFonts w:cs="Arial"/>
          <w:b/>
          <w:sz w:val="40"/>
          <w:szCs w:val="40"/>
        </w:rPr>
      </w:pPr>
      <w:r w:rsidRPr="00963C14">
        <w:rPr>
          <w:rFonts w:cs="Arial"/>
          <w:b/>
          <w:sz w:val="40"/>
          <w:szCs w:val="40"/>
        </w:rPr>
        <w:t xml:space="preserve">МОНГОЛ УЛСЫН НЭГДСЭН ТӨСВИЙН </w:t>
      </w:r>
    </w:p>
    <w:p w14:paraId="02580F6B" w14:textId="77777777" w:rsidR="00EE1D3A" w:rsidRPr="00963C14" w:rsidRDefault="00EE1D3A" w:rsidP="00EE1D3A">
      <w:pPr>
        <w:tabs>
          <w:tab w:val="right" w:leader="dot" w:pos="9354"/>
        </w:tabs>
        <w:spacing w:afterLines="0" w:after="0" w:line="240" w:lineRule="auto"/>
        <w:jc w:val="center"/>
        <w:rPr>
          <w:rFonts w:cs="Arial"/>
          <w:b/>
          <w:sz w:val="40"/>
          <w:szCs w:val="40"/>
        </w:rPr>
      </w:pPr>
      <w:r w:rsidRPr="00963C14">
        <w:rPr>
          <w:rFonts w:cs="Arial"/>
          <w:b/>
          <w:sz w:val="40"/>
          <w:szCs w:val="40"/>
        </w:rPr>
        <w:t xml:space="preserve">2025 ОНЫ ТӨСВИЙН ХҮРЭЭНИЙ МЭДЭГДЭЛ, 2026-2027 ОНЫ ТӨСВИЙН ТӨСӨӨЛЛИЙН ТУХАЙ ХУУЛИЙН ТӨСЛИЙН ТАНИЛЦУУЛГА </w:t>
      </w:r>
    </w:p>
    <w:p w14:paraId="07543C17" w14:textId="77777777" w:rsidR="00EE1D3A" w:rsidRPr="00963C14" w:rsidRDefault="00EE1D3A" w:rsidP="00EE1D3A">
      <w:pPr>
        <w:tabs>
          <w:tab w:val="right" w:leader="dot" w:pos="9354"/>
        </w:tabs>
        <w:spacing w:after="288"/>
        <w:rPr>
          <w:rFonts w:cs="Arial"/>
        </w:rPr>
      </w:pPr>
    </w:p>
    <w:p w14:paraId="4591E505" w14:textId="77777777" w:rsidR="00EE1D3A" w:rsidRPr="00963C14" w:rsidRDefault="00EE1D3A" w:rsidP="00EE1D3A">
      <w:pPr>
        <w:tabs>
          <w:tab w:val="right" w:leader="dot" w:pos="9354"/>
        </w:tabs>
        <w:spacing w:after="288"/>
        <w:rPr>
          <w:rFonts w:cs="Arial"/>
        </w:rPr>
      </w:pPr>
    </w:p>
    <w:p w14:paraId="090BD72A" w14:textId="3B5D4BC8" w:rsidR="00EE1D3A" w:rsidRPr="00963C14" w:rsidRDefault="00EE1D3A" w:rsidP="00EE1D3A">
      <w:pPr>
        <w:tabs>
          <w:tab w:val="right" w:leader="dot" w:pos="9354"/>
        </w:tabs>
        <w:spacing w:after="288"/>
        <w:rPr>
          <w:rFonts w:cs="Arial"/>
        </w:rPr>
      </w:pPr>
    </w:p>
    <w:p w14:paraId="264A0F18" w14:textId="77777777" w:rsidR="00EE1D3A" w:rsidRPr="00963C14" w:rsidRDefault="00EE1D3A" w:rsidP="00EE1D3A">
      <w:pPr>
        <w:tabs>
          <w:tab w:val="right" w:leader="dot" w:pos="9354"/>
        </w:tabs>
        <w:spacing w:after="288"/>
        <w:rPr>
          <w:rFonts w:cs="Arial"/>
        </w:rPr>
      </w:pPr>
    </w:p>
    <w:p w14:paraId="0231E556" w14:textId="77777777" w:rsidR="00EE1D3A" w:rsidRPr="00963C14" w:rsidRDefault="00EE1D3A" w:rsidP="00EE1D3A">
      <w:pPr>
        <w:tabs>
          <w:tab w:val="right" w:leader="dot" w:pos="9354"/>
        </w:tabs>
        <w:spacing w:after="288"/>
        <w:rPr>
          <w:rFonts w:cs="Arial"/>
        </w:rPr>
      </w:pPr>
    </w:p>
    <w:p w14:paraId="4F37D102" w14:textId="77777777" w:rsidR="00EE1D3A" w:rsidRPr="00963C14" w:rsidRDefault="00EE1D3A" w:rsidP="00EE1D3A">
      <w:pPr>
        <w:tabs>
          <w:tab w:val="right" w:leader="dot" w:pos="9354"/>
        </w:tabs>
        <w:spacing w:after="288"/>
        <w:rPr>
          <w:rFonts w:cs="Arial"/>
        </w:rPr>
      </w:pPr>
    </w:p>
    <w:p w14:paraId="2B5A1F7C" w14:textId="77777777" w:rsidR="00EE1D3A" w:rsidRPr="00963C14" w:rsidRDefault="00EE1D3A" w:rsidP="00EE1D3A">
      <w:pPr>
        <w:tabs>
          <w:tab w:val="right" w:leader="dot" w:pos="9354"/>
        </w:tabs>
        <w:spacing w:after="288"/>
        <w:rPr>
          <w:rFonts w:cs="Arial"/>
        </w:rPr>
      </w:pPr>
    </w:p>
    <w:p w14:paraId="3B7695CA" w14:textId="77777777" w:rsidR="00EE1D3A" w:rsidRPr="00963C14" w:rsidRDefault="00EE1D3A" w:rsidP="00EE1D3A">
      <w:pPr>
        <w:tabs>
          <w:tab w:val="right" w:leader="dot" w:pos="9354"/>
        </w:tabs>
        <w:spacing w:after="288"/>
        <w:rPr>
          <w:rFonts w:cs="Arial"/>
        </w:rPr>
      </w:pPr>
    </w:p>
    <w:p w14:paraId="4F5D33A2" w14:textId="77777777" w:rsidR="00EE1D3A" w:rsidRPr="00963C14" w:rsidRDefault="00EE1D3A" w:rsidP="00EE1D3A">
      <w:pPr>
        <w:tabs>
          <w:tab w:val="right" w:leader="dot" w:pos="9354"/>
        </w:tabs>
        <w:spacing w:after="288"/>
        <w:rPr>
          <w:rFonts w:cs="Arial"/>
        </w:rPr>
      </w:pPr>
    </w:p>
    <w:p w14:paraId="4592B21B" w14:textId="77777777" w:rsidR="00EE1D3A" w:rsidRPr="00963C14" w:rsidRDefault="00EE1D3A" w:rsidP="00EE1D3A">
      <w:pPr>
        <w:tabs>
          <w:tab w:val="right" w:leader="dot" w:pos="9354"/>
        </w:tabs>
        <w:spacing w:afterLines="0" w:after="0" w:line="240" w:lineRule="auto"/>
        <w:rPr>
          <w:rFonts w:cs="Arial"/>
          <w:b/>
        </w:rPr>
      </w:pPr>
    </w:p>
    <w:p w14:paraId="27C79100" w14:textId="77777777" w:rsidR="00EE1D3A" w:rsidRPr="00963C14" w:rsidRDefault="00EE1D3A" w:rsidP="00EE1D3A">
      <w:pPr>
        <w:tabs>
          <w:tab w:val="right" w:leader="dot" w:pos="9354"/>
        </w:tabs>
        <w:spacing w:afterLines="0" w:after="0" w:line="240" w:lineRule="auto"/>
        <w:rPr>
          <w:rFonts w:cs="Arial"/>
          <w:b/>
        </w:rPr>
      </w:pPr>
    </w:p>
    <w:p w14:paraId="2E1262A6" w14:textId="77777777" w:rsidR="00EE1D3A" w:rsidRPr="00963C14" w:rsidRDefault="00EE1D3A" w:rsidP="00EE1D3A">
      <w:pPr>
        <w:tabs>
          <w:tab w:val="right" w:leader="dot" w:pos="9354"/>
        </w:tabs>
        <w:spacing w:afterLines="0" w:after="0" w:line="240" w:lineRule="auto"/>
        <w:rPr>
          <w:rFonts w:cs="Arial"/>
          <w:b/>
        </w:rPr>
      </w:pPr>
    </w:p>
    <w:p w14:paraId="125F563F" w14:textId="77777777" w:rsidR="00EE1D3A" w:rsidRPr="00963C14" w:rsidRDefault="00EE1D3A" w:rsidP="00EE1D3A">
      <w:pPr>
        <w:tabs>
          <w:tab w:val="right" w:leader="dot" w:pos="9354"/>
        </w:tabs>
        <w:spacing w:afterLines="0" w:after="0" w:line="240" w:lineRule="auto"/>
        <w:rPr>
          <w:rFonts w:cs="Arial"/>
          <w:b/>
        </w:rPr>
      </w:pPr>
    </w:p>
    <w:p w14:paraId="6E7C5D7D" w14:textId="77777777" w:rsidR="00EE1D3A" w:rsidRPr="00963C14" w:rsidRDefault="00EE1D3A" w:rsidP="00EE1D3A">
      <w:pPr>
        <w:tabs>
          <w:tab w:val="right" w:leader="dot" w:pos="9354"/>
        </w:tabs>
        <w:spacing w:afterLines="0" w:after="0" w:line="240" w:lineRule="auto"/>
        <w:rPr>
          <w:rFonts w:cs="Arial"/>
          <w:b/>
        </w:rPr>
      </w:pPr>
    </w:p>
    <w:p w14:paraId="341B83DD" w14:textId="77777777" w:rsidR="00EE1D3A" w:rsidRPr="00963C14" w:rsidRDefault="00EE1D3A" w:rsidP="00EE1D3A">
      <w:pPr>
        <w:tabs>
          <w:tab w:val="right" w:leader="dot" w:pos="9354"/>
        </w:tabs>
        <w:spacing w:afterLines="0" w:after="0" w:line="240" w:lineRule="auto"/>
        <w:rPr>
          <w:rFonts w:cs="Arial"/>
          <w:b/>
        </w:rPr>
      </w:pPr>
    </w:p>
    <w:p w14:paraId="1E9E8E14" w14:textId="77777777" w:rsidR="00EE1D3A" w:rsidRPr="00963C14" w:rsidRDefault="00EE1D3A" w:rsidP="00EE1D3A">
      <w:pPr>
        <w:tabs>
          <w:tab w:val="right" w:leader="dot" w:pos="9354"/>
        </w:tabs>
        <w:spacing w:afterLines="0" w:after="0" w:line="240" w:lineRule="auto"/>
        <w:rPr>
          <w:rFonts w:cs="Arial"/>
          <w:b/>
        </w:rPr>
      </w:pPr>
    </w:p>
    <w:p w14:paraId="43BD521C" w14:textId="77777777" w:rsidR="00EE1D3A" w:rsidRPr="00963C14" w:rsidRDefault="00EE1D3A" w:rsidP="00EE1D3A">
      <w:pPr>
        <w:tabs>
          <w:tab w:val="right" w:leader="dot" w:pos="9354"/>
        </w:tabs>
        <w:spacing w:afterLines="0" w:after="0" w:line="240" w:lineRule="auto"/>
        <w:rPr>
          <w:rFonts w:cs="Arial"/>
          <w:b/>
        </w:rPr>
      </w:pPr>
    </w:p>
    <w:p w14:paraId="5103C287" w14:textId="77777777" w:rsidR="00EE1D3A" w:rsidRPr="00963C14" w:rsidRDefault="00EE1D3A" w:rsidP="00EE1D3A">
      <w:pPr>
        <w:tabs>
          <w:tab w:val="right" w:leader="dot" w:pos="9354"/>
        </w:tabs>
        <w:spacing w:afterLines="0" w:after="0" w:line="240" w:lineRule="auto"/>
        <w:jc w:val="center"/>
        <w:rPr>
          <w:rFonts w:cs="Arial"/>
          <w:b/>
        </w:rPr>
      </w:pPr>
      <w:r w:rsidRPr="00963C14">
        <w:rPr>
          <w:rFonts w:cs="Arial"/>
          <w:b/>
        </w:rPr>
        <w:t>УЛААНБААТАР ХОТ</w:t>
      </w:r>
    </w:p>
    <w:p w14:paraId="184AA464" w14:textId="77777777" w:rsidR="00EE1D3A" w:rsidRPr="00963C14" w:rsidRDefault="00EE1D3A" w:rsidP="00EE1D3A">
      <w:pPr>
        <w:tabs>
          <w:tab w:val="right" w:leader="dot" w:pos="9354"/>
        </w:tabs>
        <w:spacing w:afterLines="0" w:after="0" w:line="240" w:lineRule="auto"/>
        <w:jc w:val="center"/>
        <w:rPr>
          <w:rFonts w:cs="Arial"/>
          <w:b/>
        </w:rPr>
      </w:pPr>
      <w:r w:rsidRPr="00963C14">
        <w:rPr>
          <w:rFonts w:cs="Arial"/>
          <w:b/>
        </w:rPr>
        <w:t>2024 он</w:t>
      </w:r>
    </w:p>
    <w:p w14:paraId="01E39076" w14:textId="77777777" w:rsidR="00455114" w:rsidRPr="00963C14" w:rsidRDefault="00455114" w:rsidP="00EE1D3A">
      <w:pPr>
        <w:tabs>
          <w:tab w:val="right" w:leader="dot" w:pos="9354"/>
        </w:tabs>
        <w:spacing w:afterLines="0" w:after="0" w:line="240" w:lineRule="auto"/>
        <w:jc w:val="center"/>
        <w:rPr>
          <w:rFonts w:cs="Arial"/>
          <w:b/>
        </w:rPr>
      </w:pPr>
    </w:p>
    <w:p w14:paraId="64E5290E" w14:textId="77777777" w:rsidR="00455114" w:rsidRPr="00963C14" w:rsidRDefault="00455114" w:rsidP="00EE1D3A">
      <w:pPr>
        <w:tabs>
          <w:tab w:val="right" w:leader="dot" w:pos="9354"/>
        </w:tabs>
        <w:spacing w:afterLines="0" w:after="0" w:line="240" w:lineRule="auto"/>
        <w:jc w:val="center"/>
        <w:rPr>
          <w:rFonts w:cs="Arial"/>
          <w:b/>
        </w:rPr>
      </w:pPr>
    </w:p>
    <w:sdt>
      <w:sdtPr>
        <w:rPr>
          <w:rFonts w:ascii="Arial" w:eastAsia="MS Mincho" w:hAnsi="Arial" w:cs="Arial"/>
          <w:color w:val="auto"/>
          <w:kern w:val="2"/>
          <w:sz w:val="24"/>
          <w:szCs w:val="24"/>
        </w:rPr>
        <w:id w:val="1921597520"/>
        <w:docPartObj>
          <w:docPartGallery w:val="Table of Contents"/>
          <w:docPartUnique/>
        </w:docPartObj>
      </w:sdtPr>
      <w:sdtEndPr>
        <w:rPr>
          <w:sz w:val="22"/>
          <w:szCs w:val="22"/>
        </w:rPr>
      </w:sdtEndPr>
      <w:sdtContent>
        <w:p w14:paraId="029140A9" w14:textId="6E9F42CB" w:rsidR="00EE1D3A" w:rsidRPr="00963C14" w:rsidRDefault="00EE1D3A" w:rsidP="00E8311F">
          <w:pPr>
            <w:pStyle w:val="TOCHeading"/>
            <w:spacing w:before="0" w:after="120"/>
            <w:rPr>
              <w:rFonts w:ascii="Arial" w:eastAsia="MS Mincho" w:hAnsi="Arial" w:cs="Arial"/>
              <w:color w:val="auto"/>
              <w:kern w:val="2"/>
              <w:sz w:val="24"/>
              <w:szCs w:val="24"/>
            </w:rPr>
          </w:pPr>
          <w:r w:rsidRPr="00963C14">
            <w:rPr>
              <w:rFonts w:ascii="Arial" w:hAnsi="Arial" w:cs="Arial"/>
              <w:b/>
              <w:bCs/>
              <w:color w:val="11A795"/>
              <w:sz w:val="24"/>
              <w:szCs w:val="24"/>
            </w:rPr>
            <w:t>АГУУЛГА</w:t>
          </w:r>
          <w:r w:rsidR="00EB7013" w:rsidRPr="00963C14">
            <w:rPr>
              <w:rFonts w:ascii="Arial" w:eastAsia="MS Mincho" w:hAnsi="Arial" w:cs="Arial"/>
              <w:color w:val="auto"/>
              <w:kern w:val="2"/>
              <w:sz w:val="24"/>
              <w:szCs w:val="24"/>
            </w:rPr>
            <w:t xml:space="preserve"> </w:t>
          </w:r>
        </w:p>
        <w:p w14:paraId="0365404B" w14:textId="3B739480" w:rsidR="009C419F" w:rsidRPr="00963C14" w:rsidRDefault="00DD59C9" w:rsidP="00E8311F">
          <w:pPr>
            <w:pStyle w:val="TOC1"/>
            <w:rPr>
              <w:rFonts w:eastAsiaTheme="minorEastAsia"/>
              <w:caps w:val="0"/>
              <w:noProof/>
            </w:rPr>
          </w:pPr>
          <w:r w:rsidRPr="00963C14">
            <w:fldChar w:fldCharType="begin"/>
          </w:r>
          <w:r w:rsidRPr="00963C14">
            <w:instrText xml:space="preserve"> TOC \o "1-3" \h \z \u </w:instrText>
          </w:r>
          <w:r w:rsidRPr="00963C14">
            <w:fldChar w:fldCharType="separate"/>
          </w:r>
          <w:hyperlink w:anchor="_Toc165299376" w:history="1">
            <w:r w:rsidR="009C419F" w:rsidRPr="00963C14">
              <w:rPr>
                <w:rStyle w:val="Hyperlink"/>
                <w:b/>
                <w:noProof/>
              </w:rPr>
              <w:t>1.</w:t>
            </w:r>
            <w:r w:rsidR="009C419F" w:rsidRPr="00963C14">
              <w:rPr>
                <w:rFonts w:eastAsiaTheme="minorEastAsia"/>
                <w:caps w:val="0"/>
                <w:noProof/>
              </w:rPr>
              <w:tab/>
            </w:r>
            <w:r w:rsidR="009C419F" w:rsidRPr="00963C14">
              <w:rPr>
                <w:rStyle w:val="Hyperlink"/>
                <w:b/>
                <w:noProof/>
              </w:rPr>
              <w:t>МАКРО ЭДИЙН ЗАСГИЙН ҮНДСЭН ҮЗҮҮЛЭЛТҮҮД</w:t>
            </w:r>
            <w:r w:rsidR="009C419F" w:rsidRPr="00963C14">
              <w:rPr>
                <w:noProof/>
                <w:webHidden/>
              </w:rPr>
              <w:tab/>
            </w:r>
            <w:r w:rsidR="009C419F" w:rsidRPr="00963C14">
              <w:rPr>
                <w:noProof/>
                <w:webHidden/>
              </w:rPr>
              <w:fldChar w:fldCharType="begin"/>
            </w:r>
            <w:r w:rsidR="009C419F" w:rsidRPr="00963C14">
              <w:rPr>
                <w:noProof/>
                <w:webHidden/>
              </w:rPr>
              <w:instrText xml:space="preserve"> PAGEREF _Toc165299376 \h </w:instrText>
            </w:r>
            <w:r w:rsidR="009C419F" w:rsidRPr="00963C14">
              <w:rPr>
                <w:noProof/>
                <w:webHidden/>
              </w:rPr>
            </w:r>
            <w:r w:rsidR="009C419F" w:rsidRPr="00963C14">
              <w:rPr>
                <w:noProof/>
                <w:webHidden/>
              </w:rPr>
              <w:fldChar w:fldCharType="separate"/>
            </w:r>
            <w:r w:rsidR="009C419F" w:rsidRPr="00963C14">
              <w:rPr>
                <w:noProof/>
                <w:webHidden/>
              </w:rPr>
              <w:t>3</w:t>
            </w:r>
            <w:r w:rsidR="009C419F" w:rsidRPr="00963C14">
              <w:rPr>
                <w:noProof/>
                <w:webHidden/>
              </w:rPr>
              <w:fldChar w:fldCharType="end"/>
            </w:r>
          </w:hyperlink>
        </w:p>
        <w:p w14:paraId="5E601F69" w14:textId="64773A93" w:rsidR="009C419F" w:rsidRPr="00963C14" w:rsidRDefault="00B4507F" w:rsidP="00E8311F">
          <w:pPr>
            <w:pStyle w:val="TOC2"/>
            <w:tabs>
              <w:tab w:val="left" w:pos="720"/>
              <w:tab w:val="right" w:leader="dot" w:pos="9269"/>
            </w:tabs>
            <w:spacing w:before="0" w:afterLines="0" w:after="120"/>
            <w:rPr>
              <w:rFonts w:ascii="Arial" w:eastAsiaTheme="minorEastAsia" w:hAnsi="Arial" w:cs="Arial"/>
              <w:b w:val="0"/>
              <w:bCs w:val="0"/>
              <w:noProof/>
              <w:sz w:val="24"/>
              <w:szCs w:val="24"/>
            </w:rPr>
          </w:pPr>
          <w:hyperlink w:anchor="_Toc165299377" w:history="1">
            <w:r w:rsidR="009C419F" w:rsidRPr="00963C14">
              <w:rPr>
                <w:rStyle w:val="Hyperlink"/>
                <w:rFonts w:ascii="Arial" w:hAnsi="Arial" w:cs="Arial"/>
                <w:noProof/>
                <w:kern w:val="0"/>
                <w:sz w:val="24"/>
                <w:szCs w:val="24"/>
              </w:rPr>
              <w:t>1.1.</w:t>
            </w:r>
            <w:r w:rsidR="009C419F" w:rsidRPr="00963C14">
              <w:rPr>
                <w:rFonts w:ascii="Arial" w:eastAsiaTheme="minorEastAsia" w:hAnsi="Arial" w:cs="Arial"/>
                <w:b w:val="0"/>
                <w:bCs w:val="0"/>
                <w:noProof/>
                <w:sz w:val="24"/>
                <w:szCs w:val="24"/>
              </w:rPr>
              <w:tab/>
            </w:r>
            <w:r w:rsidR="009C419F" w:rsidRPr="00963C14">
              <w:rPr>
                <w:rStyle w:val="Hyperlink"/>
                <w:rFonts w:ascii="Arial" w:hAnsi="Arial" w:cs="Arial"/>
                <w:noProof/>
                <w:kern w:val="0"/>
                <w:sz w:val="24"/>
                <w:szCs w:val="24"/>
              </w:rPr>
              <w:t>Дэлхийн эдийн засгийн төлөв</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_Toc165299377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3</w:t>
            </w:r>
            <w:r w:rsidR="009C419F" w:rsidRPr="00963C14">
              <w:rPr>
                <w:rFonts w:ascii="Arial" w:hAnsi="Arial" w:cs="Arial"/>
                <w:noProof/>
                <w:webHidden/>
                <w:sz w:val="24"/>
                <w:szCs w:val="24"/>
              </w:rPr>
              <w:fldChar w:fldCharType="end"/>
            </w:r>
          </w:hyperlink>
        </w:p>
        <w:p w14:paraId="28A1F8C1" w14:textId="3DC25D8F" w:rsidR="009C419F" w:rsidRPr="00963C14" w:rsidRDefault="00B4507F" w:rsidP="00E8311F">
          <w:pPr>
            <w:pStyle w:val="TOC2"/>
            <w:tabs>
              <w:tab w:val="left" w:pos="720"/>
              <w:tab w:val="right" w:leader="dot" w:pos="9269"/>
            </w:tabs>
            <w:spacing w:before="0" w:afterLines="0" w:after="120"/>
            <w:rPr>
              <w:rFonts w:ascii="Arial" w:eastAsiaTheme="minorEastAsia" w:hAnsi="Arial" w:cs="Arial"/>
              <w:b w:val="0"/>
              <w:bCs w:val="0"/>
              <w:noProof/>
              <w:sz w:val="24"/>
              <w:szCs w:val="24"/>
            </w:rPr>
          </w:pPr>
          <w:hyperlink w:anchor="_Toc165299378" w:history="1">
            <w:r w:rsidR="009C419F" w:rsidRPr="00963C14">
              <w:rPr>
                <w:rStyle w:val="Hyperlink"/>
                <w:rFonts w:ascii="Arial" w:hAnsi="Arial" w:cs="Arial"/>
                <w:noProof/>
                <w:kern w:val="0"/>
                <w:sz w:val="24"/>
                <w:szCs w:val="24"/>
              </w:rPr>
              <w:t>1.2.</w:t>
            </w:r>
            <w:r w:rsidR="009C419F" w:rsidRPr="00963C14">
              <w:rPr>
                <w:rFonts w:ascii="Arial" w:eastAsiaTheme="minorEastAsia" w:hAnsi="Arial" w:cs="Arial"/>
                <w:b w:val="0"/>
                <w:bCs w:val="0"/>
                <w:noProof/>
                <w:sz w:val="24"/>
                <w:szCs w:val="24"/>
              </w:rPr>
              <w:tab/>
            </w:r>
            <w:r w:rsidR="009C419F" w:rsidRPr="00963C14">
              <w:rPr>
                <w:rStyle w:val="Hyperlink"/>
                <w:rFonts w:ascii="Arial" w:hAnsi="Arial" w:cs="Arial"/>
                <w:noProof/>
                <w:kern w:val="0"/>
                <w:sz w:val="24"/>
                <w:szCs w:val="24"/>
              </w:rPr>
              <w:t>Уул уурхайн бүтээгдэхүүний зах зээлийн хандлага</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_Toc165299378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5</w:t>
            </w:r>
            <w:r w:rsidR="009C419F" w:rsidRPr="00963C14">
              <w:rPr>
                <w:rFonts w:ascii="Arial" w:hAnsi="Arial" w:cs="Arial"/>
                <w:noProof/>
                <w:webHidden/>
                <w:sz w:val="24"/>
                <w:szCs w:val="24"/>
              </w:rPr>
              <w:fldChar w:fldCharType="end"/>
            </w:r>
          </w:hyperlink>
        </w:p>
        <w:p w14:paraId="68D0D662" w14:textId="01E62359" w:rsidR="009C419F" w:rsidRPr="00963C14" w:rsidRDefault="00B4507F" w:rsidP="00E8311F">
          <w:pPr>
            <w:pStyle w:val="TOC2"/>
            <w:tabs>
              <w:tab w:val="left" w:pos="720"/>
              <w:tab w:val="right" w:leader="dot" w:pos="9269"/>
            </w:tabs>
            <w:spacing w:before="0" w:afterLines="0" w:after="120"/>
            <w:rPr>
              <w:rFonts w:ascii="Arial" w:eastAsiaTheme="minorEastAsia" w:hAnsi="Arial" w:cs="Arial"/>
              <w:b w:val="0"/>
              <w:bCs w:val="0"/>
              <w:noProof/>
              <w:sz w:val="24"/>
              <w:szCs w:val="24"/>
            </w:rPr>
          </w:pPr>
          <w:hyperlink w:anchor="_Toc165299379" w:history="1">
            <w:r w:rsidR="009C419F" w:rsidRPr="00963C14">
              <w:rPr>
                <w:rStyle w:val="Hyperlink"/>
                <w:rFonts w:ascii="Arial" w:hAnsi="Arial" w:cs="Arial"/>
                <w:noProof/>
                <w:kern w:val="0"/>
                <w:sz w:val="24"/>
                <w:szCs w:val="24"/>
              </w:rPr>
              <w:t>1.3.</w:t>
            </w:r>
            <w:r w:rsidR="009C419F" w:rsidRPr="00963C14">
              <w:rPr>
                <w:rFonts w:ascii="Arial" w:eastAsiaTheme="minorEastAsia" w:hAnsi="Arial" w:cs="Arial"/>
                <w:b w:val="0"/>
                <w:bCs w:val="0"/>
                <w:noProof/>
                <w:sz w:val="24"/>
                <w:szCs w:val="24"/>
              </w:rPr>
              <w:tab/>
            </w:r>
            <w:r w:rsidR="009C419F" w:rsidRPr="00963C14">
              <w:rPr>
                <w:rStyle w:val="Hyperlink"/>
                <w:rFonts w:ascii="Arial" w:hAnsi="Arial" w:cs="Arial"/>
                <w:noProof/>
                <w:kern w:val="0"/>
                <w:sz w:val="24"/>
                <w:szCs w:val="24"/>
              </w:rPr>
              <w:t>Монгол Улсын эдийн засгийн 2023 оны урьдчилсан гүйцэтгэл</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_Toc165299379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6</w:t>
            </w:r>
            <w:r w:rsidR="009C419F" w:rsidRPr="00963C14">
              <w:rPr>
                <w:rFonts w:ascii="Arial" w:hAnsi="Arial" w:cs="Arial"/>
                <w:noProof/>
                <w:webHidden/>
                <w:sz w:val="24"/>
                <w:szCs w:val="24"/>
              </w:rPr>
              <w:fldChar w:fldCharType="end"/>
            </w:r>
          </w:hyperlink>
        </w:p>
        <w:p w14:paraId="2EBD5860" w14:textId="72C3A9B9" w:rsidR="009C419F" w:rsidRPr="00963C14" w:rsidRDefault="00B4507F" w:rsidP="00E8311F">
          <w:pPr>
            <w:pStyle w:val="TOC2"/>
            <w:tabs>
              <w:tab w:val="left" w:pos="720"/>
              <w:tab w:val="right" w:leader="dot" w:pos="9269"/>
            </w:tabs>
            <w:spacing w:before="0" w:afterLines="0" w:after="120"/>
            <w:rPr>
              <w:rFonts w:ascii="Arial" w:eastAsiaTheme="minorEastAsia" w:hAnsi="Arial" w:cs="Arial"/>
              <w:b w:val="0"/>
              <w:bCs w:val="0"/>
              <w:noProof/>
              <w:sz w:val="24"/>
              <w:szCs w:val="24"/>
            </w:rPr>
          </w:pPr>
          <w:hyperlink w:anchor="_Toc165299380" w:history="1">
            <w:r w:rsidR="009C419F" w:rsidRPr="00963C14">
              <w:rPr>
                <w:rStyle w:val="Hyperlink"/>
                <w:rFonts w:ascii="Arial" w:hAnsi="Arial" w:cs="Arial"/>
                <w:noProof/>
                <w:sz w:val="24"/>
                <w:szCs w:val="24"/>
              </w:rPr>
              <w:t>1.4.</w:t>
            </w:r>
            <w:r w:rsidR="009C419F" w:rsidRPr="00963C14">
              <w:rPr>
                <w:rFonts w:ascii="Arial" w:eastAsiaTheme="minorEastAsia" w:hAnsi="Arial" w:cs="Arial"/>
                <w:b w:val="0"/>
                <w:bCs w:val="0"/>
                <w:noProof/>
                <w:sz w:val="24"/>
                <w:szCs w:val="24"/>
              </w:rPr>
              <w:tab/>
            </w:r>
            <w:r w:rsidR="009C419F" w:rsidRPr="00963C14">
              <w:rPr>
                <w:rStyle w:val="Hyperlink"/>
                <w:rFonts w:ascii="Arial" w:hAnsi="Arial" w:cs="Arial"/>
                <w:noProof/>
                <w:sz w:val="24"/>
                <w:szCs w:val="24"/>
              </w:rPr>
              <w:t>Эдийн засгийн 2024 оны хүлээгдэж буй гүйцэтгэл</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_Toc165299380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14</w:t>
            </w:r>
            <w:r w:rsidR="009C419F" w:rsidRPr="00963C14">
              <w:rPr>
                <w:rFonts w:ascii="Arial" w:hAnsi="Arial" w:cs="Arial"/>
                <w:noProof/>
                <w:webHidden/>
                <w:sz w:val="24"/>
                <w:szCs w:val="24"/>
              </w:rPr>
              <w:fldChar w:fldCharType="end"/>
            </w:r>
          </w:hyperlink>
        </w:p>
        <w:p w14:paraId="30F42E7F" w14:textId="10766A26" w:rsidR="009C419F" w:rsidRPr="00963C14" w:rsidRDefault="00B4507F" w:rsidP="00E8311F">
          <w:pPr>
            <w:pStyle w:val="TOC2"/>
            <w:tabs>
              <w:tab w:val="left" w:pos="720"/>
              <w:tab w:val="right" w:leader="dot" w:pos="9269"/>
            </w:tabs>
            <w:spacing w:before="0" w:afterLines="0" w:after="120"/>
            <w:rPr>
              <w:rFonts w:ascii="Arial" w:eastAsiaTheme="minorEastAsia" w:hAnsi="Arial" w:cs="Arial"/>
              <w:b w:val="0"/>
              <w:bCs w:val="0"/>
              <w:noProof/>
              <w:sz w:val="24"/>
              <w:szCs w:val="24"/>
            </w:rPr>
          </w:pPr>
          <w:hyperlink w:anchor="_Toc165299381" w:history="1">
            <w:r w:rsidR="009C419F" w:rsidRPr="00963C14">
              <w:rPr>
                <w:rStyle w:val="Hyperlink"/>
                <w:rFonts w:ascii="Arial" w:hAnsi="Arial" w:cs="Arial"/>
                <w:noProof/>
                <w:sz w:val="24"/>
                <w:szCs w:val="24"/>
              </w:rPr>
              <w:t>1.5.</w:t>
            </w:r>
            <w:r w:rsidR="009C419F" w:rsidRPr="00963C14">
              <w:rPr>
                <w:rFonts w:ascii="Arial" w:eastAsiaTheme="minorEastAsia" w:hAnsi="Arial" w:cs="Arial"/>
                <w:b w:val="0"/>
                <w:bCs w:val="0"/>
                <w:noProof/>
                <w:sz w:val="24"/>
                <w:szCs w:val="24"/>
              </w:rPr>
              <w:tab/>
            </w:r>
            <w:r w:rsidR="009C419F" w:rsidRPr="00963C14">
              <w:rPr>
                <w:rStyle w:val="Hyperlink"/>
                <w:rFonts w:ascii="Arial" w:hAnsi="Arial" w:cs="Arial"/>
                <w:noProof/>
                <w:sz w:val="24"/>
                <w:szCs w:val="24"/>
              </w:rPr>
              <w:t>Макро эдийн засгийн 2025 оны хандлага, 2026-2027 оны төсөөлөл</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_Toc165299381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15</w:t>
            </w:r>
            <w:r w:rsidR="009C419F" w:rsidRPr="00963C14">
              <w:rPr>
                <w:rFonts w:ascii="Arial" w:hAnsi="Arial" w:cs="Arial"/>
                <w:noProof/>
                <w:webHidden/>
                <w:sz w:val="24"/>
                <w:szCs w:val="24"/>
              </w:rPr>
              <w:fldChar w:fldCharType="end"/>
            </w:r>
          </w:hyperlink>
        </w:p>
        <w:p w14:paraId="22A88CE3" w14:textId="61288682" w:rsidR="009C419F" w:rsidRPr="00963C14" w:rsidRDefault="00B4507F" w:rsidP="00E8311F">
          <w:pPr>
            <w:pStyle w:val="TOC1"/>
            <w:rPr>
              <w:rFonts w:eastAsiaTheme="minorEastAsia"/>
              <w:caps w:val="0"/>
              <w:noProof/>
            </w:rPr>
          </w:pPr>
          <w:hyperlink w:anchor="_Toc165299382" w:history="1">
            <w:r w:rsidR="009C419F" w:rsidRPr="00963C14">
              <w:rPr>
                <w:rStyle w:val="Hyperlink"/>
                <w:b/>
                <w:noProof/>
              </w:rPr>
              <w:t>2.</w:t>
            </w:r>
            <w:r w:rsidR="009C419F" w:rsidRPr="00963C14">
              <w:rPr>
                <w:rFonts w:eastAsiaTheme="minorEastAsia"/>
                <w:caps w:val="0"/>
                <w:noProof/>
              </w:rPr>
              <w:tab/>
            </w:r>
            <w:r w:rsidR="009C419F" w:rsidRPr="00963C14">
              <w:rPr>
                <w:rStyle w:val="Hyperlink"/>
                <w:b/>
                <w:noProof/>
              </w:rPr>
              <w:t>МОНГОЛ УЛСЫН НЭГДСЭН ТӨСВИЙН 2025 ОНЫ ТӨСВИЙН ХҮРЭЭНИЙ МЭДЭГДЭЛ, 2026-2027 ОНЫ ТӨСВИЙН ТӨСӨӨЛЛИЙН ТУХАЙ ХУУЛИЙН ТӨСӨЛ</w:t>
            </w:r>
            <w:r w:rsidR="009C419F" w:rsidRPr="00963C14">
              <w:rPr>
                <w:noProof/>
                <w:webHidden/>
              </w:rPr>
              <w:tab/>
            </w:r>
            <w:r w:rsidR="009C419F" w:rsidRPr="00963C14">
              <w:rPr>
                <w:noProof/>
                <w:webHidden/>
              </w:rPr>
              <w:fldChar w:fldCharType="begin"/>
            </w:r>
            <w:r w:rsidR="009C419F" w:rsidRPr="00963C14">
              <w:rPr>
                <w:noProof/>
                <w:webHidden/>
              </w:rPr>
              <w:instrText xml:space="preserve"> PAGEREF _Toc165299382 \h </w:instrText>
            </w:r>
            <w:r w:rsidR="009C419F" w:rsidRPr="00963C14">
              <w:rPr>
                <w:noProof/>
                <w:webHidden/>
              </w:rPr>
            </w:r>
            <w:r w:rsidR="009C419F" w:rsidRPr="00963C14">
              <w:rPr>
                <w:noProof/>
                <w:webHidden/>
              </w:rPr>
              <w:fldChar w:fldCharType="separate"/>
            </w:r>
            <w:r w:rsidR="009C419F" w:rsidRPr="00963C14">
              <w:rPr>
                <w:noProof/>
                <w:webHidden/>
              </w:rPr>
              <w:t>19</w:t>
            </w:r>
            <w:r w:rsidR="009C419F" w:rsidRPr="00963C14">
              <w:rPr>
                <w:noProof/>
                <w:webHidden/>
              </w:rPr>
              <w:fldChar w:fldCharType="end"/>
            </w:r>
          </w:hyperlink>
        </w:p>
        <w:p w14:paraId="3731B6A2" w14:textId="1E39F7A9" w:rsidR="009C419F" w:rsidRPr="00963C14" w:rsidRDefault="00B4507F" w:rsidP="00E8311F">
          <w:pPr>
            <w:pStyle w:val="TOC1"/>
            <w:rPr>
              <w:rFonts w:eastAsiaTheme="minorEastAsia"/>
              <w:caps w:val="0"/>
              <w:noProof/>
            </w:rPr>
          </w:pPr>
          <w:hyperlink w:anchor="_Toc165299383" w:history="1">
            <w:r w:rsidR="009C419F" w:rsidRPr="00963C14">
              <w:rPr>
                <w:rStyle w:val="Hyperlink"/>
                <w:b/>
                <w:noProof/>
              </w:rPr>
              <w:t>3.</w:t>
            </w:r>
            <w:r w:rsidR="009C419F" w:rsidRPr="00963C14">
              <w:rPr>
                <w:rFonts w:eastAsiaTheme="minorEastAsia"/>
                <w:caps w:val="0"/>
                <w:noProof/>
              </w:rPr>
              <w:tab/>
            </w:r>
            <w:r w:rsidR="009C419F" w:rsidRPr="00963C14">
              <w:rPr>
                <w:rStyle w:val="Hyperlink"/>
                <w:b/>
                <w:noProof/>
              </w:rPr>
              <w:t>ТӨСВИЙН ТУСГАЙ ШААРДЛАГЫГ ХАНГАСАН БАЙДАЛ</w:t>
            </w:r>
            <w:r w:rsidR="009C419F" w:rsidRPr="00963C14">
              <w:rPr>
                <w:noProof/>
                <w:webHidden/>
              </w:rPr>
              <w:tab/>
            </w:r>
            <w:r w:rsidR="009C419F" w:rsidRPr="00963C14">
              <w:rPr>
                <w:noProof/>
                <w:webHidden/>
              </w:rPr>
              <w:fldChar w:fldCharType="begin"/>
            </w:r>
            <w:r w:rsidR="009C419F" w:rsidRPr="00963C14">
              <w:rPr>
                <w:noProof/>
                <w:webHidden/>
              </w:rPr>
              <w:instrText xml:space="preserve"> PAGEREF _Toc165299383 \h </w:instrText>
            </w:r>
            <w:r w:rsidR="009C419F" w:rsidRPr="00963C14">
              <w:rPr>
                <w:noProof/>
                <w:webHidden/>
              </w:rPr>
            </w:r>
            <w:r w:rsidR="009C419F" w:rsidRPr="00963C14">
              <w:rPr>
                <w:noProof/>
                <w:webHidden/>
              </w:rPr>
              <w:fldChar w:fldCharType="separate"/>
            </w:r>
            <w:r w:rsidR="009C419F" w:rsidRPr="00963C14">
              <w:rPr>
                <w:noProof/>
                <w:webHidden/>
              </w:rPr>
              <w:t>20</w:t>
            </w:r>
            <w:r w:rsidR="009C419F" w:rsidRPr="00963C14">
              <w:rPr>
                <w:noProof/>
                <w:webHidden/>
              </w:rPr>
              <w:fldChar w:fldCharType="end"/>
            </w:r>
          </w:hyperlink>
        </w:p>
        <w:p w14:paraId="09383A59" w14:textId="4F593E08" w:rsidR="009C419F" w:rsidRPr="00963C14" w:rsidRDefault="00B4507F" w:rsidP="00E8311F">
          <w:pPr>
            <w:pStyle w:val="TOC1"/>
            <w:rPr>
              <w:rFonts w:eastAsiaTheme="minorEastAsia"/>
              <w:caps w:val="0"/>
              <w:noProof/>
            </w:rPr>
          </w:pPr>
          <w:hyperlink w:anchor="_Toc165299384" w:history="1">
            <w:r w:rsidR="009C419F" w:rsidRPr="00963C14">
              <w:rPr>
                <w:rStyle w:val="Hyperlink"/>
                <w:b/>
                <w:noProof/>
              </w:rPr>
              <w:t>4.</w:t>
            </w:r>
            <w:r w:rsidR="009C419F" w:rsidRPr="00963C14">
              <w:rPr>
                <w:rFonts w:eastAsiaTheme="minorEastAsia"/>
                <w:caps w:val="0"/>
                <w:noProof/>
              </w:rPr>
              <w:tab/>
            </w:r>
            <w:r w:rsidR="009C419F" w:rsidRPr="00963C14">
              <w:rPr>
                <w:rStyle w:val="Hyperlink"/>
                <w:b/>
                <w:noProof/>
              </w:rPr>
              <w:t>ТӨСВИЙН ТӨЛӨВ БАЙДАЛ, ТҮҮНИЙ ТӨСӨӨЛӨЛ</w:t>
            </w:r>
            <w:r w:rsidR="009C419F" w:rsidRPr="00963C14">
              <w:rPr>
                <w:noProof/>
                <w:webHidden/>
              </w:rPr>
              <w:tab/>
            </w:r>
            <w:r w:rsidR="009C419F" w:rsidRPr="00963C14">
              <w:rPr>
                <w:noProof/>
                <w:webHidden/>
              </w:rPr>
              <w:fldChar w:fldCharType="begin"/>
            </w:r>
            <w:r w:rsidR="009C419F" w:rsidRPr="00963C14">
              <w:rPr>
                <w:noProof/>
                <w:webHidden/>
              </w:rPr>
              <w:instrText xml:space="preserve"> PAGEREF _Toc165299384 \h </w:instrText>
            </w:r>
            <w:r w:rsidR="009C419F" w:rsidRPr="00963C14">
              <w:rPr>
                <w:noProof/>
                <w:webHidden/>
              </w:rPr>
            </w:r>
            <w:r w:rsidR="009C419F" w:rsidRPr="00963C14">
              <w:rPr>
                <w:noProof/>
                <w:webHidden/>
              </w:rPr>
              <w:fldChar w:fldCharType="separate"/>
            </w:r>
            <w:r w:rsidR="009C419F" w:rsidRPr="00963C14">
              <w:rPr>
                <w:noProof/>
                <w:webHidden/>
              </w:rPr>
              <w:t>22</w:t>
            </w:r>
            <w:r w:rsidR="009C419F" w:rsidRPr="00963C14">
              <w:rPr>
                <w:noProof/>
                <w:webHidden/>
              </w:rPr>
              <w:fldChar w:fldCharType="end"/>
            </w:r>
          </w:hyperlink>
        </w:p>
        <w:p w14:paraId="4D232579" w14:textId="66507B00" w:rsidR="009C419F" w:rsidRPr="00963C14" w:rsidRDefault="00B4507F" w:rsidP="00E8311F">
          <w:pPr>
            <w:pStyle w:val="TOC2"/>
            <w:tabs>
              <w:tab w:val="right" w:leader="dot" w:pos="9269"/>
            </w:tabs>
            <w:spacing w:before="0" w:afterLines="0" w:after="120"/>
            <w:rPr>
              <w:rFonts w:ascii="Arial" w:eastAsiaTheme="minorEastAsia" w:hAnsi="Arial" w:cs="Arial"/>
              <w:b w:val="0"/>
              <w:bCs w:val="0"/>
              <w:noProof/>
              <w:sz w:val="24"/>
              <w:szCs w:val="24"/>
            </w:rPr>
          </w:pPr>
          <w:hyperlink w:anchor="_Toc165299385" w:history="1">
            <w:r w:rsidR="009C419F" w:rsidRPr="00963C14">
              <w:rPr>
                <w:rStyle w:val="Hyperlink"/>
                <w:rFonts w:ascii="Arial" w:hAnsi="Arial" w:cs="Arial"/>
                <w:noProof/>
                <w:kern w:val="0"/>
                <w:sz w:val="24"/>
                <w:szCs w:val="24"/>
              </w:rPr>
              <w:t>4.1. Монгол Улсын нэгдсэн төсвийн 2023 оны урьдчилсан гүйцэтгэл</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_Toc165299385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22</w:t>
            </w:r>
            <w:r w:rsidR="009C419F" w:rsidRPr="00963C14">
              <w:rPr>
                <w:rFonts w:ascii="Arial" w:hAnsi="Arial" w:cs="Arial"/>
                <w:noProof/>
                <w:webHidden/>
                <w:sz w:val="24"/>
                <w:szCs w:val="24"/>
              </w:rPr>
              <w:fldChar w:fldCharType="end"/>
            </w:r>
          </w:hyperlink>
        </w:p>
        <w:p w14:paraId="58617530" w14:textId="576DBD4F" w:rsidR="009C419F" w:rsidRPr="00963C14" w:rsidRDefault="00B4507F" w:rsidP="00E8311F">
          <w:pPr>
            <w:pStyle w:val="TOC3"/>
            <w:spacing w:before="0" w:afterLines="0" w:after="120"/>
            <w:rPr>
              <w:rFonts w:ascii="Arial" w:eastAsiaTheme="minorEastAsia" w:hAnsi="Arial" w:cs="Arial"/>
              <w:noProof/>
              <w:sz w:val="24"/>
              <w:szCs w:val="24"/>
            </w:rPr>
          </w:pPr>
          <w:hyperlink w:anchor="_Toc165299386" w:history="1">
            <w:r w:rsidR="009C419F" w:rsidRPr="00963C14">
              <w:rPr>
                <w:rStyle w:val="Hyperlink"/>
                <w:rFonts w:ascii="Arial" w:hAnsi="Arial" w:cs="Arial"/>
                <w:noProof/>
                <w:sz w:val="24"/>
                <w:szCs w:val="24"/>
              </w:rPr>
              <w:t>4.1.1. Төсвийн орлого</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_Toc165299386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22</w:t>
            </w:r>
            <w:r w:rsidR="009C419F" w:rsidRPr="00963C14">
              <w:rPr>
                <w:rFonts w:ascii="Arial" w:hAnsi="Arial" w:cs="Arial"/>
                <w:noProof/>
                <w:webHidden/>
                <w:sz w:val="24"/>
                <w:szCs w:val="24"/>
              </w:rPr>
              <w:fldChar w:fldCharType="end"/>
            </w:r>
          </w:hyperlink>
        </w:p>
        <w:p w14:paraId="2DD9914C" w14:textId="31B4B652" w:rsidR="009C419F" w:rsidRPr="00963C14" w:rsidRDefault="00B4507F" w:rsidP="00E8311F">
          <w:pPr>
            <w:pStyle w:val="TOC3"/>
            <w:spacing w:before="0" w:afterLines="0" w:after="120"/>
            <w:rPr>
              <w:rFonts w:ascii="Arial" w:eastAsiaTheme="minorEastAsia" w:hAnsi="Arial" w:cs="Arial"/>
              <w:noProof/>
              <w:sz w:val="24"/>
              <w:szCs w:val="24"/>
            </w:rPr>
          </w:pPr>
          <w:hyperlink w:anchor="_Toc165299387" w:history="1">
            <w:r w:rsidR="009C419F" w:rsidRPr="00963C14">
              <w:rPr>
                <w:rStyle w:val="Hyperlink"/>
                <w:rFonts w:ascii="Arial" w:hAnsi="Arial" w:cs="Arial"/>
                <w:noProof/>
                <w:sz w:val="24"/>
                <w:szCs w:val="24"/>
              </w:rPr>
              <w:t>4.1.2. Төсвийн зарлага</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_Toc165299387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22</w:t>
            </w:r>
            <w:r w:rsidR="009C419F" w:rsidRPr="00963C14">
              <w:rPr>
                <w:rFonts w:ascii="Arial" w:hAnsi="Arial" w:cs="Arial"/>
                <w:noProof/>
                <w:webHidden/>
                <w:sz w:val="24"/>
                <w:szCs w:val="24"/>
              </w:rPr>
              <w:fldChar w:fldCharType="end"/>
            </w:r>
          </w:hyperlink>
        </w:p>
        <w:p w14:paraId="0EA7E8CE" w14:textId="3ABD969D" w:rsidR="009C419F" w:rsidRPr="00963C14" w:rsidRDefault="00B4507F" w:rsidP="00E8311F">
          <w:pPr>
            <w:pStyle w:val="TOC2"/>
            <w:tabs>
              <w:tab w:val="right" w:leader="dot" w:pos="9269"/>
            </w:tabs>
            <w:spacing w:before="0" w:afterLines="0" w:after="120"/>
            <w:rPr>
              <w:rFonts w:ascii="Arial" w:eastAsiaTheme="minorEastAsia" w:hAnsi="Arial" w:cs="Arial"/>
              <w:b w:val="0"/>
              <w:bCs w:val="0"/>
              <w:noProof/>
              <w:sz w:val="24"/>
              <w:szCs w:val="24"/>
            </w:rPr>
          </w:pPr>
          <w:hyperlink w:anchor="_Toc165299388" w:history="1">
            <w:r w:rsidR="009C419F" w:rsidRPr="00963C14">
              <w:rPr>
                <w:rStyle w:val="Hyperlink"/>
                <w:rFonts w:ascii="Arial" w:hAnsi="Arial" w:cs="Arial"/>
                <w:noProof/>
                <w:sz w:val="24"/>
                <w:szCs w:val="24"/>
              </w:rPr>
              <w:t>4.2. Монгол Улсын 2024 оны нэгдсэн төсвийн хүлээгдэж буй гүйцэтгэл</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_Toc165299388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23</w:t>
            </w:r>
            <w:r w:rsidR="009C419F" w:rsidRPr="00963C14">
              <w:rPr>
                <w:rFonts w:ascii="Arial" w:hAnsi="Arial" w:cs="Arial"/>
                <w:noProof/>
                <w:webHidden/>
                <w:sz w:val="24"/>
                <w:szCs w:val="24"/>
              </w:rPr>
              <w:fldChar w:fldCharType="end"/>
            </w:r>
          </w:hyperlink>
        </w:p>
        <w:p w14:paraId="5A9AD24B" w14:textId="57C1286B" w:rsidR="009C419F" w:rsidRPr="00963C14" w:rsidRDefault="00B4507F" w:rsidP="00E8311F">
          <w:pPr>
            <w:pStyle w:val="TOC3"/>
            <w:spacing w:before="0" w:afterLines="0" w:after="120"/>
            <w:rPr>
              <w:rFonts w:ascii="Arial" w:eastAsiaTheme="minorEastAsia" w:hAnsi="Arial" w:cs="Arial"/>
              <w:noProof/>
              <w:sz w:val="24"/>
              <w:szCs w:val="24"/>
            </w:rPr>
          </w:pPr>
          <w:hyperlink w:anchor="_Toc165299389" w:history="1">
            <w:r w:rsidR="009C419F" w:rsidRPr="00963C14">
              <w:rPr>
                <w:rStyle w:val="Hyperlink"/>
                <w:rFonts w:ascii="Arial" w:hAnsi="Arial" w:cs="Arial"/>
                <w:noProof/>
                <w:sz w:val="24"/>
                <w:szCs w:val="24"/>
              </w:rPr>
              <w:t>4.2.1. Төсвийн орлого</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_Toc165299389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23</w:t>
            </w:r>
            <w:r w:rsidR="009C419F" w:rsidRPr="00963C14">
              <w:rPr>
                <w:rFonts w:ascii="Arial" w:hAnsi="Arial" w:cs="Arial"/>
                <w:noProof/>
                <w:webHidden/>
                <w:sz w:val="24"/>
                <w:szCs w:val="24"/>
              </w:rPr>
              <w:fldChar w:fldCharType="end"/>
            </w:r>
          </w:hyperlink>
        </w:p>
        <w:p w14:paraId="00826E94" w14:textId="7B049318" w:rsidR="009C419F" w:rsidRPr="00963C14" w:rsidRDefault="00B4507F" w:rsidP="00E8311F">
          <w:pPr>
            <w:pStyle w:val="TOC3"/>
            <w:spacing w:before="0" w:afterLines="0" w:after="120"/>
            <w:rPr>
              <w:rFonts w:ascii="Arial" w:eastAsiaTheme="minorEastAsia" w:hAnsi="Arial" w:cs="Arial"/>
              <w:noProof/>
              <w:sz w:val="24"/>
              <w:szCs w:val="24"/>
            </w:rPr>
          </w:pPr>
          <w:hyperlink w:anchor="_Toc165299390" w:history="1">
            <w:r w:rsidR="009C419F" w:rsidRPr="00963C14">
              <w:rPr>
                <w:rStyle w:val="Hyperlink"/>
                <w:rFonts w:ascii="Arial" w:hAnsi="Arial" w:cs="Arial"/>
                <w:noProof/>
                <w:sz w:val="24"/>
                <w:szCs w:val="24"/>
              </w:rPr>
              <w:t>4.2.2. Төсвийн зарлага</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_Toc165299390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23</w:t>
            </w:r>
            <w:r w:rsidR="009C419F" w:rsidRPr="00963C14">
              <w:rPr>
                <w:rFonts w:ascii="Arial" w:hAnsi="Arial" w:cs="Arial"/>
                <w:noProof/>
                <w:webHidden/>
                <w:sz w:val="24"/>
                <w:szCs w:val="24"/>
              </w:rPr>
              <w:fldChar w:fldCharType="end"/>
            </w:r>
          </w:hyperlink>
        </w:p>
        <w:p w14:paraId="26D8C363" w14:textId="7A41A0C4" w:rsidR="009C419F" w:rsidRPr="00963C14" w:rsidRDefault="00B4507F" w:rsidP="00E8311F">
          <w:pPr>
            <w:pStyle w:val="TOC2"/>
            <w:tabs>
              <w:tab w:val="right" w:leader="dot" w:pos="9269"/>
            </w:tabs>
            <w:spacing w:before="0" w:afterLines="0" w:after="120"/>
            <w:rPr>
              <w:rFonts w:ascii="Arial" w:eastAsiaTheme="minorEastAsia" w:hAnsi="Arial" w:cs="Arial"/>
              <w:b w:val="0"/>
              <w:bCs w:val="0"/>
              <w:noProof/>
              <w:sz w:val="24"/>
              <w:szCs w:val="24"/>
            </w:rPr>
          </w:pPr>
          <w:hyperlink w:anchor="_Toc165299391" w:history="1">
            <w:r w:rsidR="009C419F" w:rsidRPr="00963C14">
              <w:rPr>
                <w:rStyle w:val="Hyperlink"/>
                <w:rFonts w:ascii="Arial" w:hAnsi="Arial" w:cs="Arial"/>
                <w:noProof/>
                <w:sz w:val="24"/>
                <w:szCs w:val="24"/>
              </w:rPr>
              <w:t>4.3. Нэгдсэн төсвийн үзүүлэлт</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_Toc165299391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24</w:t>
            </w:r>
            <w:r w:rsidR="009C419F" w:rsidRPr="00963C14">
              <w:rPr>
                <w:rFonts w:ascii="Arial" w:hAnsi="Arial" w:cs="Arial"/>
                <w:noProof/>
                <w:webHidden/>
                <w:sz w:val="24"/>
                <w:szCs w:val="24"/>
              </w:rPr>
              <w:fldChar w:fldCharType="end"/>
            </w:r>
          </w:hyperlink>
        </w:p>
        <w:p w14:paraId="64CC7977" w14:textId="61256D9F" w:rsidR="009C419F" w:rsidRPr="00963C14" w:rsidRDefault="00B4507F" w:rsidP="00E8311F">
          <w:pPr>
            <w:pStyle w:val="TOC1"/>
            <w:rPr>
              <w:rFonts w:eastAsiaTheme="minorEastAsia"/>
              <w:caps w:val="0"/>
              <w:noProof/>
            </w:rPr>
          </w:pPr>
          <w:hyperlink w:anchor="_Toc165299392" w:history="1">
            <w:r w:rsidR="009C419F" w:rsidRPr="00963C14">
              <w:rPr>
                <w:rStyle w:val="Hyperlink"/>
                <w:b/>
                <w:noProof/>
              </w:rPr>
              <w:t>5.</w:t>
            </w:r>
            <w:r w:rsidR="009C419F" w:rsidRPr="00963C14">
              <w:rPr>
                <w:rFonts w:eastAsiaTheme="minorEastAsia"/>
                <w:caps w:val="0"/>
                <w:noProof/>
              </w:rPr>
              <w:tab/>
            </w:r>
            <w:r w:rsidR="009C419F" w:rsidRPr="00963C14">
              <w:rPr>
                <w:rStyle w:val="Hyperlink"/>
                <w:b/>
                <w:noProof/>
              </w:rPr>
              <w:t>МОНГОЛ УЛСЫН 2025-2027 ОНЫ НЭГДСЭН ТӨСВИЙН ТӨСӨӨЛӨЛ, БАРИМТЛАХ СТРАТЕГИ</w:t>
            </w:r>
            <w:r w:rsidR="009C419F" w:rsidRPr="00963C14">
              <w:rPr>
                <w:noProof/>
                <w:webHidden/>
              </w:rPr>
              <w:tab/>
            </w:r>
            <w:r w:rsidR="009C419F" w:rsidRPr="00963C14">
              <w:rPr>
                <w:noProof/>
                <w:webHidden/>
              </w:rPr>
              <w:fldChar w:fldCharType="begin"/>
            </w:r>
            <w:r w:rsidR="009C419F" w:rsidRPr="00963C14">
              <w:rPr>
                <w:noProof/>
                <w:webHidden/>
              </w:rPr>
              <w:instrText xml:space="preserve"> PAGEREF _Toc165299392 \h </w:instrText>
            </w:r>
            <w:r w:rsidR="009C419F" w:rsidRPr="00963C14">
              <w:rPr>
                <w:noProof/>
                <w:webHidden/>
              </w:rPr>
            </w:r>
            <w:r w:rsidR="009C419F" w:rsidRPr="00963C14">
              <w:rPr>
                <w:noProof/>
                <w:webHidden/>
              </w:rPr>
              <w:fldChar w:fldCharType="separate"/>
            </w:r>
            <w:r w:rsidR="009C419F" w:rsidRPr="00963C14">
              <w:rPr>
                <w:noProof/>
                <w:webHidden/>
              </w:rPr>
              <w:t>25</w:t>
            </w:r>
            <w:r w:rsidR="009C419F" w:rsidRPr="00963C14">
              <w:rPr>
                <w:noProof/>
                <w:webHidden/>
              </w:rPr>
              <w:fldChar w:fldCharType="end"/>
            </w:r>
          </w:hyperlink>
        </w:p>
        <w:p w14:paraId="135CC108" w14:textId="29BBFA93" w:rsidR="009C419F" w:rsidRPr="00963C14" w:rsidRDefault="00B4507F" w:rsidP="00E8311F">
          <w:pPr>
            <w:pStyle w:val="TOC2"/>
            <w:tabs>
              <w:tab w:val="right" w:leader="dot" w:pos="9269"/>
            </w:tabs>
            <w:spacing w:before="0" w:afterLines="0" w:after="120"/>
            <w:rPr>
              <w:rFonts w:ascii="Arial" w:eastAsiaTheme="minorEastAsia" w:hAnsi="Arial" w:cs="Arial"/>
              <w:b w:val="0"/>
              <w:bCs w:val="0"/>
              <w:noProof/>
              <w:sz w:val="24"/>
              <w:szCs w:val="24"/>
            </w:rPr>
          </w:pPr>
          <w:hyperlink w:anchor="_Toc165299393" w:history="1">
            <w:r w:rsidR="009C419F" w:rsidRPr="00963C14">
              <w:rPr>
                <w:rStyle w:val="Hyperlink"/>
                <w:rFonts w:ascii="Arial" w:hAnsi="Arial" w:cs="Arial"/>
                <w:noProof/>
                <w:sz w:val="24"/>
                <w:szCs w:val="24"/>
              </w:rPr>
              <w:t>5.3.Төсвийн хөрөнгө оруулалт, бодлого зарчим, хүрэх үр дүн</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_Toc165299393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28</w:t>
            </w:r>
            <w:r w:rsidR="009C419F" w:rsidRPr="00963C14">
              <w:rPr>
                <w:rFonts w:ascii="Arial" w:hAnsi="Arial" w:cs="Arial"/>
                <w:noProof/>
                <w:webHidden/>
                <w:sz w:val="24"/>
                <w:szCs w:val="24"/>
              </w:rPr>
              <w:fldChar w:fldCharType="end"/>
            </w:r>
          </w:hyperlink>
        </w:p>
        <w:p w14:paraId="68661630" w14:textId="370EA967" w:rsidR="009C419F" w:rsidRPr="00963C14" w:rsidRDefault="00B4507F" w:rsidP="00E8311F">
          <w:pPr>
            <w:pStyle w:val="TOC3"/>
            <w:spacing w:before="0" w:afterLines="0" w:after="120"/>
            <w:rPr>
              <w:rFonts w:ascii="Arial" w:eastAsiaTheme="minorEastAsia" w:hAnsi="Arial" w:cs="Arial"/>
              <w:noProof/>
              <w:sz w:val="24"/>
              <w:szCs w:val="24"/>
            </w:rPr>
          </w:pPr>
          <w:hyperlink w:anchor="_Toc165299394" w:history="1">
            <w:r w:rsidR="009C419F" w:rsidRPr="00963C14">
              <w:rPr>
                <w:rStyle w:val="Hyperlink"/>
                <w:rFonts w:ascii="Arial" w:hAnsi="Arial" w:cs="Arial"/>
                <w:noProof/>
                <w:sz w:val="24"/>
                <w:szCs w:val="24"/>
              </w:rPr>
              <w:t>5.3.1. Төсвийн хөрөнгө оруулалт 2019-2024 он</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_Toc165299394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28</w:t>
            </w:r>
            <w:r w:rsidR="009C419F" w:rsidRPr="00963C14">
              <w:rPr>
                <w:rFonts w:ascii="Arial" w:hAnsi="Arial" w:cs="Arial"/>
                <w:noProof/>
                <w:webHidden/>
                <w:sz w:val="24"/>
                <w:szCs w:val="24"/>
              </w:rPr>
              <w:fldChar w:fldCharType="end"/>
            </w:r>
          </w:hyperlink>
        </w:p>
        <w:p w14:paraId="2F6E17D0" w14:textId="521159EF" w:rsidR="009C419F" w:rsidRPr="00963C14" w:rsidRDefault="00B4507F" w:rsidP="00E8311F">
          <w:pPr>
            <w:pStyle w:val="TOC3"/>
            <w:spacing w:before="0" w:afterLines="0" w:after="120"/>
            <w:rPr>
              <w:rFonts w:ascii="Arial" w:eastAsiaTheme="minorEastAsia" w:hAnsi="Arial" w:cs="Arial"/>
              <w:noProof/>
              <w:sz w:val="24"/>
              <w:szCs w:val="24"/>
            </w:rPr>
          </w:pPr>
          <w:hyperlink w:anchor="_Toc165299395" w:history="1">
            <w:r w:rsidR="009C419F" w:rsidRPr="00963C14">
              <w:rPr>
                <w:rStyle w:val="Hyperlink"/>
                <w:rFonts w:ascii="Arial" w:hAnsi="Arial" w:cs="Arial"/>
                <w:noProof/>
                <w:sz w:val="24"/>
                <w:szCs w:val="24"/>
              </w:rPr>
              <w:t>5.3.2. 2025 онд баримтлах бодлого, шалгуур үзүүлэлт</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_Toc165299395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28</w:t>
            </w:r>
            <w:r w:rsidR="009C419F" w:rsidRPr="00963C14">
              <w:rPr>
                <w:rFonts w:ascii="Arial" w:hAnsi="Arial" w:cs="Arial"/>
                <w:noProof/>
                <w:webHidden/>
                <w:sz w:val="24"/>
                <w:szCs w:val="24"/>
              </w:rPr>
              <w:fldChar w:fldCharType="end"/>
            </w:r>
          </w:hyperlink>
        </w:p>
        <w:p w14:paraId="2D946161" w14:textId="66834C9F" w:rsidR="009C419F" w:rsidRPr="00963C14" w:rsidRDefault="00B4507F" w:rsidP="00E8311F">
          <w:pPr>
            <w:pStyle w:val="TOC2"/>
            <w:tabs>
              <w:tab w:val="right" w:leader="dot" w:pos="9269"/>
            </w:tabs>
            <w:spacing w:before="0" w:afterLines="0" w:after="120"/>
            <w:rPr>
              <w:rFonts w:ascii="Arial" w:eastAsiaTheme="minorEastAsia" w:hAnsi="Arial" w:cs="Arial"/>
              <w:b w:val="0"/>
              <w:bCs w:val="0"/>
              <w:noProof/>
              <w:sz w:val="24"/>
              <w:szCs w:val="24"/>
            </w:rPr>
          </w:pPr>
          <w:hyperlink w:anchor="_Toc165299396" w:history="1">
            <w:r w:rsidR="009C419F" w:rsidRPr="00963C14">
              <w:rPr>
                <w:rStyle w:val="Hyperlink"/>
                <w:rFonts w:ascii="Arial" w:hAnsi="Arial" w:cs="Arial"/>
                <w:noProof/>
                <w:sz w:val="24"/>
                <w:szCs w:val="24"/>
              </w:rPr>
              <w:t>5.4.Гадаад зээл, тусламжийн ашиглалт, баримтлах зарчмууд</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_Toc165299396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29</w:t>
            </w:r>
            <w:r w:rsidR="009C419F" w:rsidRPr="00963C14">
              <w:rPr>
                <w:rFonts w:ascii="Arial" w:hAnsi="Arial" w:cs="Arial"/>
                <w:noProof/>
                <w:webHidden/>
                <w:sz w:val="24"/>
                <w:szCs w:val="24"/>
              </w:rPr>
              <w:fldChar w:fldCharType="end"/>
            </w:r>
          </w:hyperlink>
        </w:p>
        <w:p w14:paraId="30687F69" w14:textId="7D127997" w:rsidR="009C419F" w:rsidRPr="00963C14" w:rsidRDefault="00B4507F" w:rsidP="00E8311F">
          <w:pPr>
            <w:pStyle w:val="TOC1"/>
            <w:rPr>
              <w:rFonts w:eastAsiaTheme="minorEastAsia"/>
              <w:caps w:val="0"/>
              <w:noProof/>
            </w:rPr>
          </w:pPr>
          <w:hyperlink w:anchor="_Toc165299397" w:history="1">
            <w:r w:rsidR="009C419F" w:rsidRPr="00963C14">
              <w:rPr>
                <w:rStyle w:val="Hyperlink"/>
                <w:b/>
                <w:noProof/>
              </w:rPr>
              <w:t>6.</w:t>
            </w:r>
            <w:r w:rsidR="009C419F" w:rsidRPr="00963C14">
              <w:rPr>
                <w:rFonts w:eastAsiaTheme="minorEastAsia"/>
                <w:caps w:val="0"/>
                <w:noProof/>
              </w:rPr>
              <w:tab/>
            </w:r>
            <w:r w:rsidR="009C419F" w:rsidRPr="00963C14">
              <w:rPr>
                <w:rStyle w:val="Hyperlink"/>
                <w:b/>
                <w:noProof/>
              </w:rPr>
              <w:t>ЗАСГИЙН ГАЗРЫН ӨРИЙН ТӨЛӨВ БАЙДАЛ, БАРИМТЛАХ СТРАТЕГИ</w:t>
            </w:r>
            <w:r w:rsidR="009C419F" w:rsidRPr="00963C14">
              <w:rPr>
                <w:noProof/>
                <w:webHidden/>
              </w:rPr>
              <w:tab/>
            </w:r>
            <w:r w:rsidR="009C419F" w:rsidRPr="00963C14">
              <w:rPr>
                <w:noProof/>
                <w:webHidden/>
              </w:rPr>
              <w:fldChar w:fldCharType="begin"/>
            </w:r>
            <w:r w:rsidR="009C419F" w:rsidRPr="00963C14">
              <w:rPr>
                <w:noProof/>
                <w:webHidden/>
              </w:rPr>
              <w:instrText xml:space="preserve"> PAGEREF _Toc165299397 \h </w:instrText>
            </w:r>
            <w:r w:rsidR="009C419F" w:rsidRPr="00963C14">
              <w:rPr>
                <w:noProof/>
                <w:webHidden/>
              </w:rPr>
            </w:r>
            <w:r w:rsidR="009C419F" w:rsidRPr="00963C14">
              <w:rPr>
                <w:noProof/>
                <w:webHidden/>
              </w:rPr>
              <w:fldChar w:fldCharType="separate"/>
            </w:r>
            <w:r w:rsidR="009C419F" w:rsidRPr="00963C14">
              <w:rPr>
                <w:noProof/>
                <w:webHidden/>
              </w:rPr>
              <w:t>30</w:t>
            </w:r>
            <w:r w:rsidR="009C419F" w:rsidRPr="00963C14">
              <w:rPr>
                <w:noProof/>
                <w:webHidden/>
              </w:rPr>
              <w:fldChar w:fldCharType="end"/>
            </w:r>
          </w:hyperlink>
        </w:p>
        <w:p w14:paraId="33ECA953" w14:textId="35B6D877" w:rsidR="009C419F" w:rsidRPr="00963C14" w:rsidRDefault="00B4507F" w:rsidP="00E8311F">
          <w:pPr>
            <w:pStyle w:val="TOC2"/>
            <w:tabs>
              <w:tab w:val="right" w:leader="dot" w:pos="9269"/>
            </w:tabs>
            <w:spacing w:before="0" w:afterLines="0" w:after="120"/>
            <w:rPr>
              <w:rFonts w:ascii="Arial" w:eastAsiaTheme="minorEastAsia" w:hAnsi="Arial" w:cs="Arial"/>
              <w:b w:val="0"/>
              <w:bCs w:val="0"/>
              <w:noProof/>
              <w:sz w:val="24"/>
              <w:szCs w:val="24"/>
            </w:rPr>
          </w:pPr>
          <w:hyperlink w:anchor="_Toc165299398" w:history="1">
            <w:r w:rsidR="009C419F" w:rsidRPr="00963C14">
              <w:rPr>
                <w:rStyle w:val="Hyperlink"/>
                <w:rFonts w:ascii="Arial" w:hAnsi="Arial" w:cs="Arial"/>
                <w:noProof/>
                <w:sz w:val="24"/>
                <w:szCs w:val="24"/>
              </w:rPr>
              <w:t>6.1. Засгийн газрын өр</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_Toc165299398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30</w:t>
            </w:r>
            <w:r w:rsidR="009C419F" w:rsidRPr="00963C14">
              <w:rPr>
                <w:rFonts w:ascii="Arial" w:hAnsi="Arial" w:cs="Arial"/>
                <w:noProof/>
                <w:webHidden/>
                <w:sz w:val="24"/>
                <w:szCs w:val="24"/>
              </w:rPr>
              <w:fldChar w:fldCharType="end"/>
            </w:r>
          </w:hyperlink>
        </w:p>
        <w:p w14:paraId="1928A840" w14:textId="29E081AB" w:rsidR="009C419F" w:rsidRPr="00963C14" w:rsidRDefault="00B4507F" w:rsidP="00E8311F">
          <w:pPr>
            <w:pStyle w:val="TOC3"/>
            <w:spacing w:before="0" w:afterLines="0" w:after="120"/>
            <w:rPr>
              <w:rFonts w:ascii="Arial" w:eastAsiaTheme="minorEastAsia" w:hAnsi="Arial" w:cs="Arial"/>
              <w:noProof/>
              <w:sz w:val="24"/>
              <w:szCs w:val="24"/>
            </w:rPr>
          </w:pPr>
          <w:hyperlink w:anchor="_Toc165299399" w:history="1">
            <w:r w:rsidR="009C419F" w:rsidRPr="00963C14">
              <w:rPr>
                <w:rStyle w:val="Hyperlink"/>
                <w:rFonts w:ascii="Arial" w:hAnsi="Arial" w:cs="Arial"/>
                <w:noProof/>
                <w:sz w:val="24"/>
                <w:szCs w:val="24"/>
              </w:rPr>
              <w:t>6.1.1. Улсын нийт гадаад өр</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_Toc165299399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30</w:t>
            </w:r>
            <w:r w:rsidR="009C419F" w:rsidRPr="00963C14">
              <w:rPr>
                <w:rFonts w:ascii="Arial" w:hAnsi="Arial" w:cs="Arial"/>
                <w:noProof/>
                <w:webHidden/>
                <w:sz w:val="24"/>
                <w:szCs w:val="24"/>
              </w:rPr>
              <w:fldChar w:fldCharType="end"/>
            </w:r>
          </w:hyperlink>
        </w:p>
        <w:p w14:paraId="47CB6396" w14:textId="7F17813D" w:rsidR="009C419F" w:rsidRPr="00963C14" w:rsidRDefault="00B4507F" w:rsidP="00E8311F">
          <w:pPr>
            <w:pStyle w:val="TOC3"/>
            <w:spacing w:before="0" w:afterLines="0" w:after="120"/>
            <w:rPr>
              <w:rFonts w:ascii="Arial" w:eastAsiaTheme="minorEastAsia" w:hAnsi="Arial" w:cs="Arial"/>
              <w:noProof/>
              <w:sz w:val="24"/>
              <w:szCs w:val="24"/>
            </w:rPr>
          </w:pPr>
          <w:hyperlink w:anchor="_Toc165299400" w:history="1">
            <w:r w:rsidR="009C419F" w:rsidRPr="00963C14">
              <w:rPr>
                <w:rStyle w:val="Hyperlink"/>
                <w:rFonts w:ascii="Arial" w:hAnsi="Arial" w:cs="Arial"/>
                <w:noProof/>
                <w:sz w:val="24"/>
                <w:szCs w:val="24"/>
              </w:rPr>
              <w:t>6.1.2. Засгийн газрын өр</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_Toc165299400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30</w:t>
            </w:r>
            <w:r w:rsidR="009C419F" w:rsidRPr="00963C14">
              <w:rPr>
                <w:rFonts w:ascii="Arial" w:hAnsi="Arial" w:cs="Arial"/>
                <w:noProof/>
                <w:webHidden/>
                <w:sz w:val="24"/>
                <w:szCs w:val="24"/>
              </w:rPr>
              <w:fldChar w:fldCharType="end"/>
            </w:r>
          </w:hyperlink>
        </w:p>
        <w:p w14:paraId="60B83E24" w14:textId="02E676E5" w:rsidR="009C419F" w:rsidRPr="00963C14" w:rsidRDefault="00B4507F" w:rsidP="00E8311F">
          <w:pPr>
            <w:pStyle w:val="TOC3"/>
            <w:spacing w:before="0" w:afterLines="0" w:after="120"/>
            <w:rPr>
              <w:rFonts w:ascii="Arial" w:eastAsiaTheme="minorEastAsia" w:hAnsi="Arial" w:cs="Arial"/>
              <w:noProof/>
              <w:sz w:val="24"/>
              <w:szCs w:val="24"/>
            </w:rPr>
          </w:pPr>
          <w:hyperlink w:anchor="_Toc165299401" w:history="1">
            <w:r w:rsidR="009C419F" w:rsidRPr="00963C14">
              <w:rPr>
                <w:rStyle w:val="Hyperlink"/>
                <w:rFonts w:ascii="Arial" w:hAnsi="Arial" w:cs="Arial"/>
                <w:noProof/>
                <w:sz w:val="24"/>
                <w:szCs w:val="24"/>
              </w:rPr>
              <w:t>6.1.3. Засгийн газрын гадаад зээл</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_Toc165299401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31</w:t>
            </w:r>
            <w:r w:rsidR="009C419F" w:rsidRPr="00963C14">
              <w:rPr>
                <w:rFonts w:ascii="Arial" w:hAnsi="Arial" w:cs="Arial"/>
                <w:noProof/>
                <w:webHidden/>
                <w:sz w:val="24"/>
                <w:szCs w:val="24"/>
              </w:rPr>
              <w:fldChar w:fldCharType="end"/>
            </w:r>
          </w:hyperlink>
        </w:p>
        <w:p w14:paraId="1734E451" w14:textId="58B489BA" w:rsidR="009C419F" w:rsidRPr="00963C14" w:rsidRDefault="00B4507F" w:rsidP="00E8311F">
          <w:pPr>
            <w:pStyle w:val="TOC3"/>
            <w:spacing w:before="0" w:afterLines="0" w:after="120"/>
            <w:rPr>
              <w:rFonts w:ascii="Arial" w:eastAsiaTheme="minorEastAsia" w:hAnsi="Arial" w:cs="Arial"/>
              <w:noProof/>
              <w:sz w:val="24"/>
              <w:szCs w:val="24"/>
            </w:rPr>
          </w:pPr>
          <w:hyperlink w:anchor="_Toc165299402" w:history="1">
            <w:r w:rsidR="009C419F" w:rsidRPr="00963C14">
              <w:rPr>
                <w:rStyle w:val="Hyperlink"/>
                <w:rFonts w:ascii="Arial" w:hAnsi="Arial" w:cs="Arial"/>
                <w:noProof/>
                <w:sz w:val="24"/>
                <w:szCs w:val="24"/>
              </w:rPr>
              <w:t>6.1.4. Засгийн газрын гадаад үнэт цаас</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_Toc165299402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32</w:t>
            </w:r>
            <w:r w:rsidR="009C419F" w:rsidRPr="00963C14">
              <w:rPr>
                <w:rFonts w:ascii="Arial" w:hAnsi="Arial" w:cs="Arial"/>
                <w:noProof/>
                <w:webHidden/>
                <w:sz w:val="24"/>
                <w:szCs w:val="24"/>
              </w:rPr>
              <w:fldChar w:fldCharType="end"/>
            </w:r>
          </w:hyperlink>
        </w:p>
        <w:p w14:paraId="6327A6DB" w14:textId="5D882177" w:rsidR="009C419F" w:rsidRPr="00963C14" w:rsidRDefault="00B4507F" w:rsidP="00E8311F">
          <w:pPr>
            <w:pStyle w:val="TOC3"/>
            <w:spacing w:before="0" w:afterLines="0" w:after="120"/>
            <w:rPr>
              <w:rFonts w:ascii="Arial" w:eastAsiaTheme="minorEastAsia" w:hAnsi="Arial" w:cs="Arial"/>
              <w:noProof/>
              <w:sz w:val="24"/>
              <w:szCs w:val="24"/>
            </w:rPr>
          </w:pPr>
          <w:hyperlink w:anchor="_Toc165299403" w:history="1">
            <w:r w:rsidR="009C419F" w:rsidRPr="00963C14">
              <w:rPr>
                <w:rStyle w:val="Hyperlink"/>
                <w:rFonts w:ascii="Arial" w:hAnsi="Arial" w:cs="Arial"/>
                <w:noProof/>
                <w:sz w:val="24"/>
                <w:szCs w:val="24"/>
              </w:rPr>
              <w:t>6.1.5. Засгийн газрын дотоод өр</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_Toc165299403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34</w:t>
            </w:r>
            <w:r w:rsidR="009C419F" w:rsidRPr="00963C14">
              <w:rPr>
                <w:rFonts w:ascii="Arial" w:hAnsi="Arial" w:cs="Arial"/>
                <w:noProof/>
                <w:webHidden/>
                <w:sz w:val="24"/>
                <w:szCs w:val="24"/>
              </w:rPr>
              <w:fldChar w:fldCharType="end"/>
            </w:r>
          </w:hyperlink>
        </w:p>
        <w:p w14:paraId="0338F894" w14:textId="45C96FC1" w:rsidR="009C419F" w:rsidRPr="00963C14" w:rsidRDefault="00B4507F" w:rsidP="00E8311F">
          <w:pPr>
            <w:pStyle w:val="TOC2"/>
            <w:tabs>
              <w:tab w:val="right" w:leader="dot" w:pos="9269"/>
            </w:tabs>
            <w:spacing w:before="0" w:afterLines="0" w:after="120"/>
            <w:rPr>
              <w:rFonts w:ascii="Arial" w:eastAsiaTheme="minorEastAsia" w:hAnsi="Arial" w:cs="Arial"/>
              <w:b w:val="0"/>
              <w:bCs w:val="0"/>
              <w:noProof/>
              <w:sz w:val="24"/>
              <w:szCs w:val="24"/>
            </w:rPr>
          </w:pPr>
          <w:hyperlink w:anchor="_Toc165299404" w:history="1">
            <w:r w:rsidR="009C419F" w:rsidRPr="00963C14">
              <w:rPr>
                <w:rStyle w:val="Hyperlink"/>
                <w:rFonts w:ascii="Arial" w:hAnsi="Arial" w:cs="Arial"/>
                <w:noProof/>
                <w:sz w:val="24"/>
                <w:szCs w:val="24"/>
              </w:rPr>
              <w:t>6.2. Засгийн газрын болзошгүй өр төлбөр</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_Toc165299404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35</w:t>
            </w:r>
            <w:r w:rsidR="009C419F" w:rsidRPr="00963C14">
              <w:rPr>
                <w:rFonts w:ascii="Arial" w:hAnsi="Arial" w:cs="Arial"/>
                <w:noProof/>
                <w:webHidden/>
                <w:sz w:val="24"/>
                <w:szCs w:val="24"/>
              </w:rPr>
              <w:fldChar w:fldCharType="end"/>
            </w:r>
          </w:hyperlink>
        </w:p>
        <w:p w14:paraId="3BA4F126" w14:textId="7B144D14" w:rsidR="009C419F" w:rsidRPr="00963C14" w:rsidRDefault="00B4507F" w:rsidP="00E8311F">
          <w:pPr>
            <w:pStyle w:val="TOC2"/>
            <w:tabs>
              <w:tab w:val="right" w:leader="dot" w:pos="9269"/>
            </w:tabs>
            <w:spacing w:before="0" w:afterLines="0" w:after="120"/>
            <w:rPr>
              <w:rFonts w:ascii="Arial" w:eastAsiaTheme="minorEastAsia" w:hAnsi="Arial" w:cs="Arial"/>
              <w:b w:val="0"/>
              <w:bCs w:val="0"/>
              <w:noProof/>
              <w:sz w:val="24"/>
              <w:szCs w:val="24"/>
            </w:rPr>
          </w:pPr>
          <w:hyperlink w:anchor="_Toc165299405" w:history="1">
            <w:r w:rsidR="009C419F" w:rsidRPr="00963C14">
              <w:rPr>
                <w:rStyle w:val="Hyperlink"/>
                <w:rFonts w:ascii="Arial" w:hAnsi="Arial" w:cs="Arial"/>
                <w:noProof/>
                <w:sz w:val="24"/>
                <w:szCs w:val="24"/>
              </w:rPr>
              <w:t>6.3. Засгийн газрын өрийн тусгай шаардлага</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_Toc165299405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36</w:t>
            </w:r>
            <w:r w:rsidR="009C419F" w:rsidRPr="00963C14">
              <w:rPr>
                <w:rFonts w:ascii="Arial" w:hAnsi="Arial" w:cs="Arial"/>
                <w:noProof/>
                <w:webHidden/>
                <w:sz w:val="24"/>
                <w:szCs w:val="24"/>
              </w:rPr>
              <w:fldChar w:fldCharType="end"/>
            </w:r>
          </w:hyperlink>
        </w:p>
        <w:p w14:paraId="41C41F2A" w14:textId="41611940" w:rsidR="009C419F" w:rsidRPr="00963C14" w:rsidRDefault="00B4507F" w:rsidP="00E8311F">
          <w:pPr>
            <w:pStyle w:val="TOC2"/>
            <w:tabs>
              <w:tab w:val="right" w:leader="dot" w:pos="9269"/>
            </w:tabs>
            <w:spacing w:before="0" w:afterLines="0" w:after="120"/>
            <w:rPr>
              <w:rFonts w:ascii="Arial" w:eastAsiaTheme="minorEastAsia" w:hAnsi="Arial" w:cs="Arial"/>
              <w:b w:val="0"/>
              <w:bCs w:val="0"/>
              <w:noProof/>
              <w:sz w:val="24"/>
              <w:szCs w:val="24"/>
            </w:rPr>
          </w:pPr>
          <w:hyperlink w:anchor="_Toc165299406" w:history="1">
            <w:r w:rsidR="009C419F" w:rsidRPr="00963C14">
              <w:rPr>
                <w:rStyle w:val="Hyperlink"/>
                <w:rFonts w:ascii="Arial" w:hAnsi="Arial" w:cs="Arial"/>
                <w:noProof/>
                <w:sz w:val="24"/>
                <w:szCs w:val="24"/>
              </w:rPr>
              <w:t>6.4. Засгийн газрын 2023-2025 оны өрийн удирдлагын стратегийн баримт бичиг</w:t>
            </w:r>
            <w:r w:rsidR="009C419F" w:rsidRPr="00963C14">
              <w:rPr>
                <w:rFonts w:ascii="Arial" w:hAnsi="Arial" w:cs="Arial"/>
                <w:noProof/>
                <w:webHidden/>
                <w:sz w:val="24"/>
                <w:szCs w:val="24"/>
              </w:rPr>
              <w:tab/>
            </w:r>
            <w:r w:rsidR="009C419F" w:rsidRPr="00963C14">
              <w:rPr>
                <w:rFonts w:ascii="Arial" w:hAnsi="Arial" w:cs="Arial"/>
                <w:noProof/>
                <w:webHidden/>
                <w:sz w:val="24"/>
                <w:szCs w:val="24"/>
              </w:rPr>
              <w:fldChar w:fldCharType="begin"/>
            </w:r>
            <w:r w:rsidR="009C419F" w:rsidRPr="00963C14">
              <w:rPr>
                <w:rFonts w:ascii="Arial" w:hAnsi="Arial" w:cs="Arial"/>
                <w:noProof/>
                <w:webHidden/>
                <w:sz w:val="24"/>
                <w:szCs w:val="24"/>
              </w:rPr>
              <w:instrText xml:space="preserve"> PAGEREF _Toc165299406 \h </w:instrText>
            </w:r>
            <w:r w:rsidR="009C419F" w:rsidRPr="00963C14">
              <w:rPr>
                <w:rFonts w:ascii="Arial" w:hAnsi="Arial" w:cs="Arial"/>
                <w:noProof/>
                <w:webHidden/>
                <w:sz w:val="24"/>
                <w:szCs w:val="24"/>
              </w:rPr>
            </w:r>
            <w:r w:rsidR="009C419F" w:rsidRPr="00963C14">
              <w:rPr>
                <w:rFonts w:ascii="Arial" w:hAnsi="Arial" w:cs="Arial"/>
                <w:noProof/>
                <w:webHidden/>
                <w:sz w:val="24"/>
                <w:szCs w:val="24"/>
              </w:rPr>
              <w:fldChar w:fldCharType="separate"/>
            </w:r>
            <w:r w:rsidR="009C419F" w:rsidRPr="00963C14">
              <w:rPr>
                <w:rFonts w:ascii="Arial" w:hAnsi="Arial" w:cs="Arial"/>
                <w:noProof/>
                <w:webHidden/>
                <w:sz w:val="24"/>
                <w:szCs w:val="24"/>
              </w:rPr>
              <w:t>36</w:t>
            </w:r>
            <w:r w:rsidR="009C419F" w:rsidRPr="00963C14">
              <w:rPr>
                <w:rFonts w:ascii="Arial" w:hAnsi="Arial" w:cs="Arial"/>
                <w:noProof/>
                <w:webHidden/>
                <w:sz w:val="24"/>
                <w:szCs w:val="24"/>
              </w:rPr>
              <w:fldChar w:fldCharType="end"/>
            </w:r>
          </w:hyperlink>
        </w:p>
        <w:p w14:paraId="6480EE58" w14:textId="1BEC6F5E" w:rsidR="00EE1D3A" w:rsidRPr="00963C14" w:rsidRDefault="00DD59C9" w:rsidP="00E8311F">
          <w:pPr>
            <w:snapToGrid w:val="0"/>
            <w:spacing w:afterLines="0"/>
          </w:pPr>
          <w:r w:rsidRPr="00963C14">
            <w:rPr>
              <w:rFonts w:cs="Arial"/>
              <w:caps/>
              <w:szCs w:val="24"/>
            </w:rPr>
            <w:fldChar w:fldCharType="end"/>
          </w:r>
        </w:p>
      </w:sdtContent>
    </w:sdt>
    <w:p w14:paraId="4144A32D" w14:textId="77777777" w:rsidR="00EE1D3A" w:rsidRPr="00963C14" w:rsidRDefault="00EE1D3A" w:rsidP="00EE1D3A">
      <w:pPr>
        <w:pStyle w:val="Heading1"/>
        <w:numPr>
          <w:ilvl w:val="0"/>
          <w:numId w:val="3"/>
        </w:numPr>
        <w:tabs>
          <w:tab w:val="right" w:leader="dot" w:pos="9354"/>
        </w:tabs>
        <w:spacing w:after="288"/>
        <w:rPr>
          <w:rFonts w:ascii="Arial" w:hAnsi="Arial" w:cs="Arial"/>
          <w:b/>
          <w:color w:val="auto"/>
          <w:sz w:val="24"/>
          <w:szCs w:val="24"/>
        </w:rPr>
      </w:pPr>
      <w:bookmarkStart w:id="0" w:name="_Toc163484912"/>
      <w:bookmarkStart w:id="1" w:name="_Toc163736646"/>
      <w:bookmarkStart w:id="2" w:name="_Toc163811079"/>
      <w:bookmarkStart w:id="3" w:name="_Toc165299376"/>
      <w:r w:rsidRPr="00963C14">
        <w:rPr>
          <w:rFonts w:ascii="Arial" w:hAnsi="Arial" w:cs="Arial"/>
          <w:b/>
          <w:color w:val="auto"/>
          <w:sz w:val="24"/>
          <w:szCs w:val="24"/>
        </w:rPr>
        <w:t>МАКРО ЭДИЙН ЗАСГИЙН ҮНДСЭН ҮЗҮҮЛЭЛТҮҮД</w:t>
      </w:r>
      <w:bookmarkEnd w:id="0"/>
      <w:bookmarkEnd w:id="1"/>
      <w:bookmarkEnd w:id="2"/>
      <w:bookmarkEnd w:id="3"/>
    </w:p>
    <w:p w14:paraId="0134BCD5" w14:textId="77777777" w:rsidR="00EE1D3A" w:rsidRPr="00963C14" w:rsidRDefault="00EE1D3A" w:rsidP="00EE1D3A">
      <w:pPr>
        <w:pStyle w:val="Heading2"/>
        <w:numPr>
          <w:ilvl w:val="1"/>
          <w:numId w:val="3"/>
        </w:numPr>
        <w:tabs>
          <w:tab w:val="right" w:leader="dot" w:pos="9354"/>
        </w:tabs>
        <w:spacing w:after="288"/>
        <w:rPr>
          <w:rFonts w:ascii="Arial" w:eastAsiaTheme="minorEastAsia" w:hAnsi="Arial" w:cs="Arial"/>
          <w:b/>
          <w:color w:val="055957"/>
          <w:kern w:val="0"/>
          <w:sz w:val="24"/>
          <w:szCs w:val="24"/>
        </w:rPr>
      </w:pPr>
      <w:bookmarkStart w:id="4" w:name="_Toc163484913"/>
      <w:bookmarkStart w:id="5" w:name="_Toc163736647"/>
      <w:bookmarkStart w:id="6" w:name="_Toc163811080"/>
      <w:bookmarkStart w:id="7" w:name="_Toc165299377"/>
      <w:r w:rsidRPr="00963C14">
        <w:rPr>
          <w:rFonts w:ascii="Arial" w:eastAsiaTheme="minorEastAsia" w:hAnsi="Arial" w:cs="Arial"/>
          <w:b/>
          <w:color w:val="055957"/>
          <w:kern w:val="0"/>
          <w:sz w:val="24"/>
          <w:szCs w:val="24"/>
        </w:rPr>
        <w:t>Дэлхийн эдийн засгийн төлөв</w:t>
      </w:r>
      <w:bookmarkEnd w:id="4"/>
      <w:bookmarkEnd w:id="5"/>
      <w:bookmarkEnd w:id="6"/>
      <w:bookmarkEnd w:id="7"/>
    </w:p>
    <w:p w14:paraId="5F3CF5CB" w14:textId="6D64CE90" w:rsidR="00EE1D3A" w:rsidRPr="00963C14" w:rsidRDefault="00DE5C92" w:rsidP="00EE1D3A">
      <w:pPr>
        <w:tabs>
          <w:tab w:val="left" w:pos="454"/>
          <w:tab w:val="right" w:leader="dot" w:pos="9354"/>
        </w:tabs>
        <w:spacing w:afterLines="0" w:after="288"/>
        <w:mirrorIndents/>
        <w:rPr>
          <w:rFonts w:cs="Arial"/>
          <w:szCs w:val="24"/>
        </w:rPr>
      </w:pPr>
      <w:r w:rsidRPr="00963C14">
        <w:rPr>
          <w:rFonts w:cs="Arial"/>
          <w:szCs w:val="24"/>
        </w:rPr>
        <w:t xml:space="preserve">Сүүлийн 4 жилд тохиосон Ковид-19 цар тахал, </w:t>
      </w:r>
      <w:r w:rsidR="002D3B73" w:rsidRPr="00963C14">
        <w:rPr>
          <w:rFonts w:cs="Arial"/>
          <w:szCs w:val="24"/>
        </w:rPr>
        <w:t xml:space="preserve">геополитикийн тогтворгүй байдал, </w:t>
      </w:r>
      <w:r w:rsidR="00244284" w:rsidRPr="00963C14">
        <w:rPr>
          <w:rFonts w:cs="Arial"/>
          <w:szCs w:val="24"/>
        </w:rPr>
        <w:t xml:space="preserve">тэдгээрээс үүдэлтэй </w:t>
      </w:r>
      <w:r w:rsidR="001A3172" w:rsidRPr="00963C14">
        <w:rPr>
          <w:rFonts w:cs="Arial"/>
          <w:szCs w:val="24"/>
        </w:rPr>
        <w:t>тээвэр, логистикийн саатал,</w:t>
      </w:r>
      <w:r w:rsidR="00244284" w:rsidRPr="00963C14">
        <w:rPr>
          <w:rFonts w:cs="Arial"/>
          <w:szCs w:val="24"/>
        </w:rPr>
        <w:t xml:space="preserve"> ү</w:t>
      </w:r>
      <w:r w:rsidR="0077153E" w:rsidRPr="00963C14">
        <w:rPr>
          <w:rFonts w:cs="Arial"/>
          <w:szCs w:val="24"/>
        </w:rPr>
        <w:t>нийн өсөлт</w:t>
      </w:r>
      <w:r w:rsidR="00817AB7" w:rsidRPr="00963C14">
        <w:rPr>
          <w:rFonts w:cs="Arial" w:hint="eastAsia"/>
          <w:szCs w:val="24"/>
          <w:lang w:eastAsia="ja-JP"/>
        </w:rPr>
        <w:t xml:space="preserve"> </w:t>
      </w:r>
      <w:r w:rsidR="00817AB7" w:rsidRPr="00963C14">
        <w:rPr>
          <w:rFonts w:cs="Arial"/>
          <w:szCs w:val="24"/>
          <w:lang w:eastAsia="ja-JP"/>
        </w:rPr>
        <w:t>болон</w:t>
      </w:r>
      <w:r w:rsidR="001115D3" w:rsidRPr="00963C14">
        <w:rPr>
          <w:rFonts w:cs="Arial"/>
          <w:szCs w:val="24"/>
          <w:lang w:eastAsia="ja-JP"/>
        </w:rPr>
        <w:t xml:space="preserve"> </w:t>
      </w:r>
      <w:r w:rsidR="00261397" w:rsidRPr="00963C14">
        <w:rPr>
          <w:rFonts w:cs="Arial"/>
          <w:szCs w:val="24"/>
          <w:lang w:eastAsia="ja-JP"/>
        </w:rPr>
        <w:t xml:space="preserve">мөнгөний хатуу бодлогын </w:t>
      </w:r>
      <w:r w:rsidR="0059001A" w:rsidRPr="00963C14">
        <w:rPr>
          <w:rFonts w:cs="Arial"/>
          <w:szCs w:val="24"/>
        </w:rPr>
        <w:t xml:space="preserve">нөлөө </w:t>
      </w:r>
      <w:r w:rsidR="00C22394" w:rsidRPr="00963C14">
        <w:rPr>
          <w:rFonts w:cs="Arial"/>
          <w:szCs w:val="24"/>
        </w:rPr>
        <w:t xml:space="preserve">2023 онд </w:t>
      </w:r>
      <w:r w:rsidR="0059001A" w:rsidRPr="00963C14">
        <w:rPr>
          <w:rFonts w:cs="Arial"/>
          <w:szCs w:val="24"/>
        </w:rPr>
        <w:t>үргэлжил</w:t>
      </w:r>
      <w:r w:rsidR="00E25519" w:rsidRPr="00963C14">
        <w:rPr>
          <w:rFonts w:cs="Arial"/>
          <w:szCs w:val="24"/>
        </w:rPr>
        <w:t xml:space="preserve">сэн хэдий ч </w:t>
      </w:r>
      <w:r w:rsidR="00E72FF8" w:rsidRPr="00963C14">
        <w:rPr>
          <w:rFonts w:cs="Arial"/>
          <w:szCs w:val="24"/>
          <w:lang w:eastAsia="ja-JP"/>
        </w:rPr>
        <w:t>ажил эрхлэлт, өрхийн орлог</w:t>
      </w:r>
      <w:r w:rsidR="000E498A" w:rsidRPr="00963C14">
        <w:rPr>
          <w:rFonts w:cs="Arial"/>
          <w:szCs w:val="24"/>
          <w:lang w:eastAsia="ja-JP"/>
        </w:rPr>
        <w:t>о</w:t>
      </w:r>
      <w:r w:rsidR="0072511E" w:rsidRPr="00963C14">
        <w:rPr>
          <w:rFonts w:cs="Arial"/>
          <w:szCs w:val="24"/>
          <w:lang w:eastAsia="ja-JP"/>
        </w:rPr>
        <w:t xml:space="preserve"> </w:t>
      </w:r>
      <w:r w:rsidR="00E72FF8" w:rsidRPr="00963C14">
        <w:rPr>
          <w:rFonts w:cs="Arial"/>
          <w:szCs w:val="24"/>
          <w:lang w:eastAsia="ja-JP"/>
        </w:rPr>
        <w:t>нийт эрэлтийг дэмж</w:t>
      </w:r>
      <w:r w:rsidR="00427ED2" w:rsidRPr="00963C14">
        <w:rPr>
          <w:rFonts w:cs="Arial"/>
          <w:szCs w:val="24"/>
          <w:lang w:eastAsia="ja-JP"/>
        </w:rPr>
        <w:t>сэнээр</w:t>
      </w:r>
      <w:r w:rsidR="00E72FF8" w:rsidRPr="00963C14">
        <w:rPr>
          <w:rFonts w:cs="Arial"/>
          <w:szCs w:val="24"/>
          <w:lang w:eastAsia="ja-JP"/>
        </w:rPr>
        <w:t xml:space="preserve"> </w:t>
      </w:r>
      <w:r w:rsidR="001115D3" w:rsidRPr="00963C14">
        <w:rPr>
          <w:rFonts w:cs="Arial"/>
          <w:szCs w:val="24"/>
        </w:rPr>
        <w:t xml:space="preserve">дэлхийн эдийн засаг </w:t>
      </w:r>
      <w:r w:rsidR="00E72FF8" w:rsidRPr="00963C14">
        <w:rPr>
          <w:rFonts w:cs="Arial"/>
          <w:szCs w:val="24"/>
        </w:rPr>
        <w:t xml:space="preserve">2023 онд </w:t>
      </w:r>
      <w:r w:rsidR="001115D3" w:rsidRPr="00963C14">
        <w:rPr>
          <w:rFonts w:cs="Arial"/>
          <w:szCs w:val="24"/>
        </w:rPr>
        <w:t xml:space="preserve">3.2 хувиар өслөө. Эдийн засгийн </w:t>
      </w:r>
      <w:r w:rsidR="001053D9" w:rsidRPr="00963C14">
        <w:rPr>
          <w:rFonts w:cs="Arial"/>
          <w:szCs w:val="24"/>
        </w:rPr>
        <w:t>өсөлт</w:t>
      </w:r>
      <w:r w:rsidR="001115D3" w:rsidRPr="00963C14">
        <w:rPr>
          <w:rFonts w:cs="Arial"/>
          <w:szCs w:val="24"/>
        </w:rPr>
        <w:t xml:space="preserve"> 2024 болон 2025 онд 3.2 </w:t>
      </w:r>
      <w:r w:rsidR="00262983" w:rsidRPr="00963C14">
        <w:rPr>
          <w:rFonts w:cs="Arial"/>
          <w:szCs w:val="24"/>
        </w:rPr>
        <w:t>хувьд</w:t>
      </w:r>
      <w:r w:rsidR="001115D3" w:rsidRPr="00963C14">
        <w:rPr>
          <w:rFonts w:cs="Arial"/>
          <w:szCs w:val="24"/>
        </w:rPr>
        <w:t xml:space="preserve"> хадгалагдаж, </w:t>
      </w:r>
      <w:r w:rsidR="001115D3" w:rsidRPr="00963C14">
        <w:rPr>
          <w:rFonts w:cs="Arial"/>
          <w:szCs w:val="24"/>
          <w:lang w:eastAsia="ja-JP"/>
        </w:rPr>
        <w:t xml:space="preserve">дунд хугацаанд буюу </w:t>
      </w:r>
      <w:r w:rsidR="001115D3" w:rsidRPr="00963C14">
        <w:rPr>
          <w:rFonts w:cs="Arial"/>
          <w:szCs w:val="24"/>
        </w:rPr>
        <w:t>2029</w:t>
      </w:r>
      <w:r w:rsidR="001115D3" w:rsidRPr="00963C14">
        <w:rPr>
          <w:rFonts w:cs="Arial"/>
          <w:szCs w:val="24"/>
          <w:lang w:eastAsia="ja-JP"/>
        </w:rPr>
        <w:t xml:space="preserve"> онд 3.1 хувь </w:t>
      </w:r>
      <w:r w:rsidR="001053D9" w:rsidRPr="00963C14">
        <w:rPr>
          <w:rFonts w:cs="Arial"/>
          <w:szCs w:val="24"/>
          <w:lang w:eastAsia="ja-JP"/>
        </w:rPr>
        <w:t>орчимд</w:t>
      </w:r>
      <w:r w:rsidR="001115D3" w:rsidRPr="00963C14">
        <w:rPr>
          <w:rFonts w:cs="Arial"/>
          <w:szCs w:val="24"/>
          <w:lang w:eastAsia="ja-JP"/>
        </w:rPr>
        <w:t xml:space="preserve"> </w:t>
      </w:r>
      <w:r w:rsidR="009A1009" w:rsidRPr="00963C14">
        <w:rPr>
          <w:rFonts w:cs="Arial"/>
          <w:szCs w:val="24"/>
          <w:lang w:eastAsia="ja-JP"/>
        </w:rPr>
        <w:t>тогтвортой</w:t>
      </w:r>
      <w:r w:rsidR="009A1009" w:rsidRPr="00963C14">
        <w:rPr>
          <w:rFonts w:cs="Arial"/>
          <w:szCs w:val="24"/>
        </w:rPr>
        <w:t xml:space="preserve"> </w:t>
      </w:r>
      <w:r w:rsidR="001115D3" w:rsidRPr="00963C14">
        <w:rPr>
          <w:rFonts w:cs="Arial"/>
          <w:szCs w:val="24"/>
        </w:rPr>
        <w:t xml:space="preserve">байна гэж Олон улсын валютын сан тооцоолж байна. </w:t>
      </w:r>
      <w:r w:rsidR="001115D3" w:rsidRPr="00963C14">
        <w:rPr>
          <w:rFonts w:cs="Arial"/>
          <w:szCs w:val="24"/>
          <w:lang w:eastAsia="ja-JP"/>
        </w:rPr>
        <w:t>Үнийн өсөлтийг хязгаарлахад чиглэсэн мөнгөний хатуу бодлогын хүрээнд хөгжингүй орнууд бодлогын хүүг дунджаар 4 нэгж хув</w:t>
      </w:r>
      <w:r w:rsidR="00175228" w:rsidRPr="00963C14">
        <w:rPr>
          <w:rFonts w:cs="Arial"/>
          <w:szCs w:val="24"/>
          <w:lang w:eastAsia="ja-JP"/>
        </w:rPr>
        <w:t>иар</w:t>
      </w:r>
      <w:r w:rsidR="001115D3" w:rsidRPr="00963C14">
        <w:rPr>
          <w:rFonts w:cs="Arial"/>
          <w:szCs w:val="24"/>
          <w:lang w:eastAsia="ja-JP"/>
        </w:rPr>
        <w:t>, хөгжиж буй орнууд дунджаар 7.8 нэгж хувиар тус тус нэмэгдүүлээд байна. Цаашид нийлүүлэлтийн доголдол</w:t>
      </w:r>
      <w:r w:rsidR="001115D3" w:rsidRPr="00963C14">
        <w:rPr>
          <w:rFonts w:cs="Arial"/>
          <w:szCs w:val="24"/>
        </w:rPr>
        <w:t xml:space="preserve"> болон</w:t>
      </w:r>
      <w:r w:rsidR="001115D3" w:rsidRPr="00963C14">
        <w:rPr>
          <w:rFonts w:cs="Arial"/>
          <w:szCs w:val="24"/>
          <w:lang w:eastAsia="ja-JP"/>
        </w:rPr>
        <w:t xml:space="preserve"> хөдөлмөрийн зах зээлийн халалт намжиж, дэлхийн инфляцын түвшин 2025 онд 4.</w:t>
      </w:r>
      <w:r w:rsidR="001115D3" w:rsidRPr="00963C14">
        <w:rPr>
          <w:rFonts w:cs="Arial"/>
          <w:szCs w:val="24"/>
        </w:rPr>
        <w:t>5</w:t>
      </w:r>
      <w:r w:rsidR="001115D3" w:rsidRPr="00963C14">
        <w:rPr>
          <w:rFonts w:cs="Arial"/>
          <w:szCs w:val="24"/>
          <w:lang w:eastAsia="ja-JP"/>
        </w:rPr>
        <w:t xml:space="preserve"> хувь болж буурч, дийлэнх улсуудын хувьд инфляц зорилтот түвшиндээ хүрсэн байна гэж </w:t>
      </w:r>
      <w:r w:rsidR="001115D3" w:rsidRPr="00963C14">
        <w:rPr>
          <w:rFonts w:cs="Arial"/>
          <w:szCs w:val="24"/>
        </w:rPr>
        <w:t xml:space="preserve">шинжээчид төсөөлж байна. </w:t>
      </w:r>
      <w:r w:rsidR="001115D3" w:rsidRPr="00963C14">
        <w:rPr>
          <w:rFonts w:cs="Arial"/>
          <w:szCs w:val="24"/>
          <w:lang w:eastAsia="ja-JP"/>
        </w:rPr>
        <w:t xml:space="preserve">Улмаар инфляцын бууралт мөнгөний бодлогын төлөвийг сулруулах орон зайг бий болгож, эдийн засгийн идэвхжилийг дэмжихээр байна. </w:t>
      </w:r>
      <w:r w:rsidR="001115D3" w:rsidRPr="00963C14">
        <w:rPr>
          <w:rFonts w:cs="Arial"/>
          <w:szCs w:val="24"/>
        </w:rPr>
        <w:t xml:space="preserve">Гэсэн хэдий ч геополитикийн тогтворгүй нөхцөл байдал </w:t>
      </w:r>
      <w:r w:rsidR="001115D3" w:rsidRPr="00963C14">
        <w:rPr>
          <w:rFonts w:cs="Arial"/>
          <w:szCs w:val="24"/>
          <w:lang w:eastAsia="ja-JP"/>
        </w:rPr>
        <w:t>хурцдах</w:t>
      </w:r>
      <w:r w:rsidR="001115D3" w:rsidRPr="00963C14">
        <w:rPr>
          <w:rFonts w:cs="Arial"/>
          <w:szCs w:val="24"/>
        </w:rPr>
        <w:t xml:space="preserve">, голлох эдийн засгуудын өсөлт удаашрах, инфляц төсөөллөөс удаан хугацаанд өндөр түвшинд хадгалагдах, мөнгөний бодлогын төлөв болон өрийн хуримтлалаас шалтгаалан санхүүгийн зах зээлд тогтворгүй байдал үүсэх зэрэг эрсдэлүүд дэлхийн эдийн засгийн өсөлтийн төлөвийг муутгаж болзошгүй байна. </w:t>
      </w:r>
      <w:r w:rsidR="00EE1D3A" w:rsidRPr="00963C14">
        <w:rPr>
          <w:rFonts w:cs="Arial"/>
          <w:szCs w:val="24"/>
        </w:rPr>
        <w:t xml:space="preserve"> </w:t>
      </w:r>
    </w:p>
    <w:tbl>
      <w:tblPr>
        <w:tblStyle w:val="TableGrid"/>
        <w:tblpPr w:leftFromText="180" w:rightFromText="180" w:vertAnchor="text" w:tblpY="1"/>
        <w:tblOverlap w:val="never"/>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4"/>
        <w:gridCol w:w="4691"/>
      </w:tblGrid>
      <w:tr w:rsidR="00EE1D3A" w:rsidRPr="00963C14" w14:paraId="039773B3" w14:textId="77777777">
        <w:trPr>
          <w:trHeight w:val="206"/>
        </w:trPr>
        <w:tc>
          <w:tcPr>
            <w:tcW w:w="4804" w:type="dxa"/>
            <w:tcBorders>
              <w:bottom w:val="single" w:sz="4" w:space="0" w:color="A6A6A6" w:themeColor="background1" w:themeShade="A6"/>
            </w:tcBorders>
          </w:tcPr>
          <w:p w14:paraId="40AE525A" w14:textId="729FDDB0" w:rsidR="00EE1D3A" w:rsidRPr="00963C14" w:rsidRDefault="00EE1D3A">
            <w:pPr>
              <w:pStyle w:val="Caption"/>
              <w:jc w:val="left"/>
              <w:rPr>
                <w:rFonts w:cs="Arial"/>
                <w:szCs w:val="24"/>
              </w:rPr>
            </w:pPr>
            <w:r w:rsidRPr="00963C14">
              <w:rPr>
                <w:rFonts w:ascii="Arial" w:hAnsi="Arial" w:cs="Arial"/>
              </w:rPr>
              <w:t xml:space="preserve">Зураг </w:t>
            </w:r>
            <w:r w:rsidRPr="00963C14">
              <w:rPr>
                <w:rFonts w:ascii="Arial" w:hAnsi="Arial" w:cs="Arial"/>
              </w:rPr>
              <w:fldChar w:fldCharType="begin"/>
            </w:r>
            <w:r w:rsidRPr="00963C14">
              <w:rPr>
                <w:rFonts w:ascii="Arial" w:hAnsi="Arial" w:cs="Arial"/>
              </w:rPr>
              <w:instrText xml:space="preserve"> STYLEREF 1 \s </w:instrText>
            </w:r>
            <w:r w:rsidRPr="00963C14">
              <w:rPr>
                <w:rFonts w:ascii="Arial" w:hAnsi="Arial" w:cs="Arial"/>
              </w:rPr>
              <w:fldChar w:fldCharType="separate"/>
            </w:r>
            <w:r w:rsidRPr="00963C14">
              <w:rPr>
                <w:rFonts w:ascii="Arial" w:hAnsi="Arial" w:cs="Arial"/>
              </w:rPr>
              <w:t>1</w:t>
            </w:r>
            <w:r w:rsidRPr="00963C14">
              <w:rPr>
                <w:rFonts w:ascii="Arial" w:hAnsi="Arial" w:cs="Arial"/>
              </w:rPr>
              <w:fldChar w:fldCharType="end"/>
            </w:r>
            <w:r w:rsidRPr="00963C14">
              <w:rPr>
                <w:rFonts w:ascii="Arial" w:hAnsi="Arial" w:cs="Arial"/>
              </w:rPr>
              <w:t>.1.  Дэлхийн эдийн засгийн өсөлтийн төсөөлөл</w:t>
            </w:r>
          </w:p>
        </w:tc>
        <w:tc>
          <w:tcPr>
            <w:tcW w:w="4691" w:type="dxa"/>
            <w:tcBorders>
              <w:bottom w:val="single" w:sz="4" w:space="0" w:color="A6A6A6" w:themeColor="background1" w:themeShade="A6"/>
            </w:tcBorders>
          </w:tcPr>
          <w:p w14:paraId="7A9A1152" w14:textId="77777777" w:rsidR="00EE1D3A" w:rsidRPr="00963C14" w:rsidRDefault="00EE1D3A">
            <w:pPr>
              <w:pStyle w:val="Caption"/>
              <w:jc w:val="left"/>
              <w:rPr>
                <w:rFonts w:ascii="Arial" w:hAnsi="Arial" w:cs="Arial"/>
              </w:rPr>
            </w:pPr>
            <w:r w:rsidRPr="00963C14">
              <w:rPr>
                <w:rFonts w:ascii="Arial" w:hAnsi="Arial" w:cs="Arial"/>
              </w:rPr>
              <w:t>Хүснэгт 1.1. Улс орнуудын эдийн засгийн өсөлтийн төсөөлөл</w:t>
            </w:r>
          </w:p>
        </w:tc>
      </w:tr>
      <w:tr w:rsidR="00EE1D3A" w:rsidRPr="00963C14" w14:paraId="57212A27" w14:textId="77777777">
        <w:trPr>
          <w:trHeight w:val="2576"/>
        </w:trPr>
        <w:tc>
          <w:tcPr>
            <w:tcW w:w="4804" w:type="dxa"/>
            <w:tcBorders>
              <w:top w:val="single" w:sz="4" w:space="0" w:color="A6A6A6" w:themeColor="background1" w:themeShade="A6"/>
            </w:tcBorders>
          </w:tcPr>
          <w:p w14:paraId="643E45B5" w14:textId="4801E144" w:rsidR="00EE1D3A" w:rsidRPr="00963C14" w:rsidRDefault="00D40649">
            <w:pPr>
              <w:tabs>
                <w:tab w:val="left" w:pos="454"/>
              </w:tabs>
              <w:spacing w:afterLines="0"/>
              <w:mirrorIndents/>
              <w:rPr>
                <w:rFonts w:cs="Arial"/>
                <w:szCs w:val="24"/>
              </w:rPr>
            </w:pPr>
            <w:r w:rsidRPr="00963C14">
              <w:rPr>
                <w:noProof/>
                <w:color w:val="05B8AA"/>
              </w:rPr>
              <w:drawing>
                <wp:inline distT="0" distB="0" distL="0" distR="0" wp14:anchorId="0B2BCE11" wp14:editId="48D6E526">
                  <wp:extent cx="2885440" cy="1543685"/>
                  <wp:effectExtent l="0" t="0" r="0" b="0"/>
                  <wp:docPr id="1255102546" name="Chart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691" w:type="dxa"/>
            <w:tcBorders>
              <w:top w:val="single" w:sz="4" w:space="0" w:color="A6A6A6" w:themeColor="background1" w:themeShade="A6"/>
            </w:tcBorders>
          </w:tcPr>
          <w:p w14:paraId="44052CFC" w14:textId="77777777" w:rsidR="00EE1D3A" w:rsidRPr="00963C14" w:rsidRDefault="00EE1D3A">
            <w:pPr>
              <w:tabs>
                <w:tab w:val="left" w:pos="454"/>
              </w:tabs>
              <w:spacing w:afterLines="0"/>
              <w:mirrorIndents/>
            </w:pPr>
          </w:p>
          <w:tbl>
            <w:tblPr>
              <w:tblStyle w:val="TableGrid"/>
              <w:tblW w:w="436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7"/>
              <w:gridCol w:w="837"/>
              <w:gridCol w:w="839"/>
              <w:gridCol w:w="839"/>
            </w:tblGrid>
            <w:tr w:rsidR="006C51EB" w:rsidRPr="00963C14" w14:paraId="68F5C21D" w14:textId="77777777">
              <w:trPr>
                <w:trHeight w:val="340"/>
              </w:trPr>
              <w:tc>
                <w:tcPr>
                  <w:tcW w:w="2117" w:type="pct"/>
                  <w:tcBorders>
                    <w:bottom w:val="single" w:sz="4" w:space="0" w:color="auto"/>
                  </w:tcBorders>
                  <w:shd w:val="clear" w:color="auto" w:fill="01B8AA"/>
                </w:tcPr>
                <w:p w14:paraId="562216AD" w14:textId="77777777" w:rsidR="006C51EB" w:rsidRPr="00963C14" w:rsidRDefault="006C51EB" w:rsidP="005C1C70">
                  <w:pPr>
                    <w:framePr w:hSpace="180" w:wrap="around" w:vAnchor="text" w:hAnchor="text" w:y="1"/>
                    <w:tabs>
                      <w:tab w:val="left" w:pos="454"/>
                      <w:tab w:val="right" w:leader="dot" w:pos="1141"/>
                    </w:tabs>
                    <w:spacing w:before="120" w:afterLines="0"/>
                    <w:contextualSpacing/>
                    <w:mirrorIndents/>
                    <w:suppressOverlap/>
                    <w:rPr>
                      <w:rFonts w:cs="Arial"/>
                      <w:sz w:val="16"/>
                      <w:szCs w:val="16"/>
                    </w:rPr>
                  </w:pPr>
                </w:p>
              </w:tc>
              <w:tc>
                <w:tcPr>
                  <w:tcW w:w="959" w:type="pct"/>
                  <w:tcBorders>
                    <w:bottom w:val="single" w:sz="4" w:space="0" w:color="auto"/>
                  </w:tcBorders>
                  <w:shd w:val="clear" w:color="auto" w:fill="01B8AA"/>
                  <w:vAlign w:val="center"/>
                </w:tcPr>
                <w:p w14:paraId="74CCCA3A"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color w:val="FFFFFF" w:themeColor="background1"/>
                      <w:sz w:val="18"/>
                      <w:szCs w:val="18"/>
                    </w:rPr>
                  </w:pPr>
                  <w:r w:rsidRPr="00963C14">
                    <w:rPr>
                      <w:rFonts w:cs="Arial"/>
                      <w:b/>
                      <w:color w:val="FFFFFF" w:themeColor="background1"/>
                      <w:sz w:val="18"/>
                      <w:szCs w:val="18"/>
                    </w:rPr>
                    <w:t>2023</w:t>
                  </w:r>
                </w:p>
              </w:tc>
              <w:tc>
                <w:tcPr>
                  <w:tcW w:w="962" w:type="pct"/>
                  <w:tcBorders>
                    <w:bottom w:val="single" w:sz="4" w:space="0" w:color="auto"/>
                  </w:tcBorders>
                  <w:shd w:val="clear" w:color="auto" w:fill="01B8AA"/>
                  <w:vAlign w:val="center"/>
                </w:tcPr>
                <w:p w14:paraId="6F771C09"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color w:val="FFFFFF" w:themeColor="background1"/>
                      <w:sz w:val="18"/>
                      <w:szCs w:val="18"/>
                    </w:rPr>
                  </w:pPr>
                  <w:r w:rsidRPr="00963C14">
                    <w:rPr>
                      <w:rFonts w:cs="Arial"/>
                      <w:b/>
                      <w:color w:val="FFFFFF" w:themeColor="background1"/>
                      <w:sz w:val="18"/>
                      <w:szCs w:val="18"/>
                    </w:rPr>
                    <w:t>2024</w:t>
                  </w:r>
                </w:p>
              </w:tc>
              <w:tc>
                <w:tcPr>
                  <w:tcW w:w="962" w:type="pct"/>
                  <w:tcBorders>
                    <w:bottom w:val="single" w:sz="4" w:space="0" w:color="auto"/>
                  </w:tcBorders>
                  <w:shd w:val="clear" w:color="auto" w:fill="01B8AA"/>
                  <w:vAlign w:val="center"/>
                </w:tcPr>
                <w:p w14:paraId="477B86F8"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color w:val="FFFFFF" w:themeColor="background1"/>
                      <w:sz w:val="18"/>
                      <w:szCs w:val="18"/>
                    </w:rPr>
                  </w:pPr>
                  <w:r w:rsidRPr="00963C14">
                    <w:rPr>
                      <w:rFonts w:cs="Arial"/>
                      <w:b/>
                      <w:color w:val="FFFFFF" w:themeColor="background1"/>
                      <w:sz w:val="18"/>
                      <w:szCs w:val="18"/>
                    </w:rPr>
                    <w:t>2025</w:t>
                  </w:r>
                </w:p>
              </w:tc>
            </w:tr>
            <w:tr w:rsidR="006C51EB" w:rsidRPr="00963C14" w14:paraId="2D37A722" w14:textId="77777777" w:rsidTr="00014EF3">
              <w:trPr>
                <w:trHeight w:val="113"/>
              </w:trPr>
              <w:tc>
                <w:tcPr>
                  <w:tcW w:w="2117" w:type="pct"/>
                  <w:tcBorders>
                    <w:top w:val="single" w:sz="4" w:space="0" w:color="auto"/>
                    <w:bottom w:val="single" w:sz="4" w:space="0" w:color="auto"/>
                  </w:tcBorders>
                  <w:vAlign w:val="center"/>
                </w:tcPr>
                <w:p w14:paraId="3724D390"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left"/>
                    <w:rPr>
                      <w:rFonts w:cs="Arial"/>
                      <w:b/>
                      <w:sz w:val="16"/>
                      <w:szCs w:val="16"/>
                    </w:rPr>
                  </w:pPr>
                  <w:r w:rsidRPr="00963C14">
                    <w:rPr>
                      <w:rFonts w:cs="Arial"/>
                      <w:b/>
                      <w:sz w:val="16"/>
                      <w:szCs w:val="16"/>
                    </w:rPr>
                    <w:t>ДЭЛХИЙ</w:t>
                  </w:r>
                </w:p>
              </w:tc>
              <w:tc>
                <w:tcPr>
                  <w:tcW w:w="959" w:type="pct"/>
                  <w:tcBorders>
                    <w:top w:val="single" w:sz="4" w:space="0" w:color="auto"/>
                    <w:bottom w:val="single" w:sz="4" w:space="0" w:color="auto"/>
                  </w:tcBorders>
                  <w:vAlign w:val="center"/>
                </w:tcPr>
                <w:p w14:paraId="1AD50CE9"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sz w:val="16"/>
                      <w:szCs w:val="16"/>
                    </w:rPr>
                  </w:pPr>
                  <w:r w:rsidRPr="00963C14">
                    <w:rPr>
                      <w:rFonts w:cs="Arial"/>
                      <w:b/>
                      <w:sz w:val="16"/>
                      <w:szCs w:val="16"/>
                    </w:rPr>
                    <w:t>3.2</w:t>
                  </w:r>
                </w:p>
              </w:tc>
              <w:tc>
                <w:tcPr>
                  <w:tcW w:w="962" w:type="pct"/>
                  <w:tcBorders>
                    <w:top w:val="single" w:sz="4" w:space="0" w:color="auto"/>
                    <w:bottom w:val="single" w:sz="4" w:space="0" w:color="auto"/>
                  </w:tcBorders>
                  <w:vAlign w:val="center"/>
                </w:tcPr>
                <w:p w14:paraId="7A5D1910"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sz w:val="16"/>
                      <w:szCs w:val="16"/>
                    </w:rPr>
                  </w:pPr>
                  <w:r w:rsidRPr="00963C14">
                    <w:rPr>
                      <w:rFonts w:cs="Arial"/>
                      <w:b/>
                      <w:sz w:val="16"/>
                      <w:szCs w:val="16"/>
                    </w:rPr>
                    <w:t>3.2</w:t>
                  </w:r>
                </w:p>
              </w:tc>
              <w:tc>
                <w:tcPr>
                  <w:tcW w:w="962" w:type="pct"/>
                  <w:tcBorders>
                    <w:top w:val="single" w:sz="4" w:space="0" w:color="auto"/>
                    <w:bottom w:val="single" w:sz="4" w:space="0" w:color="auto"/>
                  </w:tcBorders>
                  <w:vAlign w:val="center"/>
                </w:tcPr>
                <w:p w14:paraId="60977385"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sz w:val="16"/>
                      <w:szCs w:val="16"/>
                    </w:rPr>
                  </w:pPr>
                  <w:r w:rsidRPr="00963C14">
                    <w:rPr>
                      <w:rFonts w:cs="Arial"/>
                      <w:b/>
                      <w:sz w:val="16"/>
                      <w:szCs w:val="16"/>
                    </w:rPr>
                    <w:t>3.2</w:t>
                  </w:r>
                </w:p>
              </w:tc>
            </w:tr>
            <w:tr w:rsidR="006C51EB" w:rsidRPr="00963C14" w14:paraId="7BF07F18" w14:textId="77777777" w:rsidTr="00014EF3">
              <w:trPr>
                <w:trHeight w:val="113"/>
              </w:trPr>
              <w:tc>
                <w:tcPr>
                  <w:tcW w:w="2117" w:type="pct"/>
                  <w:tcBorders>
                    <w:top w:val="single" w:sz="4" w:space="0" w:color="auto"/>
                  </w:tcBorders>
                  <w:vAlign w:val="center"/>
                </w:tcPr>
                <w:p w14:paraId="4B1399D2"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left"/>
                    <w:rPr>
                      <w:rFonts w:cs="Arial"/>
                      <w:b/>
                      <w:sz w:val="16"/>
                      <w:szCs w:val="16"/>
                    </w:rPr>
                  </w:pPr>
                  <w:r w:rsidRPr="00963C14">
                    <w:rPr>
                      <w:rFonts w:cs="Arial"/>
                      <w:b/>
                      <w:sz w:val="16"/>
                      <w:szCs w:val="16"/>
                    </w:rPr>
                    <w:t>Хөгжингүй орнууд</w:t>
                  </w:r>
                </w:p>
              </w:tc>
              <w:tc>
                <w:tcPr>
                  <w:tcW w:w="959" w:type="pct"/>
                  <w:tcBorders>
                    <w:top w:val="single" w:sz="4" w:space="0" w:color="auto"/>
                  </w:tcBorders>
                  <w:vAlign w:val="center"/>
                </w:tcPr>
                <w:p w14:paraId="4A00D84B"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sz w:val="16"/>
                      <w:szCs w:val="16"/>
                    </w:rPr>
                  </w:pPr>
                  <w:r w:rsidRPr="00963C14">
                    <w:rPr>
                      <w:rFonts w:cs="Arial"/>
                      <w:b/>
                      <w:sz w:val="16"/>
                      <w:szCs w:val="16"/>
                    </w:rPr>
                    <w:t>1.6</w:t>
                  </w:r>
                </w:p>
              </w:tc>
              <w:tc>
                <w:tcPr>
                  <w:tcW w:w="962" w:type="pct"/>
                  <w:tcBorders>
                    <w:top w:val="single" w:sz="4" w:space="0" w:color="auto"/>
                  </w:tcBorders>
                  <w:vAlign w:val="center"/>
                </w:tcPr>
                <w:p w14:paraId="1D768845"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sz w:val="16"/>
                      <w:szCs w:val="16"/>
                    </w:rPr>
                  </w:pPr>
                  <w:r w:rsidRPr="00963C14">
                    <w:rPr>
                      <w:rFonts w:cs="Arial"/>
                      <w:b/>
                      <w:sz w:val="16"/>
                      <w:szCs w:val="16"/>
                    </w:rPr>
                    <w:t>1.7</w:t>
                  </w:r>
                </w:p>
              </w:tc>
              <w:tc>
                <w:tcPr>
                  <w:tcW w:w="962" w:type="pct"/>
                  <w:tcBorders>
                    <w:top w:val="single" w:sz="4" w:space="0" w:color="auto"/>
                  </w:tcBorders>
                  <w:vAlign w:val="center"/>
                </w:tcPr>
                <w:p w14:paraId="67567C6E"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sz w:val="16"/>
                      <w:szCs w:val="16"/>
                    </w:rPr>
                  </w:pPr>
                  <w:r w:rsidRPr="00963C14">
                    <w:rPr>
                      <w:rFonts w:cs="Arial"/>
                      <w:b/>
                      <w:sz w:val="16"/>
                      <w:szCs w:val="16"/>
                    </w:rPr>
                    <w:t>1.8</w:t>
                  </w:r>
                </w:p>
              </w:tc>
            </w:tr>
            <w:tr w:rsidR="006C51EB" w:rsidRPr="00963C14" w14:paraId="408B8C69" w14:textId="77777777" w:rsidTr="00014EF3">
              <w:trPr>
                <w:trHeight w:val="113"/>
              </w:trPr>
              <w:tc>
                <w:tcPr>
                  <w:tcW w:w="2117" w:type="pct"/>
                  <w:vAlign w:val="center"/>
                </w:tcPr>
                <w:p w14:paraId="5448B494"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left"/>
                    <w:rPr>
                      <w:rFonts w:cs="Arial"/>
                      <w:sz w:val="16"/>
                      <w:szCs w:val="16"/>
                    </w:rPr>
                  </w:pPr>
                  <w:r w:rsidRPr="00963C14">
                    <w:rPr>
                      <w:rFonts w:cs="Arial"/>
                      <w:sz w:val="16"/>
                      <w:szCs w:val="16"/>
                    </w:rPr>
                    <w:t xml:space="preserve">  </w:t>
                  </w:r>
                  <w:r w:rsidRPr="00963C14">
                    <w:rPr>
                      <w:rFonts w:cs="Arial" w:hint="eastAsia"/>
                      <w:sz w:val="16"/>
                      <w:szCs w:val="16"/>
                      <w:lang w:eastAsia="ja-JP"/>
                    </w:rPr>
                    <w:t xml:space="preserve">  </w:t>
                  </w:r>
                  <w:r w:rsidRPr="00963C14">
                    <w:rPr>
                      <w:rFonts w:cs="Arial"/>
                      <w:sz w:val="16"/>
                      <w:szCs w:val="16"/>
                    </w:rPr>
                    <w:t>АНУ</w:t>
                  </w:r>
                </w:p>
              </w:tc>
              <w:tc>
                <w:tcPr>
                  <w:tcW w:w="959" w:type="pct"/>
                  <w:vAlign w:val="center"/>
                </w:tcPr>
                <w:p w14:paraId="04446B29"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rPr>
                  </w:pPr>
                  <w:r w:rsidRPr="00963C14">
                    <w:rPr>
                      <w:rFonts w:cs="Arial"/>
                      <w:sz w:val="16"/>
                      <w:szCs w:val="16"/>
                    </w:rPr>
                    <w:t>2.5</w:t>
                  </w:r>
                </w:p>
              </w:tc>
              <w:tc>
                <w:tcPr>
                  <w:tcW w:w="962" w:type="pct"/>
                  <w:vAlign w:val="center"/>
                </w:tcPr>
                <w:p w14:paraId="4FCFABC1"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sz w:val="16"/>
                      <w:szCs w:val="16"/>
                    </w:rPr>
                    <w:t>2.7</w:t>
                  </w:r>
                </w:p>
              </w:tc>
              <w:tc>
                <w:tcPr>
                  <w:tcW w:w="962" w:type="pct"/>
                  <w:vAlign w:val="center"/>
                </w:tcPr>
                <w:p w14:paraId="6CFCFD3A"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hint="eastAsia"/>
                      <w:sz w:val="16"/>
                      <w:szCs w:val="16"/>
                      <w:lang w:eastAsia="ja-JP"/>
                    </w:rPr>
                    <w:t>1.</w:t>
                  </w:r>
                  <w:r w:rsidRPr="00963C14">
                    <w:rPr>
                      <w:rFonts w:cs="Arial"/>
                      <w:sz w:val="16"/>
                      <w:szCs w:val="16"/>
                      <w:lang w:eastAsia="ja-JP"/>
                    </w:rPr>
                    <w:t>9</w:t>
                  </w:r>
                </w:p>
              </w:tc>
            </w:tr>
            <w:tr w:rsidR="006C51EB" w:rsidRPr="00963C14" w14:paraId="00D484DC" w14:textId="77777777" w:rsidTr="00014EF3">
              <w:trPr>
                <w:trHeight w:val="113"/>
              </w:trPr>
              <w:tc>
                <w:tcPr>
                  <w:tcW w:w="2117" w:type="pct"/>
                  <w:vAlign w:val="center"/>
                </w:tcPr>
                <w:p w14:paraId="4496792D"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left"/>
                    <w:rPr>
                      <w:rFonts w:cs="Arial"/>
                      <w:sz w:val="16"/>
                      <w:szCs w:val="16"/>
                    </w:rPr>
                  </w:pPr>
                  <w:r w:rsidRPr="00963C14">
                    <w:rPr>
                      <w:rFonts w:cs="Arial" w:hint="eastAsia"/>
                      <w:sz w:val="16"/>
                      <w:szCs w:val="16"/>
                      <w:lang w:eastAsia="ja-JP"/>
                    </w:rPr>
                    <w:t xml:space="preserve">    </w:t>
                  </w:r>
                  <w:r w:rsidRPr="00963C14">
                    <w:rPr>
                      <w:rFonts w:cs="Arial"/>
                      <w:sz w:val="16"/>
                      <w:szCs w:val="16"/>
                    </w:rPr>
                    <w:t>Евро бүс</w:t>
                  </w:r>
                </w:p>
              </w:tc>
              <w:tc>
                <w:tcPr>
                  <w:tcW w:w="959" w:type="pct"/>
                  <w:vAlign w:val="center"/>
                </w:tcPr>
                <w:p w14:paraId="5BB395CD"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hint="eastAsia"/>
                      <w:sz w:val="16"/>
                      <w:szCs w:val="16"/>
                      <w:lang w:eastAsia="ja-JP"/>
                    </w:rPr>
                    <w:t>0.</w:t>
                  </w:r>
                  <w:r w:rsidRPr="00963C14">
                    <w:rPr>
                      <w:rFonts w:cs="Arial"/>
                      <w:sz w:val="16"/>
                      <w:szCs w:val="16"/>
                      <w:lang w:eastAsia="ja-JP"/>
                    </w:rPr>
                    <w:t>4</w:t>
                  </w:r>
                </w:p>
              </w:tc>
              <w:tc>
                <w:tcPr>
                  <w:tcW w:w="962" w:type="pct"/>
                  <w:vAlign w:val="center"/>
                </w:tcPr>
                <w:p w14:paraId="1386CD3D"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hint="eastAsia"/>
                      <w:sz w:val="16"/>
                      <w:szCs w:val="16"/>
                      <w:lang w:eastAsia="ja-JP"/>
                    </w:rPr>
                    <w:t>0.</w:t>
                  </w:r>
                  <w:r w:rsidRPr="00963C14">
                    <w:rPr>
                      <w:rFonts w:cs="Arial"/>
                      <w:sz w:val="16"/>
                      <w:szCs w:val="16"/>
                      <w:lang w:eastAsia="ja-JP"/>
                    </w:rPr>
                    <w:t>8</w:t>
                  </w:r>
                </w:p>
              </w:tc>
              <w:tc>
                <w:tcPr>
                  <w:tcW w:w="962" w:type="pct"/>
                  <w:vAlign w:val="center"/>
                </w:tcPr>
                <w:p w14:paraId="357C68FD"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hint="eastAsia"/>
                      <w:sz w:val="16"/>
                      <w:szCs w:val="16"/>
                      <w:lang w:eastAsia="ja-JP"/>
                    </w:rPr>
                    <w:t>1.</w:t>
                  </w:r>
                  <w:r w:rsidRPr="00963C14">
                    <w:rPr>
                      <w:rFonts w:cs="Arial"/>
                      <w:sz w:val="16"/>
                      <w:szCs w:val="16"/>
                      <w:lang w:eastAsia="ja-JP"/>
                    </w:rPr>
                    <w:t>5</w:t>
                  </w:r>
                </w:p>
              </w:tc>
            </w:tr>
            <w:tr w:rsidR="006C51EB" w:rsidRPr="00963C14" w14:paraId="3524676A" w14:textId="77777777" w:rsidTr="00014EF3">
              <w:trPr>
                <w:trHeight w:val="113"/>
              </w:trPr>
              <w:tc>
                <w:tcPr>
                  <w:tcW w:w="2117" w:type="pct"/>
                  <w:tcBorders>
                    <w:bottom w:val="single" w:sz="4" w:space="0" w:color="auto"/>
                  </w:tcBorders>
                  <w:vAlign w:val="center"/>
                </w:tcPr>
                <w:p w14:paraId="73F9A251"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left"/>
                    <w:rPr>
                      <w:rFonts w:cs="Arial"/>
                      <w:sz w:val="16"/>
                      <w:szCs w:val="16"/>
                      <w:lang w:eastAsia="ja-JP"/>
                    </w:rPr>
                  </w:pPr>
                  <w:r w:rsidRPr="00963C14">
                    <w:rPr>
                      <w:rFonts w:cs="Arial" w:hint="eastAsia"/>
                      <w:sz w:val="16"/>
                      <w:szCs w:val="16"/>
                      <w:lang w:eastAsia="ja-JP"/>
                    </w:rPr>
                    <w:t xml:space="preserve">    </w:t>
                  </w:r>
                  <w:r w:rsidRPr="00963C14">
                    <w:rPr>
                      <w:rFonts w:cs="Arial"/>
                      <w:sz w:val="16"/>
                      <w:szCs w:val="16"/>
                    </w:rPr>
                    <w:t>Япон</w:t>
                  </w:r>
                </w:p>
              </w:tc>
              <w:tc>
                <w:tcPr>
                  <w:tcW w:w="959" w:type="pct"/>
                  <w:tcBorders>
                    <w:bottom w:val="single" w:sz="4" w:space="0" w:color="auto"/>
                  </w:tcBorders>
                  <w:vAlign w:val="center"/>
                </w:tcPr>
                <w:p w14:paraId="4AD4F8AF"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sz w:val="16"/>
                      <w:szCs w:val="16"/>
                      <w:lang w:eastAsia="ja-JP"/>
                    </w:rPr>
                    <w:t>1</w:t>
                  </w:r>
                  <w:r w:rsidRPr="00963C14">
                    <w:rPr>
                      <w:rFonts w:cs="Arial" w:hint="eastAsia"/>
                      <w:sz w:val="16"/>
                      <w:szCs w:val="16"/>
                      <w:lang w:eastAsia="ja-JP"/>
                    </w:rPr>
                    <w:t>.</w:t>
                  </w:r>
                  <w:r w:rsidRPr="00963C14">
                    <w:rPr>
                      <w:rFonts w:cs="Arial"/>
                      <w:sz w:val="16"/>
                      <w:szCs w:val="16"/>
                      <w:lang w:eastAsia="ja-JP"/>
                    </w:rPr>
                    <w:t>9</w:t>
                  </w:r>
                </w:p>
              </w:tc>
              <w:tc>
                <w:tcPr>
                  <w:tcW w:w="962" w:type="pct"/>
                  <w:tcBorders>
                    <w:bottom w:val="single" w:sz="4" w:space="0" w:color="auto"/>
                  </w:tcBorders>
                  <w:vAlign w:val="center"/>
                </w:tcPr>
                <w:p w14:paraId="67552F4F"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hint="eastAsia"/>
                      <w:sz w:val="16"/>
                      <w:szCs w:val="16"/>
                      <w:lang w:eastAsia="ja-JP"/>
                    </w:rPr>
                    <w:t>0.9</w:t>
                  </w:r>
                </w:p>
              </w:tc>
              <w:tc>
                <w:tcPr>
                  <w:tcW w:w="962" w:type="pct"/>
                  <w:tcBorders>
                    <w:bottom w:val="single" w:sz="4" w:space="0" w:color="auto"/>
                  </w:tcBorders>
                  <w:vAlign w:val="center"/>
                </w:tcPr>
                <w:p w14:paraId="4A04CC74"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sz w:val="16"/>
                      <w:szCs w:val="16"/>
                      <w:lang w:eastAsia="ja-JP"/>
                    </w:rPr>
                    <w:t>1.0</w:t>
                  </w:r>
                </w:p>
              </w:tc>
            </w:tr>
            <w:tr w:rsidR="006C51EB" w:rsidRPr="00963C14" w14:paraId="0A81931B" w14:textId="77777777" w:rsidTr="00014EF3">
              <w:trPr>
                <w:trHeight w:val="113"/>
              </w:trPr>
              <w:tc>
                <w:tcPr>
                  <w:tcW w:w="2117" w:type="pct"/>
                  <w:tcBorders>
                    <w:top w:val="single" w:sz="4" w:space="0" w:color="auto"/>
                  </w:tcBorders>
                  <w:vAlign w:val="center"/>
                </w:tcPr>
                <w:p w14:paraId="50A02F37"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center"/>
                    <w:rPr>
                      <w:rFonts w:cs="Arial"/>
                      <w:b/>
                      <w:sz w:val="16"/>
                      <w:szCs w:val="16"/>
                    </w:rPr>
                  </w:pPr>
                  <w:r w:rsidRPr="00963C14">
                    <w:rPr>
                      <w:rFonts w:cs="Arial"/>
                      <w:b/>
                      <w:sz w:val="16"/>
                      <w:szCs w:val="16"/>
                    </w:rPr>
                    <w:t>Хөгжиж буй орнууд</w:t>
                  </w:r>
                </w:p>
              </w:tc>
              <w:tc>
                <w:tcPr>
                  <w:tcW w:w="959" w:type="pct"/>
                  <w:tcBorders>
                    <w:top w:val="single" w:sz="4" w:space="0" w:color="auto"/>
                  </w:tcBorders>
                  <w:vAlign w:val="center"/>
                </w:tcPr>
                <w:p w14:paraId="2C40256D"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sz w:val="16"/>
                      <w:szCs w:val="16"/>
                      <w:lang w:eastAsia="ja-JP"/>
                    </w:rPr>
                  </w:pPr>
                  <w:r w:rsidRPr="00963C14">
                    <w:rPr>
                      <w:rFonts w:cs="Arial" w:hint="eastAsia"/>
                      <w:b/>
                      <w:sz w:val="16"/>
                      <w:szCs w:val="16"/>
                      <w:lang w:eastAsia="ja-JP"/>
                    </w:rPr>
                    <w:t>4.</w:t>
                  </w:r>
                  <w:r w:rsidRPr="00963C14">
                    <w:rPr>
                      <w:rFonts w:cs="Arial"/>
                      <w:b/>
                      <w:sz w:val="16"/>
                      <w:szCs w:val="16"/>
                      <w:lang w:eastAsia="ja-JP"/>
                    </w:rPr>
                    <w:t>3</w:t>
                  </w:r>
                </w:p>
              </w:tc>
              <w:tc>
                <w:tcPr>
                  <w:tcW w:w="962" w:type="pct"/>
                  <w:tcBorders>
                    <w:top w:val="single" w:sz="4" w:space="0" w:color="auto"/>
                  </w:tcBorders>
                  <w:vAlign w:val="center"/>
                </w:tcPr>
                <w:p w14:paraId="33E89546"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sz w:val="16"/>
                      <w:szCs w:val="16"/>
                      <w:lang w:eastAsia="ja-JP"/>
                    </w:rPr>
                  </w:pPr>
                  <w:r w:rsidRPr="00963C14">
                    <w:rPr>
                      <w:rFonts w:cs="Arial" w:hint="eastAsia"/>
                      <w:b/>
                      <w:sz w:val="16"/>
                      <w:szCs w:val="16"/>
                      <w:lang w:eastAsia="ja-JP"/>
                    </w:rPr>
                    <w:t>4.</w:t>
                  </w:r>
                  <w:r w:rsidRPr="00963C14">
                    <w:rPr>
                      <w:rFonts w:cs="Arial"/>
                      <w:b/>
                      <w:sz w:val="16"/>
                      <w:szCs w:val="16"/>
                      <w:lang w:eastAsia="ja-JP"/>
                    </w:rPr>
                    <w:t>2</w:t>
                  </w:r>
                </w:p>
              </w:tc>
              <w:tc>
                <w:tcPr>
                  <w:tcW w:w="962" w:type="pct"/>
                  <w:tcBorders>
                    <w:top w:val="single" w:sz="4" w:space="0" w:color="auto"/>
                  </w:tcBorders>
                  <w:vAlign w:val="center"/>
                </w:tcPr>
                <w:p w14:paraId="7CB36DA0"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b/>
                      <w:sz w:val="16"/>
                      <w:szCs w:val="16"/>
                      <w:lang w:eastAsia="ja-JP"/>
                    </w:rPr>
                  </w:pPr>
                  <w:r w:rsidRPr="00963C14">
                    <w:rPr>
                      <w:rFonts w:cs="Arial" w:hint="eastAsia"/>
                      <w:b/>
                      <w:sz w:val="16"/>
                      <w:szCs w:val="16"/>
                      <w:lang w:eastAsia="ja-JP"/>
                    </w:rPr>
                    <w:t>4.2</w:t>
                  </w:r>
                </w:p>
              </w:tc>
            </w:tr>
            <w:tr w:rsidR="006C51EB" w:rsidRPr="00963C14" w14:paraId="5D68410D" w14:textId="77777777" w:rsidTr="00014EF3">
              <w:trPr>
                <w:trHeight w:val="113"/>
              </w:trPr>
              <w:tc>
                <w:tcPr>
                  <w:tcW w:w="2117" w:type="pct"/>
                  <w:vAlign w:val="center"/>
                </w:tcPr>
                <w:p w14:paraId="27F52F94"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left"/>
                    <w:rPr>
                      <w:rFonts w:cs="Arial"/>
                      <w:sz w:val="16"/>
                      <w:szCs w:val="16"/>
                    </w:rPr>
                  </w:pPr>
                  <w:r w:rsidRPr="00963C14">
                    <w:rPr>
                      <w:rFonts w:cs="Arial" w:hint="eastAsia"/>
                      <w:sz w:val="16"/>
                      <w:szCs w:val="16"/>
                      <w:lang w:eastAsia="ja-JP"/>
                    </w:rPr>
                    <w:t xml:space="preserve">    </w:t>
                  </w:r>
                  <w:r w:rsidRPr="00963C14">
                    <w:rPr>
                      <w:rFonts w:cs="Arial"/>
                      <w:sz w:val="16"/>
                      <w:szCs w:val="16"/>
                    </w:rPr>
                    <w:t>БНХАУ</w:t>
                  </w:r>
                </w:p>
              </w:tc>
              <w:tc>
                <w:tcPr>
                  <w:tcW w:w="959" w:type="pct"/>
                  <w:vAlign w:val="center"/>
                </w:tcPr>
                <w:p w14:paraId="042F0029"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hint="eastAsia"/>
                      <w:sz w:val="16"/>
                      <w:szCs w:val="16"/>
                      <w:lang w:eastAsia="ja-JP"/>
                    </w:rPr>
                    <w:t>5.2</w:t>
                  </w:r>
                </w:p>
              </w:tc>
              <w:tc>
                <w:tcPr>
                  <w:tcW w:w="962" w:type="pct"/>
                  <w:vAlign w:val="center"/>
                </w:tcPr>
                <w:p w14:paraId="1A25CBA3"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hint="eastAsia"/>
                      <w:sz w:val="16"/>
                      <w:szCs w:val="16"/>
                      <w:lang w:eastAsia="ja-JP"/>
                    </w:rPr>
                    <w:t>4.6</w:t>
                  </w:r>
                </w:p>
              </w:tc>
              <w:tc>
                <w:tcPr>
                  <w:tcW w:w="962" w:type="pct"/>
                  <w:vAlign w:val="center"/>
                </w:tcPr>
                <w:p w14:paraId="3701DC2B"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hint="eastAsia"/>
                      <w:sz w:val="16"/>
                      <w:szCs w:val="16"/>
                      <w:lang w:eastAsia="ja-JP"/>
                    </w:rPr>
                    <w:t>4.1</w:t>
                  </w:r>
                </w:p>
              </w:tc>
            </w:tr>
            <w:tr w:rsidR="006C51EB" w:rsidRPr="00963C14" w14:paraId="3AE76959" w14:textId="77777777" w:rsidTr="00014EF3">
              <w:trPr>
                <w:trHeight w:val="113"/>
              </w:trPr>
              <w:tc>
                <w:tcPr>
                  <w:tcW w:w="2117" w:type="pct"/>
                  <w:tcBorders>
                    <w:bottom w:val="double" w:sz="4" w:space="0" w:color="auto"/>
                  </w:tcBorders>
                  <w:vAlign w:val="center"/>
                </w:tcPr>
                <w:p w14:paraId="03946AFD"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left"/>
                    <w:rPr>
                      <w:rFonts w:cs="Arial"/>
                      <w:sz w:val="16"/>
                      <w:szCs w:val="16"/>
                    </w:rPr>
                  </w:pPr>
                  <w:r w:rsidRPr="00963C14">
                    <w:rPr>
                      <w:rFonts w:cs="Arial" w:hint="eastAsia"/>
                      <w:sz w:val="16"/>
                      <w:szCs w:val="16"/>
                      <w:lang w:eastAsia="ja-JP"/>
                    </w:rPr>
                    <w:t xml:space="preserve">    </w:t>
                  </w:r>
                  <w:r w:rsidRPr="00963C14">
                    <w:rPr>
                      <w:rFonts w:cs="Arial"/>
                      <w:sz w:val="16"/>
                      <w:szCs w:val="16"/>
                    </w:rPr>
                    <w:t>ОХУ</w:t>
                  </w:r>
                </w:p>
              </w:tc>
              <w:tc>
                <w:tcPr>
                  <w:tcW w:w="959" w:type="pct"/>
                  <w:tcBorders>
                    <w:bottom w:val="double" w:sz="4" w:space="0" w:color="auto"/>
                  </w:tcBorders>
                  <w:vAlign w:val="center"/>
                </w:tcPr>
                <w:p w14:paraId="6FD92886"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hint="eastAsia"/>
                      <w:sz w:val="16"/>
                      <w:szCs w:val="16"/>
                      <w:lang w:eastAsia="ja-JP"/>
                    </w:rPr>
                    <w:t>3.</w:t>
                  </w:r>
                  <w:r w:rsidRPr="00963C14">
                    <w:rPr>
                      <w:rFonts w:cs="Arial"/>
                      <w:sz w:val="16"/>
                      <w:szCs w:val="16"/>
                      <w:lang w:eastAsia="ja-JP"/>
                    </w:rPr>
                    <w:t>6</w:t>
                  </w:r>
                </w:p>
              </w:tc>
              <w:tc>
                <w:tcPr>
                  <w:tcW w:w="962" w:type="pct"/>
                  <w:tcBorders>
                    <w:bottom w:val="double" w:sz="4" w:space="0" w:color="auto"/>
                  </w:tcBorders>
                  <w:vAlign w:val="center"/>
                </w:tcPr>
                <w:p w14:paraId="78F49ADB"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sz w:val="16"/>
                      <w:szCs w:val="16"/>
                      <w:lang w:eastAsia="ja-JP"/>
                    </w:rPr>
                    <w:t>3.</w:t>
                  </w:r>
                  <w:r w:rsidRPr="00963C14">
                    <w:rPr>
                      <w:rFonts w:cs="Arial" w:hint="eastAsia"/>
                      <w:sz w:val="16"/>
                      <w:szCs w:val="16"/>
                      <w:lang w:eastAsia="ja-JP"/>
                    </w:rPr>
                    <w:t>2</w:t>
                  </w:r>
                </w:p>
              </w:tc>
              <w:tc>
                <w:tcPr>
                  <w:tcW w:w="962" w:type="pct"/>
                  <w:tcBorders>
                    <w:bottom w:val="double" w:sz="4" w:space="0" w:color="auto"/>
                  </w:tcBorders>
                  <w:vAlign w:val="center"/>
                </w:tcPr>
                <w:p w14:paraId="5AE5BF44" w14:textId="77777777" w:rsidR="006C51EB" w:rsidRPr="00963C14" w:rsidRDefault="006C51EB" w:rsidP="005C1C70">
                  <w:pPr>
                    <w:framePr w:hSpace="180" w:wrap="around" w:vAnchor="text" w:hAnchor="text" w:y="1"/>
                    <w:tabs>
                      <w:tab w:val="left" w:pos="454"/>
                      <w:tab w:val="right" w:leader="dot" w:pos="9354"/>
                    </w:tabs>
                    <w:spacing w:before="120" w:afterLines="0"/>
                    <w:contextualSpacing/>
                    <w:mirrorIndents/>
                    <w:suppressOverlap/>
                    <w:jc w:val="right"/>
                    <w:rPr>
                      <w:rFonts w:cs="Arial"/>
                      <w:sz w:val="16"/>
                      <w:szCs w:val="16"/>
                      <w:lang w:eastAsia="ja-JP"/>
                    </w:rPr>
                  </w:pPr>
                  <w:r w:rsidRPr="00963C14">
                    <w:rPr>
                      <w:rFonts w:cs="Arial" w:hint="eastAsia"/>
                      <w:sz w:val="16"/>
                      <w:szCs w:val="16"/>
                      <w:lang w:eastAsia="ja-JP"/>
                    </w:rPr>
                    <w:t>1.</w:t>
                  </w:r>
                  <w:r w:rsidRPr="00963C14">
                    <w:rPr>
                      <w:rFonts w:cs="Arial"/>
                      <w:sz w:val="16"/>
                      <w:szCs w:val="16"/>
                      <w:lang w:eastAsia="ja-JP"/>
                    </w:rPr>
                    <w:t>8</w:t>
                  </w:r>
                </w:p>
              </w:tc>
            </w:tr>
          </w:tbl>
          <w:p w14:paraId="2DD17278" w14:textId="77777777" w:rsidR="00EE1D3A" w:rsidRPr="00963C14" w:rsidRDefault="00EE1D3A">
            <w:pPr>
              <w:tabs>
                <w:tab w:val="left" w:pos="454"/>
              </w:tabs>
              <w:spacing w:afterLines="0"/>
              <w:mirrorIndents/>
            </w:pPr>
          </w:p>
        </w:tc>
      </w:tr>
      <w:tr w:rsidR="00EE1D3A" w:rsidRPr="00963C14" w14:paraId="55EFD486" w14:textId="77777777">
        <w:trPr>
          <w:trHeight w:val="323"/>
        </w:trPr>
        <w:tc>
          <w:tcPr>
            <w:tcW w:w="4804" w:type="dxa"/>
            <w:tcBorders>
              <w:bottom w:val="single" w:sz="4" w:space="0" w:color="A6A6A6" w:themeColor="background1" w:themeShade="A6"/>
            </w:tcBorders>
          </w:tcPr>
          <w:p w14:paraId="2E5AFBBA" w14:textId="3F6E9857" w:rsidR="00EE1D3A" w:rsidRPr="00963C14" w:rsidRDefault="00EE1D3A">
            <w:pPr>
              <w:tabs>
                <w:tab w:val="left" w:pos="454"/>
              </w:tabs>
              <w:spacing w:afterLines="0"/>
              <w:contextualSpacing/>
              <w:mirrorIndents/>
              <w:jc w:val="right"/>
              <w:rPr>
                <w:rFonts w:cs="Arial"/>
                <w:i/>
                <w:sz w:val="14"/>
                <w:szCs w:val="14"/>
                <w:lang w:eastAsia="ja-JP"/>
              </w:rPr>
            </w:pPr>
            <w:r w:rsidRPr="00963C14">
              <w:rPr>
                <w:rFonts w:cs="Arial"/>
                <w:i/>
                <w:sz w:val="16"/>
                <w:szCs w:val="16"/>
              </w:rPr>
              <w:t>Эх сурвалж</w:t>
            </w:r>
            <w:r w:rsidRPr="00963C14">
              <w:rPr>
                <w:rFonts w:cs="Arial" w:hint="eastAsia"/>
                <w:i/>
                <w:sz w:val="16"/>
                <w:szCs w:val="16"/>
                <w:lang w:eastAsia="ja-JP"/>
              </w:rPr>
              <w:t>:</w:t>
            </w:r>
            <w:r w:rsidRPr="00963C14">
              <w:rPr>
                <w:rFonts w:cs="Arial"/>
                <w:i/>
                <w:sz w:val="16"/>
                <w:szCs w:val="16"/>
                <w:lang w:eastAsia="ja-JP"/>
              </w:rPr>
              <w:t xml:space="preserve"> Дэлхийн эдийн засгийн төлөвийн тайлангууд, 2024 оны 1-</w:t>
            </w:r>
            <w:r w:rsidR="00867FB1" w:rsidRPr="00963C14">
              <w:rPr>
                <w:rFonts w:cs="Arial"/>
                <w:i/>
                <w:sz w:val="16"/>
                <w:szCs w:val="16"/>
                <w:lang w:eastAsia="ja-JP"/>
              </w:rPr>
              <w:t>4</w:t>
            </w:r>
            <w:r w:rsidRPr="00963C14">
              <w:rPr>
                <w:rFonts w:cs="Arial"/>
                <w:i/>
                <w:sz w:val="16"/>
                <w:szCs w:val="16"/>
                <w:lang w:eastAsia="ja-JP"/>
              </w:rPr>
              <w:t xml:space="preserve"> д</w:t>
            </w:r>
            <w:r w:rsidR="00867FB1" w:rsidRPr="00963C14">
              <w:rPr>
                <w:rFonts w:cs="Arial"/>
                <w:i/>
                <w:sz w:val="16"/>
                <w:szCs w:val="16"/>
                <w:lang w:eastAsia="ja-JP"/>
              </w:rPr>
              <w:t>ү</w:t>
            </w:r>
            <w:r w:rsidRPr="00963C14">
              <w:rPr>
                <w:rFonts w:cs="Arial"/>
                <w:i/>
                <w:sz w:val="16"/>
                <w:szCs w:val="16"/>
                <w:lang w:eastAsia="ja-JP"/>
              </w:rPr>
              <w:t>р сарууд</w:t>
            </w:r>
          </w:p>
        </w:tc>
        <w:tc>
          <w:tcPr>
            <w:tcW w:w="4691" w:type="dxa"/>
            <w:tcBorders>
              <w:bottom w:val="single" w:sz="4" w:space="0" w:color="A6A6A6" w:themeColor="background1" w:themeShade="A6"/>
            </w:tcBorders>
          </w:tcPr>
          <w:p w14:paraId="0CBF5F24" w14:textId="77777777" w:rsidR="00623D93" w:rsidRPr="00963C14" w:rsidRDefault="00623D93" w:rsidP="00623D93">
            <w:pPr>
              <w:tabs>
                <w:tab w:val="left" w:pos="454"/>
              </w:tabs>
              <w:spacing w:afterLines="0"/>
              <w:contextualSpacing/>
              <w:mirrorIndents/>
              <w:jc w:val="right"/>
              <w:rPr>
                <w:rFonts w:cs="Arial"/>
                <w:i/>
                <w:sz w:val="16"/>
                <w:szCs w:val="16"/>
                <w:lang w:eastAsia="ja-JP"/>
              </w:rPr>
            </w:pPr>
            <w:r w:rsidRPr="00963C14">
              <w:rPr>
                <w:rFonts w:cs="Arial"/>
                <w:i/>
                <w:sz w:val="16"/>
                <w:szCs w:val="16"/>
              </w:rPr>
              <w:t>Эх сурвалж</w:t>
            </w:r>
            <w:r w:rsidRPr="00963C14">
              <w:rPr>
                <w:rFonts w:cs="Arial" w:hint="eastAsia"/>
                <w:i/>
                <w:sz w:val="16"/>
                <w:szCs w:val="16"/>
                <w:lang w:eastAsia="ja-JP"/>
              </w:rPr>
              <w:t>:</w:t>
            </w:r>
            <w:r w:rsidRPr="00963C14">
              <w:rPr>
                <w:rFonts w:cs="Arial"/>
                <w:i/>
                <w:sz w:val="16"/>
                <w:szCs w:val="16"/>
                <w:lang w:eastAsia="ja-JP"/>
              </w:rPr>
              <w:t xml:space="preserve"> “Дэлхийн эдийн засгийн төлөв” тайлан, ОУВС, 2024 оны 4 дүгээр сар </w:t>
            </w:r>
          </w:p>
          <w:p w14:paraId="5736372E" w14:textId="77777777" w:rsidR="00EE1D3A" w:rsidRPr="00963C14" w:rsidRDefault="00EE1D3A">
            <w:pPr>
              <w:tabs>
                <w:tab w:val="left" w:pos="454"/>
              </w:tabs>
              <w:spacing w:afterLines="0"/>
              <w:contextualSpacing/>
              <w:mirrorIndents/>
              <w:jc w:val="right"/>
              <w:rPr>
                <w:rFonts w:cs="Arial"/>
                <w:i/>
                <w:sz w:val="16"/>
                <w:szCs w:val="16"/>
              </w:rPr>
            </w:pPr>
          </w:p>
        </w:tc>
      </w:tr>
    </w:tbl>
    <w:p w14:paraId="6CB8F956" w14:textId="77777777" w:rsidR="00EE1D3A" w:rsidRPr="00963C14" w:rsidRDefault="00EE1D3A" w:rsidP="00EE1D3A">
      <w:pPr>
        <w:tabs>
          <w:tab w:val="right" w:leader="dot" w:pos="9354"/>
        </w:tabs>
        <w:spacing w:afterLines="0" w:after="0"/>
        <w:contextualSpacing/>
        <w:rPr>
          <w:rFonts w:cs="Arial"/>
          <w:b/>
          <w:i/>
          <w:color w:val="055957"/>
        </w:rPr>
      </w:pPr>
    </w:p>
    <w:p w14:paraId="0F423E39" w14:textId="00A1F878" w:rsidR="00EE1D3A" w:rsidRPr="00963C14" w:rsidRDefault="00105111" w:rsidP="003D6527">
      <w:pPr>
        <w:tabs>
          <w:tab w:val="right" w:leader="dot" w:pos="9354"/>
        </w:tabs>
        <w:spacing w:afterLines="0"/>
      </w:pPr>
      <w:r w:rsidRPr="00963C14">
        <w:rPr>
          <w:rFonts w:cs="Arial"/>
          <w:b/>
          <w:i/>
          <w:color w:val="055957"/>
        </w:rPr>
        <w:t xml:space="preserve">БНХАУ: </w:t>
      </w:r>
      <w:r w:rsidRPr="00963C14">
        <w:t>БНХАУ-ын эдийн зас</w:t>
      </w:r>
      <w:r w:rsidR="00E56874" w:rsidRPr="00963C14">
        <w:t>гийн өсөлт</w:t>
      </w:r>
      <w:r w:rsidRPr="00963C14">
        <w:t xml:space="preserve"> 2023 онд 5.2 хув</w:t>
      </w:r>
      <w:r w:rsidR="00E56874" w:rsidRPr="00963C14">
        <w:t>ьд хүрч</w:t>
      </w:r>
      <w:r w:rsidRPr="00963C14">
        <w:t>,</w:t>
      </w:r>
      <w:r w:rsidR="009051E8" w:rsidRPr="00963C14">
        <w:t xml:space="preserve"> тус улсын Засгийн газрын зорилтот</w:t>
      </w:r>
      <w:r w:rsidRPr="00963C14">
        <w:t xml:space="preserve"> 5</w:t>
      </w:r>
      <w:r w:rsidR="006B27D3" w:rsidRPr="00963C14">
        <w:t xml:space="preserve"> хувиас давлаа.</w:t>
      </w:r>
      <w:r w:rsidRPr="00963C14">
        <w:t xml:space="preserve"> 2023 онд худалдааны эргэлт буурч, залуучуудын ажилгүйдлийн түвшин нэмэгдэж, дефляци бий болсон </w:t>
      </w:r>
      <w:r w:rsidR="00C52EBB" w:rsidRPr="00963C14">
        <w:t>хэдий ч</w:t>
      </w:r>
      <w:r w:rsidRPr="00963C14">
        <w:t xml:space="preserve"> аж үйлдвэрлэлийн салбар өсөж, хэрэглээ нэмэгдсэн нь нийт эдийн засгийн өсөлтийг голлон дэмжлээ. Тус улс эдийн засгийн өсөлтийг дэмжих хүрээнд төсөв, мөнгөний тэлэх бодлогыг хэрэгжүүлэхийн зэрэгцээ ипотекийн зээлийн урьдчилгаа</w:t>
      </w:r>
      <w:r w:rsidR="00987904" w:rsidRPr="00963C14">
        <w:t xml:space="preserve"> болон </w:t>
      </w:r>
      <w:r w:rsidRPr="00963C14">
        <w:t>хүүгийн хувь, хэмжээг бууруулах, үл хөдлөх хөрөнгө хөгжүүлэгч</w:t>
      </w:r>
      <w:r w:rsidR="00626281" w:rsidRPr="00963C14">
        <w:t xml:space="preserve"> компаниудын</w:t>
      </w:r>
      <w:r w:rsidRPr="00963C14">
        <w:t xml:space="preserve"> санхүүжилтий</w:t>
      </w:r>
      <w:r w:rsidR="006F6230" w:rsidRPr="00963C14">
        <w:t>н эх үүсвэрийг</w:t>
      </w:r>
      <w:r w:rsidRPr="00963C14">
        <w:t xml:space="preserve"> дэмжих зэрэг үл хөдлөх салбарт чиглэсэн бодлогын арга хэмжээнүүдийг авч хэрэгжүүллээ. БНХАУ-ын Засгийн газ</w:t>
      </w:r>
      <w:r w:rsidR="00685DB0" w:rsidRPr="00963C14">
        <w:t>ар</w:t>
      </w:r>
      <w:r w:rsidRPr="00963C14">
        <w:t xml:space="preserve"> 2024 онд эдийн засгийн өсөлт 5 хувь, төсвийн алдагдал ДНБ-ий 3 хувь, инфляц 3 орчим хувьд байх зорилтуудыг зарл</w:t>
      </w:r>
      <w:r w:rsidR="00C4548D" w:rsidRPr="00963C14">
        <w:t xml:space="preserve">асан бөгөөд 2024 оны эхний улиралд </w:t>
      </w:r>
      <w:r w:rsidR="006A43CC" w:rsidRPr="00963C14">
        <w:t xml:space="preserve">эдийн засгийн өсөлт </w:t>
      </w:r>
      <w:r w:rsidR="00C4548D" w:rsidRPr="00963C14">
        <w:t>5.3 хувьд хүрч эрчимжлээ.</w:t>
      </w:r>
      <w:r w:rsidRPr="00963C14">
        <w:t xml:space="preserve"> Олон улсын валютын сан тус улсын эдийн засгийг 2024 онд 4.6 хувиар, 2025 онд 4.1 хувиар тус тус өснө гэж төсөөлж байна. Ирэх жилүүдэд технологи, уур амьсгалын өөрчлөлт, геополитикийн асуудлуудыг тойрсон дэлхий дахины болон БНХАУ доторх өрнөлүүд тус улсын улс төр, эдийн засгийн төлөвт нөлөөлөхөөр байна. </w:t>
      </w:r>
      <w:r w:rsidR="00EE1D3A" w:rsidRPr="00963C14">
        <w:t xml:space="preserve"> </w:t>
      </w:r>
    </w:p>
    <w:p w14:paraId="7EE4825A" w14:textId="0189BA5E" w:rsidR="005D5DAB" w:rsidRPr="00963C14" w:rsidRDefault="005D5DAB" w:rsidP="003D6527">
      <w:pPr>
        <w:tabs>
          <w:tab w:val="right" w:leader="dot" w:pos="9354"/>
        </w:tabs>
        <w:spacing w:afterLines="0"/>
      </w:pPr>
      <w:r w:rsidRPr="00963C14">
        <w:rPr>
          <w:rFonts w:cs="Arial"/>
          <w:b/>
          <w:i/>
          <w:color w:val="055957"/>
          <w:szCs w:val="24"/>
        </w:rPr>
        <w:t xml:space="preserve">ОХУ: </w:t>
      </w:r>
      <w:r w:rsidRPr="00963C14">
        <w:t>ОХУ-Украины нөхцөл байдлын улмаас дэлхийн улс орнууд ОХУ-ын эсрэг үе шаттай эдийн засгийн хориг арга хэмжээ авсан ч тус улсын эдийн засаг 2023 онд 3.6 хувиар өслөө. Эдийн засгийн өсөлтөд цэрэг армийн зардалтай холбоотой төсвийн зардал  2021 онтой  харьцуулахад 31 хувиар өссөн мөн түүхий эдийн өндөр үнэ гол нөлөө үзүүллээ. Украины дайралттай холбоотой газрын тос шилжүүлэн ачих, тээвэрлэх үйл ажиллагаа түр зогссон, Хар тэнгис дэх далайн шуурганы улмаас ОХУ-ын боомтуудын тээврийн хөдөлгөөн хязгаарлагдмал байгаа зэрэг нь тус улсын экспортод сөргөөр нөлөөлсөн хэвээр байна. Олон улсын валютын сан тус улсын эдийн засгийг 2024 онд 3.2 хувиар, 2025 онд 1.8 хувиар өснө гэж төсөөлж байна.</w:t>
      </w:r>
    </w:p>
    <w:p w14:paraId="5A7DBA7D" w14:textId="743F533A" w:rsidR="00CF0AD9" w:rsidRPr="00963C14" w:rsidRDefault="00CF0AD9" w:rsidP="003D6527">
      <w:pPr>
        <w:pStyle w:val="ListParagraph"/>
        <w:tabs>
          <w:tab w:val="left" w:pos="454"/>
          <w:tab w:val="right" w:leader="dot" w:pos="9354"/>
        </w:tabs>
        <w:spacing w:afterLines="0"/>
        <w:ind w:left="0"/>
        <w:contextualSpacing w:val="0"/>
        <w:mirrorIndents/>
        <w:rPr>
          <w:rFonts w:cs="Arial"/>
          <w:szCs w:val="24"/>
          <w:lang w:eastAsia="ja-JP"/>
        </w:rPr>
      </w:pPr>
      <w:r w:rsidRPr="00963C14">
        <w:rPr>
          <w:rFonts w:cs="Arial"/>
          <w:b/>
          <w:i/>
          <w:color w:val="055957"/>
          <w:szCs w:val="24"/>
        </w:rPr>
        <w:t>АНУ:</w:t>
      </w:r>
      <w:r w:rsidRPr="00963C14">
        <w:rPr>
          <w:rFonts w:cs="Arial"/>
          <w:i/>
          <w:szCs w:val="24"/>
        </w:rPr>
        <w:t xml:space="preserve"> </w:t>
      </w:r>
      <w:r w:rsidRPr="00963C14">
        <w:rPr>
          <w:rFonts w:cs="Arial"/>
          <w:szCs w:val="24"/>
        </w:rPr>
        <w:t>Өр</w:t>
      </w:r>
      <w:r w:rsidRPr="00963C14">
        <w:rPr>
          <w:rFonts w:cs="Arial"/>
          <w:szCs w:val="24"/>
          <w:lang w:eastAsia="ja-JP"/>
        </w:rPr>
        <w:t xml:space="preserve">хийн хэрэглээ, экспортын өсөлтийн нөлөөгөөр </w:t>
      </w:r>
      <w:r w:rsidRPr="00963C14">
        <w:rPr>
          <w:rFonts w:cs="Arial"/>
          <w:szCs w:val="24"/>
        </w:rPr>
        <w:t>АНУ-ын</w:t>
      </w:r>
      <w:r w:rsidRPr="00963C14">
        <w:rPr>
          <w:rFonts w:cs="Arial"/>
          <w:b/>
          <w:szCs w:val="24"/>
        </w:rPr>
        <w:t xml:space="preserve"> </w:t>
      </w:r>
      <w:r w:rsidRPr="00963C14">
        <w:rPr>
          <w:rFonts w:cs="Arial"/>
          <w:szCs w:val="24"/>
        </w:rPr>
        <w:t xml:space="preserve">эдийн засаг 2023 онд 2.5 хувиар өслөө. АНУ-ын төв банк </w:t>
      </w:r>
      <w:r w:rsidR="001C5449" w:rsidRPr="00963C14">
        <w:rPr>
          <w:rFonts w:cs="Arial"/>
          <w:szCs w:val="24"/>
        </w:rPr>
        <w:t xml:space="preserve">бодлогын хүүг </w:t>
      </w:r>
      <w:r w:rsidRPr="00963C14">
        <w:rPr>
          <w:rFonts w:cs="Arial"/>
          <w:szCs w:val="24"/>
        </w:rPr>
        <w:t>202</w:t>
      </w:r>
      <w:r w:rsidRPr="00963C14">
        <w:rPr>
          <w:rFonts w:cs="Arial" w:hint="eastAsia"/>
          <w:szCs w:val="24"/>
          <w:lang w:eastAsia="ja-JP"/>
        </w:rPr>
        <w:t xml:space="preserve">2 </w:t>
      </w:r>
      <w:r w:rsidRPr="00963C14">
        <w:rPr>
          <w:rFonts w:cs="Arial"/>
          <w:szCs w:val="24"/>
          <w:lang w:eastAsia="ja-JP"/>
        </w:rPr>
        <w:t>оноос хойш</w:t>
      </w:r>
      <w:r w:rsidRPr="00963C14">
        <w:rPr>
          <w:rFonts w:cs="Arial"/>
          <w:szCs w:val="24"/>
        </w:rPr>
        <w:t xml:space="preserve"> нийт 5.25 нэгж хувиар нэмэгдүүлсэн бөгөөд </w:t>
      </w:r>
      <w:r w:rsidR="00F47B73" w:rsidRPr="00963C14">
        <w:rPr>
          <w:rFonts w:cs="Arial"/>
          <w:szCs w:val="24"/>
        </w:rPr>
        <w:t>2022 он</w:t>
      </w:r>
      <w:r w:rsidR="000B36ED" w:rsidRPr="00963C14">
        <w:rPr>
          <w:rFonts w:cs="Arial"/>
          <w:szCs w:val="24"/>
        </w:rPr>
        <w:t xml:space="preserve">ы 6 </w:t>
      </w:r>
      <w:r w:rsidR="00283D11" w:rsidRPr="00963C14">
        <w:rPr>
          <w:rFonts w:cs="Arial"/>
          <w:szCs w:val="24"/>
        </w:rPr>
        <w:t xml:space="preserve">дугаар </w:t>
      </w:r>
      <w:r w:rsidR="000B36ED" w:rsidRPr="00963C14">
        <w:rPr>
          <w:rFonts w:cs="Arial"/>
          <w:szCs w:val="24"/>
        </w:rPr>
        <w:t>сард</w:t>
      </w:r>
      <w:r w:rsidR="00F47B73" w:rsidRPr="00963C14">
        <w:rPr>
          <w:rFonts w:cs="Arial"/>
          <w:szCs w:val="24"/>
        </w:rPr>
        <w:t xml:space="preserve"> 9.1 хувь</w:t>
      </w:r>
      <w:r w:rsidR="00BC0A1D" w:rsidRPr="00963C14">
        <w:rPr>
          <w:rFonts w:cs="Arial"/>
          <w:szCs w:val="24"/>
        </w:rPr>
        <w:t xml:space="preserve"> хүртэл</w:t>
      </w:r>
      <w:r w:rsidR="00F47B73" w:rsidRPr="00963C14">
        <w:rPr>
          <w:rFonts w:cs="Arial"/>
          <w:szCs w:val="24"/>
        </w:rPr>
        <w:t xml:space="preserve"> </w:t>
      </w:r>
      <w:r w:rsidR="00BC0A1D" w:rsidRPr="00963C14">
        <w:rPr>
          <w:rFonts w:cs="Arial"/>
          <w:szCs w:val="24"/>
        </w:rPr>
        <w:t>нэмэгдсэн</w:t>
      </w:r>
      <w:r w:rsidR="00F47B73" w:rsidRPr="00963C14">
        <w:rPr>
          <w:rFonts w:cs="Arial"/>
          <w:szCs w:val="24"/>
        </w:rPr>
        <w:t xml:space="preserve"> </w:t>
      </w:r>
      <w:r w:rsidRPr="00963C14">
        <w:rPr>
          <w:rFonts w:cs="Arial"/>
          <w:szCs w:val="24"/>
        </w:rPr>
        <w:t>инфляц 2024 оны 3 дугаар сар</w:t>
      </w:r>
      <w:r w:rsidR="00283D11" w:rsidRPr="00963C14">
        <w:rPr>
          <w:rFonts w:cs="Arial"/>
          <w:szCs w:val="24"/>
        </w:rPr>
        <w:t>д</w:t>
      </w:r>
      <w:r w:rsidRPr="00963C14">
        <w:rPr>
          <w:rFonts w:cs="Arial" w:hint="eastAsia"/>
          <w:szCs w:val="24"/>
          <w:lang w:eastAsia="ja-JP"/>
        </w:rPr>
        <w:t xml:space="preserve"> 3.5</w:t>
      </w:r>
      <w:r w:rsidRPr="00963C14">
        <w:rPr>
          <w:rFonts w:cs="Arial"/>
          <w:szCs w:val="24"/>
        </w:rPr>
        <w:t xml:space="preserve"> хувь болж буур</w:t>
      </w:r>
      <w:r w:rsidR="00283D11" w:rsidRPr="00963C14">
        <w:rPr>
          <w:rFonts w:cs="Arial"/>
          <w:szCs w:val="24"/>
        </w:rPr>
        <w:t>аад</w:t>
      </w:r>
      <w:r w:rsidRPr="00963C14">
        <w:rPr>
          <w:rFonts w:cs="Arial"/>
          <w:szCs w:val="24"/>
        </w:rPr>
        <w:t xml:space="preserve"> байна. </w:t>
      </w:r>
      <w:r w:rsidRPr="00963C14">
        <w:rPr>
          <w:rFonts w:cs="Arial"/>
          <w:szCs w:val="24"/>
          <w:lang w:eastAsia="ja-JP"/>
        </w:rPr>
        <w:t xml:space="preserve">Цаашид </w:t>
      </w:r>
      <w:r w:rsidR="00283D11" w:rsidRPr="00963C14">
        <w:rPr>
          <w:rFonts w:cs="Arial"/>
          <w:szCs w:val="24"/>
          <w:lang w:eastAsia="ja-JP"/>
        </w:rPr>
        <w:t>үнийн өсөлт</w:t>
      </w:r>
      <w:r w:rsidRPr="00963C14">
        <w:rPr>
          <w:rFonts w:cs="Arial"/>
          <w:szCs w:val="24"/>
        </w:rPr>
        <w:t xml:space="preserve"> </w:t>
      </w:r>
      <w:r w:rsidR="00111046" w:rsidRPr="00963C14">
        <w:rPr>
          <w:rFonts w:cs="Arial"/>
          <w:szCs w:val="24"/>
          <w:lang w:eastAsia="ja-JP"/>
        </w:rPr>
        <w:t>саарч</w:t>
      </w:r>
      <w:r w:rsidRPr="00963C14">
        <w:rPr>
          <w:rFonts w:cs="Arial"/>
          <w:szCs w:val="24"/>
        </w:rPr>
        <w:t xml:space="preserve">, хөдөлмөрийн зах зээлийн үзүүлэлт сайжирснаар бодлогын хүү </w:t>
      </w:r>
      <w:r w:rsidR="006B0B12" w:rsidRPr="00963C14">
        <w:rPr>
          <w:rFonts w:cs="Arial"/>
          <w:szCs w:val="24"/>
        </w:rPr>
        <w:t xml:space="preserve">2024 оны 4 дүгээр улирал гэхэд </w:t>
      </w:r>
      <w:r w:rsidR="00A00189" w:rsidRPr="00963C14">
        <w:rPr>
          <w:rFonts w:cs="Arial"/>
          <w:szCs w:val="24"/>
          <w:lang w:eastAsia="ja-JP"/>
        </w:rPr>
        <w:t xml:space="preserve">одоогийн түвшнээс </w:t>
      </w:r>
      <w:r w:rsidR="0086735A" w:rsidRPr="00963C14">
        <w:rPr>
          <w:rFonts w:cs="Arial"/>
          <w:szCs w:val="24"/>
          <w:lang w:eastAsia="ja-JP"/>
        </w:rPr>
        <w:t>0.8 нэгж</w:t>
      </w:r>
      <w:r w:rsidRPr="00963C14">
        <w:rPr>
          <w:rFonts w:cs="Arial"/>
          <w:szCs w:val="24"/>
          <w:lang w:eastAsia="ja-JP"/>
        </w:rPr>
        <w:t xml:space="preserve"> </w:t>
      </w:r>
      <w:r w:rsidR="00F11E76" w:rsidRPr="00963C14">
        <w:rPr>
          <w:rFonts w:cs="Arial"/>
          <w:szCs w:val="24"/>
          <w:lang w:eastAsia="ja-JP"/>
        </w:rPr>
        <w:t>хувиар</w:t>
      </w:r>
      <w:r w:rsidRPr="00963C14">
        <w:rPr>
          <w:rFonts w:cs="Arial"/>
          <w:szCs w:val="24"/>
          <w:lang w:eastAsia="ja-JP"/>
        </w:rPr>
        <w:t xml:space="preserve"> буурна гэж Олон улсын валютын сан тооцоолж байна. </w:t>
      </w:r>
      <w:r w:rsidR="009847A7" w:rsidRPr="00963C14">
        <w:rPr>
          <w:rFonts w:cs="Arial"/>
          <w:szCs w:val="24"/>
          <w:lang w:eastAsia="ja-JP"/>
        </w:rPr>
        <w:t>Т</w:t>
      </w:r>
      <w:r w:rsidR="009F7531" w:rsidRPr="00963C14">
        <w:rPr>
          <w:rFonts w:cs="Arial"/>
          <w:szCs w:val="24"/>
          <w:lang w:eastAsia="ja-JP"/>
        </w:rPr>
        <w:t>ус</w:t>
      </w:r>
      <w:r w:rsidR="00AE634E" w:rsidRPr="00963C14">
        <w:rPr>
          <w:rFonts w:cs="Arial"/>
          <w:szCs w:val="24"/>
          <w:lang w:eastAsia="ja-JP"/>
        </w:rPr>
        <w:t xml:space="preserve"> улсын </w:t>
      </w:r>
      <w:r w:rsidR="00F33319" w:rsidRPr="00963C14">
        <w:rPr>
          <w:rFonts w:cs="Arial"/>
          <w:szCs w:val="24"/>
          <w:lang w:eastAsia="ja-JP"/>
        </w:rPr>
        <w:t xml:space="preserve">эдийн засгийн </w:t>
      </w:r>
      <w:r w:rsidR="009F7531" w:rsidRPr="00963C14">
        <w:rPr>
          <w:rFonts w:cs="Arial"/>
          <w:szCs w:val="24"/>
          <w:lang w:eastAsia="ja-JP"/>
        </w:rPr>
        <w:t>өсөлт</w:t>
      </w:r>
      <w:r w:rsidR="00AD360A" w:rsidRPr="00963C14">
        <w:rPr>
          <w:rFonts w:cs="Arial"/>
          <w:szCs w:val="24"/>
          <w:lang w:eastAsia="ja-JP"/>
        </w:rPr>
        <w:t xml:space="preserve"> 2024 онд </w:t>
      </w:r>
      <w:r w:rsidRPr="00963C14">
        <w:rPr>
          <w:rFonts w:cs="Arial"/>
          <w:szCs w:val="24"/>
          <w:lang w:eastAsia="ja-JP"/>
        </w:rPr>
        <w:t>2.7 хувь</w:t>
      </w:r>
      <w:r w:rsidR="009847A7" w:rsidRPr="00963C14">
        <w:rPr>
          <w:rFonts w:cs="Arial"/>
          <w:szCs w:val="24"/>
          <w:lang w:eastAsia="ja-JP"/>
        </w:rPr>
        <w:t>,</w:t>
      </w:r>
      <w:r w:rsidRPr="00963C14">
        <w:rPr>
          <w:rFonts w:cs="Arial"/>
          <w:szCs w:val="24"/>
          <w:lang w:eastAsia="ja-JP"/>
        </w:rPr>
        <w:t xml:space="preserve"> 2025 онд </w:t>
      </w:r>
      <w:r w:rsidRPr="00963C14">
        <w:rPr>
          <w:rFonts w:cs="Arial"/>
          <w:szCs w:val="24"/>
        </w:rPr>
        <w:t xml:space="preserve">1.9 хувь </w:t>
      </w:r>
      <w:r w:rsidR="00C36494" w:rsidRPr="00963C14">
        <w:rPr>
          <w:rFonts w:cs="Arial"/>
          <w:szCs w:val="24"/>
        </w:rPr>
        <w:t>байна</w:t>
      </w:r>
      <w:r w:rsidRPr="00963C14">
        <w:rPr>
          <w:rFonts w:cs="Arial"/>
          <w:szCs w:val="24"/>
        </w:rPr>
        <w:t xml:space="preserve"> гэж Олон улсын валютын сан тооцоолж байна.</w:t>
      </w:r>
    </w:p>
    <w:p w14:paraId="69F7D3A8" w14:textId="6095D66B" w:rsidR="0081148B" w:rsidRPr="00963C14" w:rsidRDefault="0081148B" w:rsidP="003D6527">
      <w:pPr>
        <w:tabs>
          <w:tab w:val="left" w:pos="454"/>
          <w:tab w:val="right" w:leader="dot" w:pos="9354"/>
        </w:tabs>
        <w:spacing w:afterLines="0"/>
        <w:mirrorIndents/>
        <w:rPr>
          <w:rFonts w:cs="Arial"/>
          <w:szCs w:val="24"/>
          <w:lang w:eastAsia="ja-JP"/>
        </w:rPr>
      </w:pPr>
      <w:bookmarkStart w:id="8" w:name="_Toc163484914"/>
      <w:bookmarkStart w:id="9" w:name="_Toc163736648"/>
      <w:bookmarkStart w:id="10" w:name="_Toc163811081"/>
      <w:r w:rsidRPr="00963C14">
        <w:rPr>
          <w:rFonts w:cs="Arial"/>
          <w:b/>
          <w:i/>
          <w:color w:val="055957"/>
          <w:szCs w:val="24"/>
        </w:rPr>
        <w:t>Евро бүс:</w:t>
      </w:r>
      <w:r w:rsidRPr="00963C14">
        <w:rPr>
          <w:rFonts w:cs="Arial"/>
          <w:i/>
          <w:szCs w:val="24"/>
        </w:rPr>
        <w:t xml:space="preserve"> </w:t>
      </w:r>
      <w:r w:rsidRPr="00963C14">
        <w:rPr>
          <w:rFonts w:cs="Arial"/>
          <w:szCs w:val="24"/>
        </w:rPr>
        <w:t>Эрчим хүчний үнийн шокоос үүдэлтэй инфляц 2023 онд аажмаар саарч оны эцэст 2.9 хувьд болж буурсан ч хэрэглээ хангалттай түвшинд хүрч сэргээгүй, инфляцыг хязгаарлахаар хэрэгжүүлж буй мөнгөний хатуу бодлогын нөлөөгөөр бүс нутаг дах хөрөнгө оруулалт, санхүүгийн зах зээлийн үйл ажиллагаа сулар</w:t>
      </w:r>
      <w:r w:rsidR="00F64E88" w:rsidRPr="00963C14">
        <w:rPr>
          <w:rFonts w:cs="Arial"/>
          <w:szCs w:val="24"/>
        </w:rPr>
        <w:t xml:space="preserve">ч, </w:t>
      </w:r>
      <w:r w:rsidR="00CE44A8" w:rsidRPr="00963C14">
        <w:rPr>
          <w:rFonts w:cs="Arial"/>
          <w:szCs w:val="24"/>
        </w:rPr>
        <w:t>е</w:t>
      </w:r>
      <w:r w:rsidRPr="00963C14">
        <w:rPr>
          <w:rFonts w:cs="Arial"/>
          <w:szCs w:val="24"/>
        </w:rPr>
        <w:t>вро бүсийн эдийн засгийн өсөлт 2023 онд хүлээлтээс доогуур буюу 0.</w:t>
      </w:r>
      <w:r w:rsidRPr="00963C14">
        <w:rPr>
          <w:rFonts w:cs="Arial"/>
          <w:szCs w:val="24"/>
          <w:lang w:eastAsia="ja-JP"/>
        </w:rPr>
        <w:t>4</w:t>
      </w:r>
      <w:r w:rsidRPr="00963C14">
        <w:rPr>
          <w:rFonts w:cs="Arial"/>
          <w:szCs w:val="24"/>
        </w:rPr>
        <w:t xml:space="preserve"> хувь байлаа. Эрчим хүчний үнийн шокийн нөлөө аажмаар саарч, инфляцын бууралт өрхийн хэрэглээг дэмжсэнээр тус бүсийн эдийн зас</w:t>
      </w:r>
      <w:r w:rsidR="00C92EF8" w:rsidRPr="00963C14">
        <w:rPr>
          <w:rFonts w:cs="Arial"/>
          <w:szCs w:val="24"/>
        </w:rPr>
        <w:t>гийн өсөлт</w:t>
      </w:r>
      <w:r w:rsidRPr="00963C14">
        <w:rPr>
          <w:rFonts w:cs="Arial"/>
          <w:szCs w:val="24"/>
        </w:rPr>
        <w:t xml:space="preserve"> 2024 онд 0.8 хувь, 2025 онд 1.5 хув</w:t>
      </w:r>
      <w:r w:rsidR="0098459E" w:rsidRPr="00963C14">
        <w:rPr>
          <w:rFonts w:cs="Arial"/>
          <w:szCs w:val="24"/>
        </w:rPr>
        <w:t>ьд хүрнэ</w:t>
      </w:r>
      <w:r w:rsidRPr="00963C14">
        <w:rPr>
          <w:rFonts w:cs="Arial"/>
          <w:szCs w:val="24"/>
        </w:rPr>
        <w:t xml:space="preserve"> гэж Олон улсын валютын сан тооцоолж байна.  </w:t>
      </w:r>
    </w:p>
    <w:p w14:paraId="31BA3ED3" w14:textId="603A5D2F" w:rsidR="00EE1D3A" w:rsidRPr="00963C14" w:rsidRDefault="00EE1D3A" w:rsidP="003D6527">
      <w:pPr>
        <w:pStyle w:val="Heading2"/>
        <w:numPr>
          <w:ilvl w:val="1"/>
          <w:numId w:val="3"/>
        </w:numPr>
        <w:tabs>
          <w:tab w:val="right" w:leader="dot" w:pos="9354"/>
        </w:tabs>
        <w:spacing w:before="0" w:afterLines="0" w:after="120"/>
        <w:rPr>
          <w:rFonts w:ascii="Arial" w:eastAsiaTheme="minorEastAsia" w:hAnsi="Arial" w:cs="Arial"/>
          <w:b/>
          <w:color w:val="055957"/>
          <w:kern w:val="0"/>
          <w:sz w:val="24"/>
          <w:szCs w:val="24"/>
        </w:rPr>
      </w:pPr>
      <w:bookmarkStart w:id="11" w:name="_Toc165299378"/>
      <w:r w:rsidRPr="00963C14">
        <w:rPr>
          <w:rFonts w:ascii="Arial" w:eastAsiaTheme="minorEastAsia" w:hAnsi="Arial" w:cs="Arial"/>
          <w:b/>
          <w:color w:val="055957"/>
          <w:kern w:val="0"/>
          <w:sz w:val="24"/>
          <w:szCs w:val="24"/>
        </w:rPr>
        <w:t>Уул уурхайн бүтээгдэхүүний зах зээлийн хандлага</w:t>
      </w:r>
      <w:bookmarkEnd w:id="8"/>
      <w:bookmarkEnd w:id="9"/>
      <w:bookmarkEnd w:id="10"/>
      <w:bookmarkEnd w:id="11"/>
    </w:p>
    <w:p w14:paraId="5108ECA8" w14:textId="7C85DCCB" w:rsidR="00EE1D3A" w:rsidRPr="00963C14" w:rsidRDefault="00B47408" w:rsidP="003D6527">
      <w:pPr>
        <w:tabs>
          <w:tab w:val="right" w:leader="dot" w:pos="9354"/>
        </w:tabs>
        <w:spacing w:afterLines="0"/>
      </w:pPr>
      <w:r w:rsidRPr="00963C14">
        <w:rPr>
          <w:rFonts w:cs="Arial"/>
          <w:b/>
          <w:i/>
          <w:color w:val="055957"/>
          <w:szCs w:val="24"/>
        </w:rPr>
        <w:t xml:space="preserve">Зэсийн үнэ: </w:t>
      </w:r>
      <w:r w:rsidRPr="00963C14">
        <w:rPr>
          <w:rFonts w:cs="Arial"/>
          <w:szCs w:val="24"/>
        </w:rPr>
        <w:t>Лондоны металлын бирж дэх цэвэр зэсийн дундаж үнэ 2023 онд 8,479 ам.доллар болж, өмнөх оноос 4 хувиар буурсан байна. Чили болон Перу дэх уурхайнуудын усны нөөц болон ажил хаялтаас шалтгаалан зэсийн олборлолт удааширч, зэсийн үнэ 2022 онд өссөн бол 2023 он гарснаар зэсийн олборлолт тогтворжиж, Лондоны металлын биржийн агуулах дахь зэсийн хэмжээ нэмэгдсэн нь зэсийн үнэ буурахад голлон нөлөөллөө. Дэлхийн томоохон зэсийн ил уурхайнуудын нэг болох “Кобре Панам” хаагдсан, “Англо Американ” компани зардлаа танаж, зэсийн үйлдвэрлэлээ бууруулахаа мэдэгдсэн нь богино хугацаанд нийлүүлэлтийн тодорхой бус байдлыг нэмэгдүүлж байна. Сэргээгдэх эрчим хүч, цахилгаан автомашины үйлдвэрлэлийн өсөлтийн нөлөөгөөр зэсийн эрэлт дунд хугацаанд нэмэгдэх төлөвтэй байна. Олон улсын шинжээчдийн таамаглалаар зэсийн дундаж үнэ 2024 онд 8,800 ам.доллар, 2025 онд 9,000 ам.</w:t>
      </w:r>
      <w:r w:rsidRPr="00963C14">
        <w:t>доллар болж өсөхөөр байна.</w:t>
      </w:r>
    </w:p>
    <w:p w14:paraId="5E6BD839" w14:textId="3F905204" w:rsidR="00EE1D3A" w:rsidRPr="00963C14" w:rsidRDefault="002A11EA" w:rsidP="003D6527">
      <w:pPr>
        <w:tabs>
          <w:tab w:val="right" w:leader="dot" w:pos="9354"/>
        </w:tabs>
        <w:spacing w:afterLines="0"/>
      </w:pPr>
      <w:r w:rsidRPr="00963C14">
        <w:rPr>
          <w:rFonts w:cs="Arial"/>
          <w:b/>
          <w:i/>
          <w:color w:val="055957"/>
          <w:szCs w:val="24"/>
        </w:rPr>
        <w:t xml:space="preserve">Алтны үнэ: </w:t>
      </w:r>
      <w:r w:rsidRPr="00963C14">
        <w:rPr>
          <w:rFonts w:cs="Arial"/>
          <w:szCs w:val="24"/>
        </w:rPr>
        <w:t>Алтны дундаж үнэ 2023 онд 1,943 ам.доллар болж, өмнөх оноос 8 хувиар өслөө. Дэлхийн эдийн засгийн тодорхой бус байдал болон геополитикийн хурцадмал байдал нэмэгдэж байгаа энэ орчин</w:t>
      </w:r>
      <w:r w:rsidR="008846DF" w:rsidRPr="00963C14">
        <w:rPr>
          <w:rFonts w:cs="Arial"/>
          <w:szCs w:val="24"/>
        </w:rPr>
        <w:t>д</w:t>
      </w:r>
      <w:r w:rsidRPr="00963C14">
        <w:rPr>
          <w:rFonts w:cs="Arial"/>
          <w:szCs w:val="24"/>
        </w:rPr>
        <w:t xml:space="preserve"> алтны эрэлт нэмэгдэж, үнэ өсөж байна. Дэлхийн банкны үзэж байгаагаар дунд хугацаанд дэлхийн эдийн засаг тогтворжиж, алтны эрэлт бага зэрэг сулрах хүлээлттэй байна. Олон улсын шинжээчдийн таамаглалаар алтны дундаж үнэ 2024 онд 1,950 ам.доллар, 2025 онд 1,850 ам.долларт хүрэхээр байна.</w:t>
      </w:r>
    </w:p>
    <w:tbl>
      <w:tblPr>
        <w:tblW w:w="9456" w:type="dxa"/>
        <w:tblLook w:val="04A0" w:firstRow="1" w:lastRow="0" w:firstColumn="1" w:lastColumn="0" w:noHBand="0" w:noVBand="1"/>
      </w:tblPr>
      <w:tblGrid>
        <w:gridCol w:w="4928"/>
        <w:gridCol w:w="4528"/>
      </w:tblGrid>
      <w:tr w:rsidR="00EE1D3A" w:rsidRPr="00963C14" w14:paraId="16A59DCB" w14:textId="77777777" w:rsidTr="00AB174E">
        <w:trPr>
          <w:trHeight w:val="350"/>
        </w:trPr>
        <w:tc>
          <w:tcPr>
            <w:tcW w:w="4928" w:type="dxa"/>
            <w:tcBorders>
              <w:bottom w:val="single" w:sz="4" w:space="0" w:color="auto"/>
            </w:tcBorders>
          </w:tcPr>
          <w:p w14:paraId="6A52F1D3" w14:textId="3A2811FF" w:rsidR="00EE1D3A" w:rsidRPr="00963C14" w:rsidRDefault="00EE1D3A">
            <w:pPr>
              <w:tabs>
                <w:tab w:val="right" w:leader="dot" w:pos="9354"/>
              </w:tabs>
              <w:spacing w:afterLines="0" w:after="0" w:line="240" w:lineRule="auto"/>
              <w:contextualSpacing/>
              <w:rPr>
                <w:rFonts w:eastAsia="SimSun" w:cs="Times New Roman"/>
                <w:i/>
                <w:color w:val="055957"/>
                <w:sz w:val="20"/>
                <w:szCs w:val="18"/>
              </w:rPr>
            </w:pPr>
            <w:bookmarkStart w:id="12" w:name="_Toc114655461"/>
            <w:bookmarkStart w:id="13" w:name="_Toc130967881"/>
            <w:r w:rsidRPr="00963C14">
              <w:rPr>
                <w:rFonts w:eastAsia="SimSun" w:cs="Times New Roman"/>
                <w:i/>
                <w:color w:val="055957"/>
                <w:sz w:val="20"/>
                <w:szCs w:val="18"/>
              </w:rPr>
              <w:t xml:space="preserve">Зураг </w:t>
            </w:r>
            <w:r w:rsidRPr="00963C14">
              <w:rPr>
                <w:rFonts w:eastAsia="SimSun" w:cs="Times New Roman"/>
                <w:i/>
                <w:color w:val="055957"/>
                <w:sz w:val="20"/>
                <w:szCs w:val="18"/>
              </w:rPr>
              <w:fldChar w:fldCharType="begin"/>
            </w:r>
            <w:r w:rsidRPr="00963C14">
              <w:rPr>
                <w:rFonts w:eastAsia="SimSun" w:cs="Times New Roman"/>
                <w:i/>
                <w:color w:val="055957"/>
                <w:sz w:val="20"/>
                <w:szCs w:val="18"/>
              </w:rPr>
              <w:instrText xml:space="preserve"> STYLEREF 1 \s </w:instrText>
            </w:r>
            <w:r w:rsidRPr="00963C14">
              <w:rPr>
                <w:rFonts w:eastAsia="SimSun" w:cs="Times New Roman"/>
                <w:i/>
                <w:color w:val="055957"/>
                <w:sz w:val="20"/>
                <w:szCs w:val="18"/>
              </w:rPr>
              <w:fldChar w:fldCharType="separate"/>
            </w:r>
            <w:r w:rsidRPr="00963C14">
              <w:rPr>
                <w:rFonts w:eastAsia="SimSun" w:cs="Times New Roman"/>
                <w:i/>
                <w:color w:val="055957"/>
                <w:sz w:val="20"/>
                <w:szCs w:val="18"/>
              </w:rPr>
              <w:t>1</w:t>
            </w:r>
            <w:r w:rsidRPr="00963C14">
              <w:rPr>
                <w:rFonts w:eastAsia="SimSun" w:cs="Times New Roman"/>
                <w:i/>
                <w:color w:val="055957"/>
                <w:sz w:val="20"/>
                <w:szCs w:val="18"/>
              </w:rPr>
              <w:fldChar w:fldCharType="end"/>
            </w:r>
            <w:r w:rsidRPr="00963C14">
              <w:rPr>
                <w:rFonts w:eastAsia="SimSun" w:cs="Times New Roman"/>
                <w:i/>
                <w:color w:val="055957"/>
                <w:sz w:val="20"/>
                <w:szCs w:val="18"/>
              </w:rPr>
              <w:t xml:space="preserve">.2. Зэсийн </w:t>
            </w:r>
            <w:bookmarkEnd w:id="12"/>
            <w:r w:rsidRPr="00963C14">
              <w:rPr>
                <w:rFonts w:eastAsia="SimSun" w:cs="Times New Roman"/>
                <w:i/>
                <w:color w:val="055957"/>
                <w:sz w:val="20"/>
                <w:szCs w:val="18"/>
              </w:rPr>
              <w:t>үнэ</w:t>
            </w:r>
            <w:bookmarkEnd w:id="13"/>
          </w:p>
          <w:p w14:paraId="0B1413CE" w14:textId="384AD540" w:rsidR="00EE1D3A" w:rsidRPr="00963C14" w:rsidRDefault="00EE1D3A">
            <w:pPr>
              <w:tabs>
                <w:tab w:val="right" w:leader="dot" w:pos="9354"/>
              </w:tabs>
              <w:spacing w:afterLines="0" w:after="0" w:line="240" w:lineRule="auto"/>
              <w:contextualSpacing/>
              <w:rPr>
                <w:rFonts w:eastAsia="SimSun" w:cs="Times New Roman"/>
                <w:i/>
                <w:color w:val="055957"/>
                <w:sz w:val="20"/>
                <w:szCs w:val="20"/>
              </w:rPr>
            </w:pPr>
            <w:r w:rsidRPr="00963C14">
              <w:rPr>
                <w:rFonts w:eastAsia="SimSun" w:cs="Times New Roman"/>
                <w:i/>
                <w:color w:val="055957"/>
                <w:sz w:val="20"/>
                <w:szCs w:val="20"/>
              </w:rPr>
              <w:t>(ам.доллар/тонн)</w:t>
            </w:r>
          </w:p>
        </w:tc>
        <w:tc>
          <w:tcPr>
            <w:tcW w:w="4528" w:type="dxa"/>
            <w:tcBorders>
              <w:bottom w:val="single" w:sz="4" w:space="0" w:color="auto"/>
            </w:tcBorders>
          </w:tcPr>
          <w:p w14:paraId="1C488BBF" w14:textId="2ABC79FB" w:rsidR="00EE1D3A" w:rsidRPr="00963C14" w:rsidRDefault="00EE1D3A">
            <w:pPr>
              <w:tabs>
                <w:tab w:val="right" w:leader="dot" w:pos="9354"/>
              </w:tabs>
              <w:spacing w:afterLines="0" w:after="0" w:line="240" w:lineRule="auto"/>
              <w:contextualSpacing/>
              <w:rPr>
                <w:rFonts w:eastAsia="SimSun" w:cs="Times New Roman"/>
                <w:i/>
                <w:color w:val="055957"/>
                <w:sz w:val="20"/>
                <w:szCs w:val="18"/>
              </w:rPr>
            </w:pPr>
            <w:bookmarkStart w:id="14" w:name="_Toc130967882"/>
            <w:bookmarkStart w:id="15" w:name="_Toc114655462"/>
            <w:r w:rsidRPr="00963C14">
              <w:rPr>
                <w:rFonts w:eastAsia="SimSun" w:cs="Times New Roman"/>
                <w:i/>
                <w:color w:val="055957"/>
                <w:sz w:val="20"/>
                <w:szCs w:val="18"/>
              </w:rPr>
              <w:t xml:space="preserve">Зураг </w:t>
            </w:r>
            <w:r w:rsidRPr="00963C14">
              <w:rPr>
                <w:rFonts w:eastAsia="SimSun" w:cs="Times New Roman"/>
                <w:i/>
                <w:color w:val="055957"/>
                <w:sz w:val="20"/>
                <w:szCs w:val="18"/>
              </w:rPr>
              <w:fldChar w:fldCharType="begin"/>
            </w:r>
            <w:r w:rsidRPr="00963C14">
              <w:rPr>
                <w:rFonts w:eastAsia="SimSun" w:cs="Times New Roman"/>
                <w:i/>
                <w:color w:val="055957"/>
                <w:sz w:val="20"/>
                <w:szCs w:val="18"/>
              </w:rPr>
              <w:instrText xml:space="preserve"> STYLEREF 1 \s </w:instrText>
            </w:r>
            <w:r w:rsidRPr="00963C14">
              <w:rPr>
                <w:rFonts w:eastAsia="SimSun" w:cs="Times New Roman"/>
                <w:i/>
                <w:color w:val="055957"/>
                <w:sz w:val="20"/>
                <w:szCs w:val="18"/>
              </w:rPr>
              <w:fldChar w:fldCharType="separate"/>
            </w:r>
            <w:r w:rsidRPr="00963C14">
              <w:rPr>
                <w:rFonts w:eastAsia="SimSun" w:cs="Times New Roman"/>
                <w:i/>
                <w:color w:val="055957"/>
                <w:sz w:val="20"/>
                <w:szCs w:val="18"/>
              </w:rPr>
              <w:t>1</w:t>
            </w:r>
            <w:r w:rsidRPr="00963C14">
              <w:rPr>
                <w:rFonts w:eastAsia="SimSun" w:cs="Times New Roman"/>
                <w:i/>
                <w:color w:val="055957"/>
                <w:sz w:val="20"/>
                <w:szCs w:val="18"/>
              </w:rPr>
              <w:fldChar w:fldCharType="end"/>
            </w:r>
            <w:r w:rsidRPr="00963C14">
              <w:rPr>
                <w:rFonts w:eastAsia="SimSun" w:cs="Times New Roman"/>
                <w:i/>
                <w:color w:val="055957"/>
                <w:sz w:val="20"/>
                <w:szCs w:val="18"/>
              </w:rPr>
              <w:t>.3. Алтны үнэ</w:t>
            </w:r>
            <w:bookmarkEnd w:id="14"/>
          </w:p>
          <w:p w14:paraId="2625E3EC" w14:textId="77777777" w:rsidR="00EE1D3A" w:rsidRPr="00963C14" w:rsidRDefault="00EE1D3A">
            <w:pPr>
              <w:tabs>
                <w:tab w:val="right" w:leader="dot" w:pos="9354"/>
              </w:tabs>
              <w:spacing w:afterLines="0" w:after="0" w:line="240" w:lineRule="auto"/>
              <w:contextualSpacing/>
              <w:rPr>
                <w:rFonts w:eastAsia="SimSun" w:cs="Times New Roman"/>
                <w:i/>
                <w:color w:val="055957"/>
                <w:sz w:val="20"/>
                <w:szCs w:val="20"/>
              </w:rPr>
            </w:pPr>
            <w:r w:rsidRPr="00963C14">
              <w:rPr>
                <w:rFonts w:eastAsia="SimSun" w:cs="Times New Roman"/>
                <w:i/>
                <w:color w:val="055957"/>
                <w:sz w:val="20"/>
                <w:szCs w:val="20"/>
              </w:rPr>
              <w:t>(ам.доллар/трой унц</w:t>
            </w:r>
            <w:bookmarkEnd w:id="15"/>
            <w:r w:rsidRPr="00963C14">
              <w:rPr>
                <w:rFonts w:eastAsia="SimSun" w:cs="Times New Roman"/>
                <w:i/>
                <w:color w:val="055957"/>
                <w:sz w:val="20"/>
                <w:szCs w:val="20"/>
              </w:rPr>
              <w:t>)</w:t>
            </w:r>
          </w:p>
        </w:tc>
      </w:tr>
      <w:tr w:rsidR="00EE1D3A" w:rsidRPr="00963C14" w14:paraId="1C2F4F0E" w14:textId="77777777" w:rsidTr="00AB174E">
        <w:trPr>
          <w:trHeight w:val="2814"/>
        </w:trPr>
        <w:tc>
          <w:tcPr>
            <w:tcW w:w="4928" w:type="dxa"/>
            <w:tcBorders>
              <w:top w:val="single" w:sz="4" w:space="0" w:color="auto"/>
            </w:tcBorders>
          </w:tcPr>
          <w:p w14:paraId="6AA32C0A" w14:textId="29E3C979" w:rsidR="00EE1D3A" w:rsidRPr="00963C14" w:rsidRDefault="00275F3B">
            <w:pPr>
              <w:tabs>
                <w:tab w:val="right" w:leader="dot" w:pos="9354"/>
              </w:tabs>
              <w:spacing w:afterLines="0" w:after="0" w:line="276" w:lineRule="auto"/>
              <w:rPr>
                <w:rFonts w:eastAsia="Yu Mincho" w:cs="Times New Roman"/>
                <w:szCs w:val="24"/>
              </w:rPr>
            </w:pPr>
            <w:r w:rsidRPr="00963C14">
              <w:rPr>
                <w:noProof/>
              </w:rPr>
              <w:drawing>
                <wp:anchor distT="0" distB="0" distL="114300" distR="114300" simplePos="0" relativeHeight="251658252" behindDoc="1" locked="0" layoutInCell="1" allowOverlap="1" wp14:anchorId="202E3A7B" wp14:editId="10B41729">
                  <wp:simplePos x="0" y="0"/>
                  <wp:positionH relativeFrom="column">
                    <wp:posOffset>30480</wp:posOffset>
                  </wp:positionH>
                  <wp:positionV relativeFrom="paragraph">
                    <wp:posOffset>36830</wp:posOffset>
                  </wp:positionV>
                  <wp:extent cx="2736000" cy="1872000"/>
                  <wp:effectExtent l="0" t="0" r="0" b="0"/>
                  <wp:wrapTight wrapText="bothSides">
                    <wp:wrapPolygon edited="0">
                      <wp:start x="4663" y="879"/>
                      <wp:lineTo x="1955" y="1539"/>
                      <wp:lineTo x="2256" y="3957"/>
                      <wp:lineTo x="10830" y="4836"/>
                      <wp:lineTo x="1203" y="5935"/>
                      <wp:lineTo x="602" y="6155"/>
                      <wp:lineTo x="602" y="18244"/>
                      <wp:lineTo x="1354" y="18904"/>
                      <wp:lineTo x="1354" y="20223"/>
                      <wp:lineTo x="20006" y="20223"/>
                      <wp:lineTo x="20457" y="19123"/>
                      <wp:lineTo x="21058" y="18244"/>
                      <wp:lineTo x="21058" y="6155"/>
                      <wp:lineTo x="19705" y="5715"/>
                      <wp:lineTo x="10830" y="4836"/>
                      <wp:lineTo x="17448" y="2198"/>
                      <wp:lineTo x="17749" y="1319"/>
                      <wp:lineTo x="14741" y="879"/>
                      <wp:lineTo x="4663" y="879"/>
                    </wp:wrapPolygon>
                  </wp:wrapTight>
                  <wp:docPr id="2113370300" name="Chart 1">
                    <a:extLst xmlns:a="http://schemas.openxmlformats.org/drawingml/2006/main">
                      <a:ext uri="{FF2B5EF4-FFF2-40B4-BE49-F238E27FC236}">
                        <a16:creationId xmlns:a16="http://schemas.microsoft.com/office/drawing/2014/main" id="{AE920805-C779-B8BF-053B-18B01A7C01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c>
        <w:tc>
          <w:tcPr>
            <w:tcW w:w="4528" w:type="dxa"/>
            <w:tcBorders>
              <w:top w:val="single" w:sz="4" w:space="0" w:color="auto"/>
            </w:tcBorders>
          </w:tcPr>
          <w:p w14:paraId="10DD7DC9" w14:textId="1ED2E736" w:rsidR="00EE1D3A" w:rsidRPr="00963C14" w:rsidRDefault="00816618">
            <w:pPr>
              <w:tabs>
                <w:tab w:val="left" w:pos="1005"/>
              </w:tabs>
              <w:spacing w:afterLines="0" w:after="0" w:line="276" w:lineRule="auto"/>
              <w:rPr>
                <w:rFonts w:eastAsia="Yu Gothic" w:cs="Arial"/>
                <w:szCs w:val="24"/>
                <w:lang w:eastAsia="ja-JP"/>
              </w:rPr>
            </w:pPr>
            <w:r w:rsidRPr="00963C14">
              <w:rPr>
                <w:noProof/>
              </w:rPr>
              <w:drawing>
                <wp:inline distT="0" distB="0" distL="0" distR="0" wp14:anchorId="1BFCCA2D" wp14:editId="67E92C8D">
                  <wp:extent cx="2736000" cy="1908000"/>
                  <wp:effectExtent l="0" t="0" r="0" b="0"/>
                  <wp:docPr id="419290028" name="Chart 1">
                    <a:extLst xmlns:a="http://schemas.openxmlformats.org/drawingml/2006/main">
                      <a:ext uri="{FF2B5EF4-FFF2-40B4-BE49-F238E27FC236}">
                        <a16:creationId xmlns:a16="http://schemas.microsoft.com/office/drawing/2014/main" id="{C4171263-7FC5-FF20-FAFF-40B99BD222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E1D3A" w:rsidRPr="00963C14" w14:paraId="2261FC0E" w14:textId="77777777" w:rsidTr="00275F3B">
        <w:trPr>
          <w:trHeight w:val="80"/>
        </w:trPr>
        <w:tc>
          <w:tcPr>
            <w:tcW w:w="9456" w:type="dxa"/>
            <w:gridSpan w:val="2"/>
            <w:tcBorders>
              <w:bottom w:val="single" w:sz="4" w:space="0" w:color="auto"/>
            </w:tcBorders>
          </w:tcPr>
          <w:p w14:paraId="5DF8870E" w14:textId="77777777" w:rsidR="00EE1D3A" w:rsidRPr="00963C14" w:rsidRDefault="00EE1D3A">
            <w:pPr>
              <w:tabs>
                <w:tab w:val="right" w:leader="dot" w:pos="9354"/>
              </w:tabs>
              <w:spacing w:afterLines="0" w:after="0" w:line="276" w:lineRule="auto"/>
              <w:jc w:val="right"/>
              <w:rPr>
                <w:rFonts w:eastAsia="Times New Roman" w:cs="Arial"/>
                <w:color w:val="000000"/>
                <w:sz w:val="14"/>
                <w:szCs w:val="14"/>
              </w:rPr>
            </w:pPr>
            <w:r w:rsidRPr="00963C14">
              <w:rPr>
                <w:rFonts w:eastAsia="SimSun" w:cs="Arial"/>
                <w:i/>
                <w:sz w:val="16"/>
                <w:szCs w:val="16"/>
              </w:rPr>
              <w:t>Эх сурвалж: Блүүмберг терминал</w:t>
            </w:r>
          </w:p>
        </w:tc>
      </w:tr>
    </w:tbl>
    <w:p w14:paraId="180C4DCE" w14:textId="20A66840" w:rsidR="000A0492" w:rsidRPr="00963C14" w:rsidRDefault="00AB174E" w:rsidP="00EE1D3A">
      <w:pPr>
        <w:tabs>
          <w:tab w:val="right" w:leader="dot" w:pos="9354"/>
        </w:tabs>
        <w:spacing w:before="240" w:after="288"/>
      </w:pPr>
      <w:r w:rsidRPr="00963C14">
        <w:rPr>
          <w:rFonts w:cs="Arial"/>
          <w:b/>
          <w:i/>
          <w:color w:val="055957"/>
          <w:szCs w:val="24"/>
        </w:rPr>
        <w:t xml:space="preserve">Төмрийн хүдрийн үнэ: </w:t>
      </w:r>
      <w:r w:rsidRPr="00963C14">
        <w:rPr>
          <w:szCs w:val="21"/>
        </w:rPr>
        <w:t xml:space="preserve">Төмрийн хүдрийн (62 хувийн агууламжтай) дундаж үнэ 2023 онд 120 ам.доллар болж, өмнөх оноос 1 хувиар өссөн байна. БНХАУ-ын үл хөдлөх хөрөнгийн салбар сул хэвээр байгаа хэдий ч дэд бүтцийн бүтээн байгуулалтууд </w:t>
      </w:r>
      <w:r w:rsidRPr="00963C14">
        <w:rPr>
          <w:szCs w:val="21"/>
          <w:lang w:eastAsia="ja-JP"/>
        </w:rPr>
        <w:t>нэмэгдэж,</w:t>
      </w:r>
      <w:r w:rsidRPr="00963C14">
        <w:rPr>
          <w:szCs w:val="21"/>
        </w:rPr>
        <w:t xml:space="preserve"> аж үйлдвэрийн гарц 4.6 хувиар өссөн нь ган хайлуулах үйлдвэрийн гол түүхий эд болох төмрийн хүдэр, коксжих нүүрсний эрэлтийг нэмэгдүүлж, үнэ өсөх шалтгаан боллоо. </w:t>
      </w:r>
      <w:r w:rsidRPr="00963C14">
        <w:t>Австрали улс шинэ уурхайн бүтээн байгуулалтын төслүүдийг эрчимжүүлж, Бразил улс нийлүүлэлтээ жил бүр 6 хувиар нэмэгдүүлэхээ зарласан нь төмрийн хүдрийн нийлүүлэлт нэмэгдэх хүлээлтийг бий болгож байна. О</w:t>
      </w:r>
      <w:r w:rsidRPr="00963C14">
        <w:rPr>
          <w:rFonts w:cs="Arial"/>
          <w:szCs w:val="24"/>
        </w:rPr>
        <w:t>лон улсын шинжээчдийн таамаглалаар төмрийн хүдрийн дундаж үнэ 2024 онд 120 ам.доллар, 2025 онд 100 ам.долларт хүрэхээр байна.</w:t>
      </w:r>
    </w:p>
    <w:tbl>
      <w:tblPr>
        <w:tblW w:w="0" w:type="auto"/>
        <w:tblLook w:val="04A0" w:firstRow="1" w:lastRow="0" w:firstColumn="1" w:lastColumn="0" w:noHBand="0" w:noVBand="1"/>
      </w:tblPr>
      <w:tblGrid>
        <w:gridCol w:w="4836"/>
        <w:gridCol w:w="4628"/>
      </w:tblGrid>
      <w:tr w:rsidR="00EE1D3A" w:rsidRPr="00963C14" w14:paraId="57160A6B" w14:textId="77777777">
        <w:trPr>
          <w:trHeight w:val="423"/>
        </w:trPr>
        <w:tc>
          <w:tcPr>
            <w:tcW w:w="4836" w:type="dxa"/>
            <w:tcBorders>
              <w:bottom w:val="single" w:sz="4" w:space="0" w:color="auto"/>
            </w:tcBorders>
          </w:tcPr>
          <w:p w14:paraId="7D2F8DB0" w14:textId="47EB3FDC" w:rsidR="00EE1D3A" w:rsidRPr="00963C14" w:rsidRDefault="00EE1D3A">
            <w:pPr>
              <w:tabs>
                <w:tab w:val="right" w:leader="dot" w:pos="9354"/>
              </w:tabs>
              <w:spacing w:afterLines="0" w:after="0" w:line="240" w:lineRule="auto"/>
              <w:jc w:val="left"/>
              <w:rPr>
                <w:rFonts w:eastAsiaTheme="minorEastAsia" w:cs="Arial"/>
                <w:i/>
                <w:color w:val="055957"/>
                <w:kern w:val="0"/>
                <w:sz w:val="20"/>
                <w:szCs w:val="18"/>
              </w:rPr>
            </w:pPr>
            <w:bookmarkStart w:id="16" w:name="_Toc114655463"/>
            <w:bookmarkStart w:id="17" w:name="_Toc130967883"/>
            <w:r w:rsidRPr="00963C14">
              <w:rPr>
                <w:rFonts w:eastAsia="SimSun" w:cs="Times New Roman"/>
                <w:i/>
                <w:color w:val="055957"/>
                <w:sz w:val="20"/>
                <w:szCs w:val="18"/>
              </w:rPr>
              <w:t xml:space="preserve">Зураг </w:t>
            </w:r>
            <w:r w:rsidRPr="00963C14">
              <w:rPr>
                <w:rFonts w:eastAsia="SimSun" w:cs="Times New Roman"/>
                <w:i/>
                <w:color w:val="055957"/>
                <w:sz w:val="20"/>
                <w:szCs w:val="18"/>
              </w:rPr>
              <w:fldChar w:fldCharType="begin"/>
            </w:r>
            <w:r w:rsidRPr="00963C14">
              <w:rPr>
                <w:rFonts w:eastAsia="SimSun" w:cs="Times New Roman"/>
                <w:i/>
                <w:color w:val="055957"/>
                <w:sz w:val="20"/>
                <w:szCs w:val="18"/>
              </w:rPr>
              <w:instrText xml:space="preserve"> STYLEREF 1 \s </w:instrText>
            </w:r>
            <w:r w:rsidRPr="00963C14">
              <w:rPr>
                <w:rFonts w:eastAsia="SimSun" w:cs="Times New Roman"/>
                <w:i/>
                <w:color w:val="055957"/>
                <w:sz w:val="20"/>
                <w:szCs w:val="18"/>
              </w:rPr>
              <w:fldChar w:fldCharType="separate"/>
            </w:r>
            <w:r w:rsidRPr="00963C14">
              <w:rPr>
                <w:rFonts w:eastAsia="SimSun" w:cs="Times New Roman"/>
                <w:i/>
                <w:color w:val="055957"/>
                <w:sz w:val="20"/>
                <w:szCs w:val="18"/>
              </w:rPr>
              <w:t>1</w:t>
            </w:r>
            <w:r w:rsidRPr="00963C14">
              <w:rPr>
                <w:rFonts w:eastAsia="SimSun" w:cs="Times New Roman"/>
                <w:i/>
                <w:color w:val="055957"/>
                <w:sz w:val="20"/>
                <w:szCs w:val="18"/>
              </w:rPr>
              <w:fldChar w:fldCharType="end"/>
            </w:r>
            <w:r w:rsidRPr="00963C14">
              <w:rPr>
                <w:rFonts w:eastAsia="SimSun" w:cs="Times New Roman"/>
                <w:i/>
                <w:color w:val="055957"/>
                <w:sz w:val="20"/>
                <w:szCs w:val="18"/>
              </w:rPr>
              <w:t xml:space="preserve">.4. </w:t>
            </w:r>
            <w:r w:rsidRPr="00963C14">
              <w:rPr>
                <w:rFonts w:eastAsiaTheme="minorEastAsia" w:cs="Arial"/>
                <w:i/>
                <w:color w:val="055957"/>
                <w:kern w:val="0"/>
                <w:sz w:val="20"/>
                <w:szCs w:val="18"/>
              </w:rPr>
              <w:t xml:space="preserve">Төмрийн хүдрийн </w:t>
            </w:r>
            <w:bookmarkEnd w:id="16"/>
            <w:r w:rsidRPr="00963C14">
              <w:rPr>
                <w:rFonts w:eastAsiaTheme="minorEastAsia" w:cs="Arial"/>
                <w:i/>
                <w:color w:val="055957"/>
                <w:kern w:val="0"/>
                <w:sz w:val="20"/>
                <w:szCs w:val="18"/>
              </w:rPr>
              <w:t>үнэ</w:t>
            </w:r>
            <w:bookmarkEnd w:id="17"/>
          </w:p>
          <w:p w14:paraId="245B8429" w14:textId="77777777" w:rsidR="00EE1D3A" w:rsidRPr="00963C14" w:rsidRDefault="00EE1D3A">
            <w:pPr>
              <w:tabs>
                <w:tab w:val="right" w:leader="dot" w:pos="9354"/>
              </w:tabs>
              <w:spacing w:afterLines="0" w:after="0" w:line="240" w:lineRule="auto"/>
              <w:jc w:val="left"/>
              <w:rPr>
                <w:rFonts w:eastAsiaTheme="minorEastAsia" w:cs="Arial"/>
                <w:i/>
                <w:color w:val="055957"/>
                <w:kern w:val="0"/>
                <w:sz w:val="20"/>
                <w:szCs w:val="18"/>
              </w:rPr>
            </w:pPr>
            <w:r w:rsidRPr="00963C14">
              <w:rPr>
                <w:rFonts w:eastAsiaTheme="minorEastAsia" w:cs="Arial"/>
                <w:i/>
                <w:color w:val="055957"/>
                <w:kern w:val="0"/>
                <w:sz w:val="20"/>
                <w:szCs w:val="18"/>
              </w:rPr>
              <w:t>(ам.доллар/тонн)</w:t>
            </w:r>
          </w:p>
        </w:tc>
        <w:tc>
          <w:tcPr>
            <w:tcW w:w="4628" w:type="dxa"/>
            <w:tcBorders>
              <w:bottom w:val="single" w:sz="4" w:space="0" w:color="auto"/>
            </w:tcBorders>
          </w:tcPr>
          <w:p w14:paraId="65E9F009" w14:textId="1D4F48B6" w:rsidR="00EE1D3A" w:rsidRPr="00963C14" w:rsidRDefault="00EE1D3A">
            <w:pPr>
              <w:tabs>
                <w:tab w:val="right" w:leader="dot" w:pos="9354"/>
              </w:tabs>
              <w:spacing w:afterLines="0" w:after="0" w:line="240" w:lineRule="auto"/>
              <w:jc w:val="left"/>
              <w:rPr>
                <w:rFonts w:eastAsiaTheme="minorEastAsia" w:cs="Arial"/>
                <w:i/>
                <w:color w:val="055957"/>
                <w:kern w:val="0"/>
                <w:sz w:val="20"/>
                <w:szCs w:val="18"/>
              </w:rPr>
            </w:pPr>
            <w:bookmarkStart w:id="18" w:name="_Toc114655464"/>
            <w:bookmarkStart w:id="19" w:name="_Toc130967884"/>
            <w:r w:rsidRPr="00963C14">
              <w:rPr>
                <w:rFonts w:eastAsia="SimSun" w:cs="Times New Roman"/>
                <w:i/>
                <w:color w:val="055957"/>
                <w:sz w:val="20"/>
                <w:szCs w:val="18"/>
              </w:rPr>
              <w:t xml:space="preserve">Зураг </w:t>
            </w:r>
            <w:r w:rsidRPr="00963C14">
              <w:rPr>
                <w:rFonts w:eastAsia="SimSun" w:cs="Times New Roman"/>
                <w:i/>
                <w:color w:val="055957"/>
                <w:sz w:val="20"/>
                <w:szCs w:val="18"/>
              </w:rPr>
              <w:fldChar w:fldCharType="begin"/>
            </w:r>
            <w:r w:rsidRPr="00963C14">
              <w:rPr>
                <w:rFonts w:eastAsia="SimSun" w:cs="Times New Roman"/>
                <w:i/>
                <w:color w:val="055957"/>
                <w:sz w:val="20"/>
                <w:szCs w:val="18"/>
              </w:rPr>
              <w:instrText xml:space="preserve"> STYLEREF 1 \s </w:instrText>
            </w:r>
            <w:r w:rsidRPr="00963C14">
              <w:rPr>
                <w:rFonts w:eastAsia="SimSun" w:cs="Times New Roman"/>
                <w:i/>
                <w:color w:val="055957"/>
                <w:sz w:val="20"/>
                <w:szCs w:val="18"/>
              </w:rPr>
              <w:fldChar w:fldCharType="separate"/>
            </w:r>
            <w:r w:rsidRPr="00963C14">
              <w:rPr>
                <w:rFonts w:eastAsia="SimSun" w:cs="Times New Roman"/>
                <w:i/>
                <w:color w:val="055957"/>
                <w:sz w:val="20"/>
                <w:szCs w:val="18"/>
              </w:rPr>
              <w:t>1</w:t>
            </w:r>
            <w:r w:rsidRPr="00963C14">
              <w:rPr>
                <w:rFonts w:eastAsia="SimSun" w:cs="Times New Roman"/>
                <w:i/>
                <w:color w:val="055957"/>
                <w:sz w:val="20"/>
                <w:szCs w:val="18"/>
              </w:rPr>
              <w:fldChar w:fldCharType="end"/>
            </w:r>
            <w:r w:rsidRPr="00963C14">
              <w:rPr>
                <w:rFonts w:eastAsia="SimSun" w:cs="Times New Roman"/>
                <w:i/>
                <w:color w:val="055957"/>
                <w:sz w:val="20"/>
                <w:szCs w:val="18"/>
              </w:rPr>
              <w:t xml:space="preserve">.5. </w:t>
            </w:r>
            <w:r w:rsidRPr="00963C14">
              <w:rPr>
                <w:rFonts w:eastAsiaTheme="minorEastAsia" w:cs="Arial"/>
                <w:i/>
                <w:color w:val="055957"/>
                <w:kern w:val="0"/>
                <w:sz w:val="20"/>
                <w:szCs w:val="18"/>
              </w:rPr>
              <w:t xml:space="preserve">Нүүрсний </w:t>
            </w:r>
            <w:bookmarkEnd w:id="18"/>
            <w:r w:rsidRPr="00963C14">
              <w:rPr>
                <w:rFonts w:eastAsiaTheme="minorEastAsia" w:cs="Arial"/>
                <w:i/>
                <w:color w:val="055957"/>
                <w:kern w:val="0"/>
                <w:sz w:val="20"/>
                <w:szCs w:val="18"/>
              </w:rPr>
              <w:t>үнэ</w:t>
            </w:r>
            <w:bookmarkEnd w:id="19"/>
          </w:p>
          <w:p w14:paraId="5AAA6CA0" w14:textId="77777777" w:rsidR="00EE1D3A" w:rsidRPr="00963C14" w:rsidRDefault="00EE1D3A">
            <w:pPr>
              <w:tabs>
                <w:tab w:val="right" w:leader="dot" w:pos="9354"/>
              </w:tabs>
              <w:spacing w:afterLines="0" w:after="0" w:line="240" w:lineRule="auto"/>
              <w:jc w:val="left"/>
              <w:rPr>
                <w:rFonts w:eastAsiaTheme="minorEastAsia" w:cs="Arial"/>
                <w:i/>
                <w:color w:val="055957"/>
                <w:kern w:val="0"/>
                <w:sz w:val="20"/>
                <w:szCs w:val="18"/>
              </w:rPr>
            </w:pPr>
            <w:r w:rsidRPr="00963C14">
              <w:rPr>
                <w:rFonts w:eastAsiaTheme="minorEastAsia" w:cs="Arial"/>
                <w:i/>
                <w:color w:val="055957"/>
                <w:kern w:val="0"/>
                <w:sz w:val="20"/>
                <w:szCs w:val="18"/>
              </w:rPr>
              <w:t>(ам.доллар/тонн)</w:t>
            </w:r>
          </w:p>
        </w:tc>
      </w:tr>
      <w:tr w:rsidR="00EE1D3A" w:rsidRPr="00963C14" w14:paraId="0E9A546C" w14:textId="77777777">
        <w:trPr>
          <w:trHeight w:val="3058"/>
        </w:trPr>
        <w:tc>
          <w:tcPr>
            <w:tcW w:w="4836" w:type="dxa"/>
            <w:tcBorders>
              <w:top w:val="single" w:sz="4" w:space="0" w:color="auto"/>
            </w:tcBorders>
          </w:tcPr>
          <w:p w14:paraId="039A91FA" w14:textId="5A5E27D4" w:rsidR="00EE1D3A" w:rsidRPr="00963C14" w:rsidRDefault="00F96E4F">
            <w:pPr>
              <w:tabs>
                <w:tab w:val="right" w:leader="dot" w:pos="9354"/>
              </w:tabs>
              <w:spacing w:afterLines="0" w:after="0" w:line="276" w:lineRule="auto"/>
              <w:rPr>
                <w:rFonts w:eastAsia="Yu Gothic" w:cs="Arial"/>
                <w:szCs w:val="24"/>
                <w:lang w:eastAsia="ja-JP"/>
              </w:rPr>
            </w:pPr>
            <w:r w:rsidRPr="00963C14">
              <w:rPr>
                <w:noProof/>
              </w:rPr>
              <w:drawing>
                <wp:inline distT="0" distB="0" distL="0" distR="0" wp14:anchorId="692AE37A" wp14:editId="414FF636">
                  <wp:extent cx="2903220" cy="1907540"/>
                  <wp:effectExtent l="0" t="0" r="0" b="0"/>
                  <wp:docPr id="1186510053" name="Chart 1">
                    <a:extLst xmlns:a="http://schemas.openxmlformats.org/drawingml/2006/main">
                      <a:ext uri="{FF2B5EF4-FFF2-40B4-BE49-F238E27FC236}">
                        <a16:creationId xmlns:a16="http://schemas.microsoft.com/office/drawing/2014/main" id="{CB9C4DBC-BF99-F46C-B717-9DF973EA1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628" w:type="dxa"/>
            <w:tcBorders>
              <w:top w:val="single" w:sz="4" w:space="0" w:color="auto"/>
            </w:tcBorders>
          </w:tcPr>
          <w:p w14:paraId="5BDED4E6" w14:textId="7D5150AC" w:rsidR="00EE1D3A" w:rsidRPr="00963C14" w:rsidRDefault="006A42C3">
            <w:pPr>
              <w:tabs>
                <w:tab w:val="right" w:leader="dot" w:pos="9354"/>
              </w:tabs>
              <w:spacing w:afterLines="0" w:after="0" w:line="276" w:lineRule="auto"/>
              <w:rPr>
                <w:rFonts w:eastAsia="Yu Gothic" w:cs="Arial"/>
                <w:szCs w:val="24"/>
                <w:lang w:eastAsia="ja-JP"/>
              </w:rPr>
            </w:pPr>
            <w:r w:rsidRPr="00963C14">
              <w:rPr>
                <w:noProof/>
              </w:rPr>
              <w:drawing>
                <wp:inline distT="0" distB="0" distL="0" distR="0" wp14:anchorId="3390CB00" wp14:editId="33A53C6D">
                  <wp:extent cx="2736000" cy="1908000"/>
                  <wp:effectExtent l="0" t="0" r="0" b="0"/>
                  <wp:docPr id="895948374" name="Chart 1">
                    <a:extLst xmlns:a="http://schemas.openxmlformats.org/drawingml/2006/main">
                      <a:ext uri="{FF2B5EF4-FFF2-40B4-BE49-F238E27FC236}">
                        <a16:creationId xmlns:a16="http://schemas.microsoft.com/office/drawing/2014/main" id="{8B1004B3-6426-0D23-82BA-B1F8A6FB013B}"/>
                      </a:ext>
                      <a:ext uri="{147F2762-F138-4A5C-976F-8EAC2B608ADB}">
                        <a16:predDERef xmlns:a16="http://schemas.microsoft.com/office/drawing/2014/main" pred="{C4171263-7FC5-FF20-FAFF-40B99BD222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EE1D3A" w:rsidRPr="00963C14" w14:paraId="53D4C998" w14:textId="77777777">
        <w:trPr>
          <w:trHeight w:val="271"/>
        </w:trPr>
        <w:tc>
          <w:tcPr>
            <w:tcW w:w="9464" w:type="dxa"/>
            <w:gridSpan w:val="2"/>
            <w:tcBorders>
              <w:bottom w:val="single" w:sz="4" w:space="0" w:color="auto"/>
            </w:tcBorders>
          </w:tcPr>
          <w:p w14:paraId="51A5770B" w14:textId="77777777" w:rsidR="00EE1D3A" w:rsidRPr="00963C14" w:rsidRDefault="00EE1D3A">
            <w:pPr>
              <w:tabs>
                <w:tab w:val="right" w:leader="dot" w:pos="9354"/>
              </w:tabs>
              <w:spacing w:afterLines="0" w:after="0" w:line="276" w:lineRule="auto"/>
              <w:jc w:val="right"/>
              <w:rPr>
                <w:rFonts w:eastAsia="Times New Roman" w:cs="Arial"/>
                <w:color w:val="000000"/>
                <w:szCs w:val="24"/>
              </w:rPr>
            </w:pPr>
            <w:r w:rsidRPr="00963C14">
              <w:rPr>
                <w:rFonts w:eastAsia="SimSun" w:cs="Arial"/>
                <w:i/>
                <w:sz w:val="16"/>
                <w:szCs w:val="16"/>
              </w:rPr>
              <w:t>Эх сурвалж: Блүүмберг терминал</w:t>
            </w:r>
          </w:p>
        </w:tc>
      </w:tr>
    </w:tbl>
    <w:p w14:paraId="2546BBF0" w14:textId="0CB886AA" w:rsidR="00EE1D3A" w:rsidRPr="00963C14" w:rsidRDefault="00EC762D" w:rsidP="00EE1D3A">
      <w:pPr>
        <w:tabs>
          <w:tab w:val="right" w:leader="dot" w:pos="9354"/>
        </w:tabs>
        <w:spacing w:before="240" w:after="288"/>
        <w:rPr>
          <w:rFonts w:cs="Arial"/>
          <w:szCs w:val="24"/>
        </w:rPr>
      </w:pPr>
      <w:r w:rsidRPr="00963C14">
        <w:rPr>
          <w:rFonts w:cs="Arial"/>
          <w:b/>
          <w:i/>
          <w:color w:val="055957"/>
          <w:szCs w:val="24"/>
        </w:rPr>
        <w:t xml:space="preserve">Коксжих нүүрсний үнэ: </w:t>
      </w:r>
      <w:r w:rsidRPr="00963C14">
        <w:rPr>
          <w:rFonts w:cs="Arial"/>
          <w:szCs w:val="24"/>
        </w:rPr>
        <w:t xml:space="preserve">Сингапурын бирж дээрх Австралийн сайн чанарын коксжих нүүрсний үнэ 2023 онд дунджаар 296 ам.долларт хүрч, өмнөх оны дунджаас 18 хувиар буурсан байна. Байгалийн гамшигт үзэгдлээс шалтгаалан саатаад байсан Австралийн коксжих нүүрсний олборлолт хэвийн болж, нийлүүлэлт тогтворжсон нь үнэ буурахад голлон нөлөөллөө. </w:t>
      </w:r>
      <w:r w:rsidRPr="00963C14">
        <w:t xml:space="preserve">БНХАУ </w:t>
      </w:r>
      <w:r w:rsidRPr="00963C14">
        <w:rPr>
          <w:rFonts w:cs="Arial"/>
          <w:szCs w:val="24"/>
        </w:rPr>
        <w:t xml:space="preserve">коксжих нүүрсний </w:t>
      </w:r>
      <w:r w:rsidRPr="00963C14">
        <w:t>татварыг сэргээсэн нь эрэлтийг бууруулахаар байна.</w:t>
      </w:r>
      <w:r w:rsidRPr="00963C14">
        <w:rPr>
          <w:rFonts w:cs="Arial"/>
          <w:szCs w:val="24"/>
        </w:rPr>
        <w:t xml:space="preserve"> </w:t>
      </w:r>
      <w:r w:rsidRPr="00963C14">
        <w:t>О</w:t>
      </w:r>
      <w:r w:rsidRPr="00963C14">
        <w:rPr>
          <w:rFonts w:cs="Arial"/>
          <w:szCs w:val="24"/>
        </w:rPr>
        <w:t>лон улсын шинжээчдийн таамаглалаар дундаж үнэ 2024 онд 250 ам.доллар, 2025 онд 215 ам.долларт хүрэхээр байна.</w:t>
      </w:r>
    </w:p>
    <w:tbl>
      <w:tblPr>
        <w:tblpPr w:leftFromText="187" w:rightFromText="187" w:vertAnchor="text" w:horzAnchor="margin" w:tblpXSpec="right" w:tblpY="107"/>
        <w:tblW w:w="0" w:type="auto"/>
        <w:tblLook w:val="04A0" w:firstRow="1" w:lastRow="0" w:firstColumn="1" w:lastColumn="0" w:noHBand="0" w:noVBand="1"/>
      </w:tblPr>
      <w:tblGrid>
        <w:gridCol w:w="4524"/>
      </w:tblGrid>
      <w:tr w:rsidR="00EE1D3A" w:rsidRPr="00963C14" w14:paraId="17B2AD1B" w14:textId="77777777" w:rsidTr="00927737">
        <w:trPr>
          <w:cantSplit/>
        </w:trPr>
        <w:tc>
          <w:tcPr>
            <w:tcW w:w="4524" w:type="dxa"/>
            <w:tcBorders>
              <w:bottom w:val="single" w:sz="4" w:space="0" w:color="auto"/>
            </w:tcBorders>
          </w:tcPr>
          <w:p w14:paraId="25A4B95C" w14:textId="781E2BF1" w:rsidR="00EE1D3A" w:rsidRPr="00963C14" w:rsidRDefault="00EE1D3A">
            <w:pPr>
              <w:spacing w:after="288" w:line="240" w:lineRule="auto"/>
              <w:contextualSpacing/>
              <w:rPr>
                <w:rFonts w:eastAsia="SimSun" w:cs="Times New Roman"/>
                <w:i/>
                <w:color w:val="055957"/>
                <w:sz w:val="20"/>
                <w:szCs w:val="18"/>
              </w:rPr>
            </w:pPr>
            <w:r w:rsidRPr="00963C14">
              <w:rPr>
                <w:rFonts w:eastAsia="SimSun" w:cs="Times New Roman"/>
                <w:i/>
                <w:color w:val="055957"/>
                <w:sz w:val="20"/>
                <w:szCs w:val="18"/>
              </w:rPr>
              <w:t xml:space="preserve">Зураг </w:t>
            </w:r>
            <w:r w:rsidRPr="00963C14">
              <w:rPr>
                <w:rFonts w:eastAsia="SimSun" w:cs="Times New Roman"/>
                <w:i/>
                <w:color w:val="055957"/>
                <w:sz w:val="20"/>
                <w:szCs w:val="18"/>
              </w:rPr>
              <w:fldChar w:fldCharType="begin"/>
            </w:r>
            <w:r w:rsidRPr="00963C14">
              <w:rPr>
                <w:rFonts w:eastAsia="SimSun" w:cs="Times New Roman"/>
                <w:i/>
                <w:color w:val="055957"/>
                <w:sz w:val="20"/>
                <w:szCs w:val="18"/>
              </w:rPr>
              <w:instrText xml:space="preserve"> STYLEREF 1 \s </w:instrText>
            </w:r>
            <w:r w:rsidRPr="00963C14">
              <w:rPr>
                <w:rFonts w:eastAsia="SimSun" w:cs="Times New Roman"/>
                <w:i/>
                <w:color w:val="055957"/>
                <w:sz w:val="20"/>
                <w:szCs w:val="18"/>
              </w:rPr>
              <w:fldChar w:fldCharType="separate"/>
            </w:r>
            <w:r w:rsidRPr="00963C14">
              <w:rPr>
                <w:rFonts w:eastAsia="SimSun" w:cs="Times New Roman"/>
                <w:i/>
                <w:color w:val="055957"/>
                <w:sz w:val="20"/>
                <w:szCs w:val="18"/>
              </w:rPr>
              <w:t>1</w:t>
            </w:r>
            <w:r w:rsidRPr="00963C14">
              <w:rPr>
                <w:rFonts w:eastAsia="SimSun" w:cs="Times New Roman"/>
                <w:i/>
                <w:color w:val="055957"/>
                <w:sz w:val="20"/>
                <w:szCs w:val="18"/>
              </w:rPr>
              <w:fldChar w:fldCharType="end"/>
            </w:r>
            <w:r w:rsidRPr="00963C14">
              <w:rPr>
                <w:rFonts w:eastAsia="SimSun" w:cs="Times New Roman"/>
                <w:i/>
                <w:color w:val="055957"/>
                <w:sz w:val="20"/>
                <w:szCs w:val="18"/>
              </w:rPr>
              <w:t>.6. Газрын тосны үнэ</w:t>
            </w:r>
          </w:p>
          <w:p w14:paraId="3B67C9BA" w14:textId="77777777" w:rsidR="00EE1D3A" w:rsidRPr="00963C14" w:rsidRDefault="00EE1D3A">
            <w:pPr>
              <w:spacing w:after="288" w:line="240" w:lineRule="auto"/>
              <w:contextualSpacing/>
              <w:rPr>
                <w:rFonts w:eastAsia="SimSun" w:cs="Times New Roman"/>
                <w:i/>
                <w:color w:val="000000"/>
                <w:sz w:val="16"/>
                <w:szCs w:val="16"/>
              </w:rPr>
            </w:pPr>
            <w:r w:rsidRPr="00963C14">
              <w:rPr>
                <w:rFonts w:eastAsia="SimSun" w:cs="Times New Roman"/>
                <w:i/>
                <w:color w:val="055957"/>
                <w:sz w:val="20"/>
                <w:szCs w:val="18"/>
              </w:rPr>
              <w:t>(ам.доллар/баррель)</w:t>
            </w:r>
          </w:p>
        </w:tc>
      </w:tr>
      <w:tr w:rsidR="00EE1D3A" w:rsidRPr="00963C14" w14:paraId="038D0593" w14:textId="77777777" w:rsidTr="00927737">
        <w:trPr>
          <w:cantSplit/>
          <w:trHeight w:val="3061"/>
        </w:trPr>
        <w:tc>
          <w:tcPr>
            <w:tcW w:w="4524" w:type="dxa"/>
            <w:tcBorders>
              <w:top w:val="single" w:sz="4" w:space="0" w:color="auto"/>
            </w:tcBorders>
          </w:tcPr>
          <w:p w14:paraId="3CA791B1" w14:textId="1F2E4E05" w:rsidR="00EE1D3A" w:rsidRPr="00963C14" w:rsidRDefault="0062362B">
            <w:pPr>
              <w:spacing w:after="288" w:line="240" w:lineRule="auto"/>
              <w:rPr>
                <w:rFonts w:eastAsia="SimSun" w:cs="Arial"/>
                <w:b/>
                <w:szCs w:val="24"/>
              </w:rPr>
            </w:pPr>
            <w:r w:rsidRPr="00963C14">
              <w:rPr>
                <w:noProof/>
              </w:rPr>
              <w:drawing>
                <wp:inline distT="0" distB="0" distL="0" distR="0" wp14:anchorId="4E73C984" wp14:editId="650BEE06">
                  <wp:extent cx="2735580" cy="1963420"/>
                  <wp:effectExtent l="0" t="0" r="0" b="0"/>
                  <wp:docPr id="1214701304" name="Chart 1">
                    <a:extLst xmlns:a="http://schemas.openxmlformats.org/drawingml/2006/main">
                      <a:ext uri="{FF2B5EF4-FFF2-40B4-BE49-F238E27FC236}">
                        <a16:creationId xmlns:a16="http://schemas.microsoft.com/office/drawing/2014/main" id="{9E51BCBD-5A8A-AB22-B765-AF3FC6BCBD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EE1D3A" w:rsidRPr="00963C14" w14:paraId="425BAB2F" w14:textId="77777777" w:rsidTr="00927737">
        <w:trPr>
          <w:cantSplit/>
          <w:trHeight w:val="157"/>
        </w:trPr>
        <w:tc>
          <w:tcPr>
            <w:tcW w:w="4524" w:type="dxa"/>
            <w:tcBorders>
              <w:bottom w:val="single" w:sz="4" w:space="0" w:color="auto"/>
            </w:tcBorders>
          </w:tcPr>
          <w:p w14:paraId="541B9CD0" w14:textId="77777777" w:rsidR="00EE1D3A" w:rsidRPr="00963C14" w:rsidRDefault="00EE1D3A">
            <w:pPr>
              <w:keepNext/>
              <w:spacing w:afterLines="0" w:after="0" w:line="240" w:lineRule="auto"/>
              <w:jc w:val="right"/>
              <w:rPr>
                <w:rFonts w:eastAsia="SimSun" w:cs="Arial"/>
                <w:b/>
                <w:szCs w:val="24"/>
              </w:rPr>
            </w:pPr>
            <w:r w:rsidRPr="00963C14">
              <w:rPr>
                <w:rFonts w:eastAsia="SimSun" w:cs="Arial"/>
                <w:i/>
                <w:sz w:val="16"/>
                <w:szCs w:val="16"/>
              </w:rPr>
              <w:t>Эх сурвалж: Блүүмберг терминал</w:t>
            </w:r>
          </w:p>
        </w:tc>
      </w:tr>
    </w:tbl>
    <w:p w14:paraId="51C2F8D3" w14:textId="77777777" w:rsidR="00927737" w:rsidRPr="00963C14" w:rsidRDefault="00927737" w:rsidP="00927737">
      <w:pPr>
        <w:tabs>
          <w:tab w:val="right" w:leader="dot" w:pos="9354"/>
        </w:tabs>
        <w:spacing w:after="288"/>
        <w:rPr>
          <w:rFonts w:cs="Arial"/>
          <w:szCs w:val="24"/>
        </w:rPr>
      </w:pPr>
      <w:bookmarkStart w:id="20" w:name="_Toc163484915"/>
      <w:bookmarkStart w:id="21" w:name="_Toc163736649"/>
      <w:bookmarkStart w:id="22" w:name="_Toc163811082"/>
      <w:r w:rsidRPr="00963C14">
        <w:rPr>
          <w:rFonts w:cs="Arial"/>
          <w:b/>
          <w:i/>
          <w:color w:val="055957"/>
          <w:szCs w:val="24"/>
        </w:rPr>
        <w:t>Брент газрын тосны үнэ:</w:t>
      </w:r>
      <w:r w:rsidRPr="00963C14">
        <w:rPr>
          <w:rFonts w:cs="Arial"/>
          <w:i/>
          <w:szCs w:val="24"/>
        </w:rPr>
        <w:t xml:space="preserve"> </w:t>
      </w:r>
      <w:r w:rsidRPr="00963C14">
        <w:rPr>
          <w:rFonts w:cs="Arial"/>
          <w:szCs w:val="24"/>
        </w:rPr>
        <w:t>Брент төрлийн газрын тосны дундаж үнэ 2023 онд 79 ам.долларт хүрч, өмнөх оноос 2 хувиар буурлаа.</w:t>
      </w:r>
      <w:r w:rsidRPr="00963C14">
        <w:rPr>
          <w:rFonts w:cs="Arial"/>
          <w:b/>
          <w:szCs w:val="24"/>
        </w:rPr>
        <w:t xml:space="preserve"> </w:t>
      </w:r>
      <w:r w:rsidRPr="00963C14">
        <w:rPr>
          <w:rFonts w:cs="Arial"/>
          <w:szCs w:val="24"/>
        </w:rPr>
        <w:t>ОПЕК-ийн орнууд өнгөрсөн оны 6 дугаар сард 2024 онд олборлох газрын тосны хэмжээг бууруулахаар шийдвэрлэснээс гадна нефть, газрын тосны олборлолтын 35 орчим хувийг бүрдүүлдэг Ойрх дорнод дахь мөргөлдөөн нь газрын тосны нийлүүлэлтийн тогтворгүй байдлыг бий болгож байна. Түүнчлэн, алт болон газрын тосны томоохон хэрэглэгч Энэтхэг улсын эдийн засгийн идэвхжил газрын тосны эрэлтийг нэмэгдүүлэх төлөвтэй байна. Олон улсын шинжээчдийн таамаглалаар дундаж үнэ 2024 онд 85 ам.доллар, 2025 онд 80 ам.долларт хүрэхээр байна.</w:t>
      </w:r>
    </w:p>
    <w:p w14:paraId="3FD08CD2" w14:textId="77777777" w:rsidR="00EE1D3A" w:rsidRPr="00963C14" w:rsidRDefault="00EE1D3A" w:rsidP="00EE1D3A">
      <w:pPr>
        <w:pStyle w:val="Heading2"/>
        <w:numPr>
          <w:ilvl w:val="1"/>
          <w:numId w:val="3"/>
        </w:numPr>
        <w:tabs>
          <w:tab w:val="right" w:leader="dot" w:pos="9354"/>
        </w:tabs>
        <w:spacing w:after="288"/>
        <w:jc w:val="left"/>
        <w:rPr>
          <w:rFonts w:ascii="Arial" w:eastAsiaTheme="minorEastAsia" w:hAnsi="Arial" w:cs="Arial"/>
          <w:b/>
          <w:color w:val="055957"/>
          <w:kern w:val="0"/>
          <w:sz w:val="24"/>
          <w:szCs w:val="24"/>
        </w:rPr>
      </w:pPr>
      <w:bookmarkStart w:id="23" w:name="_Toc165299379"/>
      <w:r w:rsidRPr="00963C14">
        <w:rPr>
          <w:rFonts w:ascii="Arial" w:eastAsiaTheme="minorEastAsia" w:hAnsi="Arial" w:cs="Arial"/>
          <w:b/>
          <w:color w:val="055957"/>
          <w:kern w:val="0"/>
          <w:sz w:val="24"/>
          <w:szCs w:val="24"/>
        </w:rPr>
        <w:t>Монгол Улсын эдийн засгийн 2023 оны урьдчилсан гүйцэтгэл</w:t>
      </w:r>
      <w:bookmarkEnd w:id="20"/>
      <w:bookmarkEnd w:id="21"/>
      <w:bookmarkEnd w:id="22"/>
      <w:bookmarkEnd w:id="23"/>
    </w:p>
    <w:p w14:paraId="68C18A93" w14:textId="61B841C1" w:rsidR="00120DCD" w:rsidRPr="00963C14" w:rsidRDefault="00AA4357" w:rsidP="003D6527">
      <w:pPr>
        <w:spacing w:afterLines="0" w:after="100" w:afterAutospacing="1"/>
        <w:rPr>
          <w:rFonts w:cs="Arial"/>
        </w:rPr>
      </w:pPr>
      <w:r w:rsidRPr="00963C14">
        <w:rPr>
          <w:rFonts w:cs="Arial"/>
        </w:rPr>
        <w:t xml:space="preserve">Урьдчилсан гүйцэтгэлээр </w:t>
      </w:r>
      <w:r w:rsidR="00120DCD" w:rsidRPr="00963C14">
        <w:rPr>
          <w:rFonts w:cs="Arial"/>
        </w:rPr>
        <w:t xml:space="preserve">ДНБ </w:t>
      </w:r>
      <w:r w:rsidRPr="00963C14">
        <w:rPr>
          <w:rFonts w:cs="Arial"/>
        </w:rPr>
        <w:t xml:space="preserve">оны үнээр </w:t>
      </w:r>
      <w:r w:rsidR="00120DCD" w:rsidRPr="00963C14">
        <w:rPr>
          <w:rFonts w:cs="Arial"/>
        </w:rPr>
        <w:t xml:space="preserve">2023 онд 68.9 их наяд </w:t>
      </w:r>
      <w:r w:rsidRPr="00963C14">
        <w:rPr>
          <w:rFonts w:cs="Arial"/>
        </w:rPr>
        <w:t xml:space="preserve">төгрөг, </w:t>
      </w:r>
      <w:r w:rsidR="00120DCD" w:rsidRPr="00963C14">
        <w:rPr>
          <w:rFonts w:cs="Arial"/>
        </w:rPr>
        <w:t xml:space="preserve">зэрэгцүүлэх үнээр 30.5 их наяд төгрөг болж, өмнөх оноос 7.0 хувиар </w:t>
      </w:r>
      <w:r w:rsidRPr="00963C14">
        <w:rPr>
          <w:rFonts w:cs="Arial"/>
        </w:rPr>
        <w:t>өслөө.</w:t>
      </w:r>
      <w:r w:rsidR="006C7721" w:rsidRPr="00963C14">
        <w:rPr>
          <w:rFonts w:cs="Arial"/>
        </w:rPr>
        <w:t xml:space="preserve"> </w:t>
      </w:r>
      <w:r w:rsidR="00120DCD" w:rsidRPr="00963C14">
        <w:rPr>
          <w:rFonts w:cs="Arial"/>
        </w:rPr>
        <w:t xml:space="preserve">Эдийн засгийн өсөлтөд хөдөө аж ахуйгаас бусад салбарууд эерэг нөлөө үзүүлэв. </w:t>
      </w:r>
    </w:p>
    <w:p w14:paraId="63EE1FA3" w14:textId="54C0D6E1" w:rsidR="00120DCD" w:rsidRPr="00963C14" w:rsidRDefault="000D3484" w:rsidP="003D6527">
      <w:pPr>
        <w:spacing w:afterLines="0" w:after="100" w:afterAutospacing="1"/>
        <w:rPr>
          <w:rFonts w:cs="Arial"/>
        </w:rPr>
      </w:pPr>
      <w:r w:rsidRPr="00963C14">
        <w:rPr>
          <w:rFonts w:cs="Arial"/>
        </w:rPr>
        <w:t>У</w:t>
      </w:r>
      <w:r w:rsidR="00120DCD" w:rsidRPr="00963C14">
        <w:rPr>
          <w:rFonts w:cs="Arial"/>
        </w:rPr>
        <w:t xml:space="preserve">ул уурхайн салбар </w:t>
      </w:r>
      <w:r w:rsidR="00182EF2" w:rsidRPr="00963C14">
        <w:rPr>
          <w:rFonts w:cs="Arial"/>
        </w:rPr>
        <w:t xml:space="preserve">2022 онд 15.3 хувиар агшаад байсан бол </w:t>
      </w:r>
      <w:r w:rsidR="00A10D63" w:rsidRPr="00963C14">
        <w:rPr>
          <w:rFonts w:cs="Arial"/>
        </w:rPr>
        <w:t xml:space="preserve">2023 онд </w:t>
      </w:r>
      <w:r w:rsidR="00120DCD" w:rsidRPr="00963C14">
        <w:rPr>
          <w:rFonts w:cs="Arial"/>
        </w:rPr>
        <w:t>нүүрс</w:t>
      </w:r>
      <w:r w:rsidR="00182EF2" w:rsidRPr="00963C14">
        <w:rPr>
          <w:rFonts w:cs="Arial"/>
        </w:rPr>
        <w:t>,</w:t>
      </w:r>
      <w:r w:rsidR="00120DCD" w:rsidRPr="00963C14">
        <w:rPr>
          <w:rFonts w:cs="Arial"/>
        </w:rPr>
        <w:t xml:space="preserve"> газрын тос</w:t>
      </w:r>
      <w:r w:rsidR="00A10D63" w:rsidRPr="00963C14">
        <w:rPr>
          <w:rFonts w:cs="Arial"/>
        </w:rPr>
        <w:t>ны</w:t>
      </w:r>
      <w:r w:rsidR="00120DCD" w:rsidRPr="00963C14">
        <w:rPr>
          <w:rFonts w:cs="Arial"/>
        </w:rPr>
        <w:t xml:space="preserve"> олборлолт, зэсийн баяжмалын үйлдвэрлэл нэмэгдсэнээр 23.4 хувиар тэллээ. Тухайлбал, нүүрс олборлолт 81.2 сая тоннд хүрч, өмнөх оноос 2.2 дахин, харин цар тахлын өмнөх 2019 оноос 1.6 дахин тус тус нэмэгдээд байна. Оюутолгойн гүний уурхайн үйл ажиллагаа 2023 оны 3 дугаар сард эхэлснээр зэсийн баяжмал үйлдвэрлэл 2023 онд 1,395 мянган тоннд хүрч, өмнөх оноос 17 хувиар өслөө. Түүнчлэн, 2022 оны эхний хагаст хилийн боомтын үйл ажиллагааны хязгаарлалтаас үүдэн зогсоод байсан газрын тосны олборлолт </w:t>
      </w:r>
      <w:r w:rsidR="000E04C2" w:rsidRPr="00963C14">
        <w:rPr>
          <w:rFonts w:cs="Arial"/>
        </w:rPr>
        <w:t xml:space="preserve">2023 онд </w:t>
      </w:r>
      <w:r w:rsidR="00120DCD" w:rsidRPr="00963C14">
        <w:rPr>
          <w:rFonts w:cs="Arial"/>
        </w:rPr>
        <w:t>сэргэж, 4.9 сая баррельд хүрч, өмнөх оноос 91 хувиар нэмэгдсэн байна. Харин алт олборлолт 14.9 тоннд, төмрийн хүдрийн олборлолт 7.6 сая тоннд хүрч, өнгөрсөн оноос 23</w:t>
      </w:r>
      <w:r w:rsidR="005C1AB1" w:rsidRPr="00963C14">
        <w:rPr>
          <w:rFonts w:cs="Arial"/>
        </w:rPr>
        <w:t xml:space="preserve"> хувь</w:t>
      </w:r>
      <w:r w:rsidR="00120DCD" w:rsidRPr="00963C14">
        <w:rPr>
          <w:rFonts w:cs="Arial"/>
        </w:rPr>
        <w:t xml:space="preserve"> болон 19 хувиар тус тус буур</w:t>
      </w:r>
      <w:r w:rsidR="00526EA8" w:rsidRPr="00963C14">
        <w:rPr>
          <w:rFonts w:cs="Arial"/>
        </w:rPr>
        <w:t>ч,</w:t>
      </w:r>
      <w:r w:rsidR="00120DCD" w:rsidRPr="00963C14">
        <w:rPr>
          <w:rFonts w:cs="Arial"/>
        </w:rPr>
        <w:t xml:space="preserve"> 2019 оны түвшинд хүрээгүй хэвээр байна. </w:t>
      </w:r>
      <w:r w:rsidR="00526EA8" w:rsidRPr="00963C14">
        <w:rPr>
          <w:rFonts w:cs="Arial"/>
        </w:rPr>
        <w:t>У</w:t>
      </w:r>
      <w:r w:rsidR="00120DCD" w:rsidRPr="00963C14">
        <w:rPr>
          <w:rFonts w:cs="Arial"/>
        </w:rPr>
        <w:t>ул уурхайн бүтээгдэхүүний экспорт нэмэгдэж, тээвэр зохион байгуулалт сайжир</w:t>
      </w:r>
      <w:r w:rsidR="00120DCD" w:rsidRPr="00963C14">
        <w:rPr>
          <w:rFonts w:cs="Arial"/>
          <w:lang w:eastAsia="ja-JP"/>
        </w:rPr>
        <w:t>с</w:t>
      </w:r>
      <w:r w:rsidR="00FA6E79" w:rsidRPr="00963C14">
        <w:rPr>
          <w:rFonts w:cs="Arial"/>
          <w:lang w:eastAsia="ja-JP"/>
        </w:rPr>
        <w:t>н</w:t>
      </w:r>
      <w:r w:rsidR="001B245A" w:rsidRPr="00963C14">
        <w:rPr>
          <w:rFonts w:cs="Arial"/>
          <w:lang w:eastAsia="ja-JP"/>
        </w:rPr>
        <w:t>ы нөлөөгөө</w:t>
      </w:r>
      <w:r w:rsidR="00FB3AE6" w:rsidRPr="00963C14">
        <w:rPr>
          <w:rFonts w:cs="Arial"/>
          <w:lang w:eastAsia="ja-JP"/>
        </w:rPr>
        <w:t>р</w:t>
      </w:r>
      <w:r w:rsidR="00120DCD" w:rsidRPr="00963C14">
        <w:rPr>
          <w:rFonts w:cs="Arial"/>
        </w:rPr>
        <w:t xml:space="preserve"> </w:t>
      </w:r>
      <w:r w:rsidR="00120DCD" w:rsidRPr="00963C14">
        <w:rPr>
          <w:rFonts w:cs="Arial"/>
          <w:lang w:eastAsia="ja-JP"/>
        </w:rPr>
        <w:t>a</w:t>
      </w:r>
      <w:r w:rsidR="00120DCD" w:rsidRPr="00963C14">
        <w:rPr>
          <w:rFonts w:cs="Arial"/>
        </w:rPr>
        <w:t>вто болон төмөр замаар тээсэн ачаа, дамжин өнгөрөх ачаа тээвэр нэмэгдэн тээврийн салбар 39.3 хувиар тэлж, нийт эдийн засгийн өсөлтийн 1.8 нэгж хувийг бүрдүүлэв.</w:t>
      </w:r>
    </w:p>
    <w:p w14:paraId="4140A22E" w14:textId="45833F69" w:rsidR="00120DCD" w:rsidRPr="00963C14" w:rsidRDefault="00120DCD" w:rsidP="003D6527">
      <w:pPr>
        <w:spacing w:afterLines="0" w:after="100" w:afterAutospacing="1"/>
        <w:rPr>
          <w:rFonts w:cs="Arial"/>
        </w:rPr>
      </w:pPr>
      <w:r w:rsidRPr="00963C14">
        <w:rPr>
          <w:rFonts w:cs="Arial"/>
        </w:rPr>
        <w:t>Өрхийн орлого сэргэ</w:t>
      </w:r>
      <w:r w:rsidR="00A44371" w:rsidRPr="00963C14">
        <w:rPr>
          <w:rFonts w:cs="Arial"/>
        </w:rPr>
        <w:t>н</w:t>
      </w:r>
      <w:r w:rsidRPr="00963C14">
        <w:rPr>
          <w:rFonts w:cs="Arial"/>
        </w:rPr>
        <w:t xml:space="preserve"> эдийн засгий</w:t>
      </w:r>
      <w:r w:rsidR="008163C2" w:rsidRPr="00963C14">
        <w:rPr>
          <w:rFonts w:cs="Arial"/>
        </w:rPr>
        <w:t>г</w:t>
      </w:r>
      <w:r w:rsidRPr="00963C14">
        <w:rPr>
          <w:rFonts w:cs="Arial"/>
        </w:rPr>
        <w:t xml:space="preserve"> </w:t>
      </w:r>
      <w:r w:rsidR="008163C2" w:rsidRPr="00963C14">
        <w:rPr>
          <w:rFonts w:cs="Arial"/>
        </w:rPr>
        <w:t>идэвхжүүлсний</w:t>
      </w:r>
      <w:r w:rsidRPr="00963C14">
        <w:rPr>
          <w:rFonts w:cs="Arial"/>
        </w:rPr>
        <w:t xml:space="preserve"> нөлөөгөөр 2023 онд </w:t>
      </w:r>
      <w:r w:rsidR="008163C2" w:rsidRPr="00963C14">
        <w:rPr>
          <w:rFonts w:cs="Arial"/>
        </w:rPr>
        <w:t xml:space="preserve">аялал жуулчлал, </w:t>
      </w:r>
      <w:r w:rsidRPr="00963C14">
        <w:rPr>
          <w:rFonts w:cs="Arial"/>
        </w:rPr>
        <w:t>худалдаа, үйлчилгээний салбарууд болон цэвэр татварын орлого өслөө. Тухайлбал, бөөний болон жижиглэн худалдааны салбар 2023 онд 5.7 хувиар тэлсэн байна. Үйлчилгээний бусад салбаруудын хувьд удирдлагын дэмжлэг үзүүлэх, зочид буудал, нийтийн хоол, шинжлэх ухааны үйл ажиллагаа, урлаг, үзвэрийн үйлчилгээн</w:t>
      </w:r>
      <w:r w:rsidR="00C3143B" w:rsidRPr="00963C14">
        <w:rPr>
          <w:rFonts w:cs="Arial"/>
        </w:rPr>
        <w:t>үүд</w:t>
      </w:r>
      <w:r w:rsidRPr="00963C14">
        <w:rPr>
          <w:rFonts w:cs="Arial"/>
        </w:rPr>
        <w:t xml:space="preserve"> өсөлттэй байлаа. Засгийн газар 2023 оны 2 дугаар сард махны экспортын тоо хэмжээний хязгаарлалтыг цуцалснаар мах боловсруулах үйлдвэрлэл</w:t>
      </w:r>
      <w:r w:rsidR="00B00BC2" w:rsidRPr="00963C14">
        <w:rPr>
          <w:rFonts w:cs="Arial"/>
        </w:rPr>
        <w:t>,</w:t>
      </w:r>
      <w:r w:rsidRPr="00963C14">
        <w:rPr>
          <w:rFonts w:cs="Arial"/>
        </w:rPr>
        <w:t xml:space="preserve"> махны экспорт өс</w:t>
      </w:r>
      <w:r w:rsidR="00194299" w:rsidRPr="00963C14">
        <w:rPr>
          <w:rFonts w:cs="Arial"/>
        </w:rPr>
        <w:t>өж</w:t>
      </w:r>
      <w:r w:rsidR="00B37442" w:rsidRPr="00963C14">
        <w:rPr>
          <w:rFonts w:cs="Arial"/>
        </w:rPr>
        <w:t>,</w:t>
      </w:r>
      <w:r w:rsidRPr="00963C14">
        <w:rPr>
          <w:rFonts w:cs="Arial"/>
        </w:rPr>
        <w:t xml:space="preserve"> боловсруулах салбар өмнөх оноос 5.1 хувиар тэлж, нийт өсөлтийн 0.4 нэгж хувийг бүрдүүлэв.</w:t>
      </w:r>
    </w:p>
    <w:p w14:paraId="679AA31D" w14:textId="4F6EFEC6" w:rsidR="00120DCD" w:rsidRPr="00963C14" w:rsidRDefault="00120DCD" w:rsidP="003D6527">
      <w:pPr>
        <w:spacing w:afterLines="0" w:after="100" w:afterAutospacing="1"/>
        <w:rPr>
          <w:rFonts w:cs="Arial"/>
        </w:rPr>
      </w:pPr>
      <w:r w:rsidRPr="00963C14">
        <w:rPr>
          <w:rFonts w:cs="Arial"/>
        </w:rPr>
        <w:t xml:space="preserve">Ковид-19 цар тахал, геополитикийн тогтворгүй байдлаас шалтгаалан барилгын материалын нийлүүлэлт </w:t>
      </w:r>
      <w:r w:rsidR="00BA6485" w:rsidRPr="00963C14">
        <w:rPr>
          <w:rFonts w:cs="Arial"/>
        </w:rPr>
        <w:t>тасалдсанаар</w:t>
      </w:r>
      <w:r w:rsidRPr="00963C14">
        <w:rPr>
          <w:rFonts w:cs="Arial"/>
        </w:rPr>
        <w:t xml:space="preserve"> барилгын </w:t>
      </w:r>
      <w:r w:rsidR="00124BCD" w:rsidRPr="00963C14">
        <w:rPr>
          <w:rFonts w:cs="Arial"/>
        </w:rPr>
        <w:t>материалын үн</w:t>
      </w:r>
      <w:r w:rsidR="00FC21B5" w:rsidRPr="00963C14">
        <w:rPr>
          <w:rFonts w:cs="Arial"/>
        </w:rPr>
        <w:t>э</w:t>
      </w:r>
      <w:r w:rsidRPr="00963C14">
        <w:rPr>
          <w:rFonts w:cs="Arial"/>
        </w:rPr>
        <w:t xml:space="preserve"> өс</w:t>
      </w:r>
      <w:r w:rsidR="000B6870" w:rsidRPr="00963C14">
        <w:rPr>
          <w:rFonts w:cs="Arial"/>
        </w:rPr>
        <w:t>сөн нь</w:t>
      </w:r>
      <w:r w:rsidRPr="00963C14">
        <w:rPr>
          <w:rFonts w:cs="Arial"/>
        </w:rPr>
        <w:t xml:space="preserve"> барилгын салбарын өсөлт </w:t>
      </w:r>
      <w:r w:rsidR="000B6870" w:rsidRPr="00963C14">
        <w:rPr>
          <w:rFonts w:cs="Arial"/>
        </w:rPr>
        <w:t>саар</w:t>
      </w:r>
      <w:r w:rsidR="00BA6485" w:rsidRPr="00963C14">
        <w:rPr>
          <w:rFonts w:cs="Arial"/>
        </w:rPr>
        <w:t>уу</w:t>
      </w:r>
      <w:r w:rsidR="00456AC9" w:rsidRPr="00963C14">
        <w:rPr>
          <w:rFonts w:cs="Arial"/>
        </w:rPr>
        <w:t>лж, 2023 онд</w:t>
      </w:r>
      <w:r w:rsidR="000B6870" w:rsidRPr="00963C14">
        <w:rPr>
          <w:rFonts w:cs="Arial"/>
        </w:rPr>
        <w:t xml:space="preserve"> </w:t>
      </w:r>
      <w:r w:rsidRPr="00963C14">
        <w:rPr>
          <w:rFonts w:cs="Arial"/>
        </w:rPr>
        <w:t>0.6 хув</w:t>
      </w:r>
      <w:r w:rsidR="004A2846" w:rsidRPr="00963C14">
        <w:rPr>
          <w:rFonts w:cs="Arial"/>
        </w:rPr>
        <w:t>иар өслөө</w:t>
      </w:r>
      <w:r w:rsidR="000B6870" w:rsidRPr="00963C14">
        <w:rPr>
          <w:rFonts w:cs="Arial"/>
        </w:rPr>
        <w:t>.</w:t>
      </w:r>
      <w:r w:rsidRPr="00963C14">
        <w:rPr>
          <w:rFonts w:cs="Arial"/>
        </w:rPr>
        <w:t xml:space="preserve"> 2022 он төмөр зам, автозамын томоохон бүтээн байгуулалт хэрэгжсэн жил байсан </w:t>
      </w:r>
      <w:r w:rsidR="004D7146" w:rsidRPr="00963C14">
        <w:rPr>
          <w:rFonts w:cs="Arial"/>
        </w:rPr>
        <w:t xml:space="preserve">бол </w:t>
      </w:r>
      <w:r w:rsidRPr="00963C14">
        <w:rPr>
          <w:rFonts w:cs="Arial"/>
        </w:rPr>
        <w:t>2023 онд</w:t>
      </w:r>
      <w:r w:rsidR="00C02561" w:rsidRPr="00963C14">
        <w:rPr>
          <w:rFonts w:cs="Arial"/>
        </w:rPr>
        <w:t xml:space="preserve"> </w:t>
      </w:r>
      <w:r w:rsidR="00E356E5" w:rsidRPr="00963C14">
        <w:rPr>
          <w:rFonts w:cs="Arial"/>
        </w:rPr>
        <w:t>дээрх суурийн нөлөөгөөр инженерийн барилга байгууламж</w:t>
      </w:r>
      <w:r w:rsidRPr="00963C14">
        <w:rPr>
          <w:rFonts w:cs="Arial"/>
        </w:rPr>
        <w:t xml:space="preserve"> буур</w:t>
      </w:r>
      <w:r w:rsidR="00125E27" w:rsidRPr="00963C14">
        <w:rPr>
          <w:rFonts w:cs="Arial"/>
        </w:rPr>
        <w:t>ч, барилгын салбарын өсөлтийг хязгаарлас</w:t>
      </w:r>
      <w:r w:rsidR="00E356E5" w:rsidRPr="00963C14">
        <w:rPr>
          <w:rFonts w:cs="Arial"/>
        </w:rPr>
        <w:t>ан байна</w:t>
      </w:r>
      <w:r w:rsidRPr="00963C14">
        <w:rPr>
          <w:rFonts w:cs="Arial"/>
        </w:rPr>
        <w:t>.</w:t>
      </w:r>
    </w:p>
    <w:p w14:paraId="327078A9" w14:textId="36286FE4" w:rsidR="008F123F" w:rsidRPr="00963C14" w:rsidRDefault="00120DCD" w:rsidP="003D6527">
      <w:pPr>
        <w:spacing w:afterLines="0" w:after="100" w:afterAutospacing="1"/>
        <w:rPr>
          <w:rFonts w:cs="Arial"/>
        </w:rPr>
      </w:pPr>
      <w:r w:rsidRPr="00963C14">
        <w:rPr>
          <w:rFonts w:cs="Arial"/>
        </w:rPr>
        <w:t xml:space="preserve">Харин өвөлжилт хүндэрснээр хөдөө аж ахуйн салбарын 90 гаруй хувийг бүрдүүлдэг мал аж ахуйн үйлдвэрлэл буурч, нийт эдийн засгийн өсөлтөд сөргөөр нөлөөллөө. Оны эхнээс төл бойжилт 28 хувиар буурч, малын </w:t>
      </w:r>
      <w:r w:rsidR="00125E27" w:rsidRPr="00963C14">
        <w:rPr>
          <w:rFonts w:cs="Arial"/>
        </w:rPr>
        <w:t xml:space="preserve">зүй бус </w:t>
      </w:r>
      <w:r w:rsidRPr="00963C14">
        <w:rPr>
          <w:rFonts w:cs="Arial"/>
        </w:rPr>
        <w:t xml:space="preserve">хорогдол өмнөх оноос 6.4 дахин нэмэгдсэнээр мал аж ахуйн салбар 10.3 хувиар агшиж, нийт эдийн засгийн өсөлтийг 1.4 нэгж хувиар бууруулав. Харин газар тариалангийн салбарын үйлдвэрлэл өмнөх оноос 8 хувиар өсөж, өсөлтөд эергээр нөлөөлсөн байна. </w:t>
      </w:r>
      <w:r w:rsidR="008F123F" w:rsidRPr="00963C14">
        <w:t xml:space="preserve"> </w:t>
      </w:r>
    </w:p>
    <w:tbl>
      <w:tblPr>
        <w:tblW w:w="0" w:type="auto"/>
        <w:tblLook w:val="04A0" w:firstRow="1" w:lastRow="0" w:firstColumn="1" w:lastColumn="0" w:noHBand="0" w:noVBand="1"/>
      </w:tblPr>
      <w:tblGrid>
        <w:gridCol w:w="4913"/>
        <w:gridCol w:w="4582"/>
      </w:tblGrid>
      <w:tr w:rsidR="00EE1D3A" w:rsidRPr="00963C14" w14:paraId="683F5240" w14:textId="77777777" w:rsidTr="0019166F">
        <w:trPr>
          <w:cantSplit/>
          <w:trHeight w:val="468"/>
        </w:trPr>
        <w:tc>
          <w:tcPr>
            <w:tcW w:w="0" w:type="auto"/>
            <w:tcBorders>
              <w:bottom w:val="single" w:sz="4" w:space="0" w:color="auto"/>
            </w:tcBorders>
          </w:tcPr>
          <w:p w14:paraId="4C6F4155" w14:textId="4C7BFD3B" w:rsidR="00EE1D3A" w:rsidRPr="00963C14" w:rsidRDefault="00EE1D3A" w:rsidP="005636E6">
            <w:pPr>
              <w:spacing w:afterLines="0" w:after="0"/>
              <w:jc w:val="left"/>
              <w:rPr>
                <w:rFonts w:cs="Arial"/>
                <w:i/>
                <w:color w:val="055957"/>
                <w:sz w:val="20"/>
                <w:szCs w:val="18"/>
              </w:rPr>
            </w:pPr>
            <w:r w:rsidRPr="00963C14">
              <w:rPr>
                <w:rFonts w:cs="Arial"/>
                <w:i/>
                <w:color w:val="055957"/>
                <w:sz w:val="20"/>
                <w:szCs w:val="18"/>
              </w:rPr>
              <w:t>Хүснэгт 1.2. Эдийн засгийн өсөлтийн бүтэц (</w:t>
            </w:r>
            <w:r w:rsidR="00F347D5" w:rsidRPr="00963C14">
              <w:rPr>
                <w:rFonts w:cs="Arial"/>
                <w:i/>
                <w:color w:val="055957"/>
                <w:sz w:val="20"/>
                <w:szCs w:val="18"/>
              </w:rPr>
              <w:t>н</w:t>
            </w:r>
            <w:r w:rsidRPr="00963C14">
              <w:rPr>
                <w:rFonts w:cs="Arial"/>
                <w:i/>
                <w:color w:val="055957"/>
                <w:sz w:val="20"/>
                <w:szCs w:val="18"/>
              </w:rPr>
              <w:t xml:space="preserve">эгж хувь)                                                                          </w:t>
            </w:r>
          </w:p>
        </w:tc>
        <w:tc>
          <w:tcPr>
            <w:tcW w:w="0" w:type="auto"/>
            <w:tcBorders>
              <w:bottom w:val="single" w:sz="4" w:space="0" w:color="auto"/>
            </w:tcBorders>
          </w:tcPr>
          <w:p w14:paraId="632A48FF" w14:textId="77777777" w:rsidR="00EE1D3A" w:rsidRPr="00963C14" w:rsidRDefault="00EE1D3A" w:rsidP="005636E6">
            <w:pPr>
              <w:spacing w:afterLines="0" w:after="0"/>
              <w:jc w:val="left"/>
              <w:rPr>
                <w:i/>
                <w:color w:val="055957"/>
                <w:sz w:val="20"/>
                <w:szCs w:val="20"/>
              </w:rPr>
            </w:pPr>
            <w:r w:rsidRPr="00963C14">
              <w:rPr>
                <w:rFonts w:cs="Arial"/>
                <w:i/>
                <w:color w:val="055957"/>
                <w:sz w:val="20"/>
                <w:szCs w:val="20"/>
              </w:rPr>
              <w:t xml:space="preserve">Зураг 1.7. </w:t>
            </w:r>
            <w:r w:rsidRPr="00963C14">
              <w:rPr>
                <w:rFonts w:eastAsia="SimSun" w:cs="Arial"/>
                <w:i/>
                <w:color w:val="055957"/>
                <w:sz w:val="20"/>
                <w:szCs w:val="20"/>
              </w:rPr>
              <w:t xml:space="preserve">Эдийн засгийн өсөлт дэх салбаруудын оролцоо </w:t>
            </w:r>
            <w:r w:rsidRPr="00963C14">
              <w:rPr>
                <w:rFonts w:cs="Arial" w:hint="eastAsia"/>
                <w:i/>
                <w:color w:val="055957"/>
                <w:sz w:val="20"/>
                <w:szCs w:val="20"/>
                <w:lang w:eastAsia="ja-JP"/>
              </w:rPr>
              <w:t>(</w:t>
            </w:r>
            <w:r w:rsidRPr="00963C14">
              <w:rPr>
                <w:rFonts w:eastAsia="SimSun" w:cs="Arial"/>
                <w:i/>
                <w:color w:val="055957"/>
                <w:sz w:val="20"/>
                <w:szCs w:val="20"/>
              </w:rPr>
              <w:t>нэгж хувь)</w:t>
            </w:r>
          </w:p>
        </w:tc>
      </w:tr>
      <w:tr w:rsidR="00EE1D3A" w:rsidRPr="00963C14" w14:paraId="55743FC6" w14:textId="77777777">
        <w:trPr>
          <w:cantSplit/>
          <w:trHeight w:val="407"/>
        </w:trPr>
        <w:tc>
          <w:tcPr>
            <w:tcW w:w="0" w:type="auto"/>
          </w:tcPr>
          <w:tbl>
            <w:tblPr>
              <w:tblW w:w="4627" w:type="dxa"/>
              <w:tblInd w:w="61" w:type="dxa"/>
              <w:tblLook w:val="04A0" w:firstRow="1" w:lastRow="0" w:firstColumn="1" w:lastColumn="0" w:noHBand="0" w:noVBand="1"/>
            </w:tblPr>
            <w:tblGrid>
              <w:gridCol w:w="1477"/>
              <w:gridCol w:w="630"/>
              <w:gridCol w:w="630"/>
              <w:gridCol w:w="630"/>
              <w:gridCol w:w="630"/>
              <w:gridCol w:w="630"/>
            </w:tblGrid>
            <w:tr w:rsidR="00EE1D3A" w:rsidRPr="00963C14" w14:paraId="7BE43D00" w14:textId="77777777">
              <w:trPr>
                <w:trHeight w:val="271"/>
              </w:trPr>
              <w:tc>
                <w:tcPr>
                  <w:tcW w:w="1477" w:type="dxa"/>
                  <w:shd w:val="clear" w:color="auto" w:fill="11A795"/>
                  <w:vAlign w:val="center"/>
                  <w:hideMark/>
                </w:tcPr>
                <w:p w14:paraId="60434581" w14:textId="77777777" w:rsidR="00EE1D3A" w:rsidRPr="00963C14" w:rsidRDefault="00EE1D3A">
                  <w:pPr>
                    <w:tabs>
                      <w:tab w:val="right" w:leader="dot" w:pos="9354"/>
                    </w:tabs>
                    <w:spacing w:afterLines="0" w:after="0" w:line="240" w:lineRule="auto"/>
                    <w:jc w:val="left"/>
                    <w:rPr>
                      <w:rFonts w:eastAsia="Times New Roman" w:cs="Arial"/>
                      <w:b/>
                      <w:color w:val="FFFFFF" w:themeColor="background1"/>
                      <w:kern w:val="0"/>
                      <w:sz w:val="16"/>
                      <w:szCs w:val="16"/>
                      <w14:ligatures w14:val="none"/>
                    </w:rPr>
                  </w:pPr>
                  <w:r w:rsidRPr="00963C14">
                    <w:rPr>
                      <w:rFonts w:eastAsia="Times New Roman" w:cs="Arial"/>
                      <w:b/>
                      <w:color w:val="FFFFFF" w:themeColor="background1"/>
                      <w:kern w:val="0"/>
                      <w:sz w:val="16"/>
                      <w:szCs w:val="16"/>
                      <w14:ligatures w14:val="none"/>
                    </w:rPr>
                    <w:t>Үзүүлэлт</w:t>
                  </w:r>
                </w:p>
              </w:tc>
              <w:tc>
                <w:tcPr>
                  <w:tcW w:w="630" w:type="dxa"/>
                  <w:shd w:val="clear" w:color="auto" w:fill="11A795"/>
                  <w:vAlign w:val="center"/>
                </w:tcPr>
                <w:p w14:paraId="0FCE410E" w14:textId="77777777" w:rsidR="00EE1D3A" w:rsidRPr="00963C14" w:rsidRDefault="00EE1D3A">
                  <w:pPr>
                    <w:tabs>
                      <w:tab w:val="right" w:leader="dot" w:pos="9354"/>
                    </w:tabs>
                    <w:spacing w:afterLines="0" w:after="0" w:line="240" w:lineRule="auto"/>
                    <w:jc w:val="right"/>
                    <w:rPr>
                      <w:rFonts w:eastAsia="Times New Roman" w:cs="Arial"/>
                      <w:b/>
                      <w:color w:val="FFFFFF" w:themeColor="background1"/>
                      <w:kern w:val="0"/>
                      <w:sz w:val="16"/>
                      <w:szCs w:val="16"/>
                      <w14:ligatures w14:val="none"/>
                    </w:rPr>
                  </w:pPr>
                  <w:r w:rsidRPr="00963C14">
                    <w:rPr>
                      <w:rFonts w:eastAsia="Times New Roman" w:cs="Arial"/>
                      <w:b/>
                      <w:color w:val="FFFFFF" w:themeColor="background1"/>
                      <w:kern w:val="0"/>
                      <w:sz w:val="16"/>
                      <w:szCs w:val="16"/>
                      <w14:ligatures w14:val="none"/>
                    </w:rPr>
                    <w:t>2019</w:t>
                  </w:r>
                </w:p>
              </w:tc>
              <w:tc>
                <w:tcPr>
                  <w:tcW w:w="630" w:type="dxa"/>
                  <w:shd w:val="clear" w:color="auto" w:fill="11A795"/>
                  <w:vAlign w:val="center"/>
                </w:tcPr>
                <w:p w14:paraId="76A26BBB" w14:textId="77777777" w:rsidR="00EE1D3A" w:rsidRPr="00963C14" w:rsidRDefault="00EE1D3A">
                  <w:pPr>
                    <w:tabs>
                      <w:tab w:val="right" w:leader="dot" w:pos="9354"/>
                    </w:tabs>
                    <w:spacing w:afterLines="0" w:after="0" w:line="240" w:lineRule="auto"/>
                    <w:jc w:val="right"/>
                    <w:rPr>
                      <w:rFonts w:eastAsia="Times New Roman" w:cs="Arial"/>
                      <w:b/>
                      <w:color w:val="FFFFFF" w:themeColor="background1"/>
                      <w:kern w:val="0"/>
                      <w:sz w:val="16"/>
                      <w:szCs w:val="16"/>
                      <w14:ligatures w14:val="none"/>
                    </w:rPr>
                  </w:pPr>
                  <w:r w:rsidRPr="00963C14">
                    <w:rPr>
                      <w:rFonts w:eastAsia="Times New Roman" w:cs="Arial"/>
                      <w:b/>
                      <w:color w:val="FFFFFF" w:themeColor="background1"/>
                      <w:kern w:val="0"/>
                      <w:sz w:val="16"/>
                      <w:szCs w:val="16"/>
                      <w14:ligatures w14:val="none"/>
                    </w:rPr>
                    <w:t>2020</w:t>
                  </w:r>
                </w:p>
              </w:tc>
              <w:tc>
                <w:tcPr>
                  <w:tcW w:w="630" w:type="dxa"/>
                  <w:shd w:val="clear" w:color="auto" w:fill="11A795"/>
                  <w:vAlign w:val="center"/>
                  <w:hideMark/>
                </w:tcPr>
                <w:p w14:paraId="500BE73C" w14:textId="77777777" w:rsidR="00EE1D3A" w:rsidRPr="00963C14" w:rsidRDefault="00EE1D3A">
                  <w:pPr>
                    <w:tabs>
                      <w:tab w:val="right" w:leader="dot" w:pos="9354"/>
                    </w:tabs>
                    <w:spacing w:afterLines="0" w:after="0" w:line="240" w:lineRule="auto"/>
                    <w:jc w:val="right"/>
                    <w:rPr>
                      <w:rFonts w:eastAsia="Times New Roman" w:cs="Arial"/>
                      <w:b/>
                      <w:color w:val="FFFFFF" w:themeColor="background1"/>
                      <w:kern w:val="0"/>
                      <w:sz w:val="16"/>
                      <w:szCs w:val="16"/>
                      <w14:ligatures w14:val="none"/>
                    </w:rPr>
                  </w:pPr>
                  <w:r w:rsidRPr="00963C14">
                    <w:rPr>
                      <w:rFonts w:eastAsia="Times New Roman" w:cs="Arial"/>
                      <w:b/>
                      <w:color w:val="FFFFFF" w:themeColor="background1"/>
                      <w:kern w:val="0"/>
                      <w:sz w:val="16"/>
                      <w:szCs w:val="16"/>
                      <w14:ligatures w14:val="none"/>
                    </w:rPr>
                    <w:t>2021</w:t>
                  </w:r>
                </w:p>
              </w:tc>
              <w:tc>
                <w:tcPr>
                  <w:tcW w:w="630" w:type="dxa"/>
                  <w:shd w:val="clear" w:color="auto" w:fill="11A795"/>
                  <w:vAlign w:val="center"/>
                  <w:hideMark/>
                </w:tcPr>
                <w:p w14:paraId="73B2BDD6" w14:textId="77777777" w:rsidR="00EE1D3A" w:rsidRPr="00963C14" w:rsidRDefault="00EE1D3A">
                  <w:pPr>
                    <w:tabs>
                      <w:tab w:val="right" w:leader="dot" w:pos="9354"/>
                    </w:tabs>
                    <w:spacing w:afterLines="0" w:after="0" w:line="240" w:lineRule="auto"/>
                    <w:jc w:val="right"/>
                    <w:rPr>
                      <w:rFonts w:eastAsia="Times New Roman" w:cs="Arial"/>
                      <w:b/>
                      <w:color w:val="FFFFFF" w:themeColor="background1"/>
                      <w:kern w:val="0"/>
                      <w:sz w:val="16"/>
                      <w:szCs w:val="16"/>
                      <w14:ligatures w14:val="none"/>
                    </w:rPr>
                  </w:pPr>
                  <w:r w:rsidRPr="00963C14">
                    <w:rPr>
                      <w:rFonts w:eastAsia="Times New Roman" w:cs="Arial"/>
                      <w:b/>
                      <w:color w:val="FFFFFF" w:themeColor="background1"/>
                      <w:kern w:val="0"/>
                      <w:sz w:val="16"/>
                      <w:szCs w:val="16"/>
                      <w14:ligatures w14:val="none"/>
                    </w:rPr>
                    <w:t>2022</w:t>
                  </w:r>
                </w:p>
              </w:tc>
              <w:tc>
                <w:tcPr>
                  <w:tcW w:w="630" w:type="dxa"/>
                  <w:shd w:val="clear" w:color="auto" w:fill="11A795"/>
                  <w:vAlign w:val="center"/>
                  <w:hideMark/>
                </w:tcPr>
                <w:p w14:paraId="2B29C12A" w14:textId="77777777" w:rsidR="00EE1D3A" w:rsidRPr="00963C14" w:rsidRDefault="00EE1D3A">
                  <w:pPr>
                    <w:tabs>
                      <w:tab w:val="right" w:leader="dot" w:pos="9354"/>
                    </w:tabs>
                    <w:spacing w:afterLines="0" w:after="0" w:line="240" w:lineRule="auto"/>
                    <w:jc w:val="right"/>
                    <w:rPr>
                      <w:rFonts w:eastAsia="Times New Roman" w:cs="Arial"/>
                      <w:b/>
                      <w:color w:val="FFFFFF" w:themeColor="background1"/>
                      <w:kern w:val="0"/>
                      <w:sz w:val="16"/>
                      <w:szCs w:val="16"/>
                      <w14:ligatures w14:val="none"/>
                    </w:rPr>
                  </w:pPr>
                  <w:r w:rsidRPr="00963C14">
                    <w:rPr>
                      <w:rFonts w:eastAsia="Times New Roman" w:cs="Arial"/>
                      <w:b/>
                      <w:color w:val="FFFFFF" w:themeColor="background1"/>
                      <w:kern w:val="0"/>
                      <w:sz w:val="16"/>
                      <w:szCs w:val="16"/>
                      <w14:ligatures w14:val="none"/>
                    </w:rPr>
                    <w:t>2023</w:t>
                  </w:r>
                </w:p>
              </w:tc>
            </w:tr>
            <w:tr w:rsidR="00EE1D3A" w:rsidRPr="00963C14" w14:paraId="28D2BEDF" w14:textId="77777777">
              <w:trPr>
                <w:trHeight w:val="258"/>
              </w:trPr>
              <w:tc>
                <w:tcPr>
                  <w:tcW w:w="1477" w:type="dxa"/>
                  <w:tcBorders>
                    <w:bottom w:val="single" w:sz="4" w:space="0" w:color="auto"/>
                  </w:tcBorders>
                  <w:shd w:val="clear" w:color="auto" w:fill="auto"/>
                  <w:vAlign w:val="center"/>
                  <w:hideMark/>
                </w:tcPr>
                <w:p w14:paraId="7E05138B" w14:textId="77777777" w:rsidR="00EE1D3A" w:rsidRPr="00963C14" w:rsidRDefault="00EE1D3A">
                  <w:pPr>
                    <w:tabs>
                      <w:tab w:val="right" w:leader="dot" w:pos="9354"/>
                    </w:tabs>
                    <w:spacing w:afterLines="0" w:after="0" w:line="240" w:lineRule="auto"/>
                    <w:jc w:val="left"/>
                    <w:rPr>
                      <w:rFonts w:eastAsia="Times New Roman" w:cs="Arial"/>
                      <w:b/>
                      <w:color w:val="000000" w:themeColor="text1"/>
                      <w:kern w:val="0"/>
                      <w:sz w:val="16"/>
                      <w:szCs w:val="16"/>
                      <w14:ligatures w14:val="none"/>
                    </w:rPr>
                  </w:pPr>
                  <w:r w:rsidRPr="00963C14">
                    <w:rPr>
                      <w:rFonts w:eastAsia="Times New Roman" w:cs="Arial"/>
                      <w:b/>
                      <w:color w:val="000000" w:themeColor="text1"/>
                      <w:kern w:val="0"/>
                      <w:sz w:val="16"/>
                      <w:szCs w:val="16"/>
                      <w14:ligatures w14:val="none"/>
                    </w:rPr>
                    <w:t>ДНБ</w:t>
                  </w:r>
                </w:p>
              </w:tc>
              <w:tc>
                <w:tcPr>
                  <w:tcW w:w="630" w:type="dxa"/>
                  <w:tcBorders>
                    <w:bottom w:val="single" w:sz="4" w:space="0" w:color="auto"/>
                  </w:tcBorders>
                  <w:vAlign w:val="center"/>
                </w:tcPr>
                <w:p w14:paraId="23CBC717" w14:textId="77777777" w:rsidR="00EE1D3A" w:rsidRPr="00963C14" w:rsidRDefault="00EE1D3A">
                  <w:pPr>
                    <w:tabs>
                      <w:tab w:val="right" w:leader="dot" w:pos="9354"/>
                    </w:tabs>
                    <w:spacing w:afterLines="0" w:after="0" w:line="240" w:lineRule="auto"/>
                    <w:jc w:val="right"/>
                    <w:rPr>
                      <w:rFonts w:eastAsia="Times New Roman" w:cs="Arial"/>
                      <w:b/>
                      <w:color w:val="000000" w:themeColor="text1"/>
                      <w:kern w:val="0"/>
                      <w:sz w:val="16"/>
                      <w:szCs w:val="16"/>
                      <w14:ligatures w14:val="none"/>
                    </w:rPr>
                  </w:pPr>
                  <w:r w:rsidRPr="00963C14">
                    <w:rPr>
                      <w:rFonts w:eastAsia="Times New Roman" w:cs="Arial"/>
                      <w:b/>
                      <w:color w:val="000000" w:themeColor="text1"/>
                      <w:kern w:val="0"/>
                      <w:sz w:val="16"/>
                      <w:szCs w:val="16"/>
                      <w14:ligatures w14:val="none"/>
                    </w:rPr>
                    <w:t>5.6</w:t>
                  </w:r>
                </w:p>
              </w:tc>
              <w:tc>
                <w:tcPr>
                  <w:tcW w:w="630" w:type="dxa"/>
                  <w:tcBorders>
                    <w:bottom w:val="single" w:sz="4" w:space="0" w:color="auto"/>
                  </w:tcBorders>
                  <w:vAlign w:val="center"/>
                </w:tcPr>
                <w:p w14:paraId="5BA1801D" w14:textId="77777777" w:rsidR="00EE1D3A" w:rsidRPr="00963C14" w:rsidRDefault="00EE1D3A">
                  <w:pPr>
                    <w:tabs>
                      <w:tab w:val="right" w:leader="dot" w:pos="9354"/>
                    </w:tabs>
                    <w:spacing w:afterLines="0" w:after="0" w:line="240" w:lineRule="auto"/>
                    <w:jc w:val="right"/>
                    <w:rPr>
                      <w:rFonts w:eastAsia="Times New Roman" w:cs="Arial"/>
                      <w:b/>
                      <w:color w:val="000000" w:themeColor="text1"/>
                      <w:kern w:val="0"/>
                      <w:sz w:val="16"/>
                      <w:szCs w:val="16"/>
                      <w14:ligatures w14:val="none"/>
                    </w:rPr>
                  </w:pPr>
                  <w:r w:rsidRPr="00963C14">
                    <w:rPr>
                      <w:rFonts w:eastAsia="Times New Roman" w:cs="Arial"/>
                      <w:b/>
                      <w:color w:val="000000" w:themeColor="text1"/>
                      <w:kern w:val="0"/>
                      <w:sz w:val="16"/>
                      <w:szCs w:val="16"/>
                      <w14:ligatures w14:val="none"/>
                    </w:rPr>
                    <w:t>-4.6</w:t>
                  </w:r>
                </w:p>
              </w:tc>
              <w:tc>
                <w:tcPr>
                  <w:tcW w:w="630" w:type="dxa"/>
                  <w:tcBorders>
                    <w:bottom w:val="single" w:sz="4" w:space="0" w:color="auto"/>
                  </w:tcBorders>
                  <w:shd w:val="clear" w:color="auto" w:fill="auto"/>
                  <w:vAlign w:val="center"/>
                  <w:hideMark/>
                </w:tcPr>
                <w:p w14:paraId="5DBCD2AB" w14:textId="77777777" w:rsidR="00EE1D3A" w:rsidRPr="00963C14" w:rsidRDefault="00EE1D3A">
                  <w:pPr>
                    <w:tabs>
                      <w:tab w:val="right" w:leader="dot" w:pos="9354"/>
                    </w:tabs>
                    <w:spacing w:afterLines="0" w:after="0" w:line="240" w:lineRule="auto"/>
                    <w:jc w:val="right"/>
                    <w:rPr>
                      <w:rFonts w:eastAsia="Times New Roman" w:cs="Arial"/>
                      <w:b/>
                      <w:color w:val="000000" w:themeColor="text1"/>
                      <w:kern w:val="0"/>
                      <w:sz w:val="16"/>
                      <w:szCs w:val="16"/>
                      <w14:ligatures w14:val="none"/>
                    </w:rPr>
                  </w:pPr>
                  <w:r w:rsidRPr="00963C14">
                    <w:rPr>
                      <w:rFonts w:eastAsia="Times New Roman" w:cs="Arial"/>
                      <w:b/>
                      <w:color w:val="000000" w:themeColor="text1"/>
                      <w:kern w:val="0"/>
                      <w:sz w:val="16"/>
                      <w:szCs w:val="16"/>
                      <w14:ligatures w14:val="none"/>
                    </w:rPr>
                    <w:t>1.6</w:t>
                  </w:r>
                </w:p>
              </w:tc>
              <w:tc>
                <w:tcPr>
                  <w:tcW w:w="630" w:type="dxa"/>
                  <w:tcBorders>
                    <w:bottom w:val="single" w:sz="4" w:space="0" w:color="auto"/>
                  </w:tcBorders>
                  <w:shd w:val="clear" w:color="auto" w:fill="auto"/>
                  <w:vAlign w:val="center"/>
                  <w:hideMark/>
                </w:tcPr>
                <w:p w14:paraId="2FEAC6CF" w14:textId="77777777" w:rsidR="00EE1D3A" w:rsidRPr="00963C14" w:rsidRDefault="00EE1D3A">
                  <w:pPr>
                    <w:tabs>
                      <w:tab w:val="right" w:leader="dot" w:pos="9354"/>
                    </w:tabs>
                    <w:spacing w:afterLines="0" w:after="0" w:line="240" w:lineRule="auto"/>
                    <w:jc w:val="right"/>
                    <w:rPr>
                      <w:rFonts w:eastAsia="Times New Roman" w:cs="Arial"/>
                      <w:b/>
                      <w:color w:val="000000" w:themeColor="text1"/>
                      <w:kern w:val="0"/>
                      <w:sz w:val="16"/>
                      <w:szCs w:val="16"/>
                      <w14:ligatures w14:val="none"/>
                    </w:rPr>
                  </w:pPr>
                  <w:r w:rsidRPr="00963C14">
                    <w:rPr>
                      <w:rFonts w:eastAsia="Times New Roman" w:cs="Arial"/>
                      <w:b/>
                      <w:color w:val="000000" w:themeColor="text1"/>
                      <w:kern w:val="0"/>
                      <w:sz w:val="16"/>
                      <w:szCs w:val="16"/>
                      <w14:ligatures w14:val="none"/>
                    </w:rPr>
                    <w:t>5.0</w:t>
                  </w:r>
                </w:p>
              </w:tc>
              <w:tc>
                <w:tcPr>
                  <w:tcW w:w="630" w:type="dxa"/>
                  <w:tcBorders>
                    <w:bottom w:val="single" w:sz="4" w:space="0" w:color="auto"/>
                  </w:tcBorders>
                  <w:shd w:val="clear" w:color="auto" w:fill="auto"/>
                  <w:vAlign w:val="center"/>
                  <w:hideMark/>
                </w:tcPr>
                <w:p w14:paraId="5CD9C120" w14:textId="77777777" w:rsidR="00EE1D3A" w:rsidRPr="00963C14" w:rsidRDefault="00EE1D3A">
                  <w:pPr>
                    <w:tabs>
                      <w:tab w:val="right" w:leader="dot" w:pos="9354"/>
                    </w:tabs>
                    <w:spacing w:afterLines="0" w:after="0" w:line="240" w:lineRule="auto"/>
                    <w:jc w:val="right"/>
                    <w:rPr>
                      <w:rFonts w:eastAsia="Times New Roman" w:cs="Arial"/>
                      <w:b/>
                      <w:color w:val="000000" w:themeColor="text1"/>
                      <w:kern w:val="0"/>
                      <w:sz w:val="16"/>
                      <w:szCs w:val="16"/>
                      <w14:ligatures w14:val="none"/>
                    </w:rPr>
                  </w:pPr>
                  <w:r w:rsidRPr="00963C14">
                    <w:rPr>
                      <w:rFonts w:eastAsia="Times New Roman" w:cs="Arial"/>
                      <w:b/>
                      <w:color w:val="000000" w:themeColor="text1"/>
                      <w:kern w:val="0"/>
                      <w:sz w:val="16"/>
                      <w:szCs w:val="16"/>
                      <w14:ligatures w14:val="none"/>
                    </w:rPr>
                    <w:t>7.0</w:t>
                  </w:r>
                </w:p>
              </w:tc>
            </w:tr>
            <w:tr w:rsidR="00EE1D3A" w:rsidRPr="00963C14" w14:paraId="74CC6DDB" w14:textId="77777777">
              <w:trPr>
                <w:trHeight w:val="258"/>
              </w:trPr>
              <w:tc>
                <w:tcPr>
                  <w:tcW w:w="1477" w:type="dxa"/>
                  <w:tcBorders>
                    <w:top w:val="single" w:sz="4" w:space="0" w:color="auto"/>
                  </w:tcBorders>
                  <w:shd w:val="clear" w:color="auto" w:fill="auto"/>
                  <w:vAlign w:val="center"/>
                  <w:hideMark/>
                </w:tcPr>
                <w:p w14:paraId="37F1271C" w14:textId="77777777" w:rsidR="00EE1D3A" w:rsidRPr="00963C14" w:rsidRDefault="00EE1D3A">
                  <w:pPr>
                    <w:tabs>
                      <w:tab w:val="right" w:leader="dot" w:pos="9354"/>
                    </w:tabs>
                    <w:spacing w:afterLines="0" w:after="0" w:line="240" w:lineRule="auto"/>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ХАА</w:t>
                  </w:r>
                </w:p>
              </w:tc>
              <w:tc>
                <w:tcPr>
                  <w:tcW w:w="630" w:type="dxa"/>
                  <w:tcBorders>
                    <w:top w:val="single" w:sz="4" w:space="0" w:color="auto"/>
                  </w:tcBorders>
                  <w:vAlign w:val="bottom"/>
                </w:tcPr>
                <w:p w14:paraId="39763C8E"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0.7</w:t>
                  </w:r>
                </w:p>
              </w:tc>
              <w:tc>
                <w:tcPr>
                  <w:tcW w:w="630" w:type="dxa"/>
                  <w:tcBorders>
                    <w:top w:val="single" w:sz="4" w:space="0" w:color="auto"/>
                  </w:tcBorders>
                  <w:vAlign w:val="bottom"/>
                </w:tcPr>
                <w:p w14:paraId="07FDF632"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0.8</w:t>
                  </w:r>
                </w:p>
              </w:tc>
              <w:tc>
                <w:tcPr>
                  <w:tcW w:w="630" w:type="dxa"/>
                  <w:tcBorders>
                    <w:top w:val="single" w:sz="4" w:space="0" w:color="auto"/>
                  </w:tcBorders>
                  <w:shd w:val="clear" w:color="auto" w:fill="auto"/>
                  <w:vAlign w:val="bottom"/>
                  <w:hideMark/>
                </w:tcPr>
                <w:p w14:paraId="34DA9124"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-0.8</w:t>
                  </w:r>
                </w:p>
              </w:tc>
              <w:tc>
                <w:tcPr>
                  <w:tcW w:w="630" w:type="dxa"/>
                  <w:tcBorders>
                    <w:top w:val="single" w:sz="4" w:space="0" w:color="auto"/>
                  </w:tcBorders>
                  <w:shd w:val="clear" w:color="auto" w:fill="auto"/>
                  <w:vAlign w:val="bottom"/>
                  <w:hideMark/>
                </w:tcPr>
                <w:p w14:paraId="3FFED5AA"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1.7</w:t>
                  </w:r>
                </w:p>
              </w:tc>
              <w:tc>
                <w:tcPr>
                  <w:tcW w:w="630" w:type="dxa"/>
                  <w:tcBorders>
                    <w:top w:val="single" w:sz="4" w:space="0" w:color="auto"/>
                  </w:tcBorders>
                  <w:shd w:val="clear" w:color="auto" w:fill="auto"/>
                  <w:vAlign w:val="bottom"/>
                  <w:hideMark/>
                </w:tcPr>
                <w:p w14:paraId="2E57AE74"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-1.3</w:t>
                  </w:r>
                </w:p>
              </w:tc>
            </w:tr>
            <w:tr w:rsidR="00EE1D3A" w:rsidRPr="00963C14" w14:paraId="5E6A1821" w14:textId="77777777">
              <w:trPr>
                <w:trHeight w:val="258"/>
              </w:trPr>
              <w:tc>
                <w:tcPr>
                  <w:tcW w:w="1477" w:type="dxa"/>
                  <w:shd w:val="clear" w:color="auto" w:fill="auto"/>
                  <w:vAlign w:val="center"/>
                  <w:hideMark/>
                </w:tcPr>
                <w:p w14:paraId="619F62F7" w14:textId="77777777" w:rsidR="00EE1D3A" w:rsidRPr="00963C14" w:rsidRDefault="00EE1D3A">
                  <w:pPr>
                    <w:tabs>
                      <w:tab w:val="right" w:leader="dot" w:pos="9354"/>
                    </w:tabs>
                    <w:spacing w:afterLines="0" w:after="0" w:line="240" w:lineRule="auto"/>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Үйлдвэрлэл</w:t>
                  </w:r>
                </w:p>
              </w:tc>
              <w:tc>
                <w:tcPr>
                  <w:tcW w:w="630" w:type="dxa"/>
                  <w:vAlign w:val="bottom"/>
                </w:tcPr>
                <w:p w14:paraId="3AA49A0A"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0.9</w:t>
                  </w:r>
                </w:p>
              </w:tc>
              <w:tc>
                <w:tcPr>
                  <w:tcW w:w="630" w:type="dxa"/>
                  <w:vAlign w:val="bottom"/>
                </w:tcPr>
                <w:p w14:paraId="57B63238"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-1.3</w:t>
                  </w:r>
                </w:p>
              </w:tc>
              <w:tc>
                <w:tcPr>
                  <w:tcW w:w="630" w:type="dxa"/>
                  <w:shd w:val="clear" w:color="auto" w:fill="auto"/>
                  <w:vAlign w:val="bottom"/>
                  <w:hideMark/>
                </w:tcPr>
                <w:p w14:paraId="03B17E37"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-0.6</w:t>
                  </w:r>
                </w:p>
              </w:tc>
              <w:tc>
                <w:tcPr>
                  <w:tcW w:w="630" w:type="dxa"/>
                  <w:shd w:val="clear" w:color="auto" w:fill="auto"/>
                  <w:vAlign w:val="bottom"/>
                  <w:hideMark/>
                </w:tcPr>
                <w:p w14:paraId="4B43BEB9"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-1.2</w:t>
                  </w:r>
                </w:p>
              </w:tc>
              <w:tc>
                <w:tcPr>
                  <w:tcW w:w="630" w:type="dxa"/>
                  <w:shd w:val="clear" w:color="auto" w:fill="auto"/>
                  <w:vAlign w:val="bottom"/>
                  <w:hideMark/>
                </w:tcPr>
                <w:p w14:paraId="00F8A8A3"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3.1</w:t>
                  </w:r>
                </w:p>
              </w:tc>
            </w:tr>
            <w:tr w:rsidR="00EE1D3A" w:rsidRPr="00963C14" w14:paraId="0549D79C" w14:textId="77777777">
              <w:trPr>
                <w:trHeight w:val="258"/>
              </w:trPr>
              <w:tc>
                <w:tcPr>
                  <w:tcW w:w="1477" w:type="dxa"/>
                  <w:shd w:val="clear" w:color="auto" w:fill="auto"/>
                  <w:vAlign w:val="center"/>
                  <w:hideMark/>
                </w:tcPr>
                <w:p w14:paraId="272C9C8F" w14:textId="77777777" w:rsidR="00EE1D3A" w:rsidRPr="00963C14" w:rsidRDefault="00EE1D3A">
                  <w:pPr>
                    <w:spacing w:afterLines="0" w:after="0" w:line="240" w:lineRule="auto"/>
                    <w:ind w:firstLineChars="100" w:firstLine="160"/>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Уул уурхай</w:t>
                  </w:r>
                </w:p>
              </w:tc>
              <w:tc>
                <w:tcPr>
                  <w:tcW w:w="630" w:type="dxa"/>
                  <w:vAlign w:val="bottom"/>
                </w:tcPr>
                <w:p w14:paraId="757ECE79"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-0.3</w:t>
                  </w:r>
                </w:p>
              </w:tc>
              <w:tc>
                <w:tcPr>
                  <w:tcW w:w="630" w:type="dxa"/>
                  <w:vAlign w:val="bottom"/>
                </w:tcPr>
                <w:p w14:paraId="1CC3DE76"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-1.4</w:t>
                  </w:r>
                </w:p>
              </w:tc>
              <w:tc>
                <w:tcPr>
                  <w:tcW w:w="630" w:type="dxa"/>
                  <w:shd w:val="clear" w:color="auto" w:fill="auto"/>
                  <w:vAlign w:val="bottom"/>
                  <w:hideMark/>
                </w:tcPr>
                <w:p w14:paraId="213A1AED"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0.1</w:t>
                  </w:r>
                </w:p>
              </w:tc>
              <w:tc>
                <w:tcPr>
                  <w:tcW w:w="630" w:type="dxa"/>
                  <w:shd w:val="clear" w:color="auto" w:fill="auto"/>
                  <w:vAlign w:val="bottom"/>
                  <w:hideMark/>
                </w:tcPr>
                <w:p w14:paraId="4D27C991"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-2.1</w:t>
                  </w:r>
                </w:p>
              </w:tc>
              <w:tc>
                <w:tcPr>
                  <w:tcW w:w="630" w:type="dxa"/>
                  <w:shd w:val="clear" w:color="auto" w:fill="auto"/>
                  <w:vAlign w:val="bottom"/>
                  <w:hideMark/>
                </w:tcPr>
                <w:p w14:paraId="0A6CA6DB"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2.6</w:t>
                  </w:r>
                </w:p>
              </w:tc>
            </w:tr>
            <w:tr w:rsidR="00EE1D3A" w:rsidRPr="00963C14" w14:paraId="769F070F" w14:textId="77777777">
              <w:trPr>
                <w:trHeight w:val="258"/>
              </w:trPr>
              <w:tc>
                <w:tcPr>
                  <w:tcW w:w="1477" w:type="dxa"/>
                  <w:shd w:val="clear" w:color="auto" w:fill="auto"/>
                  <w:vAlign w:val="center"/>
                  <w:hideMark/>
                </w:tcPr>
                <w:p w14:paraId="7CE12A0D" w14:textId="77777777" w:rsidR="00EE1D3A" w:rsidRPr="00963C14" w:rsidRDefault="00EE1D3A">
                  <w:pPr>
                    <w:spacing w:afterLines="0" w:after="0" w:line="240" w:lineRule="auto"/>
                    <w:ind w:firstLineChars="100" w:firstLine="160"/>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 xml:space="preserve">Боловсруулах </w:t>
                  </w:r>
                </w:p>
              </w:tc>
              <w:tc>
                <w:tcPr>
                  <w:tcW w:w="630" w:type="dxa"/>
                  <w:vAlign w:val="bottom"/>
                </w:tcPr>
                <w:p w14:paraId="65171F45"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0.3</w:t>
                  </w:r>
                </w:p>
              </w:tc>
              <w:tc>
                <w:tcPr>
                  <w:tcW w:w="630" w:type="dxa"/>
                  <w:vAlign w:val="bottom"/>
                </w:tcPr>
                <w:p w14:paraId="43177F4B"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0.3</w:t>
                  </w:r>
                </w:p>
              </w:tc>
              <w:tc>
                <w:tcPr>
                  <w:tcW w:w="630" w:type="dxa"/>
                  <w:shd w:val="clear" w:color="auto" w:fill="auto"/>
                  <w:vAlign w:val="bottom"/>
                  <w:hideMark/>
                </w:tcPr>
                <w:p w14:paraId="777B494B"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-0.1</w:t>
                  </w:r>
                </w:p>
              </w:tc>
              <w:tc>
                <w:tcPr>
                  <w:tcW w:w="630" w:type="dxa"/>
                  <w:shd w:val="clear" w:color="auto" w:fill="auto"/>
                  <w:vAlign w:val="bottom"/>
                  <w:hideMark/>
                </w:tcPr>
                <w:p w14:paraId="4FB7B569"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0.5</w:t>
                  </w:r>
                </w:p>
              </w:tc>
              <w:tc>
                <w:tcPr>
                  <w:tcW w:w="630" w:type="dxa"/>
                  <w:shd w:val="clear" w:color="auto" w:fill="auto"/>
                  <w:vAlign w:val="bottom"/>
                  <w:hideMark/>
                </w:tcPr>
                <w:p w14:paraId="55B75E07"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0.4</w:t>
                  </w:r>
                </w:p>
              </w:tc>
            </w:tr>
            <w:tr w:rsidR="00EE1D3A" w:rsidRPr="00963C14" w14:paraId="0A7A1CF6" w14:textId="77777777">
              <w:trPr>
                <w:trHeight w:val="258"/>
              </w:trPr>
              <w:tc>
                <w:tcPr>
                  <w:tcW w:w="1477" w:type="dxa"/>
                  <w:shd w:val="clear" w:color="auto" w:fill="auto"/>
                  <w:vAlign w:val="center"/>
                  <w:hideMark/>
                </w:tcPr>
                <w:p w14:paraId="4DDEC674" w14:textId="77777777" w:rsidR="00EE1D3A" w:rsidRPr="00963C14" w:rsidRDefault="00EE1D3A">
                  <w:pPr>
                    <w:spacing w:afterLines="0" w:after="0" w:line="240" w:lineRule="auto"/>
                    <w:ind w:firstLineChars="100" w:firstLine="160"/>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Цахилгаан, ус</w:t>
                  </w:r>
                </w:p>
              </w:tc>
              <w:tc>
                <w:tcPr>
                  <w:tcW w:w="630" w:type="dxa"/>
                  <w:vAlign w:val="bottom"/>
                </w:tcPr>
                <w:p w14:paraId="767041A7"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0.1</w:t>
                  </w:r>
                </w:p>
              </w:tc>
              <w:tc>
                <w:tcPr>
                  <w:tcW w:w="630" w:type="dxa"/>
                  <w:vAlign w:val="bottom"/>
                </w:tcPr>
                <w:p w14:paraId="4B93AAFD"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0.0</w:t>
                  </w:r>
                </w:p>
              </w:tc>
              <w:tc>
                <w:tcPr>
                  <w:tcW w:w="630" w:type="dxa"/>
                  <w:shd w:val="clear" w:color="auto" w:fill="auto"/>
                  <w:vAlign w:val="bottom"/>
                  <w:hideMark/>
                </w:tcPr>
                <w:p w14:paraId="7B13878B"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0.2</w:t>
                  </w:r>
                </w:p>
              </w:tc>
              <w:tc>
                <w:tcPr>
                  <w:tcW w:w="630" w:type="dxa"/>
                  <w:shd w:val="clear" w:color="auto" w:fill="auto"/>
                  <w:vAlign w:val="bottom"/>
                  <w:hideMark/>
                </w:tcPr>
                <w:p w14:paraId="3743E552"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0.1</w:t>
                  </w:r>
                </w:p>
              </w:tc>
              <w:tc>
                <w:tcPr>
                  <w:tcW w:w="630" w:type="dxa"/>
                  <w:shd w:val="clear" w:color="auto" w:fill="auto"/>
                  <w:vAlign w:val="bottom"/>
                  <w:hideMark/>
                </w:tcPr>
                <w:p w14:paraId="42C13E26"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0.1</w:t>
                  </w:r>
                </w:p>
              </w:tc>
            </w:tr>
            <w:tr w:rsidR="00EE1D3A" w:rsidRPr="00963C14" w14:paraId="67248A54" w14:textId="77777777">
              <w:trPr>
                <w:trHeight w:val="258"/>
              </w:trPr>
              <w:tc>
                <w:tcPr>
                  <w:tcW w:w="1477" w:type="dxa"/>
                  <w:shd w:val="clear" w:color="auto" w:fill="auto"/>
                  <w:vAlign w:val="center"/>
                  <w:hideMark/>
                </w:tcPr>
                <w:p w14:paraId="09B5C517" w14:textId="77777777" w:rsidR="00EE1D3A" w:rsidRPr="00963C14" w:rsidRDefault="00EE1D3A">
                  <w:pPr>
                    <w:spacing w:afterLines="0" w:after="0" w:line="240" w:lineRule="auto"/>
                    <w:ind w:firstLineChars="100" w:firstLine="160"/>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Барилга</w:t>
                  </w:r>
                </w:p>
              </w:tc>
              <w:tc>
                <w:tcPr>
                  <w:tcW w:w="630" w:type="dxa"/>
                  <w:vAlign w:val="bottom"/>
                </w:tcPr>
                <w:p w14:paraId="1D56ADEB"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0.7</w:t>
                  </w:r>
                </w:p>
              </w:tc>
              <w:tc>
                <w:tcPr>
                  <w:tcW w:w="630" w:type="dxa"/>
                  <w:vAlign w:val="bottom"/>
                </w:tcPr>
                <w:p w14:paraId="215ACA71"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-0.1</w:t>
                  </w:r>
                </w:p>
              </w:tc>
              <w:tc>
                <w:tcPr>
                  <w:tcW w:w="630" w:type="dxa"/>
                  <w:shd w:val="clear" w:color="auto" w:fill="auto"/>
                  <w:vAlign w:val="bottom"/>
                  <w:hideMark/>
                </w:tcPr>
                <w:p w14:paraId="33152220"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-0.9</w:t>
                  </w:r>
                </w:p>
              </w:tc>
              <w:tc>
                <w:tcPr>
                  <w:tcW w:w="630" w:type="dxa"/>
                  <w:shd w:val="clear" w:color="auto" w:fill="auto"/>
                  <w:vAlign w:val="bottom"/>
                  <w:hideMark/>
                </w:tcPr>
                <w:p w14:paraId="4CCAEDA1"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0.2</w:t>
                  </w:r>
                </w:p>
              </w:tc>
              <w:tc>
                <w:tcPr>
                  <w:tcW w:w="630" w:type="dxa"/>
                  <w:shd w:val="clear" w:color="auto" w:fill="auto"/>
                  <w:vAlign w:val="bottom"/>
                  <w:hideMark/>
                </w:tcPr>
                <w:p w14:paraId="200B28AF"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0.0</w:t>
                  </w:r>
                </w:p>
              </w:tc>
            </w:tr>
            <w:tr w:rsidR="00EE1D3A" w:rsidRPr="00963C14" w14:paraId="77917800" w14:textId="77777777">
              <w:trPr>
                <w:trHeight w:val="258"/>
              </w:trPr>
              <w:tc>
                <w:tcPr>
                  <w:tcW w:w="1477" w:type="dxa"/>
                  <w:shd w:val="clear" w:color="auto" w:fill="auto"/>
                  <w:vAlign w:val="center"/>
                  <w:hideMark/>
                </w:tcPr>
                <w:p w14:paraId="7FDBA0AA" w14:textId="77777777" w:rsidR="00EE1D3A" w:rsidRPr="00963C14" w:rsidRDefault="00EE1D3A">
                  <w:pPr>
                    <w:tabs>
                      <w:tab w:val="right" w:leader="dot" w:pos="9354"/>
                    </w:tabs>
                    <w:spacing w:afterLines="0" w:after="0" w:line="240" w:lineRule="auto"/>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Үйлчилгээ</w:t>
                  </w:r>
                </w:p>
              </w:tc>
              <w:tc>
                <w:tcPr>
                  <w:tcW w:w="630" w:type="dxa"/>
                  <w:vAlign w:val="bottom"/>
                </w:tcPr>
                <w:p w14:paraId="27AF8608"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2.9</w:t>
                  </w:r>
                </w:p>
              </w:tc>
              <w:tc>
                <w:tcPr>
                  <w:tcW w:w="630" w:type="dxa"/>
                  <w:vAlign w:val="bottom"/>
                </w:tcPr>
                <w:p w14:paraId="13B5A685"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-3.0</w:t>
                  </w:r>
                </w:p>
              </w:tc>
              <w:tc>
                <w:tcPr>
                  <w:tcW w:w="630" w:type="dxa"/>
                  <w:shd w:val="clear" w:color="auto" w:fill="auto"/>
                  <w:vAlign w:val="bottom"/>
                  <w:hideMark/>
                </w:tcPr>
                <w:p w14:paraId="3AC1E5FA"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1.8</w:t>
                  </w:r>
                </w:p>
              </w:tc>
              <w:tc>
                <w:tcPr>
                  <w:tcW w:w="630" w:type="dxa"/>
                  <w:shd w:val="clear" w:color="auto" w:fill="auto"/>
                  <w:vAlign w:val="bottom"/>
                  <w:hideMark/>
                </w:tcPr>
                <w:p w14:paraId="3BA0815C"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3.2</w:t>
                  </w:r>
                </w:p>
              </w:tc>
              <w:tc>
                <w:tcPr>
                  <w:tcW w:w="630" w:type="dxa"/>
                  <w:shd w:val="clear" w:color="auto" w:fill="auto"/>
                  <w:vAlign w:val="bottom"/>
                  <w:hideMark/>
                </w:tcPr>
                <w:p w14:paraId="178F8296"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4.3</w:t>
                  </w:r>
                </w:p>
              </w:tc>
            </w:tr>
            <w:tr w:rsidR="00EE1D3A" w:rsidRPr="00963C14" w14:paraId="7B0DCA5E" w14:textId="77777777">
              <w:trPr>
                <w:trHeight w:val="258"/>
              </w:trPr>
              <w:tc>
                <w:tcPr>
                  <w:tcW w:w="1477" w:type="dxa"/>
                  <w:shd w:val="clear" w:color="auto" w:fill="auto"/>
                  <w:vAlign w:val="center"/>
                  <w:hideMark/>
                </w:tcPr>
                <w:p w14:paraId="22B58B18" w14:textId="77777777" w:rsidR="00EE1D3A" w:rsidRPr="00963C14" w:rsidRDefault="00EE1D3A">
                  <w:pPr>
                    <w:spacing w:afterLines="0" w:after="0" w:line="240" w:lineRule="auto"/>
                    <w:ind w:firstLineChars="100" w:firstLine="160"/>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Худалдаа</w:t>
                  </w:r>
                </w:p>
              </w:tc>
              <w:tc>
                <w:tcPr>
                  <w:tcW w:w="630" w:type="dxa"/>
                  <w:vAlign w:val="bottom"/>
                </w:tcPr>
                <w:p w14:paraId="29A5CB32"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1.2</w:t>
                  </w:r>
                </w:p>
              </w:tc>
              <w:tc>
                <w:tcPr>
                  <w:tcW w:w="630" w:type="dxa"/>
                  <w:vAlign w:val="bottom"/>
                </w:tcPr>
                <w:p w14:paraId="58710ED6"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-1.4</w:t>
                  </w:r>
                </w:p>
              </w:tc>
              <w:tc>
                <w:tcPr>
                  <w:tcW w:w="630" w:type="dxa"/>
                  <w:shd w:val="clear" w:color="auto" w:fill="auto"/>
                  <w:vAlign w:val="bottom"/>
                  <w:hideMark/>
                </w:tcPr>
                <w:p w14:paraId="04530123"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0.6</w:t>
                  </w:r>
                </w:p>
              </w:tc>
              <w:tc>
                <w:tcPr>
                  <w:tcW w:w="630" w:type="dxa"/>
                  <w:shd w:val="clear" w:color="auto" w:fill="auto"/>
                  <w:vAlign w:val="bottom"/>
                  <w:hideMark/>
                </w:tcPr>
                <w:p w14:paraId="7F5F4393"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1.1</w:t>
                  </w:r>
                </w:p>
              </w:tc>
              <w:tc>
                <w:tcPr>
                  <w:tcW w:w="630" w:type="dxa"/>
                  <w:shd w:val="clear" w:color="auto" w:fill="auto"/>
                  <w:vAlign w:val="bottom"/>
                  <w:hideMark/>
                </w:tcPr>
                <w:p w14:paraId="04B05086"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0.7</w:t>
                  </w:r>
                </w:p>
              </w:tc>
            </w:tr>
            <w:tr w:rsidR="00EE1D3A" w:rsidRPr="00963C14" w14:paraId="57E81D0E" w14:textId="77777777">
              <w:trPr>
                <w:trHeight w:val="258"/>
              </w:trPr>
              <w:tc>
                <w:tcPr>
                  <w:tcW w:w="1477" w:type="dxa"/>
                  <w:shd w:val="clear" w:color="auto" w:fill="auto"/>
                  <w:vAlign w:val="center"/>
                  <w:hideMark/>
                </w:tcPr>
                <w:p w14:paraId="5B195FFF" w14:textId="77777777" w:rsidR="00EE1D3A" w:rsidRPr="00963C14" w:rsidRDefault="00EE1D3A">
                  <w:pPr>
                    <w:spacing w:afterLines="0" w:after="0" w:line="240" w:lineRule="auto"/>
                    <w:ind w:firstLineChars="100" w:firstLine="160"/>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 xml:space="preserve">Тээвэр </w:t>
                  </w:r>
                </w:p>
              </w:tc>
              <w:tc>
                <w:tcPr>
                  <w:tcW w:w="630" w:type="dxa"/>
                  <w:vAlign w:val="bottom"/>
                </w:tcPr>
                <w:p w14:paraId="7784B08B"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0.2</w:t>
                  </w:r>
                </w:p>
              </w:tc>
              <w:tc>
                <w:tcPr>
                  <w:tcW w:w="630" w:type="dxa"/>
                  <w:vAlign w:val="bottom"/>
                </w:tcPr>
                <w:p w14:paraId="3875CED1"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-1.0</w:t>
                  </w:r>
                </w:p>
              </w:tc>
              <w:tc>
                <w:tcPr>
                  <w:tcW w:w="630" w:type="dxa"/>
                  <w:shd w:val="clear" w:color="auto" w:fill="auto"/>
                  <w:vAlign w:val="bottom"/>
                  <w:hideMark/>
                </w:tcPr>
                <w:p w14:paraId="1A8BE765"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-0.3</w:t>
                  </w:r>
                </w:p>
              </w:tc>
              <w:tc>
                <w:tcPr>
                  <w:tcW w:w="630" w:type="dxa"/>
                  <w:shd w:val="clear" w:color="auto" w:fill="auto"/>
                  <w:vAlign w:val="bottom"/>
                  <w:hideMark/>
                </w:tcPr>
                <w:p w14:paraId="0438BB67"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0.4</w:t>
                  </w:r>
                </w:p>
              </w:tc>
              <w:tc>
                <w:tcPr>
                  <w:tcW w:w="630" w:type="dxa"/>
                  <w:shd w:val="clear" w:color="auto" w:fill="auto"/>
                  <w:vAlign w:val="bottom"/>
                  <w:hideMark/>
                </w:tcPr>
                <w:p w14:paraId="0F7A0A41"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1.8</w:t>
                  </w:r>
                </w:p>
              </w:tc>
            </w:tr>
            <w:tr w:rsidR="00EE1D3A" w:rsidRPr="00963C14" w14:paraId="74C45CCD" w14:textId="77777777">
              <w:trPr>
                <w:trHeight w:val="258"/>
              </w:trPr>
              <w:tc>
                <w:tcPr>
                  <w:tcW w:w="1477" w:type="dxa"/>
                  <w:shd w:val="clear" w:color="auto" w:fill="auto"/>
                  <w:vAlign w:val="center"/>
                  <w:hideMark/>
                </w:tcPr>
                <w:p w14:paraId="7EAF79D3" w14:textId="77777777" w:rsidR="00EE1D3A" w:rsidRPr="00963C14" w:rsidRDefault="00EE1D3A">
                  <w:pPr>
                    <w:spacing w:afterLines="0" w:after="0" w:line="240" w:lineRule="auto"/>
                    <w:ind w:firstLineChars="100" w:firstLine="160"/>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Бусад</w:t>
                  </w:r>
                </w:p>
              </w:tc>
              <w:tc>
                <w:tcPr>
                  <w:tcW w:w="630" w:type="dxa"/>
                  <w:vAlign w:val="bottom"/>
                </w:tcPr>
                <w:p w14:paraId="2CE18864"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1.5</w:t>
                  </w:r>
                </w:p>
              </w:tc>
              <w:tc>
                <w:tcPr>
                  <w:tcW w:w="630" w:type="dxa"/>
                  <w:vAlign w:val="bottom"/>
                </w:tcPr>
                <w:p w14:paraId="633A3E2A"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-0.6</w:t>
                  </w:r>
                </w:p>
              </w:tc>
              <w:tc>
                <w:tcPr>
                  <w:tcW w:w="630" w:type="dxa"/>
                  <w:shd w:val="clear" w:color="auto" w:fill="auto"/>
                  <w:vAlign w:val="bottom"/>
                  <w:hideMark/>
                </w:tcPr>
                <w:p w14:paraId="4C6FC94B"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1.5</w:t>
                  </w:r>
                </w:p>
              </w:tc>
              <w:tc>
                <w:tcPr>
                  <w:tcW w:w="630" w:type="dxa"/>
                  <w:shd w:val="clear" w:color="auto" w:fill="auto"/>
                  <w:vAlign w:val="bottom"/>
                  <w:hideMark/>
                </w:tcPr>
                <w:p w14:paraId="778A1BA2"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1.7</w:t>
                  </w:r>
                </w:p>
              </w:tc>
              <w:tc>
                <w:tcPr>
                  <w:tcW w:w="630" w:type="dxa"/>
                  <w:shd w:val="clear" w:color="auto" w:fill="auto"/>
                  <w:vAlign w:val="bottom"/>
                  <w:hideMark/>
                </w:tcPr>
                <w:p w14:paraId="08530A72"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1.9</w:t>
                  </w:r>
                </w:p>
              </w:tc>
            </w:tr>
            <w:tr w:rsidR="00EE1D3A" w:rsidRPr="00963C14" w14:paraId="60994044" w14:textId="77777777">
              <w:trPr>
                <w:trHeight w:val="59"/>
              </w:trPr>
              <w:tc>
                <w:tcPr>
                  <w:tcW w:w="1477" w:type="dxa"/>
                  <w:tcBorders>
                    <w:bottom w:val="single" w:sz="4" w:space="0" w:color="auto"/>
                  </w:tcBorders>
                  <w:shd w:val="clear" w:color="auto" w:fill="auto"/>
                  <w:vAlign w:val="center"/>
                  <w:hideMark/>
                </w:tcPr>
                <w:p w14:paraId="2C2916D1" w14:textId="77777777" w:rsidR="00EE1D3A" w:rsidRPr="00963C14" w:rsidRDefault="00EE1D3A">
                  <w:pPr>
                    <w:tabs>
                      <w:tab w:val="right" w:leader="dot" w:pos="9354"/>
                    </w:tabs>
                    <w:spacing w:afterLines="0" w:after="0" w:line="240" w:lineRule="auto"/>
                    <w:jc w:val="lef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 xml:space="preserve">Цэвэр татвар </w:t>
                  </w:r>
                </w:p>
              </w:tc>
              <w:tc>
                <w:tcPr>
                  <w:tcW w:w="630" w:type="dxa"/>
                  <w:tcBorders>
                    <w:bottom w:val="single" w:sz="4" w:space="0" w:color="auto"/>
                  </w:tcBorders>
                  <w:vAlign w:val="bottom"/>
                </w:tcPr>
                <w:p w14:paraId="3F5D0A98"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1.0</w:t>
                  </w:r>
                </w:p>
              </w:tc>
              <w:tc>
                <w:tcPr>
                  <w:tcW w:w="630" w:type="dxa"/>
                  <w:tcBorders>
                    <w:bottom w:val="single" w:sz="4" w:space="0" w:color="auto"/>
                  </w:tcBorders>
                  <w:vAlign w:val="bottom"/>
                </w:tcPr>
                <w:p w14:paraId="6F6C4BAC" w14:textId="77777777" w:rsidR="00EE1D3A" w:rsidRPr="00963C14" w:rsidRDefault="00EE1D3A">
                  <w:pPr>
                    <w:tabs>
                      <w:tab w:val="right" w:leader="dot" w:pos="9354"/>
                    </w:tabs>
                    <w:spacing w:afterLines="0" w:after="0" w:line="240" w:lineRule="auto"/>
                    <w:jc w:val="right"/>
                    <w:rPr>
                      <w:rFonts w:eastAsia="Times New Roman" w:cs="Arial"/>
                      <w:color w:val="000000"/>
                      <w:sz w:val="16"/>
                      <w:szCs w:val="16"/>
                    </w:rPr>
                  </w:pPr>
                  <w:r w:rsidRPr="00963C14">
                    <w:rPr>
                      <w:rFonts w:eastAsia="Times New Roman" w:cs="Arial"/>
                      <w:color w:val="000000"/>
                      <w:sz w:val="16"/>
                      <w:szCs w:val="16"/>
                    </w:rPr>
                    <w:t>-1.1</w:t>
                  </w:r>
                </w:p>
              </w:tc>
              <w:tc>
                <w:tcPr>
                  <w:tcW w:w="630" w:type="dxa"/>
                  <w:tcBorders>
                    <w:bottom w:val="single" w:sz="4" w:space="0" w:color="auto"/>
                  </w:tcBorders>
                  <w:shd w:val="clear" w:color="auto" w:fill="auto"/>
                  <w:vAlign w:val="bottom"/>
                  <w:hideMark/>
                </w:tcPr>
                <w:p w14:paraId="289FF940"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1.3</w:t>
                  </w:r>
                </w:p>
              </w:tc>
              <w:tc>
                <w:tcPr>
                  <w:tcW w:w="630" w:type="dxa"/>
                  <w:tcBorders>
                    <w:bottom w:val="single" w:sz="4" w:space="0" w:color="auto"/>
                  </w:tcBorders>
                  <w:shd w:val="clear" w:color="auto" w:fill="auto"/>
                  <w:vAlign w:val="bottom"/>
                  <w:hideMark/>
                </w:tcPr>
                <w:p w14:paraId="1C29D828"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1.4</w:t>
                  </w:r>
                </w:p>
              </w:tc>
              <w:tc>
                <w:tcPr>
                  <w:tcW w:w="630" w:type="dxa"/>
                  <w:tcBorders>
                    <w:bottom w:val="single" w:sz="4" w:space="0" w:color="auto"/>
                  </w:tcBorders>
                  <w:shd w:val="clear" w:color="auto" w:fill="auto"/>
                  <w:vAlign w:val="bottom"/>
                  <w:hideMark/>
                </w:tcPr>
                <w:p w14:paraId="0C562A16" w14:textId="77777777" w:rsidR="00EE1D3A" w:rsidRPr="00963C14" w:rsidRDefault="00EE1D3A">
                  <w:pPr>
                    <w:tabs>
                      <w:tab w:val="right" w:leader="dot" w:pos="9354"/>
                    </w:tabs>
                    <w:spacing w:afterLines="0" w:after="0" w:line="240" w:lineRule="auto"/>
                    <w:jc w:val="right"/>
                    <w:rPr>
                      <w:rFonts w:eastAsia="Times New Roman" w:cs="Arial"/>
                      <w:color w:val="000000" w:themeColor="text1"/>
                      <w:kern w:val="0"/>
                      <w:sz w:val="16"/>
                      <w:szCs w:val="16"/>
                      <w14:ligatures w14:val="none"/>
                    </w:rPr>
                  </w:pPr>
                  <w:r w:rsidRPr="00963C14">
                    <w:rPr>
                      <w:rFonts w:eastAsia="Times New Roman" w:cs="Arial"/>
                      <w:color w:val="000000" w:themeColor="text1"/>
                      <w:kern w:val="0"/>
                      <w:sz w:val="16"/>
                      <w:szCs w:val="16"/>
                      <w14:ligatures w14:val="none"/>
                    </w:rPr>
                    <w:t>0.9</w:t>
                  </w:r>
                </w:p>
              </w:tc>
            </w:tr>
          </w:tbl>
          <w:p w14:paraId="72436C55" w14:textId="77777777" w:rsidR="00EE1D3A" w:rsidRPr="00963C14" w:rsidRDefault="00EE1D3A">
            <w:pPr>
              <w:tabs>
                <w:tab w:val="right" w:leader="dot" w:pos="9354"/>
              </w:tabs>
              <w:autoSpaceDE w:val="0"/>
              <w:autoSpaceDN w:val="0"/>
              <w:adjustRightInd w:val="0"/>
              <w:spacing w:afterLines="0" w:after="0"/>
              <w:jc w:val="left"/>
              <w:rPr>
                <w:rFonts w:eastAsia="SimSun" w:cs="Arial"/>
                <w:sz w:val="16"/>
                <w:szCs w:val="16"/>
              </w:rPr>
            </w:pPr>
          </w:p>
        </w:tc>
        <w:tc>
          <w:tcPr>
            <w:tcW w:w="0" w:type="auto"/>
            <w:tcBorders>
              <w:top w:val="single" w:sz="4" w:space="0" w:color="auto"/>
            </w:tcBorders>
          </w:tcPr>
          <w:p w14:paraId="1F9FEDD8" w14:textId="6485D4DF" w:rsidR="00EE1D3A" w:rsidRPr="00963C14" w:rsidRDefault="00EB4E09">
            <w:pPr>
              <w:keepNext/>
              <w:tabs>
                <w:tab w:val="right" w:leader="dot" w:pos="9354"/>
              </w:tabs>
              <w:autoSpaceDE w:val="0"/>
              <w:autoSpaceDN w:val="0"/>
              <w:adjustRightInd w:val="0"/>
              <w:spacing w:afterLines="0" w:after="0"/>
              <w:jc w:val="left"/>
              <w:rPr>
                <w:rFonts w:eastAsia="SimSun" w:cs="Arial"/>
                <w:sz w:val="16"/>
                <w:szCs w:val="16"/>
              </w:rPr>
            </w:pPr>
            <w:r w:rsidRPr="00963C14">
              <w:rPr>
                <w:noProof/>
              </w:rPr>
              <w:drawing>
                <wp:inline distT="0" distB="0" distL="0" distR="0" wp14:anchorId="7D444F5E" wp14:editId="167386F1">
                  <wp:extent cx="2752725" cy="2131017"/>
                  <wp:effectExtent l="0" t="0" r="0" b="0"/>
                  <wp:docPr id="2018300441" name="Chart 1">
                    <a:extLst xmlns:a="http://schemas.openxmlformats.org/drawingml/2006/main">
                      <a:ext uri="{FF2B5EF4-FFF2-40B4-BE49-F238E27FC236}">
                        <a16:creationId xmlns:a16="http://schemas.microsoft.com/office/drawing/2014/main" id="{C135DC10-7AD5-498A-AEE0-FC0171264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EE1D3A" w:rsidRPr="00963C14" w14:paraId="5B5C9CD9" w14:textId="77777777">
        <w:trPr>
          <w:cantSplit/>
          <w:trHeight w:val="396"/>
        </w:trPr>
        <w:tc>
          <w:tcPr>
            <w:tcW w:w="0" w:type="auto"/>
            <w:tcBorders>
              <w:bottom w:val="single" w:sz="4" w:space="0" w:color="auto"/>
            </w:tcBorders>
          </w:tcPr>
          <w:p w14:paraId="67BF73A2" w14:textId="77777777" w:rsidR="00EE1D3A" w:rsidRPr="00963C14" w:rsidRDefault="00EE1D3A">
            <w:pPr>
              <w:tabs>
                <w:tab w:val="right" w:leader="dot" w:pos="9354"/>
              </w:tabs>
              <w:autoSpaceDE w:val="0"/>
              <w:autoSpaceDN w:val="0"/>
              <w:adjustRightInd w:val="0"/>
              <w:spacing w:afterLines="0" w:after="0" w:line="240" w:lineRule="auto"/>
              <w:jc w:val="right"/>
              <w:rPr>
                <w:rFonts w:eastAsia="SimSun" w:cs="Arial"/>
                <w:i/>
                <w:sz w:val="14"/>
                <w:szCs w:val="14"/>
              </w:rPr>
            </w:pPr>
          </w:p>
        </w:tc>
        <w:tc>
          <w:tcPr>
            <w:tcW w:w="0" w:type="auto"/>
            <w:tcBorders>
              <w:bottom w:val="single" w:sz="4" w:space="0" w:color="auto"/>
            </w:tcBorders>
          </w:tcPr>
          <w:p w14:paraId="36C3EC7D" w14:textId="77777777" w:rsidR="00EE1D3A" w:rsidRPr="00963C14" w:rsidRDefault="00EE1D3A">
            <w:pPr>
              <w:tabs>
                <w:tab w:val="right" w:leader="dot" w:pos="9354"/>
              </w:tabs>
              <w:autoSpaceDE w:val="0"/>
              <w:autoSpaceDN w:val="0"/>
              <w:adjustRightInd w:val="0"/>
              <w:spacing w:afterLines="0" w:after="0" w:line="240" w:lineRule="auto"/>
              <w:jc w:val="right"/>
              <w:rPr>
                <w:rFonts w:eastAsia="SimSun" w:cs="Arial"/>
                <w:i/>
                <w:sz w:val="16"/>
                <w:szCs w:val="16"/>
              </w:rPr>
            </w:pPr>
            <w:r w:rsidRPr="00963C14">
              <w:rPr>
                <w:rFonts w:eastAsia="SimSun" w:cs="Arial"/>
                <w:i/>
                <w:sz w:val="16"/>
                <w:szCs w:val="16"/>
              </w:rPr>
              <w:t xml:space="preserve">Эх сурвалж: Үндэсний статистикийн хороо </w:t>
            </w:r>
          </w:p>
          <w:p w14:paraId="15543AB3" w14:textId="77777777" w:rsidR="00EE1D3A" w:rsidRPr="00963C14" w:rsidRDefault="00EE1D3A">
            <w:pPr>
              <w:keepNext/>
              <w:tabs>
                <w:tab w:val="right" w:leader="dot" w:pos="9354"/>
              </w:tabs>
              <w:autoSpaceDE w:val="0"/>
              <w:autoSpaceDN w:val="0"/>
              <w:adjustRightInd w:val="0"/>
              <w:spacing w:afterLines="0" w:after="0" w:line="240" w:lineRule="auto"/>
              <w:jc w:val="right"/>
              <w:rPr>
                <w:rFonts w:cs="Arial"/>
                <w:i/>
                <w:sz w:val="14"/>
                <w:szCs w:val="14"/>
              </w:rPr>
            </w:pPr>
            <w:r w:rsidRPr="00963C14">
              <w:rPr>
                <w:rFonts w:eastAsia="SimSun" w:cs="Arial"/>
                <w:i/>
                <w:sz w:val="14"/>
                <w:szCs w:val="14"/>
              </w:rPr>
              <w:t xml:space="preserve">Тэмдэглэл: Салбаруудын өсөлтөд оруулах хувь нэмрийг харуулав. </w:t>
            </w:r>
          </w:p>
        </w:tc>
      </w:tr>
    </w:tbl>
    <w:p w14:paraId="155EAC2D" w14:textId="51DB9852" w:rsidR="00C611B8" w:rsidRPr="00963C14" w:rsidRDefault="00C611B8" w:rsidP="00C611B8">
      <w:pPr>
        <w:pStyle w:val="ListParagraph"/>
        <w:tabs>
          <w:tab w:val="left" w:pos="454"/>
          <w:tab w:val="right" w:leader="dot" w:pos="9354"/>
        </w:tabs>
        <w:spacing w:before="240" w:afterLines="0" w:after="288"/>
        <w:ind w:left="0"/>
        <w:contextualSpacing w:val="0"/>
        <w:mirrorIndents/>
        <w:rPr>
          <w:rFonts w:cs="Arial"/>
        </w:rPr>
      </w:pPr>
      <w:r w:rsidRPr="00963C14">
        <w:rPr>
          <w:rFonts w:cs="Arial"/>
          <w:b/>
          <w:i/>
          <w:color w:val="055957"/>
          <w:szCs w:val="24"/>
        </w:rPr>
        <w:t xml:space="preserve">Эрэлт: </w:t>
      </w:r>
      <w:r w:rsidR="00E07CFD" w:rsidRPr="00963C14">
        <w:rPr>
          <w:rFonts w:cs="Arial"/>
          <w:szCs w:val="20"/>
        </w:rPr>
        <w:t>Гадаад эрэлт тогтвортой байж, н</w:t>
      </w:r>
      <w:r w:rsidRPr="00963C14">
        <w:rPr>
          <w:rFonts w:cs="Arial"/>
          <w:szCs w:val="20"/>
        </w:rPr>
        <w:t>үүрсний экспорт өс</w:t>
      </w:r>
      <w:r w:rsidR="00E07CFD" w:rsidRPr="00963C14">
        <w:rPr>
          <w:rFonts w:cs="Arial"/>
          <w:szCs w:val="20"/>
        </w:rPr>
        <w:t>сөн</w:t>
      </w:r>
      <w:r w:rsidRPr="00963C14">
        <w:rPr>
          <w:rFonts w:cs="Arial"/>
          <w:szCs w:val="20"/>
        </w:rPr>
        <w:t xml:space="preserve"> бол инфляц, ханшийн тогтворжилт, цалин, тэтгэвэр, тэтгэмжийн өсөлт иргэдийн амьжиргаанд ирэх дарамтыг бууруулж, өрхийн бодит орлогыг нэмэгдүүл</w:t>
      </w:r>
      <w:r w:rsidR="00E07CFD" w:rsidRPr="00963C14">
        <w:rPr>
          <w:rFonts w:cs="Arial"/>
          <w:szCs w:val="20"/>
        </w:rPr>
        <w:t>эн</w:t>
      </w:r>
      <w:r w:rsidRPr="00963C14">
        <w:rPr>
          <w:rFonts w:cs="Arial"/>
          <w:szCs w:val="20"/>
        </w:rPr>
        <w:t xml:space="preserve"> улмаар эдийн засгийн дотоод идэвхжилийг дэмжлээ. Тухайлбал, </w:t>
      </w:r>
      <w:r w:rsidRPr="00963C14">
        <w:rPr>
          <w:rFonts w:cs="Arial"/>
        </w:rPr>
        <w:t>нүүрсний экспорт 2023 онд 69.6 сая тоннд хүрснээр бараа, үйлчилгээний гадаад худалдааны алдагдал бодит дүнгээр ө</w:t>
      </w:r>
      <w:r w:rsidR="004335E5" w:rsidRPr="00963C14">
        <w:rPr>
          <w:rFonts w:cs="Arial"/>
        </w:rPr>
        <w:t>мнөх</w:t>
      </w:r>
      <w:r w:rsidRPr="00963C14">
        <w:rPr>
          <w:rFonts w:cs="Arial"/>
        </w:rPr>
        <w:t xml:space="preserve"> оноос 16.6 хувиар буурлаа.</w:t>
      </w:r>
    </w:p>
    <w:p w14:paraId="6BFFFD55" w14:textId="0CF8966C" w:rsidR="00C611B8" w:rsidRPr="00963C14" w:rsidRDefault="00C611B8" w:rsidP="00C611B8">
      <w:pPr>
        <w:pStyle w:val="ListParagraph"/>
        <w:tabs>
          <w:tab w:val="left" w:pos="454"/>
          <w:tab w:val="right" w:leader="dot" w:pos="9354"/>
        </w:tabs>
        <w:spacing w:before="240" w:afterLines="0" w:after="288"/>
        <w:ind w:left="0"/>
        <w:contextualSpacing w:val="0"/>
        <w:mirrorIndents/>
        <w:rPr>
          <w:rFonts w:cs="Arial"/>
          <w:szCs w:val="21"/>
        </w:rPr>
      </w:pPr>
      <w:r w:rsidRPr="00963C14">
        <w:rPr>
          <w:rFonts w:cs="Arial"/>
        </w:rPr>
        <w:t xml:space="preserve">Засгийн газраас иргэдийн бодит орлогыг хамгаалах </w:t>
      </w:r>
      <w:r w:rsidR="00A471F8" w:rsidRPr="00963C14">
        <w:rPr>
          <w:rFonts w:cs="Arial"/>
        </w:rPr>
        <w:t>зорилгоор</w:t>
      </w:r>
      <w:r w:rsidRPr="00963C14">
        <w:rPr>
          <w:rFonts w:cs="Arial"/>
        </w:rPr>
        <w:t xml:space="preserve"> цалин, тэтгэвэр, тэтгэмж, халамжийг нэмэгдүүлснээр өрхийн бодит орлого </w:t>
      </w:r>
      <w:r w:rsidRPr="00963C14">
        <w:rPr>
          <w:rFonts w:cs="Arial" w:hint="eastAsia"/>
          <w:lang w:eastAsia="ja-JP"/>
        </w:rPr>
        <w:t>2022</w:t>
      </w:r>
      <w:r w:rsidRPr="00963C14">
        <w:rPr>
          <w:rFonts w:cs="Arial"/>
        </w:rPr>
        <w:t xml:space="preserve"> оны эцсээс 14.1 хувиар нэмэгдлээ. Өрхийн орлогын өсөлтийн нөлөөгөөр өрхийн хэрэглээ өмнөх оноос 7.4 хувиар тэлж, дотоод эрэлтийг нэмэгдүүллээ. Үүний зэрэгцээ уул уурхай дагасан бүтээн байгуулалт</w:t>
      </w:r>
      <w:r w:rsidR="0053327F" w:rsidRPr="00963C14">
        <w:rPr>
          <w:rFonts w:cs="Arial"/>
        </w:rPr>
        <w:t>, тоног төхөөрөмжийн</w:t>
      </w:r>
      <w:r w:rsidR="003726D1" w:rsidRPr="00963C14">
        <w:rPr>
          <w:rFonts w:cs="Arial"/>
        </w:rPr>
        <w:t xml:space="preserve"> өсөлтийн</w:t>
      </w:r>
      <w:r w:rsidRPr="00963C14">
        <w:rPr>
          <w:rFonts w:cs="Arial"/>
        </w:rPr>
        <w:t xml:space="preserve"> нөлөөгөөр үндсэн хөрөнгийн хуримтлал 2023 онд 7.0 хувиар нэмэгдэж, эдийн засгийн өсөлт</w:t>
      </w:r>
      <w:r w:rsidR="00CA5D91" w:rsidRPr="00963C14">
        <w:rPr>
          <w:rFonts w:cs="Arial"/>
        </w:rPr>
        <w:t>ийг дэмжлээ</w:t>
      </w:r>
      <w:r w:rsidRPr="00963C14">
        <w:rPr>
          <w:rFonts w:cs="Arial"/>
        </w:rPr>
        <w:t xml:space="preserve">. </w:t>
      </w:r>
    </w:p>
    <w:p w14:paraId="3D8225AC" w14:textId="7B906B59" w:rsidR="0028253C" w:rsidRPr="00963C14" w:rsidRDefault="0028253C">
      <w:pPr>
        <w:tabs>
          <w:tab w:val="right" w:leader="dot" w:pos="9354"/>
        </w:tabs>
        <w:spacing w:afterLines="50" w:line="276" w:lineRule="auto"/>
        <w:rPr>
          <w:rFonts w:cs="Times New Roman"/>
        </w:rPr>
      </w:pPr>
      <w:r w:rsidRPr="00963C14">
        <w:rPr>
          <w:rFonts w:cs="Arial"/>
          <w:b/>
          <w:i/>
          <w:color w:val="055957"/>
          <w:szCs w:val="24"/>
        </w:rPr>
        <w:t xml:space="preserve">Инфляц: </w:t>
      </w:r>
      <w:r w:rsidRPr="00963C14">
        <w:rPr>
          <w:rFonts w:cs="Arial"/>
          <w:szCs w:val="20"/>
        </w:rPr>
        <w:t xml:space="preserve">Жилийн инфляц 2023 оны эцэст улсын хэмжээнд 7.9 хувь гарлаа. </w:t>
      </w:r>
      <w:r w:rsidRPr="00963C14">
        <w:t>Гадаад зах зээлд хүнсний бүтээгдэхүүн болон тээврийн зардлын үнэ буурсан</w:t>
      </w:r>
      <w:r w:rsidR="00B43818" w:rsidRPr="00963C14">
        <w:t>,</w:t>
      </w:r>
      <w:r w:rsidRPr="00963C14">
        <w:t xml:space="preserve"> макро эдийн засгийг тогтворжуулахад чиглэсэн арга хэмжээнүүдийн үр дүнд инфляц </w:t>
      </w:r>
      <w:r w:rsidRPr="00963C14">
        <w:rPr>
          <w:rFonts w:cs="Arial"/>
          <w:szCs w:val="20"/>
        </w:rPr>
        <w:t>төв банкны зорилтот түвшинд орлоо.</w:t>
      </w:r>
      <w:r w:rsidR="00792378" w:rsidRPr="00963C14">
        <w:rPr>
          <w:rFonts w:cs="Arial"/>
          <w:szCs w:val="20"/>
        </w:rPr>
        <w:t xml:space="preserve"> </w:t>
      </w:r>
      <w:r w:rsidRPr="00963C14">
        <w:rPr>
          <w:rFonts w:cs="Times New Roman"/>
        </w:rPr>
        <w:t>Засгийн газраас гадаад валютын орох урсгалыг нэмэгдүүлэх хүрээнд хэрэгжүүлж буй арга хэмжээнүүдийн үр дүнд валютын зах зээл тогтворжиж</w:t>
      </w:r>
      <w:r w:rsidRPr="00963C14">
        <w:t>,</w:t>
      </w:r>
      <w:r w:rsidRPr="00963C14">
        <w:rPr>
          <w:rFonts w:cs="Times New Roman"/>
        </w:rPr>
        <w:t xml:space="preserve"> төгрөгийн </w:t>
      </w:r>
      <w:r w:rsidR="00BF48D9" w:rsidRPr="00963C14">
        <w:rPr>
          <w:rFonts w:cs="Times New Roman"/>
        </w:rPr>
        <w:t xml:space="preserve">ханш </w:t>
      </w:r>
      <w:r w:rsidRPr="00963C14">
        <w:rPr>
          <w:rFonts w:cs="Times New Roman"/>
        </w:rPr>
        <w:t>сулрах дарамт буурснаар импортын барааны инфляц буурсан хэдий ч дотоодын бараа бүтээгдэхүүний үнэ өндөр хэвээр байна.</w:t>
      </w:r>
    </w:p>
    <w:p w14:paraId="44EC166B" w14:textId="77777777" w:rsidR="0028253C" w:rsidRPr="00963C14" w:rsidRDefault="0028253C" w:rsidP="0028253C">
      <w:pPr>
        <w:pStyle w:val="ListParagraph"/>
        <w:tabs>
          <w:tab w:val="left" w:pos="454"/>
          <w:tab w:val="right" w:leader="dot" w:pos="9354"/>
        </w:tabs>
        <w:spacing w:afterLines="0" w:after="288"/>
        <w:ind w:left="0"/>
        <w:contextualSpacing w:val="0"/>
        <w:mirrorIndents/>
      </w:pPr>
      <w:r w:rsidRPr="00963C14">
        <w:rPr>
          <w:rFonts w:cs="Arial"/>
          <w:b/>
          <w:i/>
          <w:color w:val="055957"/>
          <w:szCs w:val="24"/>
        </w:rPr>
        <w:t xml:space="preserve">Мөнгөний нийлүүлэлт: </w:t>
      </w:r>
      <w:r w:rsidRPr="00963C14">
        <w:t>Мөнгөний нийлүүлэлт 2023 онд эрчимжиж, оны эцэст 37.6 их наяд төгрөгт хүрч, өмнөх оноос 26.8 хувиар өслөө. Үүнд төлбөрийн тэнцэл сайжирсантай холбоотойгоор арилжааны банкнуудын гадаад цэвэр актив нэмэгдсэн болон дотоод зээл олголт өссөн нь голлон нөлөөллөө. Эх үүсвэр талаас төгрөгийн эх үүсвэр нэмэгдсэн нь мөнгөний нийлүүлэлт өсөхөд голлон нөлөөллөө. Тухайлбал,</w:t>
      </w:r>
      <w:r w:rsidRPr="00963C14">
        <w:rPr>
          <w:lang w:eastAsia="ja-JP"/>
        </w:rPr>
        <w:t xml:space="preserve"> нийт </w:t>
      </w:r>
      <w:r w:rsidRPr="00963C14">
        <w:t>мөнгөний нийлүүлэлтийн өсөлтийн 23.9 нэгж хувийг төгрөгийн харилцах, хадгаламж</w:t>
      </w:r>
      <w:r w:rsidRPr="00963C14">
        <w:rPr>
          <w:rFonts w:hint="eastAsia"/>
          <w:lang w:eastAsia="ja-JP"/>
        </w:rPr>
        <w:t>,</w:t>
      </w:r>
      <w:r w:rsidRPr="00963C14">
        <w:rPr>
          <w:lang w:eastAsia="ja-JP"/>
        </w:rPr>
        <w:t xml:space="preserve"> </w:t>
      </w:r>
      <w:r w:rsidRPr="00963C14">
        <w:t xml:space="preserve">2.7 нэгж хувийг гадаад валютын харилцах, хадгаламж </w:t>
      </w:r>
      <w:r w:rsidRPr="00963C14">
        <w:rPr>
          <w:lang w:eastAsia="ja-JP"/>
        </w:rPr>
        <w:t xml:space="preserve">тус тус </w:t>
      </w:r>
      <w:r w:rsidRPr="00963C14">
        <w:t>бүрдүүлсэн байна. Арилжааны банкнуудын зээл олголт эрчимжсэнээр зээлийн үлдэгдэл 2023 оны эцсийн байдлаар өмнөх оноос 23.4 хувиар өслөө. Зээлийн үлдэгдлийн өсөлтөд иргэдийн цалин, тэтгэврийн зээлийн өсөлт голлон нөлөөллөө.</w:t>
      </w:r>
    </w:p>
    <w:tbl>
      <w:tblPr>
        <w:tblStyle w:val="TableGrid"/>
        <w:tblpPr w:leftFromText="180" w:rightFromText="180" w:vertAnchor="text" w:tblpY="1"/>
        <w:tblOverlap w:val="nev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4"/>
        <w:gridCol w:w="3155"/>
        <w:gridCol w:w="3155"/>
      </w:tblGrid>
      <w:tr w:rsidR="00EE1D3A" w:rsidRPr="00963C14" w14:paraId="12998E9C" w14:textId="77777777">
        <w:trPr>
          <w:cantSplit/>
        </w:trPr>
        <w:tc>
          <w:tcPr>
            <w:tcW w:w="9464" w:type="dxa"/>
            <w:gridSpan w:val="3"/>
            <w:tcBorders>
              <w:bottom w:val="single" w:sz="4" w:space="0" w:color="auto"/>
            </w:tcBorders>
          </w:tcPr>
          <w:p w14:paraId="3024E608" w14:textId="6EF21E8D" w:rsidR="00EE1D3A" w:rsidRPr="00963C14" w:rsidRDefault="00EE1D3A">
            <w:pPr>
              <w:pStyle w:val="Caption"/>
              <w:tabs>
                <w:tab w:val="right" w:leader="dot" w:pos="9354"/>
              </w:tabs>
              <w:rPr>
                <w:rFonts w:ascii="Arial" w:hAnsi="Arial" w:cs="Arial"/>
              </w:rPr>
            </w:pPr>
            <w:r w:rsidRPr="00963C14">
              <w:rPr>
                <w:rFonts w:ascii="Arial" w:hAnsi="Arial" w:cs="Arial"/>
              </w:rPr>
              <w:t xml:space="preserve">Зураг </w:t>
            </w:r>
            <w:r w:rsidRPr="00963C14">
              <w:rPr>
                <w:rFonts w:ascii="Arial" w:hAnsi="Arial" w:cs="Arial"/>
              </w:rPr>
              <w:fldChar w:fldCharType="begin"/>
            </w:r>
            <w:r w:rsidRPr="00963C14">
              <w:rPr>
                <w:rFonts w:ascii="Arial" w:hAnsi="Arial" w:cs="Arial"/>
              </w:rPr>
              <w:instrText xml:space="preserve"> STYLEREF 1 \s </w:instrText>
            </w:r>
            <w:r w:rsidRPr="00963C14">
              <w:rPr>
                <w:rFonts w:ascii="Arial" w:hAnsi="Arial" w:cs="Arial"/>
              </w:rPr>
              <w:fldChar w:fldCharType="separate"/>
            </w:r>
            <w:r w:rsidRPr="00963C14">
              <w:rPr>
                <w:rFonts w:ascii="Arial" w:hAnsi="Arial" w:cs="Arial"/>
              </w:rPr>
              <w:t>1</w:t>
            </w:r>
            <w:r w:rsidRPr="00963C14">
              <w:rPr>
                <w:rFonts w:ascii="Arial" w:hAnsi="Arial" w:cs="Arial"/>
              </w:rPr>
              <w:fldChar w:fldCharType="end"/>
            </w:r>
            <w:r w:rsidRPr="00963C14">
              <w:rPr>
                <w:rFonts w:ascii="Arial" w:hAnsi="Arial" w:cs="Arial"/>
              </w:rPr>
              <w:t>.</w:t>
            </w:r>
            <w:r w:rsidR="00857644" w:rsidRPr="00963C14">
              <w:rPr>
                <w:rFonts w:ascii="Arial" w:hAnsi="Arial" w:cs="Arial"/>
              </w:rPr>
              <w:t>8</w:t>
            </w:r>
            <w:r w:rsidRPr="00963C14">
              <w:rPr>
                <w:rFonts w:ascii="Arial" w:hAnsi="Arial" w:cs="Arial"/>
              </w:rPr>
              <w:t>. Мөнгөний нийлүүлэлт, зээлийн үлдэгдэл</w:t>
            </w:r>
          </w:p>
        </w:tc>
      </w:tr>
      <w:tr w:rsidR="00EE1D3A" w:rsidRPr="00963C14" w14:paraId="3F5024FC" w14:textId="77777777">
        <w:trPr>
          <w:cantSplit/>
        </w:trPr>
        <w:tc>
          <w:tcPr>
            <w:tcW w:w="3154" w:type="dxa"/>
            <w:tcBorders>
              <w:top w:val="single" w:sz="4" w:space="0" w:color="auto"/>
            </w:tcBorders>
          </w:tcPr>
          <w:p w14:paraId="2800B803" w14:textId="76A8EBD6" w:rsidR="00EE1D3A" w:rsidRPr="00963C14" w:rsidRDefault="00EE1D3A">
            <w:pPr>
              <w:pStyle w:val="Caption"/>
              <w:tabs>
                <w:tab w:val="right" w:leader="dot" w:pos="9354"/>
              </w:tabs>
              <w:contextualSpacing w:val="0"/>
              <w:jc w:val="left"/>
              <w:rPr>
                <w:rFonts w:ascii="Arial" w:eastAsia="Yu Gothic" w:hAnsi="Arial" w:cs="Arial"/>
                <w:i w:val="0"/>
                <w:color w:val="auto"/>
                <w:sz w:val="16"/>
                <w:szCs w:val="16"/>
                <w:lang w:eastAsia="ja-JP"/>
              </w:rPr>
            </w:pPr>
            <w:r w:rsidRPr="00963C14">
              <w:rPr>
                <w:rFonts w:ascii="Arial" w:hAnsi="Arial" w:cs="Arial"/>
                <w:i w:val="0"/>
                <w:color w:val="auto"/>
                <w:sz w:val="18"/>
              </w:rPr>
              <w:t>1.</w:t>
            </w:r>
            <w:r w:rsidR="00960477" w:rsidRPr="00963C14">
              <w:rPr>
                <w:rFonts w:ascii="Arial" w:hAnsi="Arial" w:cs="Arial"/>
                <w:i w:val="0"/>
                <w:color w:val="auto"/>
                <w:sz w:val="18"/>
              </w:rPr>
              <w:t xml:space="preserve"> </w:t>
            </w:r>
            <w:r w:rsidRPr="00963C14">
              <w:rPr>
                <w:rFonts w:ascii="Arial" w:hAnsi="Arial" w:cs="Arial"/>
                <w:i w:val="0"/>
                <w:color w:val="auto"/>
                <w:sz w:val="18"/>
              </w:rPr>
              <w:t xml:space="preserve">Мөнгөний нийлүүлэлтийн өсөлт актив тал </w:t>
            </w:r>
            <w:r w:rsidRPr="00963C14">
              <w:rPr>
                <w:rFonts w:ascii="Arial" w:eastAsia="Yu Gothic" w:hAnsi="Arial" w:cs="Arial" w:hint="eastAsia"/>
                <w:i w:val="0"/>
                <w:color w:val="auto"/>
                <w:sz w:val="18"/>
                <w:lang w:eastAsia="ja-JP"/>
              </w:rPr>
              <w:t>(</w:t>
            </w:r>
            <w:r w:rsidRPr="00963C14">
              <w:rPr>
                <w:rFonts w:ascii="Arial" w:eastAsia="Yu Gothic" w:hAnsi="Arial" w:cs="Arial"/>
                <w:i w:val="0"/>
                <w:color w:val="auto"/>
                <w:sz w:val="18"/>
                <w:lang w:eastAsia="ja-JP"/>
              </w:rPr>
              <w:t>хувь</w:t>
            </w:r>
            <w:r w:rsidRPr="00963C14">
              <w:rPr>
                <w:rFonts w:ascii="Arial" w:eastAsia="Yu Gothic" w:hAnsi="Arial" w:cs="Arial" w:hint="eastAsia"/>
                <w:i w:val="0"/>
                <w:color w:val="auto"/>
                <w:sz w:val="18"/>
                <w:lang w:eastAsia="ja-JP"/>
              </w:rPr>
              <w:t>)</w:t>
            </w:r>
          </w:p>
        </w:tc>
        <w:tc>
          <w:tcPr>
            <w:tcW w:w="3155" w:type="dxa"/>
            <w:tcBorders>
              <w:top w:val="single" w:sz="4" w:space="0" w:color="auto"/>
            </w:tcBorders>
          </w:tcPr>
          <w:p w14:paraId="3EA00D8D" w14:textId="195BED3D" w:rsidR="00EE1D3A" w:rsidRPr="00963C14" w:rsidRDefault="00EE1D3A">
            <w:pPr>
              <w:pStyle w:val="Caption"/>
              <w:tabs>
                <w:tab w:val="right" w:leader="dot" w:pos="9354"/>
              </w:tabs>
              <w:contextualSpacing w:val="0"/>
              <w:jc w:val="left"/>
              <w:rPr>
                <w:rFonts w:ascii="Arial" w:hAnsi="Arial" w:cs="Arial"/>
                <w:i w:val="0"/>
                <w:color w:val="auto"/>
                <w:sz w:val="16"/>
                <w:szCs w:val="16"/>
              </w:rPr>
            </w:pPr>
            <w:r w:rsidRPr="00963C14">
              <w:rPr>
                <w:rFonts w:ascii="Arial" w:hAnsi="Arial" w:cs="Arial"/>
                <w:i w:val="0"/>
                <w:color w:val="auto"/>
                <w:sz w:val="18"/>
              </w:rPr>
              <w:t>2.</w:t>
            </w:r>
            <w:r w:rsidR="00960477" w:rsidRPr="00963C14">
              <w:rPr>
                <w:rFonts w:ascii="Arial" w:hAnsi="Arial" w:cs="Arial"/>
                <w:i w:val="0"/>
                <w:color w:val="auto"/>
                <w:sz w:val="18"/>
              </w:rPr>
              <w:t xml:space="preserve"> </w:t>
            </w:r>
            <w:r w:rsidRPr="00963C14">
              <w:rPr>
                <w:rFonts w:ascii="Arial" w:hAnsi="Arial" w:cs="Arial"/>
                <w:i w:val="0"/>
                <w:color w:val="auto"/>
                <w:sz w:val="18"/>
              </w:rPr>
              <w:t xml:space="preserve">Мөнгөний нийлүүлэлтийн өсөлт пассив тал </w:t>
            </w:r>
            <w:r w:rsidRPr="00963C14">
              <w:rPr>
                <w:rFonts w:ascii="Arial" w:eastAsia="Yu Gothic" w:hAnsi="Arial" w:cs="Arial" w:hint="eastAsia"/>
                <w:i w:val="0"/>
                <w:color w:val="auto"/>
                <w:sz w:val="18"/>
                <w:lang w:eastAsia="ja-JP"/>
              </w:rPr>
              <w:t>(</w:t>
            </w:r>
            <w:r w:rsidRPr="00963C14">
              <w:rPr>
                <w:rFonts w:ascii="Arial" w:eastAsia="Yu Gothic" w:hAnsi="Arial" w:cs="Arial"/>
                <w:i w:val="0"/>
                <w:color w:val="auto"/>
                <w:sz w:val="18"/>
                <w:lang w:eastAsia="ja-JP"/>
              </w:rPr>
              <w:t>хувь</w:t>
            </w:r>
            <w:r w:rsidRPr="00963C14">
              <w:rPr>
                <w:rFonts w:ascii="Arial" w:eastAsia="Yu Gothic" w:hAnsi="Arial" w:cs="Arial" w:hint="eastAsia"/>
                <w:i w:val="0"/>
                <w:color w:val="auto"/>
                <w:sz w:val="18"/>
                <w:lang w:eastAsia="ja-JP"/>
              </w:rPr>
              <w:t>)</w:t>
            </w:r>
          </w:p>
        </w:tc>
        <w:tc>
          <w:tcPr>
            <w:tcW w:w="3155" w:type="dxa"/>
            <w:tcBorders>
              <w:top w:val="single" w:sz="4" w:space="0" w:color="auto"/>
            </w:tcBorders>
          </w:tcPr>
          <w:p w14:paraId="1D34B87C" w14:textId="1E901AAC" w:rsidR="00EE1D3A" w:rsidRPr="00963C14" w:rsidRDefault="00EE1D3A">
            <w:pPr>
              <w:pStyle w:val="Caption"/>
              <w:tabs>
                <w:tab w:val="right" w:leader="dot" w:pos="9354"/>
              </w:tabs>
              <w:contextualSpacing w:val="0"/>
              <w:rPr>
                <w:rFonts w:ascii="Arial" w:hAnsi="Arial" w:cs="Arial"/>
                <w:i w:val="0"/>
                <w:color w:val="auto"/>
                <w:sz w:val="18"/>
              </w:rPr>
            </w:pPr>
            <w:r w:rsidRPr="00963C14">
              <w:rPr>
                <w:rFonts w:ascii="Arial" w:hAnsi="Arial" w:cs="Arial"/>
                <w:i w:val="0"/>
                <w:color w:val="auto"/>
                <w:sz w:val="18"/>
              </w:rPr>
              <w:t>3.</w:t>
            </w:r>
            <w:r w:rsidR="00960477" w:rsidRPr="00963C14">
              <w:rPr>
                <w:rFonts w:ascii="Arial" w:hAnsi="Arial" w:cs="Arial"/>
                <w:i w:val="0"/>
                <w:color w:val="auto"/>
                <w:sz w:val="18"/>
              </w:rPr>
              <w:t xml:space="preserve"> </w:t>
            </w:r>
            <w:r w:rsidRPr="00963C14">
              <w:rPr>
                <w:rFonts w:ascii="Arial" w:hAnsi="Arial" w:cs="Arial"/>
                <w:i w:val="0"/>
                <w:color w:val="auto"/>
                <w:sz w:val="18"/>
              </w:rPr>
              <w:t xml:space="preserve">Зээлийн үлдэгдлийн өсөлт </w:t>
            </w:r>
          </w:p>
          <w:p w14:paraId="0A9633DC" w14:textId="77777777" w:rsidR="00EE1D3A" w:rsidRPr="00963C14" w:rsidRDefault="00EE1D3A">
            <w:pPr>
              <w:pStyle w:val="Caption"/>
              <w:tabs>
                <w:tab w:val="right" w:leader="dot" w:pos="9354"/>
              </w:tabs>
              <w:contextualSpacing w:val="0"/>
              <w:rPr>
                <w:rFonts w:ascii="Arial" w:hAnsi="Arial" w:cs="Arial"/>
                <w:i w:val="0"/>
                <w:color w:val="auto"/>
                <w:sz w:val="16"/>
                <w:szCs w:val="16"/>
              </w:rPr>
            </w:pPr>
            <w:r w:rsidRPr="00963C14">
              <w:rPr>
                <w:rFonts w:ascii="Arial" w:hAnsi="Arial" w:cs="Arial"/>
                <w:i w:val="0"/>
                <w:color w:val="auto"/>
                <w:sz w:val="18"/>
              </w:rPr>
              <w:t xml:space="preserve">(хувь) </w:t>
            </w:r>
          </w:p>
        </w:tc>
      </w:tr>
      <w:tr w:rsidR="00EE1D3A" w:rsidRPr="00963C14" w14:paraId="025DF264" w14:textId="77777777">
        <w:trPr>
          <w:trHeight w:val="2778"/>
        </w:trPr>
        <w:tc>
          <w:tcPr>
            <w:tcW w:w="3154" w:type="dxa"/>
          </w:tcPr>
          <w:p w14:paraId="00A7BBE1" w14:textId="77777777" w:rsidR="00EE1D3A" w:rsidRPr="00963C14" w:rsidRDefault="00EE1D3A" w:rsidP="00EE1D3A">
            <w:pPr>
              <w:pStyle w:val="ListParagraph"/>
              <w:numPr>
                <w:ilvl w:val="0"/>
                <w:numId w:val="8"/>
              </w:numPr>
              <w:tabs>
                <w:tab w:val="left" w:pos="454"/>
                <w:tab w:val="right" w:leader="dot" w:pos="9354"/>
              </w:tabs>
              <w:spacing w:afterLines="0" w:after="0" w:line="240" w:lineRule="auto"/>
              <w:ind w:left="0"/>
              <w:contextualSpacing w:val="0"/>
              <w:mirrorIndents/>
              <w:rPr>
                <w:sz w:val="10"/>
                <w:szCs w:val="10"/>
              </w:rPr>
            </w:pPr>
            <w:r w:rsidRPr="00963C14">
              <w:rPr>
                <w:noProof/>
              </w:rPr>
              <w:drawing>
                <wp:inline distT="0" distB="0" distL="0" distR="0" wp14:anchorId="01A424EF" wp14:editId="6A463923">
                  <wp:extent cx="1836000" cy="2028825"/>
                  <wp:effectExtent l="0" t="0" r="0" b="0"/>
                  <wp:docPr id="2023278279" name="Chart 1">
                    <a:extLst xmlns:a="http://schemas.openxmlformats.org/drawingml/2006/main">
                      <a:ext uri="{FF2B5EF4-FFF2-40B4-BE49-F238E27FC236}">
                        <a16:creationId xmlns:a16="http://schemas.microsoft.com/office/drawing/2014/main" id="{404EE3FA-C1D5-149D-9AF6-6A5A52488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3155" w:type="dxa"/>
          </w:tcPr>
          <w:p w14:paraId="3DDF6288" w14:textId="77777777" w:rsidR="00EE1D3A" w:rsidRPr="00963C14" w:rsidRDefault="00EE1D3A">
            <w:pPr>
              <w:pStyle w:val="ListParagraph"/>
              <w:tabs>
                <w:tab w:val="left" w:pos="454"/>
                <w:tab w:val="right" w:leader="dot" w:pos="9354"/>
              </w:tabs>
              <w:spacing w:afterLines="0"/>
              <w:ind w:left="0"/>
              <w:contextualSpacing w:val="0"/>
              <w:mirrorIndents/>
              <w:rPr>
                <w:sz w:val="18"/>
                <w:szCs w:val="18"/>
              </w:rPr>
            </w:pPr>
            <w:r w:rsidRPr="00963C14">
              <w:rPr>
                <w:noProof/>
              </w:rPr>
              <w:drawing>
                <wp:inline distT="0" distB="0" distL="0" distR="0" wp14:anchorId="0320BB05" wp14:editId="72933A33">
                  <wp:extent cx="1835785" cy="2324910"/>
                  <wp:effectExtent l="0" t="0" r="0" b="0"/>
                  <wp:docPr id="1984317445" name="Chart 1">
                    <a:extLst xmlns:a="http://schemas.openxmlformats.org/drawingml/2006/main">
                      <a:ext uri="{FF2B5EF4-FFF2-40B4-BE49-F238E27FC236}">
                        <a16:creationId xmlns:a16="http://schemas.microsoft.com/office/drawing/2014/main" id="{7C433903-51E1-3EFD-10FB-FEFDE4C9AB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3155" w:type="dxa"/>
          </w:tcPr>
          <w:p w14:paraId="3DD3D34C" w14:textId="77777777" w:rsidR="00EE1D3A" w:rsidRPr="00963C14" w:rsidRDefault="00EE1D3A">
            <w:pPr>
              <w:pStyle w:val="ListParagraph"/>
              <w:tabs>
                <w:tab w:val="right" w:leader="dot" w:pos="9354"/>
              </w:tabs>
              <w:spacing w:afterLines="0"/>
              <w:ind w:left="0" w:right="86"/>
              <w:jc w:val="right"/>
              <w:rPr>
                <w:sz w:val="18"/>
                <w:szCs w:val="18"/>
              </w:rPr>
            </w:pPr>
            <w:r w:rsidRPr="00963C14">
              <w:rPr>
                <w:noProof/>
              </w:rPr>
              <w:drawing>
                <wp:inline distT="0" distB="0" distL="0" distR="0" wp14:anchorId="142BBDB3" wp14:editId="2E799C22">
                  <wp:extent cx="1945005" cy="2237361"/>
                  <wp:effectExtent l="0" t="0" r="0" b="0"/>
                  <wp:docPr id="1845338563" name="Chart 1">
                    <a:extLst xmlns:a="http://schemas.openxmlformats.org/drawingml/2006/main">
                      <a:ext uri="{FF2B5EF4-FFF2-40B4-BE49-F238E27FC236}">
                        <a16:creationId xmlns:a16="http://schemas.microsoft.com/office/drawing/2014/main" id="{3EC65D39-1DFB-490F-7691-EE9FAD9718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EE1D3A" w:rsidRPr="00963C14" w14:paraId="3A150884" w14:textId="77777777" w:rsidTr="002714B4">
        <w:trPr>
          <w:trHeight w:val="132"/>
        </w:trPr>
        <w:tc>
          <w:tcPr>
            <w:tcW w:w="3154" w:type="dxa"/>
            <w:tcBorders>
              <w:bottom w:val="single" w:sz="4" w:space="0" w:color="auto"/>
            </w:tcBorders>
          </w:tcPr>
          <w:p w14:paraId="69288964" w14:textId="77777777" w:rsidR="00EE1D3A" w:rsidRPr="00963C14" w:rsidRDefault="00EE1D3A">
            <w:pPr>
              <w:pStyle w:val="ListParagraph"/>
              <w:tabs>
                <w:tab w:val="right" w:leader="dot" w:pos="9354"/>
              </w:tabs>
              <w:spacing w:afterLines="0"/>
              <w:ind w:left="0" w:right="90"/>
              <w:jc w:val="right"/>
              <w:rPr>
                <w:i/>
                <w:sz w:val="14"/>
                <w:szCs w:val="14"/>
                <w:lang w:eastAsia="ja-JP"/>
              </w:rPr>
            </w:pPr>
          </w:p>
        </w:tc>
        <w:tc>
          <w:tcPr>
            <w:tcW w:w="3155" w:type="dxa"/>
            <w:tcBorders>
              <w:bottom w:val="single" w:sz="4" w:space="0" w:color="auto"/>
            </w:tcBorders>
          </w:tcPr>
          <w:p w14:paraId="532BC1D5" w14:textId="77777777" w:rsidR="00EE1D3A" w:rsidRPr="00963C14" w:rsidRDefault="00EE1D3A">
            <w:pPr>
              <w:pStyle w:val="ListParagraph"/>
              <w:tabs>
                <w:tab w:val="right" w:leader="dot" w:pos="9354"/>
              </w:tabs>
              <w:spacing w:afterLines="0"/>
              <w:ind w:left="0" w:right="180"/>
              <w:jc w:val="right"/>
              <w:rPr>
                <w:i/>
                <w:sz w:val="14"/>
                <w:szCs w:val="14"/>
              </w:rPr>
            </w:pPr>
          </w:p>
        </w:tc>
        <w:tc>
          <w:tcPr>
            <w:tcW w:w="3155" w:type="dxa"/>
            <w:tcBorders>
              <w:bottom w:val="single" w:sz="4" w:space="0" w:color="auto"/>
            </w:tcBorders>
          </w:tcPr>
          <w:p w14:paraId="50B7E690" w14:textId="77777777" w:rsidR="00EE1D3A" w:rsidRPr="00963C14" w:rsidRDefault="00EE1D3A">
            <w:pPr>
              <w:pStyle w:val="ListParagraph"/>
              <w:tabs>
                <w:tab w:val="right" w:leader="dot" w:pos="9354"/>
              </w:tabs>
              <w:spacing w:before="120" w:afterLines="0" w:after="40"/>
              <w:ind w:left="0" w:right="181"/>
              <w:contextualSpacing w:val="0"/>
              <w:jc w:val="right"/>
              <w:rPr>
                <w:i/>
                <w:sz w:val="14"/>
                <w:szCs w:val="14"/>
                <w:lang w:eastAsia="ja-JP"/>
              </w:rPr>
            </w:pPr>
            <w:r w:rsidRPr="00963C14">
              <w:rPr>
                <w:i/>
                <w:sz w:val="16"/>
                <w:szCs w:val="16"/>
              </w:rPr>
              <w:t>Эх сурвалж</w:t>
            </w:r>
            <w:r w:rsidRPr="00963C14">
              <w:rPr>
                <w:rFonts w:hint="eastAsia"/>
                <w:i/>
                <w:sz w:val="16"/>
                <w:szCs w:val="16"/>
                <w:lang w:eastAsia="ja-JP"/>
              </w:rPr>
              <w:t>:</w:t>
            </w:r>
            <w:r w:rsidRPr="00963C14">
              <w:rPr>
                <w:i/>
                <w:sz w:val="16"/>
                <w:szCs w:val="16"/>
                <w:lang w:eastAsia="ja-JP"/>
              </w:rPr>
              <w:t xml:space="preserve"> Монголбанк</w:t>
            </w:r>
          </w:p>
        </w:tc>
      </w:tr>
    </w:tbl>
    <w:p w14:paraId="045E45CA" w14:textId="3A90534A" w:rsidR="005706DE" w:rsidRPr="00963C14" w:rsidRDefault="005706DE" w:rsidP="0BC0F03A">
      <w:pPr>
        <w:pStyle w:val="ListParagraph"/>
        <w:tabs>
          <w:tab w:val="left" w:pos="454"/>
          <w:tab w:val="right" w:leader="dot" w:pos="9354"/>
        </w:tabs>
        <w:spacing w:before="240" w:afterLines="0" w:after="288"/>
        <w:ind w:left="0"/>
        <w:mirrorIndents/>
      </w:pPr>
      <w:r w:rsidRPr="00963C14">
        <w:rPr>
          <w:rFonts w:cs="Arial"/>
          <w:b/>
          <w:i/>
          <w:color w:val="055957"/>
        </w:rPr>
        <w:t xml:space="preserve">Ажил эрхлэлт, ажилгүйдэл: </w:t>
      </w:r>
      <w:r w:rsidRPr="00963C14">
        <w:t>Хөдөлмөр эрхлэлтийн түвшин 2023 оны 4 дүгээр улиралд өмнөх оны мөн үеэс 0.5 нэгж хувиар өсөж, 55.4 хувьд, ажилчдын тоо 38.6 мянгаар нэмэгдэж, 1,196 мянга</w:t>
      </w:r>
      <w:r w:rsidR="2C918696" w:rsidRPr="00963C14">
        <w:t>д</w:t>
      </w:r>
      <w:r w:rsidRPr="00963C14">
        <w:t xml:space="preserve"> хүрлээ. Гэсэн ч ажилчдын тооны өсөлтийн хурд цар тахлын өмнөх үеэс 4 дахин бага байна. Салбараар харвал худалдаа, боловсруулах, тээвэр, үйлчилгээ, уул уурхай, эрчим хүчний салбарт ажилчдын тоо өссөн байна. Харин хөдөө аж ахуйн салбарт сүүлийн 2 жил дараалан зудын нөхцөл байдал хүндэрсэнтэй холбоотойгоор ажиллагчдын тоо 10 хувиар буурч, 261 мянган хүнд хүрлээ.</w:t>
      </w:r>
    </w:p>
    <w:p w14:paraId="3666BDEE" w14:textId="18B29CCD" w:rsidR="005706DE" w:rsidRPr="00963C14" w:rsidRDefault="00EA292A" w:rsidP="44F7777B">
      <w:pPr>
        <w:pStyle w:val="ListParagraph"/>
        <w:tabs>
          <w:tab w:val="left" w:pos="454"/>
          <w:tab w:val="right" w:leader="dot" w:pos="9354"/>
        </w:tabs>
        <w:spacing w:before="240" w:afterLines="0" w:after="288"/>
        <w:ind w:left="0"/>
        <w:mirrorIndents/>
        <w:rPr>
          <w:lang w:eastAsia="ja-JP"/>
        </w:rPr>
      </w:pPr>
      <w:r w:rsidRPr="00963C14">
        <w:rPr>
          <w:lang w:eastAsia="ja-JP"/>
        </w:rPr>
        <w:t>Ажилчдын</w:t>
      </w:r>
      <w:r w:rsidR="634BBD2E" w:rsidRPr="00963C14">
        <w:rPr>
          <w:lang w:eastAsia="ja-JP"/>
        </w:rPr>
        <w:t xml:space="preserve"> тоог насны бүлгээр харвал, </w:t>
      </w:r>
      <w:r w:rsidR="007470F1" w:rsidRPr="00963C14">
        <w:rPr>
          <w:lang w:eastAsia="ja-JP"/>
        </w:rPr>
        <w:t>15-24 насн</w:t>
      </w:r>
      <w:r w:rsidR="004B62CA" w:rsidRPr="00963C14">
        <w:rPr>
          <w:lang w:eastAsia="ja-JP"/>
        </w:rPr>
        <w:t>ыхны хөдөлмөрийн идэ</w:t>
      </w:r>
      <w:r w:rsidR="009102F9" w:rsidRPr="00963C14">
        <w:rPr>
          <w:lang w:eastAsia="ja-JP"/>
        </w:rPr>
        <w:t xml:space="preserve">вх сул байна. </w:t>
      </w:r>
      <w:r w:rsidR="007E5428" w:rsidRPr="00963C14">
        <w:rPr>
          <w:lang w:eastAsia="ja-JP"/>
        </w:rPr>
        <w:t xml:space="preserve">Тухайлбал, </w:t>
      </w:r>
      <w:r w:rsidR="00E25050" w:rsidRPr="00963C14">
        <w:rPr>
          <w:lang w:eastAsia="ja-JP"/>
        </w:rPr>
        <w:t>ажилчдын тоо</w:t>
      </w:r>
      <w:r w:rsidR="00BF7A10" w:rsidRPr="00963C14">
        <w:rPr>
          <w:lang w:eastAsia="ja-JP"/>
        </w:rPr>
        <w:t xml:space="preserve"> </w:t>
      </w:r>
      <w:r w:rsidR="634BBD2E" w:rsidRPr="00963C14">
        <w:rPr>
          <w:lang w:eastAsia="ja-JP"/>
        </w:rPr>
        <w:t xml:space="preserve">25-аас дээш насны </w:t>
      </w:r>
      <w:r w:rsidR="00BF7A10" w:rsidRPr="00963C14">
        <w:rPr>
          <w:lang w:eastAsia="ja-JP"/>
        </w:rPr>
        <w:t xml:space="preserve">бүлэгт </w:t>
      </w:r>
      <w:r w:rsidR="634BBD2E" w:rsidRPr="00963C14">
        <w:rPr>
          <w:lang w:eastAsia="ja-JP"/>
        </w:rPr>
        <w:t xml:space="preserve">4.4 хувиар нэмэгдсэн бол 15-24 насны ажилчдын тоо өмнөх оны мөн үеэс 8 хувиар </w:t>
      </w:r>
      <w:r w:rsidR="00903127" w:rsidRPr="00963C14">
        <w:rPr>
          <w:lang w:eastAsia="ja-JP"/>
        </w:rPr>
        <w:t xml:space="preserve">буурч </w:t>
      </w:r>
      <w:r w:rsidR="00A054D3" w:rsidRPr="00963C14">
        <w:rPr>
          <w:lang w:eastAsia="ja-JP"/>
        </w:rPr>
        <w:t>88 мянгад хүр</w:t>
      </w:r>
      <w:r w:rsidR="00AC096F" w:rsidRPr="00963C14">
        <w:rPr>
          <w:lang w:eastAsia="ja-JP"/>
        </w:rPr>
        <w:t>сэн байна.</w:t>
      </w:r>
      <w:r w:rsidR="634BBD2E" w:rsidRPr="00963C14">
        <w:rPr>
          <w:lang w:eastAsia="ja-JP"/>
        </w:rPr>
        <w:t xml:space="preserve"> Мөн 15-24 насны иргэдийн ажилгүйдлийн түвшин 0.9 </w:t>
      </w:r>
      <w:r w:rsidR="00EA03F3" w:rsidRPr="00963C14">
        <w:rPr>
          <w:lang w:eastAsia="ja-JP"/>
        </w:rPr>
        <w:t xml:space="preserve">нэг </w:t>
      </w:r>
      <w:r w:rsidR="634BBD2E" w:rsidRPr="00963C14">
        <w:rPr>
          <w:lang w:eastAsia="ja-JP"/>
        </w:rPr>
        <w:t xml:space="preserve">хувиар нэмэгдэж 10.4 хувьд хүрсэн нь бусад насны бүлгүүдээс </w:t>
      </w:r>
      <w:r w:rsidR="006B02B3" w:rsidRPr="00963C14">
        <w:rPr>
          <w:lang w:eastAsia="ja-JP"/>
        </w:rPr>
        <w:t xml:space="preserve">харьцангуй </w:t>
      </w:r>
      <w:r w:rsidR="007468B4" w:rsidRPr="00963C14">
        <w:rPr>
          <w:lang w:eastAsia="ja-JP"/>
        </w:rPr>
        <w:t>өндөр байна</w:t>
      </w:r>
      <w:r w:rsidR="00FC0726" w:rsidRPr="00963C14">
        <w:rPr>
          <w:lang w:eastAsia="ja-JP"/>
        </w:rPr>
        <w:t xml:space="preserve">. </w:t>
      </w:r>
    </w:p>
    <w:p w14:paraId="46B63A47" w14:textId="3BD4E8EA" w:rsidR="005706DE" w:rsidRPr="00963C14" w:rsidRDefault="005706DE" w:rsidP="2124EBCD">
      <w:pPr>
        <w:pStyle w:val="ListParagraph"/>
        <w:tabs>
          <w:tab w:val="left" w:pos="454"/>
          <w:tab w:val="right" w:leader="dot" w:pos="9354"/>
        </w:tabs>
        <w:spacing w:before="240" w:afterLines="0" w:after="288"/>
        <w:ind w:left="0"/>
        <w:mirrorIndents/>
      </w:pPr>
      <w:r w:rsidRPr="00963C14">
        <w:rPr>
          <w:lang w:eastAsia="ja-JP"/>
        </w:rPr>
        <w:t>Т</w:t>
      </w:r>
      <w:r w:rsidRPr="00963C14">
        <w:t xml:space="preserve">үр зуурын буюу цалин бага учраас, ажиллах сонирхол бага, улирлын чанартай ажил хийдэг </w:t>
      </w:r>
      <w:r w:rsidR="00942E3B" w:rsidRPr="00963C14">
        <w:t xml:space="preserve">шалтгаантай ажиллах хүчнээс </w:t>
      </w:r>
      <w:r w:rsidR="00C60067" w:rsidRPr="00963C14">
        <w:t>гадуур</w:t>
      </w:r>
      <w:r w:rsidR="4566A7B5" w:rsidRPr="00963C14">
        <w:t>х</w:t>
      </w:r>
      <w:r w:rsidR="00710BC7" w:rsidRPr="00963C14">
        <w:t xml:space="preserve"> </w:t>
      </w:r>
      <w:r w:rsidR="000D571C" w:rsidRPr="00963C14">
        <w:t>хүн амын</w:t>
      </w:r>
      <w:r w:rsidRPr="00963C14">
        <w:t xml:space="preserve"> тоо өмнөх оны мөн үеэс 9 мянгаар нэмэгдсэн бол тэтгэвэрт гарсан, хөгжлийн бэрхшээлтэй зэрэг урт хугацаанд ажиллах хүчнээс гадуур</w:t>
      </w:r>
      <w:r w:rsidR="7222FB40" w:rsidRPr="00963C14">
        <w:t xml:space="preserve">х </w:t>
      </w:r>
      <w:r w:rsidR="329DD8D9" w:rsidRPr="00963C14">
        <w:t>хүн амд</w:t>
      </w:r>
      <w:r w:rsidR="7222FB40" w:rsidRPr="00963C14">
        <w:t xml:space="preserve"> ха</w:t>
      </w:r>
      <w:r w:rsidR="054AE588" w:rsidRPr="00963C14">
        <w:t>рьяалагддаг</w:t>
      </w:r>
      <w:r w:rsidRPr="00963C14">
        <w:t xml:space="preserve"> иргэдийн тоо 19 мянгаар нэмэгдсэнээр нийт ажиллах хүчнээс гадуурх хүн ам өмнөх оны мөн үеэс 28 мянгаар өсөж, 916 мянгад хүрлээ. </w:t>
      </w:r>
    </w:p>
    <w:p w14:paraId="02F4AB6D" w14:textId="77777777" w:rsidR="005706DE" w:rsidRPr="00963C14" w:rsidRDefault="005706DE" w:rsidP="005706DE">
      <w:pPr>
        <w:pStyle w:val="ListParagraph"/>
        <w:tabs>
          <w:tab w:val="left" w:pos="454"/>
          <w:tab w:val="right" w:leader="dot" w:pos="9354"/>
        </w:tabs>
        <w:spacing w:afterLines="0" w:after="288"/>
        <w:ind w:left="0"/>
        <w:contextualSpacing w:val="0"/>
        <w:mirrorIndents/>
      </w:pPr>
      <w:r w:rsidRPr="00963C14">
        <w:t>Дундаж цалингийн хэмжээ 2023 оны 4 дүгээр улирлын байдлаар өмнөх оны мөн үеэс 28 хувиар өсөж, 2,235 мянган төгрөгт хүрлээ. Салбараар задлан харвал, хөдөө аж ахуй, цахилгааны салбарын ажилчдын дундаж цалин өмнөх оны мөн үеэс 34 хувь</w:t>
      </w:r>
      <w:r w:rsidRPr="00963C14">
        <w:rPr>
          <w:rFonts w:hint="eastAsia"/>
          <w:lang w:eastAsia="ja-JP"/>
        </w:rPr>
        <w:t xml:space="preserve"> </w:t>
      </w:r>
      <w:r w:rsidRPr="00963C14">
        <w:rPr>
          <w:lang w:eastAsia="ja-JP"/>
        </w:rPr>
        <w:t xml:space="preserve">болон </w:t>
      </w:r>
      <w:r w:rsidRPr="00963C14">
        <w:t xml:space="preserve">32 хувиар тус тус өссөн байна. </w:t>
      </w:r>
    </w:p>
    <w:tbl>
      <w:tblPr>
        <w:tblW w:w="5000" w:type="pct"/>
        <w:tblLook w:val="04A0" w:firstRow="1" w:lastRow="0" w:firstColumn="1" w:lastColumn="0" w:noHBand="0" w:noVBand="1"/>
      </w:tblPr>
      <w:tblGrid>
        <w:gridCol w:w="4463"/>
        <w:gridCol w:w="4810"/>
        <w:gridCol w:w="222"/>
      </w:tblGrid>
      <w:tr w:rsidR="00EE1D3A" w:rsidRPr="00963C14" w14:paraId="4D62318B" w14:textId="77777777">
        <w:trPr>
          <w:trHeight w:val="312"/>
        </w:trPr>
        <w:tc>
          <w:tcPr>
            <w:tcW w:w="5000" w:type="pct"/>
            <w:gridSpan w:val="3"/>
            <w:tcBorders>
              <w:bottom w:val="single" w:sz="4" w:space="0" w:color="auto"/>
            </w:tcBorders>
            <w:hideMark/>
          </w:tcPr>
          <w:p w14:paraId="7F6128AB" w14:textId="41F6FCF8" w:rsidR="00EE1D3A" w:rsidRPr="00963C14" w:rsidRDefault="00EE1D3A">
            <w:pPr>
              <w:pStyle w:val="Caption"/>
              <w:tabs>
                <w:tab w:val="right" w:leader="dot" w:pos="9354"/>
              </w:tabs>
              <w:rPr>
                <w:rFonts w:ascii="Arial" w:hAnsi="Arial" w:cs="Arial"/>
                <w:highlight w:val="yellow"/>
              </w:rPr>
            </w:pPr>
            <w:r w:rsidRPr="00963C14">
              <w:rPr>
                <w:rFonts w:ascii="Arial" w:hAnsi="Arial" w:cs="Arial"/>
              </w:rPr>
              <w:t xml:space="preserve">Зураг </w:t>
            </w:r>
            <w:r w:rsidRPr="00963C14">
              <w:rPr>
                <w:rFonts w:ascii="Arial" w:hAnsi="Arial" w:cs="Arial"/>
              </w:rPr>
              <w:fldChar w:fldCharType="begin"/>
            </w:r>
            <w:r w:rsidRPr="00963C14">
              <w:rPr>
                <w:rFonts w:ascii="Arial" w:hAnsi="Arial" w:cs="Arial"/>
              </w:rPr>
              <w:instrText xml:space="preserve"> STYLEREF 1 \s </w:instrText>
            </w:r>
            <w:r w:rsidRPr="00963C14">
              <w:rPr>
                <w:rFonts w:ascii="Arial" w:hAnsi="Arial" w:cs="Arial"/>
              </w:rPr>
              <w:fldChar w:fldCharType="separate"/>
            </w:r>
            <w:r w:rsidRPr="00963C14">
              <w:rPr>
                <w:rFonts w:ascii="Arial" w:hAnsi="Arial" w:cs="Arial"/>
              </w:rPr>
              <w:t>1</w:t>
            </w:r>
            <w:r w:rsidRPr="00963C14">
              <w:rPr>
                <w:rFonts w:ascii="Arial" w:hAnsi="Arial" w:cs="Arial"/>
              </w:rPr>
              <w:fldChar w:fldCharType="end"/>
            </w:r>
            <w:r w:rsidRPr="00963C14">
              <w:rPr>
                <w:rFonts w:ascii="Arial" w:hAnsi="Arial" w:cs="Arial"/>
              </w:rPr>
              <w:t>.</w:t>
            </w:r>
            <w:r w:rsidR="00580971" w:rsidRPr="00963C14">
              <w:rPr>
                <w:rFonts w:ascii="Arial" w:hAnsi="Arial" w:cs="Arial"/>
              </w:rPr>
              <w:t>9</w:t>
            </w:r>
            <w:r w:rsidRPr="00963C14">
              <w:rPr>
                <w:rFonts w:ascii="Arial" w:hAnsi="Arial" w:cs="Arial"/>
              </w:rPr>
              <w:t>. Хөдөлмөрийн үзүүлэлт</w:t>
            </w:r>
          </w:p>
        </w:tc>
      </w:tr>
      <w:tr w:rsidR="00EE1D3A" w:rsidRPr="00963C14" w14:paraId="6EA8984C" w14:textId="77777777" w:rsidTr="00FD7957">
        <w:trPr>
          <w:trHeight w:val="423"/>
        </w:trPr>
        <w:tc>
          <w:tcPr>
            <w:tcW w:w="2350" w:type="pct"/>
            <w:tcBorders>
              <w:top w:val="single" w:sz="4" w:space="0" w:color="auto"/>
            </w:tcBorders>
            <w:shd w:val="clear" w:color="auto" w:fill="auto"/>
            <w:hideMark/>
          </w:tcPr>
          <w:p w14:paraId="4B1370FF" w14:textId="0D0E8957" w:rsidR="00EE1D3A" w:rsidRPr="00963C14" w:rsidRDefault="00EE1D3A">
            <w:pPr>
              <w:tabs>
                <w:tab w:val="left" w:pos="454"/>
                <w:tab w:val="right" w:leader="dot" w:pos="9354"/>
              </w:tabs>
              <w:spacing w:after="288"/>
              <w:mirrorIndents/>
              <w:jc w:val="left"/>
              <w:rPr>
                <w:rFonts w:cs="Arial"/>
                <w:sz w:val="20"/>
                <w:szCs w:val="20"/>
                <w:highlight w:val="yellow"/>
              </w:rPr>
            </w:pPr>
            <w:r w:rsidRPr="00963C14">
              <w:rPr>
                <w:rFonts w:cs="Arial"/>
                <w:b/>
                <w:i/>
                <w:noProof/>
                <w:color w:val="055957"/>
                <w:szCs w:val="24"/>
                <w:highlight w:val="yellow"/>
                <w:shd w:val="clear" w:color="auto" w:fill="FFFFFF" w:themeFill="background1"/>
              </w:rPr>
              <w:drawing>
                <wp:anchor distT="0" distB="0" distL="114300" distR="114300" simplePos="0" relativeHeight="251658242" behindDoc="0" locked="0" layoutInCell="1" allowOverlap="1" wp14:anchorId="7CFC2A0A" wp14:editId="67FC1075">
                  <wp:simplePos x="0" y="0"/>
                  <wp:positionH relativeFrom="column">
                    <wp:posOffset>-29845</wp:posOffset>
                  </wp:positionH>
                  <wp:positionV relativeFrom="paragraph">
                    <wp:posOffset>384175</wp:posOffset>
                  </wp:positionV>
                  <wp:extent cx="2696210" cy="1844040"/>
                  <wp:effectExtent l="0" t="0" r="0" b="0"/>
                  <wp:wrapSquare wrapText="bothSides"/>
                  <wp:docPr id="2059888334" name="Chart 1">
                    <a:extLst xmlns:a="http://schemas.openxmlformats.org/drawingml/2006/main">
                      <a:ext uri="{FF2B5EF4-FFF2-40B4-BE49-F238E27FC236}">
                        <a16:creationId xmlns:a16="http://schemas.microsoft.com/office/drawing/2014/main" id="{DB2C70A4-7CBB-0A38-A636-006C47529D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963C14">
              <w:rPr>
                <w:rFonts w:cs="Segoe UI Light"/>
                <w:sz w:val="18"/>
                <w:szCs w:val="18"/>
                <w:lang w:eastAsia="ja-JP"/>
              </w:rPr>
              <w:t>1. Ажилчдын тоо, түүний өөрчлөлт</w:t>
            </w:r>
            <w:r w:rsidR="000D2766" w:rsidRPr="00963C14">
              <w:rPr>
                <w:rFonts w:cs="Segoe UI Light"/>
                <w:sz w:val="18"/>
                <w:szCs w:val="18"/>
                <w:lang w:eastAsia="ja-JP"/>
              </w:rPr>
              <w:t xml:space="preserve"> (мянган хүн)</w:t>
            </w:r>
          </w:p>
        </w:tc>
        <w:tc>
          <w:tcPr>
            <w:tcW w:w="2533" w:type="pct"/>
            <w:tcBorders>
              <w:top w:val="single" w:sz="4" w:space="0" w:color="auto"/>
            </w:tcBorders>
            <w:hideMark/>
          </w:tcPr>
          <w:p w14:paraId="43E2B5C3" w14:textId="77777777" w:rsidR="00EE1D3A" w:rsidRPr="00963C14" w:rsidRDefault="00EE1D3A">
            <w:pPr>
              <w:tabs>
                <w:tab w:val="left" w:pos="454"/>
                <w:tab w:val="right" w:leader="dot" w:pos="9354"/>
              </w:tabs>
              <w:spacing w:after="288"/>
              <w:mirrorIndents/>
              <w:jc w:val="left"/>
              <w:rPr>
                <w:rFonts w:cs="Arial"/>
                <w:sz w:val="18"/>
                <w:szCs w:val="18"/>
                <w:highlight w:val="yellow"/>
              </w:rPr>
            </w:pPr>
            <w:r w:rsidRPr="00963C14">
              <w:rPr>
                <w:rFonts w:cs="Arial"/>
                <w:b/>
                <w:i/>
                <w:noProof/>
                <w:color w:val="055957"/>
                <w:szCs w:val="24"/>
                <w:highlight w:val="yellow"/>
              </w:rPr>
              <w:drawing>
                <wp:anchor distT="0" distB="0" distL="114300" distR="114300" simplePos="0" relativeHeight="251658241" behindDoc="1" locked="0" layoutInCell="1" allowOverlap="1" wp14:anchorId="3B32AA81" wp14:editId="11BBC07D">
                  <wp:simplePos x="0" y="0"/>
                  <wp:positionH relativeFrom="column">
                    <wp:posOffset>158750</wp:posOffset>
                  </wp:positionH>
                  <wp:positionV relativeFrom="paragraph">
                    <wp:posOffset>217805</wp:posOffset>
                  </wp:positionV>
                  <wp:extent cx="2743200" cy="1760855"/>
                  <wp:effectExtent l="0" t="0" r="0" b="0"/>
                  <wp:wrapTight wrapText="bothSides">
                    <wp:wrapPolygon edited="0">
                      <wp:start x="0" y="0"/>
                      <wp:lineTo x="0" y="21265"/>
                      <wp:lineTo x="21450" y="21265"/>
                      <wp:lineTo x="21450" y="0"/>
                      <wp:lineTo x="0" y="0"/>
                    </wp:wrapPolygon>
                  </wp:wrapTight>
                  <wp:docPr id="119915594" name="Chart 1">
                    <a:extLst xmlns:a="http://schemas.openxmlformats.org/drawingml/2006/main">
                      <a:ext uri="{FF2B5EF4-FFF2-40B4-BE49-F238E27FC236}">
                        <a16:creationId xmlns:a16="http://schemas.microsoft.com/office/drawing/2014/main" id="{6987B7A3-9538-290B-C1F0-1D690348C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963C14">
              <w:rPr>
                <w:rFonts w:cs="Segoe UI Light"/>
                <w:sz w:val="18"/>
                <w:szCs w:val="18"/>
                <w:lang w:eastAsia="ja-JP"/>
              </w:rPr>
              <w:t>2. Ажилчдын тооны өөрчлөлт, салбараар (мянган хүн)</w:t>
            </w:r>
          </w:p>
        </w:tc>
        <w:tc>
          <w:tcPr>
            <w:tcW w:w="117" w:type="pct"/>
            <w:tcBorders>
              <w:top w:val="single" w:sz="4" w:space="0" w:color="auto"/>
            </w:tcBorders>
          </w:tcPr>
          <w:p w14:paraId="6B63CC7C" w14:textId="77777777" w:rsidR="00EE1D3A" w:rsidRPr="00963C14" w:rsidRDefault="00EE1D3A">
            <w:pPr>
              <w:pStyle w:val="ListParagraph"/>
              <w:tabs>
                <w:tab w:val="left" w:pos="454"/>
                <w:tab w:val="right" w:leader="dot" w:pos="9354"/>
              </w:tabs>
              <w:spacing w:after="288"/>
              <w:mirrorIndents/>
              <w:jc w:val="left"/>
              <w:rPr>
                <w:rFonts w:cs="Arial"/>
                <w:b/>
                <w:i/>
                <w:color w:val="055957"/>
                <w:szCs w:val="24"/>
                <w:highlight w:val="yellow"/>
              </w:rPr>
            </w:pPr>
          </w:p>
        </w:tc>
      </w:tr>
      <w:tr w:rsidR="00EE1D3A" w:rsidRPr="00963C14" w14:paraId="7504A85E" w14:textId="77777777">
        <w:trPr>
          <w:trHeight w:val="274"/>
        </w:trPr>
        <w:tc>
          <w:tcPr>
            <w:tcW w:w="4883" w:type="pct"/>
            <w:gridSpan w:val="2"/>
            <w:tcBorders>
              <w:bottom w:val="single" w:sz="4" w:space="0" w:color="auto"/>
            </w:tcBorders>
          </w:tcPr>
          <w:p w14:paraId="54E78123" w14:textId="77777777" w:rsidR="00EE1D3A" w:rsidRPr="00963C14" w:rsidRDefault="00EE1D3A">
            <w:pPr>
              <w:pStyle w:val="ListParagraph"/>
              <w:tabs>
                <w:tab w:val="left" w:pos="454"/>
                <w:tab w:val="right" w:leader="dot" w:pos="9354"/>
              </w:tabs>
              <w:spacing w:afterLines="0" w:after="0"/>
              <w:mirrorIndents/>
              <w:jc w:val="right"/>
              <w:rPr>
                <w:rFonts w:cs="Arial"/>
                <w:i/>
                <w:sz w:val="16"/>
                <w:szCs w:val="16"/>
              </w:rPr>
            </w:pPr>
            <w:r w:rsidRPr="00963C14">
              <w:rPr>
                <w:rFonts w:cs="Arial"/>
                <w:i/>
                <w:sz w:val="16"/>
                <w:szCs w:val="16"/>
              </w:rPr>
              <w:t>Эх сурвалж: Үндэсний Статистикийн Хороо</w:t>
            </w:r>
          </w:p>
          <w:p w14:paraId="5051FA59" w14:textId="77777777" w:rsidR="00EE1D3A" w:rsidRPr="00963C14" w:rsidRDefault="00EE1D3A">
            <w:pPr>
              <w:pStyle w:val="ListParagraph"/>
              <w:tabs>
                <w:tab w:val="left" w:pos="454"/>
                <w:tab w:val="right" w:leader="dot" w:pos="9354"/>
              </w:tabs>
              <w:spacing w:afterLines="0" w:after="40"/>
              <w:contextualSpacing w:val="0"/>
              <w:mirrorIndents/>
              <w:jc w:val="right"/>
              <w:rPr>
                <w:rFonts w:cs="Arial"/>
                <w:i/>
                <w:sz w:val="16"/>
                <w:szCs w:val="16"/>
              </w:rPr>
            </w:pPr>
            <w:r w:rsidRPr="00963C14">
              <w:rPr>
                <w:rFonts w:cs="Arial"/>
                <w:i/>
                <w:sz w:val="14"/>
                <w:szCs w:val="14"/>
              </w:rPr>
              <w:t>Тэмдэглэл</w:t>
            </w:r>
            <w:r w:rsidRPr="00963C14">
              <w:rPr>
                <w:rFonts w:cs="Arial" w:hint="eastAsia"/>
                <w:i/>
                <w:sz w:val="14"/>
                <w:szCs w:val="14"/>
              </w:rPr>
              <w:t>:</w:t>
            </w:r>
            <w:r w:rsidRPr="00963C14">
              <w:rPr>
                <w:rFonts w:cs="Arial"/>
                <w:i/>
                <w:sz w:val="14"/>
                <w:szCs w:val="14"/>
              </w:rPr>
              <w:t xml:space="preserve"> 2023 оны 4 дүгээр улирлын байдлаар харуулав.</w:t>
            </w:r>
          </w:p>
        </w:tc>
        <w:tc>
          <w:tcPr>
            <w:tcW w:w="117" w:type="pct"/>
          </w:tcPr>
          <w:p w14:paraId="73FE11FA" w14:textId="77777777" w:rsidR="00EE1D3A" w:rsidRPr="00963C14" w:rsidRDefault="00EE1D3A">
            <w:pPr>
              <w:pStyle w:val="ListParagraph"/>
              <w:keepNext/>
              <w:tabs>
                <w:tab w:val="left" w:pos="454"/>
                <w:tab w:val="right" w:leader="dot" w:pos="9354"/>
              </w:tabs>
              <w:spacing w:afterLines="0" w:after="0"/>
              <w:mirrorIndents/>
              <w:rPr>
                <w:rFonts w:cs="Arial"/>
                <w:b/>
                <w:i/>
                <w:color w:val="055957"/>
                <w:sz w:val="16"/>
                <w:szCs w:val="16"/>
              </w:rPr>
            </w:pPr>
          </w:p>
        </w:tc>
      </w:tr>
    </w:tbl>
    <w:p w14:paraId="4EBC046D" w14:textId="77777777" w:rsidR="00EE1D3A" w:rsidRPr="00963C14" w:rsidRDefault="00EE1D3A" w:rsidP="00EE1D3A">
      <w:pPr>
        <w:pStyle w:val="ListParagraph"/>
        <w:tabs>
          <w:tab w:val="left" w:pos="454"/>
          <w:tab w:val="right" w:leader="dot" w:pos="9354"/>
        </w:tabs>
        <w:spacing w:before="288" w:afterLines="0" w:after="288"/>
        <w:ind w:left="0"/>
        <w:contextualSpacing w:val="0"/>
        <w:mirrorIndents/>
      </w:pPr>
      <w:r w:rsidRPr="00963C14">
        <w:rPr>
          <w:rFonts w:cs="Arial"/>
          <w:b/>
          <w:i/>
          <w:color w:val="055957"/>
          <w:szCs w:val="24"/>
        </w:rPr>
        <w:t xml:space="preserve">Гадаад худалдаа: </w:t>
      </w:r>
      <w:r w:rsidRPr="00963C14">
        <w:rPr>
          <w:lang w:eastAsia="ja-JP"/>
        </w:rPr>
        <w:t>Э</w:t>
      </w:r>
      <w:r w:rsidRPr="00963C14">
        <w:t xml:space="preserve">кспортын барааны урсгал нэмэгдэж, импортын барааны үнийн өсөлт бага байснаар 2023 онд гадаад худалдааны тэнцэл өмнөх оноос 23 хувиар өсөж, 5.9 тэрбум ам.долларын ашигтай гарлаа. Экспорт 15.2 тэрбум ам.долларт хүрч, өмнөх оноос 17 хувиар, импорт 9.3 тэрбум ам.долларт хүрч, өмнөх оноос 6 хувиар тус тус өслөө.  </w:t>
      </w:r>
    </w:p>
    <w:p w14:paraId="1E02A131" w14:textId="77C07C85" w:rsidR="00EE1D3A" w:rsidRPr="00963C14" w:rsidRDefault="00EE1D3A" w:rsidP="00EE1D3A">
      <w:pPr>
        <w:pStyle w:val="ListParagraph"/>
        <w:tabs>
          <w:tab w:val="left" w:pos="454"/>
          <w:tab w:val="right" w:leader="dot" w:pos="9354"/>
        </w:tabs>
        <w:spacing w:afterLines="0" w:after="288"/>
        <w:ind w:left="0"/>
        <w:contextualSpacing w:val="0"/>
        <w:mirrorIndents/>
      </w:pPr>
      <w:r w:rsidRPr="00963C14">
        <w:t xml:space="preserve">Засгийн газраас 2023 онд экспортын биет хэмжээг цар тахлын өмнөх түвшинд хүргэх зорилт тавьж ажилласан бөгөөд энэ хүрээнд гадаад валютын улсын нөөц, экспортыг нэмэгдүүлэх чиглэлд ашигт малтмал тээвэрлэх, экспортлох үйл ажиллагааны зохион байгуулалтыг сайжруулах, төрийн өмчит хуулийн этгээдүүдэд онцгой дэглэм тогтоож, компанийн үйл ажиллагаа бүтэц зохион байгуулалтыг сайжруулах, уул уурхайн бүтээгдэхүүнийг биржийн үйл ажиллагааг эхлүүлэх зэрэг ажлуудыг хэрэгжүүллээ. Мөн хилийн Гашуунсухайт, Шивээхүрэн боомтуудад чингэлэг тээврийн терминал байгуулж, автомат удирдлагатай тээврийн хэрэгсэл ашиглалтад нэвтэрсэн зэрэг хүчин зүйлсийн үр дүнд Монгол улс 2023 онд 69.6 сая тонн нүүрс </w:t>
      </w:r>
      <w:r w:rsidR="002D35CC" w:rsidRPr="00963C14">
        <w:t>экспортолж</w:t>
      </w:r>
      <w:r w:rsidRPr="00963C14">
        <w:t>, экспортын голлох бүтээгдэхүүний биет хэмжээ цар тахлын өмнөх түвшинд амжилттай хүрлээ.</w:t>
      </w:r>
    </w:p>
    <w:p w14:paraId="730F15C1" w14:textId="73514078" w:rsidR="00A41D31" w:rsidRPr="00963C14" w:rsidRDefault="00EE1D3A" w:rsidP="00EE1D3A">
      <w:pPr>
        <w:pStyle w:val="ListParagraph"/>
        <w:tabs>
          <w:tab w:val="left" w:pos="454"/>
          <w:tab w:val="right" w:leader="dot" w:pos="9354"/>
        </w:tabs>
        <w:spacing w:afterLines="0" w:after="288"/>
        <w:ind w:left="0"/>
        <w:contextualSpacing w:val="0"/>
        <w:mirrorIndents/>
      </w:pPr>
      <w:r w:rsidRPr="00963C14">
        <w:t xml:space="preserve">Ашигт малтмалыг нээлттэй, ил тод, зах зээлийн өрсөлдөөнт зарчмаар борлуулах хүрээнд Уул уурхайн бүтээгдэхүүний биржийн үйл ажиллагааг 2023 оны 6 дугаар сарын 30-ны өдрөөс </w:t>
      </w:r>
      <w:r w:rsidR="00F5330E" w:rsidRPr="00963C14">
        <w:t>эхлүүлэн</w:t>
      </w:r>
      <w:r w:rsidRPr="00963C14">
        <w:t xml:space="preserve"> нийт 15 сая тонн </w:t>
      </w:r>
      <w:r w:rsidR="00F5330E" w:rsidRPr="00963C14">
        <w:t xml:space="preserve">нүүрс, </w:t>
      </w:r>
      <w:r w:rsidRPr="00963C14">
        <w:t xml:space="preserve">677 мянган тонн төмрийн хүдэр, баяжмалыг </w:t>
      </w:r>
      <w:r w:rsidR="00F5330E" w:rsidRPr="00963C14">
        <w:t>арилжсан. Биржийн арилжаа эхлэхээс өмнө 1 тонн коксжих нүүрс 100-115 ам.доллар, 1 тонн төмрийн хүдрийн үнэ 60-70 ам доллароор борлуулагдаж байсан бол биржээр арилжаалснаар нүүрсний үнэ дунджаар 10 хувиар, төмрийн хүдрийнх</w:t>
      </w:r>
      <w:r w:rsidRPr="00963C14">
        <w:t xml:space="preserve"> дунджаар 7 хувиар </w:t>
      </w:r>
      <w:r w:rsidR="00F5330E" w:rsidRPr="00963C14">
        <w:t>тус тус нэмэгдсэн байна.</w:t>
      </w:r>
      <w:r w:rsidR="00181807" w:rsidRPr="00963C14">
        <w:t xml:space="preserve"> </w:t>
      </w:r>
      <w:r w:rsidRPr="00963C14">
        <w:t>Уул уурхайн бүтээгдэхүүнийг биржээр арилжаалснаар уурхайн ам нөхцөлөөр хямд үнээр худалддаг, тээврийг худалдан авагч тал хариуцдаг зэрэг үр ашиг багатай асуудлууд засагдлаа.</w:t>
      </w:r>
    </w:p>
    <w:tbl>
      <w:tblPr>
        <w:tblStyle w:val="TableGrid"/>
        <w:tblpPr w:leftFromText="180" w:rightFromText="180" w:vertAnchor="text" w:tblpY="1"/>
        <w:tblOverlap w:val="nev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9"/>
        <w:gridCol w:w="145"/>
        <w:gridCol w:w="2922"/>
        <w:gridCol w:w="233"/>
        <w:gridCol w:w="3155"/>
      </w:tblGrid>
      <w:tr w:rsidR="00EE1D3A" w:rsidRPr="00963C14" w14:paraId="0E4886B5" w14:textId="77777777">
        <w:tc>
          <w:tcPr>
            <w:tcW w:w="9464" w:type="dxa"/>
            <w:gridSpan w:val="5"/>
            <w:vAlign w:val="bottom"/>
          </w:tcPr>
          <w:p w14:paraId="0CE02718" w14:textId="0E0249CE" w:rsidR="00EE1D3A" w:rsidRPr="00963C14" w:rsidRDefault="00EE1D3A">
            <w:pPr>
              <w:pStyle w:val="Caption"/>
              <w:keepNext/>
              <w:tabs>
                <w:tab w:val="right" w:leader="dot" w:pos="9354"/>
              </w:tabs>
              <w:jc w:val="left"/>
              <w:rPr>
                <w:rFonts w:ascii="Arial" w:hAnsi="Arial" w:cs="Arial"/>
              </w:rPr>
            </w:pPr>
            <w:r w:rsidRPr="00963C14">
              <w:rPr>
                <w:rFonts w:ascii="Arial" w:hAnsi="Arial" w:cs="Arial"/>
              </w:rPr>
              <w:t xml:space="preserve">Зураг </w:t>
            </w:r>
            <w:r w:rsidRPr="00963C14">
              <w:rPr>
                <w:rFonts w:ascii="Arial" w:hAnsi="Arial" w:cs="Arial"/>
              </w:rPr>
              <w:fldChar w:fldCharType="begin"/>
            </w:r>
            <w:r w:rsidRPr="00963C14">
              <w:rPr>
                <w:rFonts w:ascii="Arial" w:hAnsi="Arial" w:cs="Arial"/>
              </w:rPr>
              <w:instrText xml:space="preserve"> STYLEREF 1 \s </w:instrText>
            </w:r>
            <w:r w:rsidRPr="00963C14">
              <w:rPr>
                <w:rFonts w:ascii="Arial" w:hAnsi="Arial" w:cs="Arial"/>
              </w:rPr>
              <w:fldChar w:fldCharType="separate"/>
            </w:r>
            <w:r w:rsidRPr="00963C14">
              <w:rPr>
                <w:rFonts w:ascii="Arial" w:hAnsi="Arial" w:cs="Arial"/>
              </w:rPr>
              <w:t>1</w:t>
            </w:r>
            <w:r w:rsidRPr="00963C14">
              <w:rPr>
                <w:rFonts w:ascii="Arial" w:hAnsi="Arial" w:cs="Arial"/>
              </w:rPr>
              <w:fldChar w:fldCharType="end"/>
            </w:r>
            <w:r w:rsidRPr="00963C14">
              <w:rPr>
                <w:rFonts w:ascii="Arial" w:hAnsi="Arial" w:cs="Arial"/>
              </w:rPr>
              <w:t>.</w:t>
            </w:r>
            <w:r w:rsidR="00580971" w:rsidRPr="00963C14">
              <w:rPr>
                <w:rFonts w:ascii="Arial" w:hAnsi="Arial" w:cs="Arial"/>
              </w:rPr>
              <w:t>10</w:t>
            </w:r>
            <w:r w:rsidRPr="00963C14">
              <w:rPr>
                <w:rFonts w:ascii="Arial" w:hAnsi="Arial" w:cs="Arial"/>
              </w:rPr>
              <w:t>.  Уул уурхайн бүтээгдэхүүний биржийн арилжаа</w:t>
            </w:r>
          </w:p>
        </w:tc>
      </w:tr>
      <w:tr w:rsidR="00EE1D3A" w:rsidRPr="00963C14" w14:paraId="7CC0E1E6" w14:textId="77777777">
        <w:tc>
          <w:tcPr>
            <w:tcW w:w="3154" w:type="dxa"/>
            <w:gridSpan w:val="2"/>
            <w:tcBorders>
              <w:top w:val="single" w:sz="4" w:space="0" w:color="auto"/>
            </w:tcBorders>
          </w:tcPr>
          <w:p w14:paraId="0F649012" w14:textId="77777777" w:rsidR="00EE1D3A" w:rsidRPr="00963C14" w:rsidRDefault="00EE1D3A">
            <w:pPr>
              <w:pStyle w:val="Caption"/>
              <w:tabs>
                <w:tab w:val="right" w:leader="dot" w:pos="9354"/>
              </w:tabs>
              <w:jc w:val="left"/>
              <w:rPr>
                <w:rFonts w:ascii="Arial" w:hAnsi="Arial" w:cs="Arial"/>
                <w:i w:val="0"/>
                <w:color w:val="auto"/>
                <w:sz w:val="18"/>
              </w:rPr>
            </w:pPr>
            <w:r w:rsidRPr="00963C14">
              <w:rPr>
                <w:rFonts w:ascii="Arial" w:hAnsi="Arial" w:cs="Arial"/>
                <w:i w:val="0"/>
                <w:color w:val="auto"/>
                <w:sz w:val="18"/>
              </w:rPr>
              <w:t>1.</w:t>
            </w:r>
            <w:r w:rsidRPr="00963C14">
              <w:rPr>
                <w:rFonts w:ascii="Arial" w:eastAsia="Yu Gothic" w:hAnsi="Arial" w:cs="Arial" w:hint="eastAsia"/>
                <w:i w:val="0"/>
                <w:color w:val="auto"/>
                <w:sz w:val="18"/>
                <w:lang w:eastAsia="ja-JP"/>
              </w:rPr>
              <w:t xml:space="preserve"> </w:t>
            </w:r>
            <w:r w:rsidRPr="00963C14">
              <w:rPr>
                <w:rFonts w:ascii="Arial" w:hAnsi="Arial" w:cs="Arial"/>
                <w:i w:val="0"/>
                <w:color w:val="auto"/>
                <w:sz w:val="18"/>
              </w:rPr>
              <w:t>Уул уурхайн бүтээгдэхүүний биржийн арилжааны тоо, 2023 он</w:t>
            </w:r>
          </w:p>
        </w:tc>
        <w:tc>
          <w:tcPr>
            <w:tcW w:w="3155" w:type="dxa"/>
            <w:gridSpan w:val="2"/>
            <w:tcBorders>
              <w:top w:val="single" w:sz="4" w:space="0" w:color="auto"/>
            </w:tcBorders>
          </w:tcPr>
          <w:p w14:paraId="1FF7AC80" w14:textId="77777777" w:rsidR="00EE1D3A" w:rsidRPr="00963C14" w:rsidRDefault="00EE1D3A">
            <w:pPr>
              <w:pStyle w:val="Caption"/>
              <w:tabs>
                <w:tab w:val="right" w:leader="dot" w:pos="9354"/>
              </w:tabs>
              <w:jc w:val="left"/>
              <w:rPr>
                <w:rFonts w:ascii="Arial" w:hAnsi="Arial" w:cs="Arial"/>
                <w:i w:val="0"/>
                <w:color w:val="auto"/>
                <w:sz w:val="18"/>
              </w:rPr>
            </w:pPr>
            <w:r w:rsidRPr="00963C14">
              <w:rPr>
                <w:rFonts w:ascii="Arial" w:hAnsi="Arial" w:cs="Arial"/>
                <w:i w:val="0"/>
                <w:color w:val="auto"/>
                <w:sz w:val="18"/>
              </w:rPr>
              <w:t>2.</w:t>
            </w:r>
            <w:r w:rsidRPr="00963C14">
              <w:rPr>
                <w:rFonts w:ascii="Arial" w:eastAsia="Yu Gothic" w:hAnsi="Arial" w:cs="Arial" w:hint="eastAsia"/>
                <w:i w:val="0"/>
                <w:color w:val="auto"/>
                <w:sz w:val="18"/>
                <w:lang w:eastAsia="ja-JP"/>
              </w:rPr>
              <w:t xml:space="preserve"> </w:t>
            </w:r>
            <w:r w:rsidRPr="00963C14">
              <w:rPr>
                <w:rFonts w:ascii="Arial" w:hAnsi="Arial" w:cs="Arial"/>
                <w:i w:val="0"/>
                <w:color w:val="auto"/>
                <w:sz w:val="18"/>
              </w:rPr>
              <w:t>Нүүрсний дундаж үнэ, 2023 он (ам.доллар/тонн)</w:t>
            </w:r>
          </w:p>
        </w:tc>
        <w:tc>
          <w:tcPr>
            <w:tcW w:w="3155" w:type="dxa"/>
            <w:tcBorders>
              <w:top w:val="single" w:sz="4" w:space="0" w:color="auto"/>
            </w:tcBorders>
            <w:vAlign w:val="bottom"/>
          </w:tcPr>
          <w:p w14:paraId="7BA1798C" w14:textId="77777777" w:rsidR="00EE1D3A" w:rsidRPr="00963C14" w:rsidRDefault="00EE1D3A">
            <w:pPr>
              <w:pStyle w:val="Caption"/>
              <w:tabs>
                <w:tab w:val="right" w:leader="dot" w:pos="9354"/>
              </w:tabs>
              <w:jc w:val="left"/>
              <w:rPr>
                <w:rFonts w:ascii="Arial" w:hAnsi="Arial" w:cs="Arial"/>
                <w:sz w:val="14"/>
                <w:szCs w:val="14"/>
              </w:rPr>
            </w:pPr>
            <w:r w:rsidRPr="00963C14">
              <w:rPr>
                <w:rFonts w:ascii="Arial" w:hAnsi="Arial" w:cs="Arial"/>
                <w:i w:val="0"/>
                <w:color w:val="auto"/>
                <w:sz w:val="18"/>
              </w:rPr>
              <w:t>3.</w:t>
            </w:r>
            <w:r w:rsidRPr="00963C14">
              <w:rPr>
                <w:rFonts w:ascii="Arial" w:eastAsia="Yu Gothic" w:hAnsi="Arial" w:cs="Arial" w:hint="eastAsia"/>
                <w:i w:val="0"/>
                <w:color w:val="auto"/>
                <w:sz w:val="18"/>
                <w:lang w:eastAsia="ja-JP"/>
              </w:rPr>
              <w:t xml:space="preserve"> </w:t>
            </w:r>
            <w:r w:rsidRPr="00963C14">
              <w:rPr>
                <w:rFonts w:ascii="Arial" w:hAnsi="Arial" w:cs="Arial"/>
                <w:i w:val="0"/>
                <w:color w:val="auto"/>
                <w:sz w:val="18"/>
              </w:rPr>
              <w:t xml:space="preserve">Төмрийн хүдэр, баяжмалын дундаж үнэ, 2023 он (ам.доллар/ тонн) </w:t>
            </w:r>
          </w:p>
        </w:tc>
      </w:tr>
      <w:tr w:rsidR="00EE1D3A" w:rsidRPr="00963C14" w14:paraId="348EC551" w14:textId="77777777">
        <w:trPr>
          <w:trHeight w:val="2988"/>
        </w:trPr>
        <w:tc>
          <w:tcPr>
            <w:tcW w:w="3154" w:type="dxa"/>
            <w:gridSpan w:val="2"/>
          </w:tcPr>
          <w:p w14:paraId="0EA72015" w14:textId="77777777" w:rsidR="00EE1D3A" w:rsidRPr="00963C14" w:rsidRDefault="00EE1D3A">
            <w:pPr>
              <w:tabs>
                <w:tab w:val="left" w:pos="454"/>
                <w:tab w:val="right" w:leader="dot" w:pos="9354"/>
              </w:tabs>
              <w:spacing w:afterLines="0"/>
              <w:mirrorIndents/>
              <w:jc w:val="center"/>
              <w:rPr>
                <w:sz w:val="10"/>
                <w:szCs w:val="10"/>
              </w:rPr>
            </w:pPr>
            <w:r w:rsidRPr="00963C14">
              <w:rPr>
                <w:noProof/>
              </w:rPr>
              <w:drawing>
                <wp:inline distT="0" distB="0" distL="0" distR="0" wp14:anchorId="7471C102" wp14:editId="4B06673B">
                  <wp:extent cx="1821180" cy="1834515"/>
                  <wp:effectExtent l="0" t="0" r="0" b="0"/>
                  <wp:docPr id="1292206714" name="Chart 1">
                    <a:extLst xmlns:a="http://schemas.openxmlformats.org/drawingml/2006/main">
                      <a:ext uri="{FF2B5EF4-FFF2-40B4-BE49-F238E27FC236}">
                        <a16:creationId xmlns:a16="http://schemas.microsoft.com/office/drawing/2014/main" id="{AFFB11C4-787C-A23A-C453-DE0270EDA2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3155" w:type="dxa"/>
            <w:gridSpan w:val="2"/>
            <w:vAlign w:val="bottom"/>
          </w:tcPr>
          <w:p w14:paraId="3C866BEB" w14:textId="77777777" w:rsidR="00EE1D3A" w:rsidRPr="00963C14" w:rsidRDefault="00EE1D3A">
            <w:pPr>
              <w:tabs>
                <w:tab w:val="right" w:leader="dot" w:pos="9354"/>
              </w:tabs>
              <w:spacing w:afterLines="0"/>
              <w:ind w:left="-360"/>
              <w:jc w:val="center"/>
              <w:rPr>
                <w:sz w:val="18"/>
                <w:szCs w:val="18"/>
              </w:rPr>
            </w:pPr>
            <w:r w:rsidRPr="00963C14">
              <w:rPr>
                <w:noProof/>
              </w:rPr>
              <w:drawing>
                <wp:inline distT="0" distB="0" distL="0" distR="0" wp14:anchorId="4FB325DD" wp14:editId="6A707C9E">
                  <wp:extent cx="1794510" cy="1895475"/>
                  <wp:effectExtent l="0" t="0" r="0" b="0"/>
                  <wp:docPr id="572976034" name="Chart 1">
                    <a:extLst xmlns:a="http://schemas.openxmlformats.org/drawingml/2006/main">
                      <a:ext uri="{FF2B5EF4-FFF2-40B4-BE49-F238E27FC236}">
                        <a16:creationId xmlns:a16="http://schemas.microsoft.com/office/drawing/2014/main" id="{2168DA34-8AD7-4A6C-223D-AB06BA9607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3155" w:type="dxa"/>
            <w:vAlign w:val="bottom"/>
          </w:tcPr>
          <w:p w14:paraId="0BE6E93F" w14:textId="77777777" w:rsidR="00EE1D3A" w:rsidRPr="00963C14" w:rsidRDefault="00EE1D3A">
            <w:pPr>
              <w:pStyle w:val="ListParagraph"/>
              <w:tabs>
                <w:tab w:val="right" w:leader="dot" w:pos="9354"/>
              </w:tabs>
              <w:spacing w:afterLines="0"/>
              <w:ind w:left="0" w:right="86"/>
              <w:jc w:val="center"/>
              <w:rPr>
                <w:sz w:val="18"/>
                <w:szCs w:val="18"/>
              </w:rPr>
            </w:pPr>
            <w:r w:rsidRPr="00963C14">
              <w:rPr>
                <w:noProof/>
                <w:sz w:val="18"/>
                <w:szCs w:val="18"/>
              </w:rPr>
              <w:drawing>
                <wp:inline distT="0" distB="0" distL="0" distR="0" wp14:anchorId="3EC45FD7" wp14:editId="7EDFFE12">
                  <wp:extent cx="1859915" cy="1895475"/>
                  <wp:effectExtent l="0" t="0" r="0" b="0"/>
                  <wp:docPr id="1236194056" name="Chart 1">
                    <a:extLst xmlns:a="http://schemas.openxmlformats.org/drawingml/2006/main">
                      <a:ext uri="{FF2B5EF4-FFF2-40B4-BE49-F238E27FC236}">
                        <a16:creationId xmlns:a16="http://schemas.microsoft.com/office/drawing/2014/main" id="{A08E607C-B8A1-1F28-CCD8-49B33BDECE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EE1D3A" w:rsidRPr="00963C14" w14:paraId="281DB0B3" w14:textId="77777777">
        <w:trPr>
          <w:trHeight w:val="70"/>
        </w:trPr>
        <w:tc>
          <w:tcPr>
            <w:tcW w:w="3009" w:type="dxa"/>
            <w:tcBorders>
              <w:bottom w:val="single" w:sz="4" w:space="0" w:color="auto"/>
            </w:tcBorders>
            <w:vAlign w:val="bottom"/>
          </w:tcPr>
          <w:p w14:paraId="64348D70" w14:textId="77777777" w:rsidR="00EE1D3A" w:rsidRPr="00963C14" w:rsidRDefault="00EE1D3A">
            <w:pPr>
              <w:pStyle w:val="ListParagraph"/>
              <w:tabs>
                <w:tab w:val="right" w:leader="dot" w:pos="9354"/>
              </w:tabs>
              <w:spacing w:afterLines="0"/>
              <w:ind w:left="0" w:right="90"/>
              <w:jc w:val="right"/>
              <w:rPr>
                <w:i/>
                <w:sz w:val="14"/>
                <w:szCs w:val="14"/>
                <w:lang w:eastAsia="ja-JP"/>
              </w:rPr>
            </w:pPr>
          </w:p>
        </w:tc>
        <w:tc>
          <w:tcPr>
            <w:tcW w:w="3067" w:type="dxa"/>
            <w:gridSpan w:val="2"/>
            <w:tcBorders>
              <w:bottom w:val="single" w:sz="4" w:space="0" w:color="auto"/>
            </w:tcBorders>
            <w:vAlign w:val="bottom"/>
          </w:tcPr>
          <w:p w14:paraId="4F22F9CC" w14:textId="77777777" w:rsidR="00EE1D3A" w:rsidRPr="00963C14" w:rsidRDefault="00EE1D3A">
            <w:pPr>
              <w:pStyle w:val="ListParagraph"/>
              <w:tabs>
                <w:tab w:val="right" w:leader="dot" w:pos="9354"/>
              </w:tabs>
              <w:spacing w:afterLines="0"/>
              <w:ind w:left="0" w:right="180"/>
              <w:jc w:val="right"/>
              <w:rPr>
                <w:i/>
                <w:sz w:val="14"/>
                <w:szCs w:val="14"/>
              </w:rPr>
            </w:pPr>
          </w:p>
        </w:tc>
        <w:tc>
          <w:tcPr>
            <w:tcW w:w="3388" w:type="dxa"/>
            <w:gridSpan w:val="2"/>
            <w:tcBorders>
              <w:bottom w:val="single" w:sz="4" w:space="0" w:color="auto"/>
            </w:tcBorders>
            <w:vAlign w:val="bottom"/>
          </w:tcPr>
          <w:p w14:paraId="0BD5E778" w14:textId="77777777" w:rsidR="00EE1D3A" w:rsidRPr="00963C14" w:rsidRDefault="00EE1D3A">
            <w:pPr>
              <w:pStyle w:val="ListParagraph"/>
              <w:tabs>
                <w:tab w:val="left" w:pos="2745"/>
                <w:tab w:val="right" w:leader="dot" w:pos="9354"/>
              </w:tabs>
              <w:spacing w:afterLines="0" w:after="40"/>
              <w:ind w:left="0" w:right="-6"/>
              <w:jc w:val="right"/>
              <w:rPr>
                <w:i/>
                <w:sz w:val="14"/>
                <w:szCs w:val="14"/>
              </w:rPr>
            </w:pPr>
            <w:r w:rsidRPr="00963C14">
              <w:rPr>
                <w:i/>
                <w:sz w:val="16"/>
                <w:szCs w:val="16"/>
              </w:rPr>
              <w:t>Эх сурвалж</w:t>
            </w:r>
            <w:r w:rsidRPr="00963C14">
              <w:rPr>
                <w:rFonts w:hint="eastAsia"/>
                <w:i/>
                <w:sz w:val="16"/>
                <w:szCs w:val="16"/>
                <w:lang w:eastAsia="ja-JP"/>
              </w:rPr>
              <w:t>:</w:t>
            </w:r>
            <w:r w:rsidRPr="00963C14">
              <w:rPr>
                <w:i/>
                <w:sz w:val="16"/>
                <w:szCs w:val="16"/>
                <w:lang w:eastAsia="ja-JP"/>
              </w:rPr>
              <w:t xml:space="preserve"> Монголын хөрөнгийн бирж</w:t>
            </w:r>
          </w:p>
        </w:tc>
      </w:tr>
    </w:tbl>
    <w:p w14:paraId="1450B9FD" w14:textId="0A075C80" w:rsidR="00EE1D3A" w:rsidRPr="00963C14" w:rsidRDefault="00EE1D3A" w:rsidP="00EE1D3A">
      <w:pPr>
        <w:pStyle w:val="ListParagraph"/>
        <w:tabs>
          <w:tab w:val="left" w:pos="454"/>
          <w:tab w:val="right" w:leader="dot" w:pos="9354"/>
        </w:tabs>
        <w:spacing w:before="288" w:afterLines="0" w:after="288"/>
        <w:ind w:left="0"/>
        <w:contextualSpacing w:val="0"/>
        <w:mirrorIndents/>
      </w:pPr>
      <w:r w:rsidRPr="00963C14">
        <w:rPr>
          <w:rFonts w:cs="Segoe UI Light"/>
          <w:bCs/>
          <w:color w:val="000000" w:themeColor="text1"/>
        </w:rPr>
        <w:t xml:space="preserve">Оюутолгойн бүлэг </w:t>
      </w:r>
      <w:r w:rsidRPr="00963C14">
        <w:rPr>
          <w:bCs/>
        </w:rPr>
        <w:t>ордын нийт нөөцийн 80 гаруй хувийг бүрдүүлдэг, ил уурхайтай харьцуулахад эрдсийн өндөр агуулгатай гүний уурхай 2023 онд ашиглалтад орсонтой холбоотойгоор зэсийн баяжмалын экспорт 2023 онд 1,525 мянган тоннд хүрч, 2016 оноос хойших дээд хэмжээнд хүрлээ.</w:t>
      </w:r>
      <w:r w:rsidR="00B329C9" w:rsidRPr="00963C14">
        <w:rPr>
          <w:bCs/>
        </w:rPr>
        <w:t xml:space="preserve"> </w:t>
      </w:r>
      <w:r w:rsidRPr="00963C14">
        <w:t xml:space="preserve">Газрын тосны экспорт 2023 онд 4.7 сая баррельд хүрч, өмнөх оноос 2 дахин өсөхөд цар тахлаас шалтгаалан 2022 оны эхний хагас жилд хаагдаад байсан Дорнод аймаг дахь хилийн боомтуудын үйл ажиллагаа 2023 онд тогтворжсон нь нөлөөллөө. Мөн төмөр замын зохион байгуулалт сайжирсантай холбоотойгоор төмрийн хүдрийн экспорт 5.6 сая тоннд хүрч нэмэгдлээ. </w:t>
      </w:r>
    </w:p>
    <w:p w14:paraId="22FF9064" w14:textId="652540F5" w:rsidR="009E3B43" w:rsidRPr="00963C14" w:rsidRDefault="009E3B43">
      <w:pPr>
        <w:pStyle w:val="ListParagraph"/>
        <w:tabs>
          <w:tab w:val="left" w:pos="454"/>
          <w:tab w:val="right" w:leader="dot" w:pos="9354"/>
        </w:tabs>
        <w:spacing w:afterLines="0" w:after="288"/>
        <w:ind w:left="0"/>
        <w:contextualSpacing w:val="0"/>
        <w:mirrorIndents/>
      </w:pPr>
      <w:r w:rsidRPr="00963C14">
        <w:t xml:space="preserve">Махны экспортыг нэмэгдүүлэх, хувийн хэвшил бизнесийн үйл ажиллагааг дэмжих зорилтын хүрээнд Засгийн газраас махны экспортод тавих хязгаарлалтыг цуцалж, "Экспортын гэрчилгээний нэг цонхны цахим систем”-ийг нэвтрүүлснээр 2023 онд махны экспорт 309 сая ам.долларт хүрч, өмнөх оноос 6 дахин нэмэгдлээ. Мөн боловсруулаагүй арьс, ширний экспортыг хориглох тухай </w:t>
      </w:r>
      <w:r w:rsidR="00391965" w:rsidRPr="00963C14">
        <w:t xml:space="preserve">Засгийн газрын </w:t>
      </w:r>
      <w:r w:rsidRPr="00963C14">
        <w:t xml:space="preserve">2013 оны </w:t>
      </w:r>
      <w:r w:rsidR="000C76B5" w:rsidRPr="00963C14">
        <w:t>300</w:t>
      </w:r>
      <w:r w:rsidRPr="00963C14">
        <w:t xml:space="preserve"> дугаар </w:t>
      </w:r>
      <w:r w:rsidR="00337FB4" w:rsidRPr="00963C14">
        <w:t>тогтоолын</w:t>
      </w:r>
      <w:r w:rsidRPr="00963C14">
        <w:t xml:space="preserve"> шийдвэрийг 2023 оны 372 дугаар тогтоолоор хүчингүй болгосноор 2013 оноос хойш 10 дахин буураад байсан арьс, ширний экспорт 2023 онд 3.5 сая ам.долларт хүрч, ОХУ, Турк, Итали, Узбекистан улсууд руу түүхий арьс, шир экспортолж эхэллээ.</w:t>
      </w:r>
    </w:p>
    <w:p w14:paraId="39BD4285" w14:textId="08E95DCA" w:rsidR="00EE1D3A" w:rsidRPr="00963C14" w:rsidRDefault="00A97B81" w:rsidP="0023290A">
      <w:pPr>
        <w:pStyle w:val="ListParagraph"/>
        <w:tabs>
          <w:tab w:val="left" w:pos="454"/>
          <w:tab w:val="right" w:leader="dot" w:pos="9354"/>
        </w:tabs>
        <w:spacing w:afterLines="0" w:after="288"/>
        <w:ind w:left="0"/>
        <w:contextualSpacing w:val="0"/>
        <w:mirrorIndents/>
      </w:pPr>
      <w:r w:rsidRPr="00963C14">
        <w:t>Худалдааны түнш орнуудын инфляц эрчимжсэнтэй холбоотойгоор 2022 о</w:t>
      </w:r>
      <w:r w:rsidR="00657FFE" w:rsidRPr="00963C14">
        <w:t xml:space="preserve">нд </w:t>
      </w:r>
      <w:r w:rsidR="009E3B43" w:rsidRPr="00963C14">
        <w:t>импорт 1.9 тэрбум ам.доллароор өссөний</w:t>
      </w:r>
      <w:r w:rsidRPr="00963C14">
        <w:t xml:space="preserve"> 54 хувийг үнийн өсөлт бүрдүүлж байсан бол 2023 онд </w:t>
      </w:r>
      <w:r w:rsidR="009E3B43" w:rsidRPr="00963C14">
        <w:t xml:space="preserve">импорт 0.5 тэрбум ам.доллароор өссөний 5 орчим хувийг үнийн өсөлт бүрдүүлж, </w:t>
      </w:r>
      <w:r w:rsidRPr="00963C14">
        <w:t xml:space="preserve">импортын барааны үнийн </w:t>
      </w:r>
      <w:r w:rsidR="00B52A2C" w:rsidRPr="00963C14">
        <w:t xml:space="preserve">өсөлтийн </w:t>
      </w:r>
      <w:r w:rsidRPr="00963C14">
        <w:t xml:space="preserve">дарамт </w:t>
      </w:r>
      <w:r w:rsidR="009E3B43" w:rsidRPr="00963C14">
        <w:t xml:space="preserve">бага байлаа. Үүнд БНХАУ-ын </w:t>
      </w:r>
      <w:r w:rsidR="0055175F" w:rsidRPr="00963C14">
        <w:t xml:space="preserve">инфляцын </w:t>
      </w:r>
      <w:r w:rsidR="009E3B43" w:rsidRPr="00963C14">
        <w:t>бууралт</w:t>
      </w:r>
      <w:r w:rsidR="0055175F" w:rsidRPr="00963C14">
        <w:t>, ОХУ-</w:t>
      </w:r>
      <w:r w:rsidR="003D6527" w:rsidRPr="00963C14">
        <w:t>Украйн</w:t>
      </w:r>
      <w:r w:rsidR="00612E85" w:rsidRPr="00963C14">
        <w:t xml:space="preserve"> хоорондын</w:t>
      </w:r>
      <w:r w:rsidR="0055175F" w:rsidRPr="00963C14">
        <w:t xml:space="preserve"> геополитикийн тогтворгүй байдлаас үүдэн эрчимтэй өсөөд байсан нефтийн бүтээгдэхүүн, бордоо, үр тарианы үнэ </w:t>
      </w:r>
      <w:r w:rsidR="00B01BE8" w:rsidRPr="00963C14">
        <w:t xml:space="preserve">2023 онд </w:t>
      </w:r>
      <w:r w:rsidR="0055175F" w:rsidRPr="00963C14">
        <w:t>тогтворжиж, буурсан нь</w:t>
      </w:r>
      <w:r w:rsidR="00DC10D7" w:rsidRPr="00963C14">
        <w:t xml:space="preserve"> голлох нөлөөг үзүүллээ.</w:t>
      </w:r>
      <w:r w:rsidR="00AE1A0F" w:rsidRPr="00963C14">
        <w:t xml:space="preserve"> </w:t>
      </w:r>
      <w:r w:rsidR="00EE1D3A" w:rsidRPr="00963C14">
        <w:t>Цар тахлын нөхцөл байдлаас шалтгаалан 2022 онд хилийн боомтуудын үйл ажиллагаа түр саатаж, БНХАУ-ын Тяньжин боомтод чингэлгийн бөөгнөрөл үүсэж,</w:t>
      </w:r>
      <w:r w:rsidR="002F4D99" w:rsidRPr="00963C14">
        <w:t xml:space="preserve"> </w:t>
      </w:r>
      <w:r w:rsidR="00EE1D3A" w:rsidRPr="00963C14">
        <w:t>импортын барааны урсгал 3 сар хүртэлх хугацаагаар саатаж байсан бол 2023 онд хилийн боомтуудын үйл ажиллагаа хэвийн үргэлжиллээ.</w:t>
      </w:r>
    </w:p>
    <w:p w14:paraId="2CADC78D" w14:textId="69D826FF" w:rsidR="00EE1D3A" w:rsidRPr="00963C14" w:rsidRDefault="00EE1D3A" w:rsidP="0023290A">
      <w:pPr>
        <w:pStyle w:val="ListParagraph"/>
        <w:tabs>
          <w:tab w:val="left" w:pos="454"/>
          <w:tab w:val="right" w:leader="dot" w:pos="9354"/>
        </w:tabs>
        <w:spacing w:afterLines="0" w:after="288"/>
        <w:ind w:left="0"/>
        <w:contextualSpacing w:val="0"/>
        <w:mirrorIndents/>
      </w:pPr>
      <w:r w:rsidRPr="00963C14">
        <w:t>Уул уурхай, тээвэр, боловсруулах үйлдвэрийн салбарын өсөлтийг дагаж тоног төхөөрөмж, машин механизм, дизелийн түлшний импорт өндөр байсан нь импортын өсөлтөд голлох нөлөөг үзүүллээ. Тухайлбал, нүүрсний тээвэрлэлт нэмэгдсэнтэй холбоотойгоор дизелийн түлшний импорт 2023 онд 1,090 мянган тоннд хүрч, өмнөх оноос 39.0 хувиар ө</w:t>
      </w:r>
      <w:r w:rsidR="00B7143C" w:rsidRPr="00963C14">
        <w:t xml:space="preserve">ссөн бол </w:t>
      </w:r>
      <w:r w:rsidRPr="00963C14">
        <w:t>хүнс, хөдөө аж ахуйн үйлдвэрлэлийн зориулалттай тоног төхөөрөмжийг импортын барааны гаалийн албан татвараас чөлөөлснөөр тус барааны импорт 2023 онд 255 сая ам.доллар болж, өмнөх оноос 55.8 хувиар өс</w:t>
      </w:r>
      <w:r w:rsidR="00B7143C" w:rsidRPr="00963C14">
        <w:t xml:space="preserve">лөө. </w:t>
      </w:r>
      <w:r w:rsidR="00270B36" w:rsidRPr="00963C14">
        <w:t>Т</w:t>
      </w:r>
      <w:r w:rsidRPr="00963C14">
        <w:t xml:space="preserve">оног төхөөрөмжийн өсөлт цаашид дотоодын боловсруулах үйлдвэрлэлийг дэмжихээр байна. </w:t>
      </w:r>
    </w:p>
    <w:p w14:paraId="7E25B511" w14:textId="77777777" w:rsidR="009E3B43" w:rsidRPr="00963C14" w:rsidRDefault="009E3B43" w:rsidP="009E3B43">
      <w:pPr>
        <w:pStyle w:val="ListParagraph"/>
        <w:tabs>
          <w:tab w:val="left" w:pos="454"/>
          <w:tab w:val="right" w:leader="dot" w:pos="9354"/>
        </w:tabs>
        <w:spacing w:before="120" w:afterLines="0"/>
        <w:ind w:left="0"/>
        <w:contextualSpacing w:val="0"/>
        <w:mirrorIndents/>
      </w:pPr>
      <w:r w:rsidRPr="00963C14">
        <w:t>Эдийн засгийн идэвхжил нэмэгдэж, өрхийн бодит орлого болон зарлага өссөнөөр 2023 онд хүнсний бус хэрэглээний бүтээгдэхүүн, тэр дундаа суудлын автомашины импорт өндөр байв. Харин согтууруулах ундааны эргэлтэд хяналт тавих, архидан согтуурахтай тэмцэх тухай хууль 2023 оны 1 дүгээр сарын 1-ний өдрөөс эхлэн мөрдөгдөж, согтууруулах ундааны онцгой албан татвар нэмэгдсэнээр тус бүтээгдэхүүний импорт буурсан.</w:t>
      </w:r>
    </w:p>
    <w:tbl>
      <w:tblPr>
        <w:tblStyle w:val="TableGrid"/>
        <w:tblpPr w:leftFromText="180" w:rightFromText="180" w:vertAnchor="text" w:tblpY="1"/>
        <w:tblOverlap w:val="nev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4"/>
        <w:gridCol w:w="3155"/>
        <w:gridCol w:w="3155"/>
      </w:tblGrid>
      <w:tr w:rsidR="00EE1D3A" w:rsidRPr="00963C14" w14:paraId="49AFD4FB" w14:textId="77777777">
        <w:trPr>
          <w:cantSplit/>
        </w:trPr>
        <w:tc>
          <w:tcPr>
            <w:tcW w:w="9464" w:type="dxa"/>
            <w:gridSpan w:val="3"/>
          </w:tcPr>
          <w:p w14:paraId="5A3F4E68" w14:textId="17719370" w:rsidR="00EE1D3A" w:rsidRPr="00963C14" w:rsidRDefault="00EE1D3A">
            <w:pPr>
              <w:pStyle w:val="Caption"/>
              <w:rPr>
                <w:rFonts w:ascii="Arial" w:hAnsi="Arial" w:cs="Arial"/>
              </w:rPr>
            </w:pPr>
            <w:r w:rsidRPr="00963C14">
              <w:rPr>
                <w:rFonts w:ascii="Arial" w:hAnsi="Arial" w:cs="Arial"/>
              </w:rPr>
              <w:t xml:space="preserve">Зураг </w:t>
            </w:r>
            <w:r w:rsidRPr="00963C14">
              <w:rPr>
                <w:rFonts w:ascii="Arial" w:hAnsi="Arial" w:cs="Arial"/>
              </w:rPr>
              <w:fldChar w:fldCharType="begin"/>
            </w:r>
            <w:r w:rsidRPr="00963C14">
              <w:rPr>
                <w:rFonts w:ascii="Arial" w:hAnsi="Arial" w:cs="Arial"/>
              </w:rPr>
              <w:instrText xml:space="preserve"> STYLEREF 1 \s </w:instrText>
            </w:r>
            <w:r w:rsidRPr="00963C14">
              <w:rPr>
                <w:rFonts w:ascii="Arial" w:hAnsi="Arial" w:cs="Arial"/>
              </w:rPr>
              <w:fldChar w:fldCharType="separate"/>
            </w:r>
            <w:r w:rsidRPr="00963C14">
              <w:rPr>
                <w:rFonts w:ascii="Arial" w:hAnsi="Arial" w:cs="Arial"/>
              </w:rPr>
              <w:t>1</w:t>
            </w:r>
            <w:r w:rsidRPr="00963C14">
              <w:rPr>
                <w:rFonts w:ascii="Arial" w:hAnsi="Arial" w:cs="Arial"/>
              </w:rPr>
              <w:fldChar w:fldCharType="end"/>
            </w:r>
            <w:r w:rsidRPr="00963C14">
              <w:rPr>
                <w:rFonts w:ascii="Arial" w:hAnsi="Arial" w:cs="Arial"/>
              </w:rPr>
              <w:t>.</w:t>
            </w:r>
            <w:r w:rsidR="00580971" w:rsidRPr="00963C14">
              <w:rPr>
                <w:rFonts w:ascii="Arial" w:hAnsi="Arial" w:cs="Arial"/>
              </w:rPr>
              <w:t>11</w:t>
            </w:r>
            <w:r w:rsidRPr="00963C14">
              <w:rPr>
                <w:rFonts w:ascii="Arial" w:hAnsi="Arial" w:cs="Arial"/>
              </w:rPr>
              <w:t>. Гадаад худалдааны үзүүлэлт</w:t>
            </w:r>
          </w:p>
        </w:tc>
      </w:tr>
      <w:tr w:rsidR="00EE1D3A" w:rsidRPr="00963C14" w14:paraId="12A69C6D" w14:textId="77777777">
        <w:trPr>
          <w:cantSplit/>
        </w:trPr>
        <w:tc>
          <w:tcPr>
            <w:tcW w:w="3154" w:type="dxa"/>
            <w:tcBorders>
              <w:top w:val="single" w:sz="4" w:space="0" w:color="auto"/>
            </w:tcBorders>
          </w:tcPr>
          <w:p w14:paraId="798A7BEB" w14:textId="77777777" w:rsidR="00EE1D3A" w:rsidRPr="00963C14" w:rsidRDefault="00EE1D3A">
            <w:pPr>
              <w:pStyle w:val="Caption"/>
              <w:tabs>
                <w:tab w:val="right" w:leader="dot" w:pos="9354"/>
              </w:tabs>
              <w:contextualSpacing w:val="0"/>
              <w:jc w:val="left"/>
              <w:rPr>
                <w:rFonts w:ascii="Arial" w:hAnsi="Arial" w:cs="Arial"/>
                <w:i w:val="0"/>
                <w:color w:val="auto"/>
                <w:sz w:val="18"/>
              </w:rPr>
            </w:pPr>
            <w:r w:rsidRPr="00963C14">
              <w:rPr>
                <w:rFonts w:ascii="Arial" w:hAnsi="Arial" w:cs="Arial"/>
                <w:i w:val="0"/>
                <w:color w:val="auto"/>
                <w:sz w:val="18"/>
              </w:rPr>
              <w:t xml:space="preserve">1.Гадаад худалдаа </w:t>
            </w:r>
          </w:p>
          <w:p w14:paraId="50C0E54D" w14:textId="77777777" w:rsidR="00EE1D3A" w:rsidRPr="00963C14" w:rsidRDefault="00EE1D3A">
            <w:pPr>
              <w:pStyle w:val="Caption"/>
              <w:contextualSpacing w:val="0"/>
              <w:rPr>
                <w:rFonts w:ascii="Arial" w:hAnsi="Arial" w:cs="Arial"/>
                <w:sz w:val="14"/>
                <w:szCs w:val="14"/>
              </w:rPr>
            </w:pPr>
            <w:r w:rsidRPr="00963C14">
              <w:rPr>
                <w:rFonts w:ascii="Arial" w:hAnsi="Arial" w:cs="Arial"/>
                <w:i w:val="0"/>
                <w:color w:val="auto"/>
                <w:sz w:val="18"/>
              </w:rPr>
              <w:t>(тэрбум ам.доллар)</w:t>
            </w:r>
          </w:p>
        </w:tc>
        <w:tc>
          <w:tcPr>
            <w:tcW w:w="3155" w:type="dxa"/>
            <w:tcBorders>
              <w:top w:val="single" w:sz="4" w:space="0" w:color="auto"/>
            </w:tcBorders>
          </w:tcPr>
          <w:p w14:paraId="1329896D" w14:textId="77777777" w:rsidR="00EE1D3A" w:rsidRPr="00963C14" w:rsidRDefault="00EE1D3A">
            <w:pPr>
              <w:pStyle w:val="Caption"/>
              <w:tabs>
                <w:tab w:val="right" w:leader="dot" w:pos="9354"/>
              </w:tabs>
              <w:contextualSpacing w:val="0"/>
              <w:rPr>
                <w:rFonts w:ascii="Arial" w:hAnsi="Arial" w:cs="Arial"/>
                <w:i w:val="0"/>
                <w:color w:val="auto"/>
                <w:sz w:val="18"/>
              </w:rPr>
            </w:pPr>
            <w:r w:rsidRPr="00963C14">
              <w:rPr>
                <w:rFonts w:ascii="Arial" w:hAnsi="Arial" w:cs="Arial"/>
                <w:i w:val="0"/>
                <w:color w:val="auto"/>
                <w:sz w:val="18"/>
              </w:rPr>
              <w:t xml:space="preserve">2.Экспортын жилийн өсөлт </w:t>
            </w:r>
          </w:p>
          <w:p w14:paraId="3B89D4E4" w14:textId="77777777" w:rsidR="00EE1D3A" w:rsidRPr="00963C14" w:rsidRDefault="00EE1D3A">
            <w:pPr>
              <w:pStyle w:val="Caption"/>
              <w:contextualSpacing w:val="0"/>
              <w:rPr>
                <w:rFonts w:ascii="Arial" w:hAnsi="Arial" w:cs="Arial"/>
                <w:i w:val="0"/>
                <w:color w:val="auto"/>
                <w:sz w:val="16"/>
                <w:szCs w:val="16"/>
              </w:rPr>
            </w:pPr>
            <w:r w:rsidRPr="00963C14">
              <w:rPr>
                <w:rFonts w:ascii="Arial" w:hAnsi="Arial" w:cs="Arial"/>
                <w:i w:val="0"/>
                <w:color w:val="auto"/>
                <w:sz w:val="18"/>
                <w:lang w:eastAsia="ja-JP"/>
              </w:rPr>
              <w:t>(</w:t>
            </w:r>
            <w:r w:rsidRPr="00963C14">
              <w:rPr>
                <w:rFonts w:ascii="Arial" w:hAnsi="Arial" w:cs="Arial"/>
                <w:i w:val="0"/>
                <w:color w:val="auto"/>
                <w:sz w:val="18"/>
              </w:rPr>
              <w:t>хувь)</w:t>
            </w:r>
          </w:p>
        </w:tc>
        <w:tc>
          <w:tcPr>
            <w:tcW w:w="3155" w:type="dxa"/>
            <w:tcBorders>
              <w:top w:val="single" w:sz="4" w:space="0" w:color="auto"/>
            </w:tcBorders>
          </w:tcPr>
          <w:p w14:paraId="31B914CF" w14:textId="77777777" w:rsidR="00EE1D3A" w:rsidRPr="00963C14" w:rsidRDefault="00EE1D3A">
            <w:pPr>
              <w:pStyle w:val="Caption"/>
              <w:tabs>
                <w:tab w:val="right" w:leader="dot" w:pos="9354"/>
              </w:tabs>
              <w:contextualSpacing w:val="0"/>
              <w:rPr>
                <w:rFonts w:ascii="Arial" w:hAnsi="Arial" w:cs="Arial"/>
                <w:i w:val="0"/>
                <w:color w:val="auto"/>
                <w:sz w:val="18"/>
              </w:rPr>
            </w:pPr>
            <w:r w:rsidRPr="00963C14">
              <w:rPr>
                <w:rFonts w:ascii="Arial" w:hAnsi="Arial" w:cs="Arial"/>
                <w:i w:val="0"/>
                <w:color w:val="auto"/>
                <w:sz w:val="18"/>
              </w:rPr>
              <w:t xml:space="preserve">3.Импортын жилийн өсөлт </w:t>
            </w:r>
          </w:p>
          <w:p w14:paraId="246004D8" w14:textId="77777777" w:rsidR="00EE1D3A" w:rsidRPr="00963C14" w:rsidRDefault="00EE1D3A">
            <w:pPr>
              <w:pStyle w:val="Caption"/>
              <w:contextualSpacing w:val="0"/>
              <w:rPr>
                <w:rFonts w:ascii="Arial" w:hAnsi="Arial" w:cs="Arial"/>
                <w:i w:val="0"/>
                <w:color w:val="auto"/>
                <w:sz w:val="18"/>
              </w:rPr>
            </w:pPr>
            <w:r w:rsidRPr="00963C14">
              <w:rPr>
                <w:rFonts w:ascii="Arial" w:hAnsi="Arial" w:cs="Arial"/>
                <w:i w:val="0"/>
                <w:color w:val="auto"/>
                <w:sz w:val="18"/>
              </w:rPr>
              <w:t xml:space="preserve">(хувь) </w:t>
            </w:r>
          </w:p>
        </w:tc>
      </w:tr>
      <w:tr w:rsidR="00EE1D3A" w:rsidRPr="00963C14" w14:paraId="05E869F8" w14:textId="77777777">
        <w:trPr>
          <w:trHeight w:val="3228"/>
        </w:trPr>
        <w:tc>
          <w:tcPr>
            <w:tcW w:w="3154" w:type="dxa"/>
          </w:tcPr>
          <w:p w14:paraId="1CCBBFCA" w14:textId="77777777" w:rsidR="00EE1D3A" w:rsidRPr="00963C14" w:rsidRDefault="00EE1D3A" w:rsidP="00EE1D3A">
            <w:pPr>
              <w:pStyle w:val="ListParagraph"/>
              <w:numPr>
                <w:ilvl w:val="0"/>
                <w:numId w:val="8"/>
              </w:numPr>
              <w:tabs>
                <w:tab w:val="left" w:pos="454"/>
              </w:tabs>
              <w:spacing w:afterLines="0" w:after="0" w:line="240" w:lineRule="auto"/>
              <w:ind w:left="0"/>
              <w:contextualSpacing w:val="0"/>
              <w:mirrorIndents/>
              <w:rPr>
                <w:sz w:val="10"/>
                <w:szCs w:val="10"/>
              </w:rPr>
            </w:pPr>
            <w:r w:rsidRPr="00963C14">
              <w:rPr>
                <w:noProof/>
              </w:rPr>
              <w:drawing>
                <wp:inline distT="0" distB="0" distL="0" distR="0" wp14:anchorId="4E1A3D14" wp14:editId="6A68DE86">
                  <wp:extent cx="1874142" cy="2312670"/>
                  <wp:effectExtent l="0" t="0" r="0" b="0"/>
                  <wp:docPr id="89308050" name="Chart 1">
                    <a:extLst xmlns:a="http://schemas.openxmlformats.org/drawingml/2006/main">
                      <a:ext uri="{FF2B5EF4-FFF2-40B4-BE49-F238E27FC236}">
                        <a16:creationId xmlns:a16="http://schemas.microsoft.com/office/drawing/2014/main" id="{CD6B8176-83EE-0E6C-074E-F8F7BA6BD9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3155" w:type="dxa"/>
          </w:tcPr>
          <w:p w14:paraId="4F897914" w14:textId="77777777" w:rsidR="00EE1D3A" w:rsidRPr="00963C14" w:rsidRDefault="00EE1D3A" w:rsidP="00EE1D3A">
            <w:pPr>
              <w:pStyle w:val="ListParagraph"/>
              <w:numPr>
                <w:ilvl w:val="0"/>
                <w:numId w:val="8"/>
              </w:numPr>
              <w:tabs>
                <w:tab w:val="left" w:pos="454"/>
              </w:tabs>
              <w:spacing w:afterLines="0" w:after="0" w:line="240" w:lineRule="auto"/>
              <w:ind w:left="0"/>
              <w:contextualSpacing w:val="0"/>
              <w:mirrorIndents/>
              <w:rPr>
                <w:sz w:val="18"/>
                <w:szCs w:val="18"/>
              </w:rPr>
            </w:pPr>
            <w:r w:rsidRPr="00963C14">
              <w:rPr>
                <w:noProof/>
              </w:rPr>
              <w:drawing>
                <wp:inline distT="0" distB="0" distL="0" distR="0" wp14:anchorId="7E07BED9" wp14:editId="56DF21E6">
                  <wp:extent cx="2014855" cy="2312670"/>
                  <wp:effectExtent l="0" t="0" r="0" b="0"/>
                  <wp:docPr id="1242113738" name="Chart 1">
                    <a:extLst xmlns:a="http://schemas.openxmlformats.org/drawingml/2006/main">
                      <a:ext uri="{FF2B5EF4-FFF2-40B4-BE49-F238E27FC236}">
                        <a16:creationId xmlns:a16="http://schemas.microsoft.com/office/drawing/2014/main" id="{9D25D13E-E055-0810-4F1A-D7A5AD5193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3155" w:type="dxa"/>
          </w:tcPr>
          <w:p w14:paraId="67F6E628" w14:textId="77777777" w:rsidR="00EE1D3A" w:rsidRPr="00963C14" w:rsidRDefault="00EE1D3A">
            <w:pPr>
              <w:pStyle w:val="ListParagraph"/>
              <w:spacing w:afterLines="0"/>
              <w:ind w:left="0" w:right="86"/>
              <w:jc w:val="right"/>
              <w:rPr>
                <w:sz w:val="16"/>
                <w:szCs w:val="16"/>
              </w:rPr>
            </w:pPr>
            <w:r w:rsidRPr="00963C14">
              <w:rPr>
                <w:noProof/>
                <w:sz w:val="14"/>
                <w:szCs w:val="14"/>
              </w:rPr>
              <w:drawing>
                <wp:inline distT="0" distB="0" distL="0" distR="0" wp14:anchorId="2A538292" wp14:editId="721DF9E7">
                  <wp:extent cx="2009104" cy="2355215"/>
                  <wp:effectExtent l="0" t="0" r="0" b="0"/>
                  <wp:docPr id="18151108" name="Chart 1">
                    <a:extLst xmlns:a="http://schemas.openxmlformats.org/drawingml/2006/main">
                      <a:ext uri="{FF2B5EF4-FFF2-40B4-BE49-F238E27FC236}">
                        <a16:creationId xmlns:a16="http://schemas.microsoft.com/office/drawing/2014/main" id="{235B23C8-DB5B-E9E1-CD4D-4A9F2889D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EE1D3A" w:rsidRPr="00963C14" w14:paraId="764D7D2F" w14:textId="77777777">
        <w:trPr>
          <w:trHeight w:val="227"/>
        </w:trPr>
        <w:tc>
          <w:tcPr>
            <w:tcW w:w="9464" w:type="dxa"/>
            <w:gridSpan w:val="3"/>
            <w:tcBorders>
              <w:bottom w:val="single" w:sz="4" w:space="0" w:color="auto"/>
            </w:tcBorders>
          </w:tcPr>
          <w:p w14:paraId="403615FA" w14:textId="77777777" w:rsidR="00EE1D3A" w:rsidRPr="00963C14" w:rsidRDefault="00EE1D3A">
            <w:pPr>
              <w:pStyle w:val="ListParagraph"/>
              <w:spacing w:afterLines="0"/>
              <w:ind w:left="0" w:right="180"/>
              <w:jc w:val="right"/>
              <w:rPr>
                <w:i/>
                <w:sz w:val="16"/>
                <w:szCs w:val="16"/>
                <w:lang w:eastAsia="ja-JP"/>
              </w:rPr>
            </w:pPr>
            <w:r w:rsidRPr="00963C14">
              <w:rPr>
                <w:i/>
                <w:sz w:val="16"/>
                <w:szCs w:val="16"/>
              </w:rPr>
              <w:t>Эх сурвалж</w:t>
            </w:r>
            <w:r w:rsidRPr="00963C14">
              <w:rPr>
                <w:rFonts w:hint="eastAsia"/>
                <w:i/>
                <w:sz w:val="16"/>
                <w:szCs w:val="16"/>
                <w:lang w:eastAsia="ja-JP"/>
              </w:rPr>
              <w:t>:</w:t>
            </w:r>
            <w:r w:rsidRPr="00963C14">
              <w:rPr>
                <w:i/>
                <w:sz w:val="16"/>
                <w:szCs w:val="16"/>
                <w:lang w:eastAsia="ja-JP"/>
              </w:rPr>
              <w:t xml:space="preserve"> Гаалийн ерөнхий газар</w:t>
            </w:r>
          </w:p>
          <w:p w14:paraId="75F5EB36" w14:textId="77777777" w:rsidR="00EE1D3A" w:rsidRPr="00963C14" w:rsidRDefault="00EE1D3A">
            <w:pPr>
              <w:pStyle w:val="ListParagraph"/>
              <w:spacing w:afterLines="0" w:after="40"/>
              <w:ind w:left="0" w:right="181"/>
              <w:jc w:val="right"/>
              <w:rPr>
                <w:i/>
                <w:sz w:val="14"/>
                <w:szCs w:val="14"/>
                <w:lang w:eastAsia="ja-JP"/>
              </w:rPr>
            </w:pPr>
            <w:r w:rsidRPr="00963C14">
              <w:rPr>
                <w:i/>
                <w:sz w:val="14"/>
                <w:szCs w:val="14"/>
                <w:lang w:eastAsia="ja-JP"/>
              </w:rPr>
              <w:t>Тэмдэглэл: Импортын бараа, бүтээгдэхүүнийг хэрэглээний зориулалтаар ангилав.</w:t>
            </w:r>
          </w:p>
        </w:tc>
      </w:tr>
    </w:tbl>
    <w:p w14:paraId="204A5787" w14:textId="2F741F5D" w:rsidR="00090F43" w:rsidRPr="00963C14" w:rsidRDefault="00EE1D3A" w:rsidP="00EE1D3A">
      <w:pPr>
        <w:pStyle w:val="ListParagraph"/>
        <w:tabs>
          <w:tab w:val="left" w:pos="454"/>
          <w:tab w:val="right" w:leader="dot" w:pos="9354"/>
        </w:tabs>
        <w:spacing w:before="240" w:afterLines="0" w:after="288"/>
        <w:ind w:left="0"/>
        <w:contextualSpacing w:val="0"/>
        <w:mirrorIndents/>
      </w:pPr>
      <w:r w:rsidRPr="00963C14">
        <w:rPr>
          <w:rFonts w:cs="Arial"/>
          <w:b/>
          <w:i/>
          <w:color w:val="055957"/>
          <w:szCs w:val="24"/>
        </w:rPr>
        <w:t xml:space="preserve">Төлбөрийн тэнцэл: </w:t>
      </w:r>
      <w:r w:rsidRPr="00963C14">
        <w:t xml:space="preserve">Засгийн газраас гадаад валютын нөөцийг нэмэгдүүлэх хүрээнд авч хэрэгжүүлсэн цогц арга хэмжээнүүдийн үр дүнд экспорт нэмэгдэж, төлбөрийн тэнцэл 2023 оны эцэст 1.5 тэрбум ам.долларын ашигтай гарлаа. Төлбөрийн тэнцэл ашигтай гарснаар гадаад валютын улсын нөөц 2023 оны эцэст 4,921 сая ам.долларт хүрч нэмэгдэж, </w:t>
      </w:r>
      <w:r w:rsidR="0094233C" w:rsidRPr="00963C14">
        <w:t>төгрөгийн ам.доллартой харьцах</w:t>
      </w:r>
      <w:r w:rsidRPr="00963C14">
        <w:t xml:space="preserve"> ханш 2023 оны эцэст </w:t>
      </w:r>
      <w:r w:rsidR="0094233C" w:rsidRPr="00963C14">
        <w:t>3411 төгрөг болж, оны эхнээс 37 төгрөгөөр буюу 1.1 хувиар чангарсан байна.</w:t>
      </w:r>
      <w:r w:rsidRPr="00963C14">
        <w:t xml:space="preserve"> Экспорт өссөнтэй холбоотойгоор 2023 онд урсгал данс 2007 оноос хойш анх удаа ашигтай гарсан бол шууд хөрөнгө оруулалтын орох урсгал буурч, гадаад бондуудын эргэн төлөлт хийгдсэнтэй холбоотойгоор санхүүгийн дансны ашиг өмнөх оноос буурлаа. Монгол Улсын Засгийн газар 2023 онд Сенчири-2 болон Сенчири-3 төслүүдийн хүрээнд нийт 1 тэрбум ам.долларын бондыг олон улсын зах зээлд амжилттай арилжааллаа.</w:t>
      </w:r>
      <w:r w:rsidR="00B329C9" w:rsidRPr="00963C14">
        <w:t xml:space="preserve"> </w:t>
      </w:r>
      <w:r w:rsidRPr="00963C14">
        <w:t>Цар тахал, геополитикийн тогтворгүй байдалтай нүүр тулсан сүүлийн 3 жилийн хугацаанд Монгол Улсын Засгийн газар өрийн зохицуулалтын арга хэмжээг амжилттай хэрэгжүүлснээр төсөв, төлбөрийн тэнцэлд ирэх дарамтыг бууруулж, өрийн дефолтын эрсдэлээс сэргийлж, зээлжих зэрэглэлийг тогтвортой хадгалж чадлаа.</w:t>
      </w:r>
    </w:p>
    <w:tbl>
      <w:tblPr>
        <w:tblStyle w:val="TableGrid"/>
        <w:tblpPr w:leftFromText="180" w:rightFromText="180" w:vertAnchor="text" w:tblpY="1"/>
        <w:tblOverlap w:val="nev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4"/>
        <w:gridCol w:w="3155"/>
        <w:gridCol w:w="3155"/>
      </w:tblGrid>
      <w:tr w:rsidR="00EE1D3A" w:rsidRPr="00963C14" w14:paraId="09F41ED0" w14:textId="77777777">
        <w:trPr>
          <w:cantSplit/>
        </w:trPr>
        <w:tc>
          <w:tcPr>
            <w:tcW w:w="9464" w:type="dxa"/>
            <w:gridSpan w:val="3"/>
            <w:tcBorders>
              <w:bottom w:val="single" w:sz="4" w:space="0" w:color="auto"/>
            </w:tcBorders>
          </w:tcPr>
          <w:p w14:paraId="476F0A8A" w14:textId="4426B0F5" w:rsidR="00EE1D3A" w:rsidRPr="00963C14" w:rsidRDefault="00EE1D3A">
            <w:pPr>
              <w:pStyle w:val="Caption"/>
              <w:tabs>
                <w:tab w:val="right" w:leader="dot" w:pos="9354"/>
              </w:tabs>
              <w:rPr>
                <w:rFonts w:ascii="Arial" w:hAnsi="Arial" w:cs="Arial"/>
              </w:rPr>
            </w:pPr>
            <w:r w:rsidRPr="00963C14">
              <w:rPr>
                <w:rFonts w:ascii="Arial" w:hAnsi="Arial" w:cs="Arial"/>
              </w:rPr>
              <w:t xml:space="preserve">Зураг </w:t>
            </w:r>
            <w:r w:rsidRPr="00963C14">
              <w:rPr>
                <w:rFonts w:ascii="Arial" w:hAnsi="Arial" w:cs="Arial"/>
              </w:rPr>
              <w:fldChar w:fldCharType="begin"/>
            </w:r>
            <w:r w:rsidRPr="00963C14">
              <w:rPr>
                <w:rFonts w:ascii="Arial" w:hAnsi="Arial" w:cs="Arial"/>
              </w:rPr>
              <w:instrText xml:space="preserve"> STYLEREF 1 \s </w:instrText>
            </w:r>
            <w:r w:rsidRPr="00963C14">
              <w:rPr>
                <w:rFonts w:ascii="Arial" w:hAnsi="Arial" w:cs="Arial"/>
              </w:rPr>
              <w:fldChar w:fldCharType="separate"/>
            </w:r>
            <w:r w:rsidRPr="00963C14">
              <w:rPr>
                <w:rFonts w:ascii="Arial" w:hAnsi="Arial" w:cs="Arial"/>
              </w:rPr>
              <w:t>1</w:t>
            </w:r>
            <w:r w:rsidRPr="00963C14">
              <w:rPr>
                <w:rFonts w:ascii="Arial" w:hAnsi="Arial" w:cs="Arial"/>
              </w:rPr>
              <w:fldChar w:fldCharType="end"/>
            </w:r>
            <w:r w:rsidRPr="00963C14">
              <w:rPr>
                <w:rFonts w:ascii="Arial" w:hAnsi="Arial" w:cs="Arial"/>
              </w:rPr>
              <w:t>.</w:t>
            </w:r>
            <w:r w:rsidR="00580971" w:rsidRPr="00963C14">
              <w:rPr>
                <w:rFonts w:ascii="Arial" w:hAnsi="Arial" w:cs="Arial"/>
              </w:rPr>
              <w:t>12</w:t>
            </w:r>
            <w:r w:rsidRPr="00963C14">
              <w:rPr>
                <w:rFonts w:ascii="Arial" w:hAnsi="Arial" w:cs="Arial"/>
              </w:rPr>
              <w:t xml:space="preserve">. </w:t>
            </w:r>
            <w:r w:rsidRPr="00963C14">
              <w:t xml:space="preserve"> </w:t>
            </w:r>
            <w:r w:rsidRPr="00963C14">
              <w:rPr>
                <w:rFonts w:ascii="Arial" w:hAnsi="Arial" w:cs="Arial"/>
              </w:rPr>
              <w:t>Төлбөрийн тэнцэл, гадаад валютын нөөц, гадаад өр</w:t>
            </w:r>
          </w:p>
        </w:tc>
      </w:tr>
      <w:tr w:rsidR="00EE1D3A" w:rsidRPr="00963C14" w14:paraId="1E0E9A8D" w14:textId="77777777">
        <w:trPr>
          <w:cantSplit/>
        </w:trPr>
        <w:tc>
          <w:tcPr>
            <w:tcW w:w="3154" w:type="dxa"/>
            <w:tcBorders>
              <w:top w:val="single" w:sz="4" w:space="0" w:color="auto"/>
            </w:tcBorders>
          </w:tcPr>
          <w:p w14:paraId="754EBA65" w14:textId="77777777" w:rsidR="00EE1D3A" w:rsidRPr="00963C14" w:rsidRDefault="00EE1D3A">
            <w:pPr>
              <w:pStyle w:val="Caption"/>
              <w:tabs>
                <w:tab w:val="right" w:leader="dot" w:pos="9354"/>
              </w:tabs>
              <w:contextualSpacing w:val="0"/>
              <w:jc w:val="left"/>
              <w:rPr>
                <w:rFonts w:ascii="Arial" w:hAnsi="Arial" w:cs="Arial"/>
                <w:i w:val="0"/>
                <w:color w:val="auto"/>
                <w:sz w:val="18"/>
              </w:rPr>
            </w:pPr>
            <w:r w:rsidRPr="00963C14">
              <w:rPr>
                <w:rFonts w:ascii="Arial" w:hAnsi="Arial" w:cs="Arial"/>
                <w:i w:val="0"/>
                <w:color w:val="auto"/>
                <w:sz w:val="18"/>
              </w:rPr>
              <w:t>1.</w:t>
            </w:r>
            <w:r w:rsidRPr="00963C14">
              <w:rPr>
                <w:sz w:val="22"/>
                <w:szCs w:val="20"/>
              </w:rPr>
              <w:t xml:space="preserve"> </w:t>
            </w:r>
            <w:r w:rsidRPr="00963C14">
              <w:rPr>
                <w:rFonts w:ascii="Arial" w:hAnsi="Arial" w:cs="Arial"/>
                <w:i w:val="0"/>
                <w:color w:val="auto"/>
                <w:sz w:val="18"/>
              </w:rPr>
              <w:t xml:space="preserve">Төлбөрийн тэнцэл </w:t>
            </w:r>
          </w:p>
          <w:p w14:paraId="6851B4AB" w14:textId="77777777" w:rsidR="00EE1D3A" w:rsidRPr="00963C14" w:rsidRDefault="00EE1D3A">
            <w:pPr>
              <w:pStyle w:val="Caption"/>
              <w:tabs>
                <w:tab w:val="right" w:leader="dot" w:pos="9354"/>
              </w:tabs>
              <w:contextualSpacing w:val="0"/>
              <w:jc w:val="left"/>
              <w:rPr>
                <w:rFonts w:ascii="Arial" w:eastAsia="Yu Gothic" w:hAnsi="Arial" w:cs="Arial"/>
                <w:i w:val="0"/>
                <w:color w:val="auto"/>
                <w:sz w:val="16"/>
                <w:szCs w:val="16"/>
                <w:lang w:eastAsia="ja-JP"/>
              </w:rPr>
            </w:pPr>
            <w:r w:rsidRPr="00963C14">
              <w:rPr>
                <w:rFonts w:ascii="Arial" w:hAnsi="Arial" w:cs="Arial"/>
                <w:i w:val="0"/>
                <w:color w:val="auto"/>
                <w:sz w:val="18"/>
              </w:rPr>
              <w:t>(сая ам.доллар)</w:t>
            </w:r>
          </w:p>
        </w:tc>
        <w:tc>
          <w:tcPr>
            <w:tcW w:w="3155" w:type="dxa"/>
            <w:tcBorders>
              <w:top w:val="single" w:sz="4" w:space="0" w:color="auto"/>
            </w:tcBorders>
          </w:tcPr>
          <w:p w14:paraId="218CE741" w14:textId="77777777" w:rsidR="00EE1D3A" w:rsidRPr="00963C14" w:rsidRDefault="00EE1D3A">
            <w:pPr>
              <w:pStyle w:val="Caption"/>
              <w:tabs>
                <w:tab w:val="right" w:leader="dot" w:pos="9354"/>
              </w:tabs>
              <w:contextualSpacing w:val="0"/>
              <w:jc w:val="left"/>
              <w:rPr>
                <w:rFonts w:ascii="Arial" w:hAnsi="Arial" w:cs="Arial"/>
                <w:i w:val="0"/>
                <w:color w:val="auto"/>
                <w:sz w:val="18"/>
              </w:rPr>
            </w:pPr>
            <w:r w:rsidRPr="00963C14">
              <w:rPr>
                <w:rFonts w:ascii="Arial" w:hAnsi="Arial" w:cs="Arial"/>
                <w:i w:val="0"/>
                <w:color w:val="auto"/>
                <w:sz w:val="18"/>
              </w:rPr>
              <w:t>2.</w:t>
            </w:r>
            <w:r w:rsidRPr="00963C14">
              <w:rPr>
                <w:sz w:val="22"/>
                <w:szCs w:val="20"/>
              </w:rPr>
              <w:t xml:space="preserve"> </w:t>
            </w:r>
            <w:r w:rsidRPr="00963C14">
              <w:rPr>
                <w:rFonts w:ascii="Arial" w:hAnsi="Arial" w:cs="Arial"/>
                <w:i w:val="0"/>
                <w:color w:val="auto"/>
                <w:sz w:val="18"/>
              </w:rPr>
              <w:t xml:space="preserve">Гадаад валютын улсын нөөц </w:t>
            </w:r>
          </w:p>
          <w:p w14:paraId="35906801" w14:textId="77777777" w:rsidR="00EE1D3A" w:rsidRPr="00963C14" w:rsidRDefault="00EE1D3A">
            <w:pPr>
              <w:pStyle w:val="Caption"/>
              <w:tabs>
                <w:tab w:val="right" w:leader="dot" w:pos="9354"/>
              </w:tabs>
              <w:contextualSpacing w:val="0"/>
              <w:jc w:val="left"/>
              <w:rPr>
                <w:rFonts w:ascii="Arial" w:hAnsi="Arial" w:cs="Arial"/>
                <w:i w:val="0"/>
                <w:color w:val="auto"/>
                <w:sz w:val="16"/>
                <w:szCs w:val="16"/>
              </w:rPr>
            </w:pPr>
            <w:r w:rsidRPr="00963C14">
              <w:rPr>
                <w:rFonts w:ascii="Arial" w:hAnsi="Arial" w:cs="Arial"/>
                <w:i w:val="0"/>
                <w:color w:val="auto"/>
                <w:sz w:val="18"/>
              </w:rPr>
              <w:t>(сая ам.доллар)</w:t>
            </w:r>
          </w:p>
        </w:tc>
        <w:tc>
          <w:tcPr>
            <w:tcW w:w="3155" w:type="dxa"/>
            <w:tcBorders>
              <w:top w:val="single" w:sz="4" w:space="0" w:color="auto"/>
            </w:tcBorders>
          </w:tcPr>
          <w:p w14:paraId="7FF2BB76" w14:textId="77777777" w:rsidR="00EE1D3A" w:rsidRPr="00963C14" w:rsidRDefault="00EE1D3A">
            <w:pPr>
              <w:pStyle w:val="Caption"/>
              <w:tabs>
                <w:tab w:val="right" w:leader="dot" w:pos="9354"/>
              </w:tabs>
              <w:contextualSpacing w:val="0"/>
              <w:jc w:val="left"/>
              <w:rPr>
                <w:rFonts w:ascii="Arial" w:hAnsi="Arial" w:cs="Arial"/>
                <w:i w:val="0"/>
                <w:color w:val="auto"/>
                <w:sz w:val="16"/>
                <w:szCs w:val="16"/>
              </w:rPr>
            </w:pPr>
            <w:r w:rsidRPr="00963C14">
              <w:rPr>
                <w:rFonts w:ascii="Arial" w:hAnsi="Arial" w:cs="Arial"/>
                <w:i w:val="0"/>
                <w:color w:val="auto"/>
                <w:sz w:val="18"/>
              </w:rPr>
              <w:t>3.Төгрөгийн ам.доллартой харьцах ханшийн өөрчлөлт</w:t>
            </w:r>
          </w:p>
        </w:tc>
      </w:tr>
      <w:tr w:rsidR="00EE1D3A" w:rsidRPr="00963C14" w14:paraId="4F950F0D" w14:textId="77777777">
        <w:trPr>
          <w:trHeight w:val="3078"/>
        </w:trPr>
        <w:tc>
          <w:tcPr>
            <w:tcW w:w="3154" w:type="dxa"/>
          </w:tcPr>
          <w:p w14:paraId="314BD04A" w14:textId="77777777" w:rsidR="00EE1D3A" w:rsidRPr="00963C14" w:rsidRDefault="00EE1D3A" w:rsidP="00EE1D3A">
            <w:pPr>
              <w:pStyle w:val="ListParagraph"/>
              <w:numPr>
                <w:ilvl w:val="0"/>
                <w:numId w:val="8"/>
              </w:numPr>
              <w:tabs>
                <w:tab w:val="left" w:pos="454"/>
                <w:tab w:val="right" w:leader="dot" w:pos="9354"/>
              </w:tabs>
              <w:spacing w:afterLines="0" w:after="0" w:line="240" w:lineRule="auto"/>
              <w:ind w:left="0"/>
              <w:contextualSpacing w:val="0"/>
              <w:mirrorIndents/>
              <w:rPr>
                <w:sz w:val="10"/>
                <w:szCs w:val="10"/>
              </w:rPr>
            </w:pPr>
            <w:r w:rsidRPr="00963C14">
              <w:rPr>
                <w:noProof/>
              </w:rPr>
              <w:drawing>
                <wp:inline distT="0" distB="0" distL="0" distR="0" wp14:anchorId="7E2CD655" wp14:editId="63FC9B6A">
                  <wp:extent cx="1799590" cy="1971675"/>
                  <wp:effectExtent l="0" t="0" r="0" b="0"/>
                  <wp:docPr id="904042678" name="Chart 1">
                    <a:extLst xmlns:a="http://schemas.openxmlformats.org/drawingml/2006/main">
                      <a:ext uri="{FF2B5EF4-FFF2-40B4-BE49-F238E27FC236}">
                        <a16:creationId xmlns:a16="http://schemas.microsoft.com/office/drawing/2014/main" id="{8DE840AF-75B6-088F-F010-6298403703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3155" w:type="dxa"/>
          </w:tcPr>
          <w:p w14:paraId="44828225" w14:textId="77777777" w:rsidR="00EE1D3A" w:rsidRPr="00963C14" w:rsidRDefault="00EE1D3A">
            <w:pPr>
              <w:pStyle w:val="ListParagraph"/>
              <w:tabs>
                <w:tab w:val="left" w:pos="454"/>
                <w:tab w:val="right" w:leader="dot" w:pos="9354"/>
              </w:tabs>
              <w:spacing w:afterLines="0"/>
              <w:ind w:left="0"/>
              <w:contextualSpacing w:val="0"/>
              <w:mirrorIndents/>
              <w:rPr>
                <w:sz w:val="18"/>
                <w:szCs w:val="18"/>
              </w:rPr>
            </w:pPr>
            <w:r w:rsidRPr="00963C14">
              <w:rPr>
                <w:noProof/>
              </w:rPr>
              <w:drawing>
                <wp:anchor distT="0" distB="0" distL="114300" distR="114300" simplePos="0" relativeHeight="251658240" behindDoc="0" locked="0" layoutInCell="1" allowOverlap="1" wp14:anchorId="17372E02" wp14:editId="3AECB4EE">
                  <wp:simplePos x="0" y="0"/>
                  <wp:positionH relativeFrom="column">
                    <wp:posOffset>-73025</wp:posOffset>
                  </wp:positionH>
                  <wp:positionV relativeFrom="paragraph">
                    <wp:posOffset>55245</wp:posOffset>
                  </wp:positionV>
                  <wp:extent cx="1799590" cy="1981200"/>
                  <wp:effectExtent l="0" t="0" r="0" b="0"/>
                  <wp:wrapSquare wrapText="bothSides"/>
                  <wp:docPr id="889533044" name="Chart 1">
                    <a:extLst xmlns:a="http://schemas.openxmlformats.org/drawingml/2006/main">
                      <a:ext uri="{FF2B5EF4-FFF2-40B4-BE49-F238E27FC236}">
                        <a16:creationId xmlns:a16="http://schemas.microsoft.com/office/drawing/2014/main" id="{8DE840AF-75B6-088F-F010-6298403703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3155" w:type="dxa"/>
          </w:tcPr>
          <w:p w14:paraId="5DC7A86C" w14:textId="77777777" w:rsidR="00EE1D3A" w:rsidRPr="00963C14" w:rsidRDefault="00EE1D3A">
            <w:pPr>
              <w:pStyle w:val="ListParagraph"/>
              <w:tabs>
                <w:tab w:val="right" w:leader="dot" w:pos="9354"/>
              </w:tabs>
              <w:spacing w:afterLines="0"/>
              <w:ind w:left="0" w:right="-101"/>
              <w:jc w:val="right"/>
              <w:rPr>
                <w:sz w:val="18"/>
                <w:szCs w:val="18"/>
              </w:rPr>
            </w:pPr>
            <w:r w:rsidRPr="00963C14">
              <w:rPr>
                <w:noProof/>
              </w:rPr>
              <w:drawing>
                <wp:anchor distT="0" distB="0" distL="114300" distR="114300" simplePos="0" relativeHeight="251658249" behindDoc="0" locked="0" layoutInCell="1" allowOverlap="1" wp14:anchorId="25E5DCC3" wp14:editId="6EF88500">
                  <wp:simplePos x="0" y="0"/>
                  <wp:positionH relativeFrom="column">
                    <wp:posOffset>-51435</wp:posOffset>
                  </wp:positionH>
                  <wp:positionV relativeFrom="paragraph">
                    <wp:posOffset>56515</wp:posOffset>
                  </wp:positionV>
                  <wp:extent cx="1799590" cy="1979930"/>
                  <wp:effectExtent l="0" t="0" r="0" b="0"/>
                  <wp:wrapSquare wrapText="bothSides"/>
                  <wp:docPr id="42534616" name="Chart 1">
                    <a:extLst xmlns:a="http://schemas.openxmlformats.org/drawingml/2006/main">
                      <a:ext uri="{FF2B5EF4-FFF2-40B4-BE49-F238E27FC236}">
                        <a16:creationId xmlns:a16="http://schemas.microsoft.com/office/drawing/2014/main" id="{E1372A83-9115-B685-E605-4B71EC015C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tc>
      </w:tr>
      <w:tr w:rsidR="00EE1D3A" w:rsidRPr="00963C14" w14:paraId="53CF2D3F" w14:textId="77777777">
        <w:trPr>
          <w:trHeight w:val="144"/>
        </w:trPr>
        <w:tc>
          <w:tcPr>
            <w:tcW w:w="3154" w:type="dxa"/>
            <w:tcBorders>
              <w:bottom w:val="single" w:sz="4" w:space="0" w:color="auto"/>
            </w:tcBorders>
          </w:tcPr>
          <w:p w14:paraId="246F3B11" w14:textId="77777777" w:rsidR="00EE1D3A" w:rsidRPr="00963C14" w:rsidRDefault="00EE1D3A">
            <w:pPr>
              <w:pStyle w:val="ListParagraph"/>
              <w:tabs>
                <w:tab w:val="right" w:leader="dot" w:pos="9354"/>
              </w:tabs>
              <w:spacing w:afterLines="0"/>
              <w:ind w:left="0" w:right="90"/>
              <w:jc w:val="right"/>
              <w:rPr>
                <w:i/>
                <w:sz w:val="14"/>
                <w:szCs w:val="14"/>
                <w:lang w:eastAsia="ja-JP"/>
              </w:rPr>
            </w:pPr>
          </w:p>
        </w:tc>
        <w:tc>
          <w:tcPr>
            <w:tcW w:w="3155" w:type="dxa"/>
            <w:tcBorders>
              <w:bottom w:val="single" w:sz="4" w:space="0" w:color="auto"/>
            </w:tcBorders>
          </w:tcPr>
          <w:p w14:paraId="5A39D0BE" w14:textId="77777777" w:rsidR="00EE1D3A" w:rsidRPr="00963C14" w:rsidRDefault="00EE1D3A">
            <w:pPr>
              <w:pStyle w:val="ListParagraph"/>
              <w:tabs>
                <w:tab w:val="right" w:leader="dot" w:pos="9354"/>
              </w:tabs>
              <w:spacing w:afterLines="0"/>
              <w:ind w:left="0" w:right="180"/>
              <w:jc w:val="right"/>
              <w:rPr>
                <w:i/>
                <w:sz w:val="14"/>
                <w:szCs w:val="14"/>
              </w:rPr>
            </w:pPr>
          </w:p>
        </w:tc>
        <w:tc>
          <w:tcPr>
            <w:tcW w:w="3155" w:type="dxa"/>
            <w:tcBorders>
              <w:bottom w:val="single" w:sz="4" w:space="0" w:color="auto"/>
            </w:tcBorders>
          </w:tcPr>
          <w:p w14:paraId="7709F37E" w14:textId="77777777" w:rsidR="00EE1D3A" w:rsidRPr="00963C14" w:rsidRDefault="00EE1D3A">
            <w:pPr>
              <w:pStyle w:val="ListParagraph"/>
              <w:tabs>
                <w:tab w:val="left" w:pos="3041"/>
                <w:tab w:val="right" w:leader="dot" w:pos="9354"/>
              </w:tabs>
              <w:spacing w:afterLines="0" w:after="40"/>
              <w:ind w:left="0" w:right="-102"/>
              <w:jc w:val="right"/>
              <w:rPr>
                <w:i/>
                <w:sz w:val="14"/>
                <w:szCs w:val="14"/>
                <w:lang w:eastAsia="ja-JP"/>
              </w:rPr>
            </w:pPr>
            <w:r w:rsidRPr="00963C14">
              <w:rPr>
                <w:i/>
                <w:sz w:val="16"/>
                <w:szCs w:val="16"/>
              </w:rPr>
              <w:t>Эх сурвалж</w:t>
            </w:r>
            <w:r w:rsidRPr="00963C14">
              <w:rPr>
                <w:rFonts w:hint="eastAsia"/>
                <w:i/>
                <w:sz w:val="16"/>
                <w:szCs w:val="16"/>
                <w:lang w:eastAsia="ja-JP"/>
              </w:rPr>
              <w:t>:</w:t>
            </w:r>
            <w:r w:rsidRPr="00963C14">
              <w:rPr>
                <w:i/>
                <w:sz w:val="16"/>
                <w:szCs w:val="16"/>
                <w:lang w:eastAsia="ja-JP"/>
              </w:rPr>
              <w:t xml:space="preserve"> Монголбанк</w:t>
            </w:r>
          </w:p>
        </w:tc>
      </w:tr>
    </w:tbl>
    <w:p w14:paraId="579E49E9" w14:textId="77777777" w:rsidR="002270C6" w:rsidRPr="00963C14" w:rsidRDefault="002270C6">
      <w:pPr>
        <w:spacing w:afterLines="0" w:after="160" w:line="278" w:lineRule="auto"/>
        <w:jc w:val="left"/>
        <w:rPr>
          <w:rFonts w:eastAsiaTheme="majorEastAsia" w:cs="Arial"/>
          <w:b/>
          <w:color w:val="055957"/>
          <w:szCs w:val="24"/>
        </w:rPr>
      </w:pPr>
      <w:bookmarkStart w:id="24" w:name="_Toc163484916"/>
      <w:bookmarkStart w:id="25" w:name="_Toc163736650"/>
      <w:bookmarkStart w:id="26" w:name="_Toc163811083"/>
      <w:r w:rsidRPr="00963C14">
        <w:rPr>
          <w:rFonts w:cs="Arial"/>
          <w:b/>
          <w:color w:val="055957"/>
          <w:szCs w:val="24"/>
        </w:rPr>
        <w:br w:type="page"/>
      </w:r>
    </w:p>
    <w:p w14:paraId="4E07A91F" w14:textId="77777777" w:rsidR="00EE1D3A" w:rsidRPr="00963C14" w:rsidRDefault="00EE1D3A" w:rsidP="00EE1D3A">
      <w:pPr>
        <w:pStyle w:val="Heading2"/>
        <w:numPr>
          <w:ilvl w:val="1"/>
          <w:numId w:val="3"/>
        </w:numPr>
        <w:tabs>
          <w:tab w:val="right" w:leader="dot" w:pos="9354"/>
        </w:tabs>
        <w:spacing w:before="240" w:after="288"/>
        <w:ind w:left="1077"/>
        <w:rPr>
          <w:rFonts w:ascii="Arial" w:hAnsi="Arial" w:cs="Arial"/>
          <w:b/>
          <w:color w:val="055957"/>
          <w:sz w:val="24"/>
          <w:szCs w:val="24"/>
        </w:rPr>
      </w:pPr>
      <w:bookmarkStart w:id="27" w:name="_Toc165299380"/>
      <w:r w:rsidRPr="00963C14">
        <w:rPr>
          <w:rFonts w:ascii="Arial" w:hAnsi="Arial" w:cs="Arial"/>
          <w:b/>
          <w:color w:val="055957"/>
          <w:sz w:val="24"/>
          <w:szCs w:val="24"/>
        </w:rPr>
        <w:t>Эдийн засгийн 2024 оны хүлээгдэж буй гүйцэтгэл</w:t>
      </w:r>
      <w:bookmarkEnd w:id="24"/>
      <w:bookmarkEnd w:id="25"/>
      <w:bookmarkEnd w:id="26"/>
      <w:bookmarkEnd w:id="27"/>
    </w:p>
    <w:p w14:paraId="16EFDEEF" w14:textId="77655CC1" w:rsidR="00EE1D3A" w:rsidRPr="00963C14" w:rsidRDefault="00EE1D3A" w:rsidP="00EE1D3A">
      <w:pPr>
        <w:tabs>
          <w:tab w:val="right" w:leader="dot" w:pos="9354"/>
        </w:tabs>
        <w:spacing w:before="240" w:after="288"/>
        <w:rPr>
          <w:rFonts w:cs="Arial"/>
          <w:szCs w:val="24"/>
        </w:rPr>
      </w:pPr>
      <w:r w:rsidRPr="00963C14">
        <w:rPr>
          <w:rFonts w:cs="Arial"/>
          <w:b/>
          <w:i/>
          <w:color w:val="055957"/>
          <w:szCs w:val="24"/>
        </w:rPr>
        <w:t>Дотоодын нийт бүтээгдэхүүн</w:t>
      </w:r>
      <w:r w:rsidR="00CB72CE" w:rsidRPr="00963C14">
        <w:rPr>
          <w:rFonts w:cs="Arial"/>
          <w:b/>
          <w:i/>
          <w:color w:val="055957"/>
          <w:szCs w:val="24"/>
        </w:rPr>
        <w:t>:</w:t>
      </w:r>
      <w:r w:rsidR="00CB72CE" w:rsidRPr="00963C14">
        <w:rPr>
          <w:rFonts w:cs="Arial"/>
          <w:iCs/>
          <w:szCs w:val="24"/>
        </w:rPr>
        <w:t xml:space="preserve"> </w:t>
      </w:r>
      <w:r w:rsidR="00CB72CE" w:rsidRPr="00963C14">
        <w:rPr>
          <w:rFonts w:cs="Arial"/>
          <w:szCs w:val="24"/>
        </w:rPr>
        <w:t xml:space="preserve">Үндэсний статистикийн хорооны урьдчилсан тооцоогоор эдийн засгийн өсөлт 2024 оны эхний 2 сарын байдлаар 7.8 хувь байна. Эдийн засгийн өсөлт жилийн эцэст 6.0 орчим хувь байхаар төсөөлж байна. </w:t>
      </w:r>
      <w:r w:rsidR="00293FD2" w:rsidRPr="00963C14">
        <w:rPr>
          <w:rFonts w:cs="Arial"/>
          <w:szCs w:val="24"/>
        </w:rPr>
        <w:t>Оюутолгойн</w:t>
      </w:r>
      <w:r w:rsidRPr="00963C14">
        <w:rPr>
          <w:rFonts w:cs="Arial"/>
          <w:szCs w:val="24"/>
        </w:rPr>
        <w:t xml:space="preserve"> гүний уурхайн олборлолт үргэлжилснээр баяжмал дахь зэс болон алтны </w:t>
      </w:r>
      <w:r w:rsidR="00293FD2" w:rsidRPr="00963C14">
        <w:rPr>
          <w:rFonts w:cs="Arial"/>
          <w:szCs w:val="24"/>
        </w:rPr>
        <w:t xml:space="preserve">агууламж нэмэгдэнэ. Мөн </w:t>
      </w:r>
      <w:r w:rsidRPr="00963C14">
        <w:rPr>
          <w:rFonts w:cs="Arial"/>
          <w:szCs w:val="24"/>
        </w:rPr>
        <w:t xml:space="preserve">нүүрс, алт, төмрийн </w:t>
      </w:r>
      <w:r w:rsidR="00293FD2" w:rsidRPr="00963C14">
        <w:rPr>
          <w:rFonts w:cs="Arial"/>
          <w:szCs w:val="24"/>
        </w:rPr>
        <w:t>хүдрийн</w:t>
      </w:r>
      <w:r w:rsidRPr="00963C14">
        <w:rPr>
          <w:rFonts w:cs="Arial"/>
          <w:szCs w:val="24"/>
        </w:rPr>
        <w:t xml:space="preserve"> олборлолт </w:t>
      </w:r>
      <w:r w:rsidR="00293FD2" w:rsidRPr="00963C14">
        <w:rPr>
          <w:rFonts w:cs="Arial"/>
          <w:szCs w:val="24"/>
        </w:rPr>
        <w:t>өссөнөөр</w:t>
      </w:r>
      <w:r w:rsidRPr="00963C14">
        <w:rPr>
          <w:rFonts w:cs="Arial"/>
          <w:szCs w:val="24"/>
        </w:rPr>
        <w:t xml:space="preserve"> уул уурхайн салбарын </w:t>
      </w:r>
      <w:r w:rsidR="00293FD2" w:rsidRPr="00963C14">
        <w:rPr>
          <w:rFonts w:cs="Arial"/>
          <w:szCs w:val="24"/>
        </w:rPr>
        <w:t xml:space="preserve">үйлдвэрлэл </w:t>
      </w:r>
      <w:r w:rsidR="00293FD2" w:rsidRPr="00963C14">
        <w:rPr>
          <w:rFonts w:cs="Arial"/>
          <w:color w:val="000000" w:themeColor="text1"/>
          <w:szCs w:val="24"/>
        </w:rPr>
        <w:t xml:space="preserve">нэмэгдэхээр </w:t>
      </w:r>
      <w:r w:rsidRPr="00963C14">
        <w:rPr>
          <w:rFonts w:cs="Arial"/>
          <w:color w:val="000000" w:themeColor="text1"/>
          <w:szCs w:val="24"/>
        </w:rPr>
        <w:t xml:space="preserve">байна. </w:t>
      </w:r>
      <w:r w:rsidR="00293FD2" w:rsidRPr="00963C14">
        <w:rPr>
          <w:rFonts w:cs="Arial"/>
          <w:color w:val="000000" w:themeColor="text1"/>
          <w:szCs w:val="24"/>
        </w:rPr>
        <w:t>Уул</w:t>
      </w:r>
      <w:r w:rsidRPr="00963C14">
        <w:rPr>
          <w:rFonts w:cs="Arial"/>
          <w:color w:val="000000" w:themeColor="text1"/>
          <w:szCs w:val="24"/>
        </w:rPr>
        <w:t xml:space="preserve"> уурхайн салбарын дам нөлөөгөөр </w:t>
      </w:r>
      <w:r w:rsidR="00293FD2" w:rsidRPr="00963C14">
        <w:rPr>
          <w:rFonts w:cs="Arial"/>
          <w:color w:val="000000" w:themeColor="text1"/>
          <w:szCs w:val="24"/>
        </w:rPr>
        <w:t>ачаа тээвэр өсөлттэй</w:t>
      </w:r>
      <w:r w:rsidRPr="00963C14">
        <w:rPr>
          <w:rFonts w:cs="Arial"/>
          <w:color w:val="000000" w:themeColor="text1"/>
          <w:szCs w:val="24"/>
        </w:rPr>
        <w:t xml:space="preserve"> байх бол жуулчдыг татахад чиглэсэн арга хэмжээнүүд </w:t>
      </w:r>
      <w:r w:rsidR="00293FD2" w:rsidRPr="00963C14">
        <w:rPr>
          <w:rFonts w:cs="Arial"/>
          <w:color w:val="000000" w:themeColor="text1"/>
          <w:szCs w:val="24"/>
        </w:rPr>
        <w:t xml:space="preserve">хэрэгжүүлснээр </w:t>
      </w:r>
      <w:r w:rsidRPr="00963C14">
        <w:rPr>
          <w:rFonts w:cs="Arial"/>
          <w:color w:val="000000" w:themeColor="text1"/>
          <w:szCs w:val="24"/>
        </w:rPr>
        <w:t xml:space="preserve">2024 оны сүүлийн </w:t>
      </w:r>
      <w:r w:rsidR="00293FD2" w:rsidRPr="00963C14">
        <w:rPr>
          <w:rFonts w:cs="Arial"/>
          <w:color w:val="000000" w:themeColor="text1"/>
          <w:szCs w:val="24"/>
        </w:rPr>
        <w:t>хагас</w:t>
      </w:r>
      <w:r w:rsidR="000C6148" w:rsidRPr="00963C14">
        <w:rPr>
          <w:rFonts w:cs="Arial"/>
          <w:color w:val="000000" w:themeColor="text1"/>
          <w:szCs w:val="24"/>
        </w:rPr>
        <w:t xml:space="preserve"> жилд</w:t>
      </w:r>
      <w:r w:rsidRPr="00963C14">
        <w:rPr>
          <w:rFonts w:cs="Arial"/>
          <w:color w:val="000000" w:themeColor="text1"/>
          <w:szCs w:val="24"/>
        </w:rPr>
        <w:t xml:space="preserve"> аялал </w:t>
      </w:r>
      <w:r w:rsidR="00293FD2" w:rsidRPr="00963C14">
        <w:rPr>
          <w:rFonts w:cs="Arial"/>
          <w:color w:val="000000" w:themeColor="text1"/>
          <w:szCs w:val="24"/>
        </w:rPr>
        <w:t>жуулчлал</w:t>
      </w:r>
      <w:r w:rsidRPr="00963C14">
        <w:rPr>
          <w:rFonts w:cs="Arial"/>
          <w:color w:val="000000" w:themeColor="text1"/>
          <w:szCs w:val="24"/>
        </w:rPr>
        <w:t xml:space="preserve">, үйлчилгээний </w:t>
      </w:r>
      <w:r w:rsidR="00293FD2" w:rsidRPr="00963C14">
        <w:rPr>
          <w:rFonts w:cs="Arial"/>
          <w:color w:val="000000" w:themeColor="text1"/>
          <w:szCs w:val="24"/>
        </w:rPr>
        <w:t>салбар өсөх хүлээлттэй байна.</w:t>
      </w:r>
      <w:r w:rsidRPr="00963C14">
        <w:rPr>
          <w:rFonts w:cs="Arial"/>
          <w:color w:val="000000" w:themeColor="text1"/>
          <w:szCs w:val="24"/>
        </w:rPr>
        <w:t xml:space="preserve"> </w:t>
      </w:r>
      <w:r w:rsidR="00471BCC" w:rsidRPr="00963C14">
        <w:rPr>
          <w:rFonts w:cs="Arial"/>
          <w:color w:val="000000" w:themeColor="text1"/>
          <w:szCs w:val="24"/>
        </w:rPr>
        <w:t>“Г</w:t>
      </w:r>
      <w:r w:rsidR="006C7EA2" w:rsidRPr="00963C14">
        <w:rPr>
          <w:rFonts w:cs="Arial"/>
          <w:color w:val="000000" w:themeColor="text1"/>
          <w:szCs w:val="24"/>
        </w:rPr>
        <w:t>а</w:t>
      </w:r>
      <w:r w:rsidR="00471BCC" w:rsidRPr="00963C14">
        <w:rPr>
          <w:rFonts w:cs="Arial"/>
          <w:color w:val="000000" w:themeColor="text1"/>
          <w:szCs w:val="24"/>
        </w:rPr>
        <w:t xml:space="preserve">алийн албан татварыг хөнгөлөх тухай” хууль </w:t>
      </w:r>
      <w:r w:rsidR="0027365C" w:rsidRPr="00963C14">
        <w:rPr>
          <w:rFonts w:cs="Arial"/>
          <w:color w:val="000000" w:themeColor="text1"/>
          <w:szCs w:val="24"/>
        </w:rPr>
        <w:t>батлагдаж</w:t>
      </w:r>
      <w:r w:rsidR="00AC1C8F" w:rsidRPr="00963C14">
        <w:rPr>
          <w:rFonts w:cs="Arial"/>
          <w:color w:val="000000" w:themeColor="text1"/>
          <w:szCs w:val="24"/>
        </w:rPr>
        <w:t>,</w:t>
      </w:r>
      <w:r w:rsidR="00471BCC" w:rsidRPr="00963C14">
        <w:rPr>
          <w:rFonts w:cs="Arial"/>
          <w:color w:val="000000" w:themeColor="text1"/>
          <w:szCs w:val="24"/>
        </w:rPr>
        <w:t xml:space="preserve"> </w:t>
      </w:r>
      <w:r w:rsidR="003D1473" w:rsidRPr="00963C14">
        <w:rPr>
          <w:rFonts w:cs="Arial"/>
          <w:color w:val="000000" w:themeColor="text1"/>
          <w:szCs w:val="24"/>
        </w:rPr>
        <w:t xml:space="preserve">хүнс, хөдөө аж ахуйн гаралтай </w:t>
      </w:r>
      <w:r w:rsidR="00A40892" w:rsidRPr="00963C14">
        <w:rPr>
          <w:rFonts w:cs="Arial"/>
          <w:color w:val="000000" w:themeColor="text1"/>
          <w:szCs w:val="24"/>
        </w:rPr>
        <w:t xml:space="preserve">түүхий эд боловсруулах </w:t>
      </w:r>
      <w:r w:rsidR="00144C3E" w:rsidRPr="00963C14">
        <w:rPr>
          <w:rFonts w:cs="Arial"/>
          <w:color w:val="000000" w:themeColor="text1"/>
          <w:szCs w:val="24"/>
        </w:rPr>
        <w:t xml:space="preserve">тоног төхөөрөмжийн </w:t>
      </w:r>
      <w:r w:rsidR="002258A4" w:rsidRPr="00963C14">
        <w:rPr>
          <w:rFonts w:cs="Arial"/>
          <w:color w:val="000000" w:themeColor="text1"/>
          <w:szCs w:val="24"/>
        </w:rPr>
        <w:t>импор</w:t>
      </w:r>
      <w:r w:rsidR="006852E0" w:rsidRPr="00963C14">
        <w:rPr>
          <w:rFonts w:cs="Arial"/>
          <w:color w:val="000000" w:themeColor="text1"/>
          <w:szCs w:val="24"/>
        </w:rPr>
        <w:t xml:space="preserve">тын татварыг </w:t>
      </w:r>
      <w:r w:rsidR="003E4D1D" w:rsidRPr="00963C14">
        <w:rPr>
          <w:rFonts w:cs="Arial"/>
          <w:color w:val="000000" w:themeColor="text1"/>
          <w:szCs w:val="24"/>
        </w:rPr>
        <w:t>тэгл</w:t>
      </w:r>
      <w:r w:rsidR="003A0215" w:rsidRPr="00963C14">
        <w:rPr>
          <w:rFonts w:cs="Arial"/>
          <w:color w:val="000000" w:themeColor="text1"/>
          <w:szCs w:val="24"/>
        </w:rPr>
        <w:t xml:space="preserve">эснээр </w:t>
      </w:r>
      <w:r w:rsidRPr="00963C14">
        <w:rPr>
          <w:rFonts w:cs="Arial"/>
          <w:color w:val="000000" w:themeColor="text1"/>
          <w:szCs w:val="24"/>
        </w:rPr>
        <w:t xml:space="preserve">2023 онд тоног төхөөрөмжийн импорт нэмэгдсэн </w:t>
      </w:r>
      <w:r w:rsidR="00AC1C8F" w:rsidRPr="00963C14">
        <w:rPr>
          <w:rFonts w:cs="Arial"/>
          <w:color w:val="000000" w:themeColor="text1"/>
          <w:szCs w:val="24"/>
        </w:rPr>
        <w:t xml:space="preserve">бөгөөд уг </w:t>
      </w:r>
      <w:r w:rsidRPr="00963C14">
        <w:rPr>
          <w:rFonts w:cs="Arial"/>
          <w:color w:val="000000" w:themeColor="text1"/>
          <w:szCs w:val="24"/>
        </w:rPr>
        <w:t xml:space="preserve">нөлөөгөөр уул уурхайн бус, боловсруулах салбаруудын гарц нэмэгдэхээр байна. </w:t>
      </w:r>
      <w:r w:rsidR="00784308" w:rsidRPr="00963C14">
        <w:rPr>
          <w:rFonts w:cs="Arial"/>
          <w:color w:val="000000" w:themeColor="text1"/>
          <w:szCs w:val="24"/>
        </w:rPr>
        <w:t>Харин</w:t>
      </w:r>
      <w:r w:rsidR="00784308" w:rsidRPr="00963C14">
        <w:rPr>
          <w:rFonts w:cs="Arial"/>
          <w:szCs w:val="24"/>
        </w:rPr>
        <w:t xml:space="preserve"> цаг агаарын таагүй нөхцөл байдлын улмаас том малын зүй бус хорогдол 2023 оны түвшнээс давж, хөдөө аж ахуйн салбарын үйлдвэрлэл 2024 онд агшихаар байна. </w:t>
      </w:r>
      <w:r w:rsidR="00784308" w:rsidRPr="00963C14">
        <w:t>Цалин, тэтгэвэр, тэтгэмж 2024 оны 2 дугаар улиралд нэмэгдсэнээр өрхийн хэрэглээ өсөж,  дотоод эрэлт сайжран, улмаар худалдаа, үйлчилгээний борлуулалт нэмэгдэн эдийн засгийн өсөлтөд эерэг нөлөө үзүүлэхээр байна.</w:t>
      </w:r>
    </w:p>
    <w:p w14:paraId="0B48340B" w14:textId="1CC60932" w:rsidR="00EE1D3A" w:rsidRPr="00963C14" w:rsidRDefault="00EE1D3A" w:rsidP="00EE1D3A">
      <w:pPr>
        <w:tabs>
          <w:tab w:val="right" w:leader="dot" w:pos="9354"/>
        </w:tabs>
        <w:spacing w:after="288"/>
        <w:rPr>
          <w:rFonts w:cs="Arial"/>
          <w:b/>
          <w:i/>
          <w:color w:val="055957"/>
          <w:szCs w:val="24"/>
        </w:rPr>
      </w:pPr>
      <w:r w:rsidRPr="00963C14">
        <w:rPr>
          <w:rFonts w:cs="Arial"/>
          <w:b/>
          <w:i/>
          <w:color w:val="055957"/>
          <w:szCs w:val="24"/>
        </w:rPr>
        <w:t xml:space="preserve">Гадаад худалдаа: </w:t>
      </w:r>
      <w:r w:rsidR="00172E0A" w:rsidRPr="00963C14">
        <w:rPr>
          <w:rFonts w:cs="Arial"/>
          <w:szCs w:val="24"/>
        </w:rPr>
        <w:t xml:space="preserve">Гадаад худалдааны нийт бараа эргэлт </w:t>
      </w:r>
      <w:r w:rsidRPr="00963C14">
        <w:rPr>
          <w:rFonts w:cs="Arial"/>
          <w:szCs w:val="24"/>
        </w:rPr>
        <w:t xml:space="preserve">2024 </w:t>
      </w:r>
      <w:r w:rsidR="00172E0A" w:rsidRPr="00963C14">
        <w:rPr>
          <w:rFonts w:cs="Arial"/>
          <w:szCs w:val="24"/>
        </w:rPr>
        <w:t>оны эхний 3 сарын байдлаар 6.1 тэрбум ам</w:t>
      </w:r>
      <w:r w:rsidR="00ED19A3" w:rsidRPr="00963C14">
        <w:rPr>
          <w:rFonts w:cs="Arial"/>
          <w:szCs w:val="24"/>
        </w:rPr>
        <w:t>.</w:t>
      </w:r>
      <w:r w:rsidR="00172E0A" w:rsidRPr="00963C14">
        <w:rPr>
          <w:rFonts w:cs="Arial"/>
          <w:szCs w:val="24"/>
        </w:rPr>
        <w:t>долларт хүрч, өнгөрсөн оны мөн үеэс 6.5 хувиар өслөө.</w:t>
      </w:r>
      <w:r w:rsidR="00172E0A" w:rsidRPr="00963C14">
        <w:rPr>
          <w:rFonts w:cs="Arial"/>
          <w:b/>
          <w:i/>
          <w:color w:val="055957"/>
          <w:szCs w:val="24"/>
        </w:rPr>
        <w:t xml:space="preserve"> </w:t>
      </w:r>
      <w:r w:rsidR="00172E0A" w:rsidRPr="00963C14">
        <w:rPr>
          <w:rFonts w:cs="Arial"/>
          <w:szCs w:val="24"/>
        </w:rPr>
        <w:t>2024 оны жилийн эцэст нийт бараа эргэлт 28.6 тэрбум ам</w:t>
      </w:r>
      <w:r w:rsidR="00ED19A3" w:rsidRPr="00963C14">
        <w:rPr>
          <w:rFonts w:cs="Arial"/>
          <w:szCs w:val="24"/>
        </w:rPr>
        <w:t>.</w:t>
      </w:r>
      <w:r w:rsidRPr="00963C14">
        <w:rPr>
          <w:rFonts w:cs="Arial"/>
          <w:szCs w:val="24"/>
        </w:rPr>
        <w:t>долларт хүрч, гадаад худалдааны тэнцэл 6.1 тэрбум ам</w:t>
      </w:r>
      <w:r w:rsidR="00ED19A3" w:rsidRPr="00963C14">
        <w:rPr>
          <w:rFonts w:cs="Arial"/>
          <w:szCs w:val="24"/>
        </w:rPr>
        <w:t>.</w:t>
      </w:r>
      <w:r w:rsidRPr="00963C14">
        <w:rPr>
          <w:rFonts w:cs="Arial"/>
          <w:szCs w:val="24"/>
        </w:rPr>
        <w:t xml:space="preserve">долларын ашигтай </w:t>
      </w:r>
      <w:r w:rsidR="00172E0A" w:rsidRPr="00963C14">
        <w:rPr>
          <w:rFonts w:cs="Arial"/>
          <w:szCs w:val="24"/>
        </w:rPr>
        <w:t xml:space="preserve">гарахаар төсөөлж байна. Хилийн боомтуудын дэд бүтцийг сайжруулах, тээвэр зохион байгуулалтыг оновчтой хийх, уул уурхайн бүтээгдэхүүний биржийн үйл ажиллагааг өргөтгөх зэрэг арга хэмжээнүүдийн үр дүнд нүүрсний экспорт 78 сая тоннд хүрч, нийт экспортын </w:t>
      </w:r>
      <w:r w:rsidR="00AC1F37" w:rsidRPr="00963C14">
        <w:rPr>
          <w:rFonts w:cs="Arial"/>
          <w:szCs w:val="24"/>
        </w:rPr>
        <w:t>дүн</w:t>
      </w:r>
      <w:r w:rsidR="00172E0A" w:rsidRPr="00963C14">
        <w:rPr>
          <w:rFonts w:cs="Arial"/>
          <w:szCs w:val="24"/>
        </w:rPr>
        <w:t xml:space="preserve"> 2024 оны эцэст 17.4 тэрбум ам</w:t>
      </w:r>
      <w:r w:rsidR="00AC1F37" w:rsidRPr="00963C14">
        <w:rPr>
          <w:rFonts w:cs="Arial"/>
          <w:szCs w:val="24"/>
        </w:rPr>
        <w:t>.</w:t>
      </w:r>
      <w:r w:rsidR="00172E0A" w:rsidRPr="00963C14">
        <w:rPr>
          <w:rFonts w:cs="Arial"/>
          <w:szCs w:val="24"/>
        </w:rPr>
        <w:t xml:space="preserve">долларт хүрэх төлөвтэй байна. </w:t>
      </w:r>
      <w:r w:rsidRPr="00963C14">
        <w:rPr>
          <w:rFonts w:cs="Arial"/>
          <w:szCs w:val="24"/>
        </w:rPr>
        <w:t xml:space="preserve">Харин өрхийн орлого, зээл олголт нэмэгдэж, эдийн засгийн өсөлт тогтвортой </w:t>
      </w:r>
      <w:r w:rsidR="00172E0A" w:rsidRPr="00963C14">
        <w:rPr>
          <w:rFonts w:cs="Arial"/>
          <w:szCs w:val="24"/>
        </w:rPr>
        <w:t xml:space="preserve">байснаар импорт </w:t>
      </w:r>
      <w:r w:rsidR="006C45C2" w:rsidRPr="00963C14">
        <w:rPr>
          <w:rFonts w:cs="Arial"/>
          <w:szCs w:val="24"/>
        </w:rPr>
        <w:t>2024</w:t>
      </w:r>
      <w:r w:rsidR="00172E0A" w:rsidRPr="00963C14">
        <w:rPr>
          <w:rFonts w:cs="Arial"/>
          <w:szCs w:val="24"/>
        </w:rPr>
        <w:t xml:space="preserve"> оны эцэст 11.3 тэрбум ам</w:t>
      </w:r>
      <w:r w:rsidR="006C45C2" w:rsidRPr="00963C14">
        <w:rPr>
          <w:rFonts w:cs="Arial"/>
          <w:szCs w:val="24"/>
        </w:rPr>
        <w:t>.</w:t>
      </w:r>
      <w:r w:rsidR="00172E0A" w:rsidRPr="00963C14">
        <w:rPr>
          <w:rFonts w:cs="Arial"/>
          <w:szCs w:val="24"/>
        </w:rPr>
        <w:t xml:space="preserve">долларт </w:t>
      </w:r>
      <w:r w:rsidR="006C45C2" w:rsidRPr="00963C14">
        <w:rPr>
          <w:rFonts w:cs="Arial"/>
          <w:szCs w:val="24"/>
        </w:rPr>
        <w:t xml:space="preserve">хүрч </w:t>
      </w:r>
      <w:r w:rsidR="00172E0A" w:rsidRPr="00963C14">
        <w:rPr>
          <w:rFonts w:cs="Arial"/>
          <w:szCs w:val="24"/>
        </w:rPr>
        <w:t>өсө</w:t>
      </w:r>
      <w:r w:rsidR="006C45C2" w:rsidRPr="00963C14">
        <w:rPr>
          <w:rFonts w:cs="Arial"/>
          <w:szCs w:val="24"/>
        </w:rPr>
        <w:t>хөөр</w:t>
      </w:r>
      <w:r w:rsidRPr="00963C14">
        <w:rPr>
          <w:rFonts w:cs="Arial"/>
          <w:szCs w:val="24"/>
        </w:rPr>
        <w:t xml:space="preserve"> байна.</w:t>
      </w:r>
    </w:p>
    <w:p w14:paraId="6C014CD4" w14:textId="35440495" w:rsidR="00EE1D3A" w:rsidRPr="00963C14" w:rsidRDefault="00EE1D3A" w:rsidP="00EE1D3A">
      <w:pPr>
        <w:tabs>
          <w:tab w:val="right" w:leader="dot" w:pos="9354"/>
        </w:tabs>
        <w:spacing w:after="288"/>
      </w:pPr>
      <w:r w:rsidRPr="00963C14">
        <w:rPr>
          <w:rFonts w:cs="Arial"/>
          <w:b/>
          <w:i/>
          <w:color w:val="055957"/>
          <w:szCs w:val="24"/>
        </w:rPr>
        <w:t xml:space="preserve">Инфляц: </w:t>
      </w:r>
      <w:r w:rsidRPr="00963C14">
        <w:t xml:space="preserve">Инфляц 2024 оны </w:t>
      </w:r>
      <w:r w:rsidR="001755BC" w:rsidRPr="00963C14">
        <w:t>3 дугаар сард 7.0 хувьд хүрч,</w:t>
      </w:r>
      <w:r w:rsidRPr="00963C14">
        <w:t xml:space="preserve"> төв банкны зорилтот түвшинд </w:t>
      </w:r>
      <w:r w:rsidR="001755BC" w:rsidRPr="00963C14">
        <w:t>хадгалагдаж</w:t>
      </w:r>
      <w:r w:rsidRPr="00963C14">
        <w:t xml:space="preserve"> байна. </w:t>
      </w:r>
      <w:r w:rsidR="005017E2" w:rsidRPr="00963C14">
        <w:t>Гадаад</w:t>
      </w:r>
      <w:r w:rsidRPr="00963C14">
        <w:t xml:space="preserve"> в</w:t>
      </w:r>
      <w:r w:rsidRPr="00963C14">
        <w:rPr>
          <w:rFonts w:cs="Times New Roman"/>
          <w:bCs/>
        </w:rPr>
        <w:t xml:space="preserve">алютын зах зээл </w:t>
      </w:r>
      <w:r w:rsidR="001755BC" w:rsidRPr="00963C14">
        <w:rPr>
          <w:rFonts w:cs="Times New Roman"/>
          <w:bCs/>
        </w:rPr>
        <w:t>тогтвортой байснаар</w:t>
      </w:r>
      <w:r w:rsidRPr="00963C14">
        <w:rPr>
          <w:rFonts w:cs="Arial"/>
        </w:rPr>
        <w:t xml:space="preserve"> </w:t>
      </w:r>
      <w:r w:rsidR="005017E2" w:rsidRPr="00963C14">
        <w:rPr>
          <w:rFonts w:cs="Arial"/>
        </w:rPr>
        <w:t xml:space="preserve">импортын гаралтай </w:t>
      </w:r>
      <w:r w:rsidRPr="00963C14">
        <w:rPr>
          <w:rFonts w:cs="Arial"/>
        </w:rPr>
        <w:t>инфляц</w:t>
      </w:r>
      <w:r w:rsidR="001D2DBF" w:rsidRPr="00963C14">
        <w:rPr>
          <w:rFonts w:cs="Arial"/>
        </w:rPr>
        <w:t>ын дарамт</w:t>
      </w:r>
      <w:r w:rsidRPr="00963C14">
        <w:rPr>
          <w:rFonts w:cs="Arial"/>
        </w:rPr>
        <w:t xml:space="preserve"> </w:t>
      </w:r>
      <w:r w:rsidR="005017E2" w:rsidRPr="00963C14">
        <w:rPr>
          <w:rFonts w:cs="Arial"/>
        </w:rPr>
        <w:t>бага байх</w:t>
      </w:r>
      <w:r w:rsidRPr="00963C14">
        <w:rPr>
          <w:rFonts w:cs="Arial"/>
        </w:rPr>
        <w:t xml:space="preserve"> хүлээлттэй байна.</w:t>
      </w:r>
      <w:r w:rsidRPr="00963C14">
        <w:t xml:space="preserve"> Харин өвөлжилт, хаваржилтын нөхцөл байдал хүндэрсэнтэй холбоотойгоор нийлүүлэлтийн шалтгаантай инфляцын дарамт хадгалагдах эрсдэл хэвээр байна.</w:t>
      </w:r>
    </w:p>
    <w:p w14:paraId="301C4A91" w14:textId="7711F18B" w:rsidR="00DC7423" w:rsidRPr="00963C14" w:rsidRDefault="00EE1D3A" w:rsidP="00EE1D3A">
      <w:pPr>
        <w:tabs>
          <w:tab w:val="right" w:leader="dot" w:pos="9354"/>
        </w:tabs>
        <w:spacing w:after="288"/>
      </w:pPr>
      <w:r w:rsidRPr="00963C14">
        <w:rPr>
          <w:rFonts w:cs="Arial"/>
          <w:b/>
          <w:i/>
          <w:color w:val="055957"/>
          <w:szCs w:val="24"/>
        </w:rPr>
        <w:t xml:space="preserve">Төлбөрийн тэнцэл: </w:t>
      </w:r>
      <w:r w:rsidR="00517CE8" w:rsidRPr="00963C14">
        <w:rPr>
          <w:rFonts w:cs="Arial"/>
          <w:szCs w:val="24"/>
        </w:rPr>
        <w:t>Төлбөрийн тэнцэл 2024 оны</w:t>
      </w:r>
      <w:r w:rsidR="001D125F" w:rsidRPr="00963C14">
        <w:rPr>
          <w:rFonts w:cs="Arial"/>
          <w:szCs w:val="24"/>
        </w:rPr>
        <w:t xml:space="preserve"> эхний</w:t>
      </w:r>
      <w:r w:rsidR="00517CE8" w:rsidRPr="00963C14">
        <w:rPr>
          <w:rFonts w:cs="Arial"/>
          <w:szCs w:val="24"/>
        </w:rPr>
        <w:t xml:space="preserve"> 2 сар</w:t>
      </w:r>
      <w:r w:rsidR="001D125F" w:rsidRPr="00963C14">
        <w:rPr>
          <w:rFonts w:cs="Arial"/>
          <w:szCs w:val="24"/>
        </w:rPr>
        <w:t>ын байдлаар</w:t>
      </w:r>
      <w:r w:rsidR="00517CE8" w:rsidRPr="00963C14">
        <w:rPr>
          <w:rFonts w:cs="Arial"/>
          <w:szCs w:val="24"/>
        </w:rPr>
        <w:t xml:space="preserve"> 39 сая ам.долларын ашигтай гарч, ашиг өмнөх оны мөн үеэс 28 сая ам.доллароор буураад байна.​ </w:t>
      </w:r>
      <w:r w:rsidR="00FC4235" w:rsidRPr="00963C14">
        <w:rPr>
          <w:rFonts w:cs="Arial"/>
          <w:szCs w:val="24"/>
        </w:rPr>
        <w:t>Э</w:t>
      </w:r>
      <w:r w:rsidRPr="00963C14">
        <w:rPr>
          <w:rFonts w:cs="Arial"/>
          <w:szCs w:val="24"/>
        </w:rPr>
        <w:t>кспортын орлого нэмэгд</w:t>
      </w:r>
      <w:r w:rsidR="00AF67CB" w:rsidRPr="00963C14">
        <w:rPr>
          <w:rFonts w:cs="Arial"/>
          <w:szCs w:val="24"/>
        </w:rPr>
        <w:t>э</w:t>
      </w:r>
      <w:r w:rsidR="00FC4235" w:rsidRPr="00963C14">
        <w:rPr>
          <w:rFonts w:cs="Arial"/>
          <w:szCs w:val="24"/>
        </w:rPr>
        <w:t xml:space="preserve">ж, </w:t>
      </w:r>
      <w:r w:rsidR="00A75815" w:rsidRPr="00963C14">
        <w:rPr>
          <w:rFonts w:cs="Arial"/>
          <w:szCs w:val="24"/>
        </w:rPr>
        <w:t>хуваарьт</w:t>
      </w:r>
      <w:r w:rsidR="00AF67CB" w:rsidRPr="00963C14">
        <w:rPr>
          <w:rFonts w:cs="Arial"/>
          <w:szCs w:val="24"/>
        </w:rPr>
        <w:t xml:space="preserve"> гадаад өр төлбөрийн дарамт буурснаар </w:t>
      </w:r>
      <w:r w:rsidRPr="00963C14">
        <w:rPr>
          <w:rFonts w:cs="Arial"/>
          <w:szCs w:val="24"/>
        </w:rPr>
        <w:t xml:space="preserve">2024 онд төлбөрийн тэнцэл ашигтай гарч, гадаад валютын нөөц </w:t>
      </w:r>
      <w:r w:rsidR="00517CE8" w:rsidRPr="00963C14">
        <w:rPr>
          <w:rFonts w:cs="Arial"/>
          <w:szCs w:val="24"/>
        </w:rPr>
        <w:t>нэмэгдэх хүлээлттэй байна.</w:t>
      </w:r>
      <w:r w:rsidRPr="00963C14">
        <w:rPr>
          <w:rFonts w:cs="Arial"/>
          <w:szCs w:val="24"/>
        </w:rPr>
        <w:t xml:space="preserve"> </w:t>
      </w:r>
      <w:r w:rsidR="00C82F72" w:rsidRPr="00963C14">
        <w:rPr>
          <w:rFonts w:cs="Arial"/>
          <w:szCs w:val="24"/>
        </w:rPr>
        <w:t xml:space="preserve">Монгол Улсын </w:t>
      </w:r>
      <w:r w:rsidR="00D43DE4" w:rsidRPr="00963C14">
        <w:rPr>
          <w:rFonts w:cs="Arial"/>
          <w:szCs w:val="24"/>
        </w:rPr>
        <w:t>Засгийн газ</w:t>
      </w:r>
      <w:r w:rsidR="003758AE" w:rsidRPr="00963C14">
        <w:rPr>
          <w:rFonts w:cs="Arial"/>
          <w:szCs w:val="24"/>
        </w:rPr>
        <w:t xml:space="preserve">ар </w:t>
      </w:r>
      <w:r w:rsidR="0061133D" w:rsidRPr="00963C14">
        <w:rPr>
          <w:rFonts w:cs="Arial"/>
          <w:szCs w:val="24"/>
        </w:rPr>
        <w:t>2017</w:t>
      </w:r>
      <w:r w:rsidR="00B66C65" w:rsidRPr="00963C14">
        <w:rPr>
          <w:rFonts w:cs="Arial"/>
          <w:szCs w:val="24"/>
        </w:rPr>
        <w:t xml:space="preserve"> онд гаргасан 600 сая ам.долларын </w:t>
      </w:r>
      <w:r w:rsidR="00D43DE4" w:rsidRPr="00963C14">
        <w:rPr>
          <w:rFonts w:cs="Arial"/>
          <w:szCs w:val="24"/>
        </w:rPr>
        <w:t xml:space="preserve">Хуралдай бондын өрийг </w:t>
      </w:r>
      <w:r w:rsidR="00E17A52" w:rsidRPr="00963C14">
        <w:rPr>
          <w:rFonts w:cs="Arial"/>
          <w:szCs w:val="24"/>
        </w:rPr>
        <w:t xml:space="preserve">2024 оны 3 дугаар сард </w:t>
      </w:r>
      <w:r w:rsidR="00D43DE4" w:rsidRPr="00963C14">
        <w:rPr>
          <w:rFonts w:cs="Arial"/>
          <w:szCs w:val="24"/>
        </w:rPr>
        <w:t>бүрэн төлж барагдуул</w:t>
      </w:r>
      <w:r w:rsidR="001E32F8" w:rsidRPr="00963C14">
        <w:rPr>
          <w:rFonts w:cs="Arial"/>
          <w:szCs w:val="24"/>
        </w:rPr>
        <w:t>сан нь төлбөрийн тэнцлийн дарамтыг буурууллаа</w:t>
      </w:r>
      <w:r w:rsidR="00D43DE4" w:rsidRPr="00963C14">
        <w:rPr>
          <w:rFonts w:cs="Arial"/>
          <w:szCs w:val="24"/>
        </w:rPr>
        <w:t>.</w:t>
      </w:r>
      <w:r w:rsidR="00AF67CB" w:rsidRPr="00963C14">
        <w:rPr>
          <w:rFonts w:cs="Arial"/>
          <w:szCs w:val="24"/>
        </w:rPr>
        <w:t xml:space="preserve"> </w:t>
      </w:r>
    </w:p>
    <w:p w14:paraId="15D9F18B" w14:textId="569A67AB" w:rsidR="00EE1D3A" w:rsidRPr="00963C14" w:rsidRDefault="00EE1D3A" w:rsidP="00EE1D3A">
      <w:pPr>
        <w:pStyle w:val="Heading2"/>
        <w:numPr>
          <w:ilvl w:val="1"/>
          <w:numId w:val="3"/>
        </w:numPr>
        <w:tabs>
          <w:tab w:val="right" w:leader="dot" w:pos="9354"/>
        </w:tabs>
        <w:spacing w:after="288"/>
        <w:rPr>
          <w:rFonts w:ascii="Arial" w:hAnsi="Arial" w:cs="Arial"/>
          <w:b/>
          <w:color w:val="055957"/>
          <w:sz w:val="24"/>
          <w:szCs w:val="24"/>
        </w:rPr>
      </w:pPr>
      <w:bookmarkStart w:id="28" w:name="_Toc163484917"/>
      <w:bookmarkStart w:id="29" w:name="_Toc163736651"/>
      <w:bookmarkStart w:id="30" w:name="_Toc163811084"/>
      <w:bookmarkStart w:id="31" w:name="_Toc165299381"/>
      <w:r w:rsidRPr="00963C14">
        <w:rPr>
          <w:rFonts w:ascii="Arial" w:hAnsi="Arial" w:cs="Arial"/>
          <w:b/>
          <w:color w:val="055957"/>
          <w:sz w:val="24"/>
          <w:szCs w:val="24"/>
        </w:rPr>
        <w:t>Макро эдийн засгийн 2025 оны хандлага, 2026-2027 оны төсөөлөл</w:t>
      </w:r>
      <w:bookmarkEnd w:id="28"/>
      <w:bookmarkEnd w:id="29"/>
      <w:bookmarkEnd w:id="30"/>
      <w:bookmarkEnd w:id="31"/>
    </w:p>
    <w:p w14:paraId="65141066" w14:textId="5029D757" w:rsidR="00EE1D3A" w:rsidRPr="00963C14" w:rsidRDefault="00EE1D3A" w:rsidP="00EE1D3A">
      <w:pPr>
        <w:tabs>
          <w:tab w:val="right" w:leader="dot" w:pos="9354"/>
        </w:tabs>
        <w:spacing w:after="288"/>
      </w:pPr>
      <w:r w:rsidRPr="00963C14">
        <w:rPr>
          <w:rFonts w:cs="Arial"/>
          <w:b/>
          <w:i/>
          <w:color w:val="055957"/>
          <w:szCs w:val="24"/>
        </w:rPr>
        <w:t>Дотоодын нийт бүтээгдэхүүн:</w:t>
      </w:r>
      <w:r w:rsidRPr="00963C14">
        <w:rPr>
          <w:rFonts w:cs="Arial"/>
          <w:b/>
          <w:i/>
          <w:color w:val="E97132" w:themeColor="accent2"/>
          <w:szCs w:val="24"/>
        </w:rPr>
        <w:t xml:space="preserve"> </w:t>
      </w:r>
      <w:r w:rsidRPr="00963C14">
        <w:t xml:space="preserve">Засгийн газраас дунд хугацаанд эдийн засгийн өсөлтийг тогтвортой түвшинд хадгалахаар зорьж байна. Эдийн засгийн өсөлт 2025 онд эрчимжиж, 8.0 орчим хувьд хүрэх төлөвтэй </w:t>
      </w:r>
      <w:r w:rsidR="00672EF1" w:rsidRPr="00963C14">
        <w:t>байна. Үүнд</w:t>
      </w:r>
      <w:r w:rsidRPr="00963C14">
        <w:t xml:space="preserve"> уул уурхай, хөдөө аж ахуй болон үйлчилгээний </w:t>
      </w:r>
      <w:r w:rsidR="00672EF1" w:rsidRPr="00963C14">
        <w:t xml:space="preserve">салбаруудын </w:t>
      </w:r>
      <w:r w:rsidRPr="00963C14">
        <w:t xml:space="preserve">өсөлт голлон </w:t>
      </w:r>
      <w:r w:rsidR="00672EF1" w:rsidRPr="00963C14">
        <w:t>нөлөөлнө гэж үзэж байна.</w:t>
      </w:r>
      <w:r w:rsidRPr="00963C14">
        <w:t xml:space="preserve"> Тухайлбал, Оюутолгойн гүний уурхайгаас олборлох зэсийн баяжмалын үйлдвэрлэл болон баяжмал дахь зэс, алтны агуулга нэмэгдсэнээр уул уурхайн салбар 2025 оны эдийн засгийн өсөлтийн гуравны нэгийг бүрдүүлэхээр байна. Хөдөө аж ахуйн салбарт бодлогын шинэчлэлийг хэрэгжүүлж, өвөлжилт, </w:t>
      </w:r>
      <w:r w:rsidR="00672EF1" w:rsidRPr="00963C14">
        <w:t>хаваржилт</w:t>
      </w:r>
      <w:r w:rsidRPr="00963C14">
        <w:t xml:space="preserve"> хэвийн үргэлжлэх нөхцөлд хөдөө аж ахуйн үйлдвэрлэл 2025 онд </w:t>
      </w:r>
      <w:r w:rsidR="00672EF1" w:rsidRPr="00963C14">
        <w:t xml:space="preserve">мөн </w:t>
      </w:r>
      <w:r w:rsidRPr="00963C14">
        <w:t>өсөхөөр байна. Түүнчлэн, дотоодын худалдаа, үйлчилгээний салбаруудын үйл ажиллагаа хэвийн үргэлжилж, эдийн засгийн өсөлтөд эергээр нөлөөлөх төлөвтэй.</w:t>
      </w:r>
    </w:p>
    <w:p w14:paraId="5AC1E408" w14:textId="07F1B87A" w:rsidR="009C04DE" w:rsidRPr="00963C14" w:rsidRDefault="00FE6E23" w:rsidP="009C04DE">
      <w:pPr>
        <w:tabs>
          <w:tab w:val="right" w:leader="dot" w:pos="9354"/>
        </w:tabs>
        <w:spacing w:after="288"/>
      </w:pPr>
      <w:r w:rsidRPr="00963C14">
        <w:t>Эдийн</w:t>
      </w:r>
      <w:r w:rsidR="009C04DE" w:rsidRPr="00963C14">
        <w:t xml:space="preserve"> засгийн өсөлт</w:t>
      </w:r>
      <w:r w:rsidRPr="00963C14">
        <w:t xml:space="preserve"> </w:t>
      </w:r>
      <w:r w:rsidR="009C04DE" w:rsidRPr="00963C14">
        <w:t xml:space="preserve">2026-2027 онд 6.5 хувь орчимд байхаар төсөөлж байна. Оюутолгойн гүний уурхайн эрдсийн өндөр агуулгатай баяжмал үйлдвэрлэл болон бусад уул уурхайн түүхий эдийн үйлдвэрлэлийг нэмэгдүүлснээр эдийн засгийн өсөлтийг дэмжинэ. Дунд хугацаанд хөгжлийн бодлогын баримт бичигт туссан төсөл, арга хэмжээ болон салбаруудын үйлдвэрлэлийг нэмэгдүүлэхэд чиглэсэн арга хэмжээг авч хэрэгжүүлж, эдийн засгийн өсөлтийг тогтвортой хадгалахаар зорьж байна. Тухайлбал, эрчим хүчний салбарт либералчлалыг хэрэгжүүлж, хөрөнгө оруулалтыг </w:t>
      </w:r>
      <w:r w:rsidR="009C04DE" w:rsidRPr="00963C14">
        <w:rPr>
          <w:color w:val="000000" w:themeColor="text1"/>
        </w:rPr>
        <w:t xml:space="preserve">нэмэгдүүлснээр эрчим хүчний салбарын үйлдвэрлэлийн боломжит хүчин чадлыг нэмэгдүүлж, эдийн засгийн багтаамжийг тэлнэ. </w:t>
      </w:r>
      <w:r w:rsidR="00806357" w:rsidRPr="00963C14">
        <w:rPr>
          <w:color w:val="000000" w:themeColor="text1"/>
        </w:rPr>
        <w:t xml:space="preserve">Бүх салбарт </w:t>
      </w:r>
      <w:r w:rsidR="009F4E36" w:rsidRPr="00963C14">
        <w:rPr>
          <w:color w:val="000000" w:themeColor="text1"/>
        </w:rPr>
        <w:t xml:space="preserve">үйлдвэрлэлийн </w:t>
      </w:r>
      <w:r w:rsidR="00065930" w:rsidRPr="00963C14">
        <w:rPr>
          <w:color w:val="000000" w:themeColor="text1"/>
        </w:rPr>
        <w:t xml:space="preserve">тоног төхөөрөмжийн </w:t>
      </w:r>
      <w:r w:rsidR="00B43F06" w:rsidRPr="00963C14">
        <w:rPr>
          <w:color w:val="000000" w:themeColor="text1"/>
        </w:rPr>
        <w:t xml:space="preserve">татвар, тарифыг </w:t>
      </w:r>
      <w:r w:rsidR="00806357" w:rsidRPr="00963C14">
        <w:rPr>
          <w:color w:val="000000" w:themeColor="text1"/>
        </w:rPr>
        <w:t xml:space="preserve">хөнгөлөх бодлого </w:t>
      </w:r>
      <w:r w:rsidR="008E7612" w:rsidRPr="00963C14">
        <w:rPr>
          <w:color w:val="000000" w:themeColor="text1"/>
        </w:rPr>
        <w:t>хэрэгжүүлж</w:t>
      </w:r>
      <w:r w:rsidR="00EB7405" w:rsidRPr="00963C14">
        <w:rPr>
          <w:color w:val="000000" w:themeColor="text1"/>
        </w:rPr>
        <w:t>,</w:t>
      </w:r>
      <w:r w:rsidR="00806357" w:rsidRPr="00963C14">
        <w:rPr>
          <w:color w:val="000000" w:themeColor="text1"/>
        </w:rPr>
        <w:t xml:space="preserve"> </w:t>
      </w:r>
      <w:r w:rsidR="0079374E" w:rsidRPr="00963C14">
        <w:rPr>
          <w:color w:val="000000" w:themeColor="text1"/>
        </w:rPr>
        <w:t xml:space="preserve">хөдөө аж ахуй, боловсруулах, </w:t>
      </w:r>
      <w:r w:rsidR="00494073" w:rsidRPr="00963C14">
        <w:rPr>
          <w:color w:val="000000" w:themeColor="text1"/>
        </w:rPr>
        <w:t xml:space="preserve">уул уурхай гэх мэт салбаруудын үйлдвэрлэлийн ахиу зардлыг бууруулах, үйлдвэрлэлийг нэмэгдүүлэх эерэг нөлөө үзүүлнэ. </w:t>
      </w:r>
      <w:r w:rsidR="009C04DE" w:rsidRPr="00963C14">
        <w:rPr>
          <w:color w:val="000000" w:themeColor="text1"/>
        </w:rPr>
        <w:t>Мөн хөрш орнуудтай чөлөөт худалдааны хэлэлцээр хийх ажлыг эрчимжүүлснээр аж үйлдвэр, боловсруулах салбарыг дэмжинэ. Түүнчлэн, гадаадын жуулчдын тоо, а</w:t>
      </w:r>
      <w:r w:rsidR="009C04DE" w:rsidRPr="00963C14">
        <w:t>ялал жуулчлалын орлогыг нэмэгдүүлэх чиглэлд хэрэгжүүлэх арга хэмжээнүүд худалдаа, үйлчилгээний салбар болон бусад салбаруудын идэвхжилд эергээр нөлөөлнө.</w:t>
      </w:r>
    </w:p>
    <w:tbl>
      <w:tblPr>
        <w:tblW w:w="9462" w:type="dxa"/>
        <w:tblLayout w:type="fixed"/>
        <w:tblLook w:val="04A0" w:firstRow="1" w:lastRow="0" w:firstColumn="1" w:lastColumn="0" w:noHBand="0" w:noVBand="1"/>
      </w:tblPr>
      <w:tblGrid>
        <w:gridCol w:w="4815"/>
        <w:gridCol w:w="4647"/>
      </w:tblGrid>
      <w:tr w:rsidR="00EE1D3A" w:rsidRPr="00963C14" w14:paraId="2C001019" w14:textId="77777777">
        <w:trPr>
          <w:cantSplit/>
          <w:trHeight w:val="110"/>
        </w:trPr>
        <w:tc>
          <w:tcPr>
            <w:tcW w:w="9462" w:type="dxa"/>
            <w:gridSpan w:val="2"/>
            <w:tcBorders>
              <w:bottom w:val="single" w:sz="4" w:space="0" w:color="auto"/>
            </w:tcBorders>
            <w:vAlign w:val="center"/>
          </w:tcPr>
          <w:p w14:paraId="42149E0C" w14:textId="371B8FF5" w:rsidR="00EE1D3A" w:rsidRPr="00963C14" w:rsidRDefault="00EE1D3A">
            <w:pPr>
              <w:pStyle w:val="Caption"/>
              <w:tabs>
                <w:tab w:val="right" w:leader="dot" w:pos="9354"/>
              </w:tabs>
              <w:rPr>
                <w:rFonts w:ascii="Arial" w:hAnsi="Arial" w:cs="Arial"/>
              </w:rPr>
            </w:pPr>
            <w:r w:rsidRPr="00963C14">
              <w:rPr>
                <w:rFonts w:ascii="Arial" w:hAnsi="Arial" w:cs="Arial"/>
              </w:rPr>
              <w:t xml:space="preserve">Зураг </w:t>
            </w:r>
            <w:r w:rsidRPr="00963C14">
              <w:rPr>
                <w:rFonts w:ascii="Arial" w:hAnsi="Arial" w:cs="Arial"/>
              </w:rPr>
              <w:fldChar w:fldCharType="begin"/>
            </w:r>
            <w:r w:rsidRPr="00963C14">
              <w:rPr>
                <w:rFonts w:ascii="Arial" w:hAnsi="Arial" w:cs="Arial"/>
              </w:rPr>
              <w:instrText xml:space="preserve"> STYLEREF 1 \s </w:instrText>
            </w:r>
            <w:r w:rsidRPr="00963C14">
              <w:rPr>
                <w:rFonts w:ascii="Arial" w:hAnsi="Arial" w:cs="Arial"/>
              </w:rPr>
              <w:fldChar w:fldCharType="separate"/>
            </w:r>
            <w:r w:rsidRPr="00963C14">
              <w:rPr>
                <w:rFonts w:ascii="Arial" w:hAnsi="Arial" w:cs="Arial"/>
              </w:rPr>
              <w:t>1</w:t>
            </w:r>
            <w:r w:rsidRPr="00963C14">
              <w:rPr>
                <w:rFonts w:ascii="Arial" w:hAnsi="Arial" w:cs="Arial"/>
              </w:rPr>
              <w:fldChar w:fldCharType="end"/>
            </w:r>
            <w:r w:rsidRPr="00963C14">
              <w:rPr>
                <w:rFonts w:ascii="Arial" w:hAnsi="Arial" w:cs="Arial"/>
              </w:rPr>
              <w:t>.</w:t>
            </w:r>
            <w:r w:rsidR="00580971" w:rsidRPr="00963C14">
              <w:rPr>
                <w:rFonts w:ascii="Arial" w:hAnsi="Arial" w:cs="Arial"/>
              </w:rPr>
              <w:t>13</w:t>
            </w:r>
            <w:r w:rsidRPr="00963C14">
              <w:rPr>
                <w:rFonts w:ascii="Arial" w:hAnsi="Arial" w:cs="Arial"/>
              </w:rPr>
              <w:t>. Макро эдийн засгийн үзүүлэлтүүдийн төсөөлөл</w:t>
            </w:r>
          </w:p>
        </w:tc>
      </w:tr>
      <w:tr w:rsidR="00EE1D3A" w:rsidRPr="00963C14" w14:paraId="593E9B24" w14:textId="77777777">
        <w:trPr>
          <w:cantSplit/>
          <w:trHeight w:val="292"/>
        </w:trPr>
        <w:tc>
          <w:tcPr>
            <w:tcW w:w="4815" w:type="dxa"/>
            <w:tcBorders>
              <w:top w:val="single" w:sz="4" w:space="0" w:color="auto"/>
            </w:tcBorders>
          </w:tcPr>
          <w:p w14:paraId="19764B7A" w14:textId="77777777" w:rsidR="00EE1D3A" w:rsidRPr="00963C14" w:rsidRDefault="00EE1D3A">
            <w:pPr>
              <w:tabs>
                <w:tab w:val="right" w:leader="dot" w:pos="9354"/>
              </w:tabs>
              <w:autoSpaceDE w:val="0"/>
              <w:autoSpaceDN w:val="0"/>
              <w:adjustRightInd w:val="0"/>
              <w:spacing w:afterLines="0" w:after="0"/>
              <w:jc w:val="left"/>
              <w:rPr>
                <w:rFonts w:eastAsia="SimSun" w:cs="Arial"/>
                <w:sz w:val="16"/>
                <w:szCs w:val="16"/>
              </w:rPr>
            </w:pPr>
            <w:r w:rsidRPr="00963C14">
              <w:rPr>
                <w:rFonts w:eastAsia="SimSun" w:cs="Arial"/>
                <w:sz w:val="18"/>
                <w:szCs w:val="18"/>
              </w:rPr>
              <w:t xml:space="preserve">1. Дотоодын нийт бүтээгдэхүүн </w:t>
            </w:r>
            <w:r w:rsidRPr="00963C14">
              <w:rPr>
                <w:rFonts w:cs="Arial" w:hint="eastAsia"/>
                <w:sz w:val="18"/>
                <w:szCs w:val="18"/>
                <w:lang w:eastAsia="ja-JP"/>
              </w:rPr>
              <w:t>(</w:t>
            </w:r>
            <w:r w:rsidRPr="00963C14">
              <w:rPr>
                <w:rFonts w:eastAsia="SimSun" w:cs="Arial"/>
                <w:sz w:val="18"/>
                <w:szCs w:val="18"/>
              </w:rPr>
              <w:t>их наяд төгрөг, хувь)</w:t>
            </w:r>
          </w:p>
        </w:tc>
        <w:tc>
          <w:tcPr>
            <w:tcW w:w="4647" w:type="dxa"/>
            <w:tcBorders>
              <w:top w:val="single" w:sz="4" w:space="0" w:color="auto"/>
            </w:tcBorders>
          </w:tcPr>
          <w:p w14:paraId="6A3A4A3B" w14:textId="77777777" w:rsidR="00EE1D3A" w:rsidRPr="00963C14" w:rsidRDefault="00EE1D3A">
            <w:pPr>
              <w:keepNext/>
              <w:tabs>
                <w:tab w:val="right" w:leader="dot" w:pos="9354"/>
              </w:tabs>
              <w:autoSpaceDE w:val="0"/>
              <w:autoSpaceDN w:val="0"/>
              <w:adjustRightInd w:val="0"/>
              <w:spacing w:afterLines="0" w:after="0"/>
              <w:jc w:val="left"/>
              <w:rPr>
                <w:rFonts w:eastAsia="SimSun" w:cs="Arial"/>
                <w:sz w:val="18"/>
                <w:szCs w:val="18"/>
              </w:rPr>
            </w:pPr>
            <w:r w:rsidRPr="00963C14">
              <w:rPr>
                <w:rFonts w:eastAsia="SimSun" w:cs="Arial"/>
                <w:sz w:val="18"/>
                <w:szCs w:val="18"/>
              </w:rPr>
              <w:t xml:space="preserve">2. Гадаад худалдаа </w:t>
            </w:r>
            <w:r w:rsidRPr="00963C14">
              <w:rPr>
                <w:rFonts w:cs="Arial" w:hint="eastAsia"/>
                <w:sz w:val="18"/>
                <w:szCs w:val="18"/>
                <w:lang w:eastAsia="ja-JP"/>
              </w:rPr>
              <w:t>(</w:t>
            </w:r>
            <w:r w:rsidRPr="00963C14">
              <w:rPr>
                <w:rFonts w:eastAsia="SimSun" w:cs="Arial"/>
                <w:sz w:val="18"/>
                <w:szCs w:val="18"/>
              </w:rPr>
              <w:t>тэрбум ам.доллар)</w:t>
            </w:r>
          </w:p>
        </w:tc>
      </w:tr>
      <w:tr w:rsidR="00EE1D3A" w:rsidRPr="00963C14" w14:paraId="7C73B141" w14:textId="77777777">
        <w:trPr>
          <w:cantSplit/>
          <w:trHeight w:val="2670"/>
        </w:trPr>
        <w:tc>
          <w:tcPr>
            <w:tcW w:w="4815" w:type="dxa"/>
          </w:tcPr>
          <w:p w14:paraId="51D28886" w14:textId="77777777" w:rsidR="00EE1D3A" w:rsidRPr="00963C14" w:rsidRDefault="00EE1D3A">
            <w:pPr>
              <w:tabs>
                <w:tab w:val="right" w:leader="dot" w:pos="9354"/>
              </w:tabs>
              <w:autoSpaceDE w:val="0"/>
              <w:autoSpaceDN w:val="0"/>
              <w:adjustRightInd w:val="0"/>
              <w:spacing w:after="288" w:line="240" w:lineRule="auto"/>
              <w:contextualSpacing/>
              <w:jc w:val="left"/>
              <w:rPr>
                <w:rFonts w:eastAsia="SimSun" w:cs="Arial"/>
                <w:sz w:val="12"/>
                <w:szCs w:val="12"/>
              </w:rPr>
            </w:pPr>
            <w:r w:rsidRPr="00963C14">
              <w:rPr>
                <w:noProof/>
              </w:rPr>
              <w:drawing>
                <wp:inline distT="0" distB="0" distL="0" distR="0" wp14:anchorId="4FF0172B" wp14:editId="3ED20D44">
                  <wp:extent cx="2920365" cy="2000885"/>
                  <wp:effectExtent l="0" t="0" r="0" b="0"/>
                  <wp:docPr id="1148115427"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47" w:type="dxa"/>
          </w:tcPr>
          <w:p w14:paraId="14CC4B5B" w14:textId="77777777" w:rsidR="00EE1D3A" w:rsidRPr="00963C14" w:rsidRDefault="00EE1D3A">
            <w:pPr>
              <w:keepNext/>
              <w:tabs>
                <w:tab w:val="right" w:leader="dot" w:pos="9354"/>
              </w:tabs>
              <w:autoSpaceDE w:val="0"/>
              <w:autoSpaceDN w:val="0"/>
              <w:adjustRightInd w:val="0"/>
              <w:spacing w:after="288" w:line="240" w:lineRule="auto"/>
              <w:contextualSpacing/>
              <w:jc w:val="left"/>
              <w:rPr>
                <w:rFonts w:eastAsia="SimSun" w:cs="Arial"/>
                <w:i/>
                <w:color w:val="000000"/>
                <w:sz w:val="16"/>
                <w:szCs w:val="16"/>
              </w:rPr>
            </w:pPr>
            <w:r w:rsidRPr="00963C14">
              <w:rPr>
                <w:noProof/>
              </w:rPr>
              <w:drawing>
                <wp:inline distT="0" distB="0" distL="0" distR="0" wp14:anchorId="7CDF419A" wp14:editId="68A07A3C">
                  <wp:extent cx="2813685" cy="2066925"/>
                  <wp:effectExtent l="0" t="0" r="0" b="0"/>
                  <wp:docPr id="1125512323"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EE1D3A" w:rsidRPr="00963C14" w14:paraId="01791A61" w14:textId="77777777">
        <w:trPr>
          <w:cantSplit/>
          <w:trHeight w:val="154"/>
        </w:trPr>
        <w:tc>
          <w:tcPr>
            <w:tcW w:w="4815" w:type="dxa"/>
            <w:tcBorders>
              <w:bottom w:val="single" w:sz="4" w:space="0" w:color="auto"/>
            </w:tcBorders>
          </w:tcPr>
          <w:p w14:paraId="73FE0899" w14:textId="1146791B" w:rsidR="00DE5EE2" w:rsidRPr="00963C14" w:rsidRDefault="00DE5EE2">
            <w:pPr>
              <w:tabs>
                <w:tab w:val="right" w:leader="dot" w:pos="9354"/>
              </w:tabs>
              <w:autoSpaceDE w:val="0"/>
              <w:autoSpaceDN w:val="0"/>
              <w:adjustRightInd w:val="0"/>
              <w:spacing w:afterLines="0" w:after="40" w:line="240" w:lineRule="auto"/>
              <w:jc w:val="right"/>
              <w:rPr>
                <w:rFonts w:eastAsia="SimSun" w:cs="Arial"/>
                <w:i/>
                <w:sz w:val="16"/>
                <w:szCs w:val="16"/>
              </w:rPr>
            </w:pPr>
            <w:r w:rsidRPr="00963C14">
              <w:rPr>
                <w:rFonts w:eastAsia="SimSun" w:cs="Arial"/>
                <w:i/>
                <w:sz w:val="16"/>
                <w:szCs w:val="16"/>
              </w:rPr>
              <w:t>* Төсөөлөл</w:t>
            </w:r>
          </w:p>
          <w:p w14:paraId="7D640A96" w14:textId="77777777" w:rsidR="00EE1D3A" w:rsidRPr="00963C14" w:rsidRDefault="00EE1D3A">
            <w:pPr>
              <w:tabs>
                <w:tab w:val="right" w:leader="dot" w:pos="9354"/>
              </w:tabs>
              <w:autoSpaceDE w:val="0"/>
              <w:autoSpaceDN w:val="0"/>
              <w:adjustRightInd w:val="0"/>
              <w:spacing w:afterLines="0" w:after="40" w:line="240" w:lineRule="auto"/>
              <w:jc w:val="right"/>
              <w:rPr>
                <w:rFonts w:eastAsia="SimSun" w:cs="Arial"/>
                <w:i/>
                <w:sz w:val="16"/>
                <w:szCs w:val="16"/>
              </w:rPr>
            </w:pPr>
            <w:r w:rsidRPr="00963C14">
              <w:rPr>
                <w:rFonts w:eastAsia="SimSun" w:cs="Arial"/>
                <w:i/>
                <w:sz w:val="16"/>
                <w:szCs w:val="16"/>
              </w:rPr>
              <w:t>Эх сурвалж: Тооцоолол, ҮСХ-ны статистик</w:t>
            </w:r>
          </w:p>
        </w:tc>
        <w:tc>
          <w:tcPr>
            <w:tcW w:w="4647" w:type="dxa"/>
            <w:tcBorders>
              <w:bottom w:val="single" w:sz="4" w:space="0" w:color="auto"/>
            </w:tcBorders>
          </w:tcPr>
          <w:p w14:paraId="1873729C" w14:textId="77777777" w:rsidR="00DE5EE2" w:rsidRPr="00963C14" w:rsidRDefault="00DE5EE2" w:rsidP="00DE5EE2">
            <w:pPr>
              <w:tabs>
                <w:tab w:val="right" w:leader="dot" w:pos="9354"/>
              </w:tabs>
              <w:autoSpaceDE w:val="0"/>
              <w:autoSpaceDN w:val="0"/>
              <w:adjustRightInd w:val="0"/>
              <w:spacing w:afterLines="0" w:after="40" w:line="240" w:lineRule="auto"/>
              <w:jc w:val="right"/>
              <w:rPr>
                <w:rFonts w:eastAsia="SimSun" w:cs="Arial"/>
                <w:i/>
                <w:sz w:val="16"/>
                <w:szCs w:val="16"/>
              </w:rPr>
            </w:pPr>
            <w:r w:rsidRPr="00963C14">
              <w:rPr>
                <w:rFonts w:eastAsia="SimSun" w:cs="Arial"/>
                <w:i/>
                <w:sz w:val="16"/>
                <w:szCs w:val="16"/>
              </w:rPr>
              <w:t>* Төсөөлөл</w:t>
            </w:r>
          </w:p>
          <w:p w14:paraId="01F725FD" w14:textId="77777777" w:rsidR="00EE1D3A" w:rsidRPr="00963C14" w:rsidRDefault="00EE1D3A">
            <w:pPr>
              <w:tabs>
                <w:tab w:val="right" w:leader="dot" w:pos="9354"/>
              </w:tabs>
              <w:autoSpaceDE w:val="0"/>
              <w:autoSpaceDN w:val="0"/>
              <w:adjustRightInd w:val="0"/>
              <w:spacing w:afterLines="0" w:after="40" w:line="240" w:lineRule="auto"/>
              <w:jc w:val="right"/>
              <w:rPr>
                <w:rFonts w:cs="Arial"/>
                <w:i/>
                <w:sz w:val="14"/>
                <w:szCs w:val="14"/>
              </w:rPr>
            </w:pPr>
            <w:r w:rsidRPr="00963C14">
              <w:rPr>
                <w:rFonts w:eastAsia="SimSun" w:cs="Arial"/>
                <w:i/>
                <w:sz w:val="16"/>
                <w:szCs w:val="16"/>
              </w:rPr>
              <w:t xml:space="preserve">Эх сурвалж: Тооцоолол, ГЕГ-ын статистик </w:t>
            </w:r>
          </w:p>
        </w:tc>
      </w:tr>
    </w:tbl>
    <w:p w14:paraId="1DF5A8F3" w14:textId="01553064" w:rsidR="00EE1D3A" w:rsidRPr="00963C14" w:rsidRDefault="00EE1D3A" w:rsidP="00EE1D3A">
      <w:pPr>
        <w:tabs>
          <w:tab w:val="right" w:leader="dot" w:pos="9354"/>
        </w:tabs>
        <w:spacing w:before="240" w:after="288"/>
        <w:rPr>
          <w:rFonts w:cs="Arial"/>
          <w:szCs w:val="24"/>
        </w:rPr>
      </w:pPr>
      <w:r w:rsidRPr="00963C14">
        <w:rPr>
          <w:rFonts w:cs="Arial"/>
          <w:b/>
          <w:i/>
          <w:color w:val="055957"/>
          <w:szCs w:val="24"/>
        </w:rPr>
        <w:t xml:space="preserve">Гадаад худалдаа: </w:t>
      </w:r>
      <w:r w:rsidRPr="00963C14">
        <w:rPr>
          <w:rFonts w:cs="Arial"/>
          <w:szCs w:val="24"/>
        </w:rPr>
        <w:t>Гадаад худалдаа эрчимжиж, 2025 онд экспорт 19.2 тэрбум ам.доллар, импорт 12.5 тэрбум ам.долларт хүрч, гадаад худалдааны тэнцэл 6.7 тэрбум ам.долларын ашигтай гарахаар төсөөлж байна. Монгол Улсын Засгийн газраас гадаад худалдааг хөнгөвчлөх, экспортын зах зээлийг өргөжүүлэх, хилийн боомтуудын дэд бүтцийг нэмэгдүүлж, ачаа нэвтрүүлэх процессыг хөнгөвчлөх</w:t>
      </w:r>
      <w:r w:rsidR="006C6DD2" w:rsidRPr="00963C14">
        <w:rPr>
          <w:rFonts w:cs="Arial"/>
          <w:szCs w:val="24"/>
        </w:rPr>
        <w:t xml:space="preserve"> зэрэг</w:t>
      </w:r>
      <w:r w:rsidRPr="00963C14">
        <w:rPr>
          <w:rFonts w:cs="Arial"/>
          <w:szCs w:val="24"/>
        </w:rPr>
        <w:t xml:space="preserve"> арга хэмжээнүүдийг хэрэгжүүлснээр экспорт жилд дунджаар 10 хувиар өсөж, 2027 онд 23 тэрбум ам.долларт хүрэхээр төсөөлж байна. Харин эдийн засгийн идэвхжилийн нөлөөгөөр үйлдвэрлэлийн завсрын хэрэглээний бүтээгдэхүүний импорт нэмэгдсэнээр нийт импорт жилд дунджаар 10 орчим хувиар нэмэгдэхээр байна.</w:t>
      </w:r>
      <w:r w:rsidRPr="00963C14">
        <w:rPr>
          <w:rFonts w:cs="Arial"/>
          <w:szCs w:val="24"/>
          <w:lang w:eastAsia="ja-JP"/>
        </w:rPr>
        <w:t xml:space="preserve"> Мөн </w:t>
      </w:r>
      <w:r w:rsidRPr="00963C14">
        <w:rPr>
          <w:rFonts w:cs="Arial"/>
          <w:szCs w:val="24"/>
        </w:rPr>
        <w:t>бараа, бүтээгдэхүүнийг импортлохтой холбоотой бүртгэлийг автоматжуулж, боомтын нэвтрүүлэх хүчин чадлыг өргөжүүлж, нэг боомт дээр төвлөрсөн ачааллыг бууруулснаар импортын барааны эргэлтийн хурд нэмэгдэхээр хүлээгдэж байна.</w:t>
      </w:r>
      <w:r w:rsidRPr="00963C14">
        <w:rPr>
          <w:rFonts w:cs="Arial"/>
          <w:szCs w:val="24"/>
          <w:lang w:eastAsia="ja-JP"/>
        </w:rPr>
        <w:t xml:space="preserve"> Монгол Улсын </w:t>
      </w:r>
      <w:r w:rsidRPr="00963C14">
        <w:rPr>
          <w:rFonts w:cs="Arial"/>
          <w:szCs w:val="24"/>
        </w:rPr>
        <w:t xml:space="preserve">гадаад </w:t>
      </w:r>
      <w:r w:rsidR="006C6DD2" w:rsidRPr="00963C14">
        <w:rPr>
          <w:rFonts w:cs="Arial"/>
          <w:szCs w:val="24"/>
        </w:rPr>
        <w:t>худалдаа</w:t>
      </w:r>
      <w:r w:rsidRPr="00963C14">
        <w:rPr>
          <w:rFonts w:cs="Arial"/>
          <w:szCs w:val="24"/>
        </w:rPr>
        <w:t xml:space="preserve"> 2026-2027 онд дунджаар 7 орчим тэрбум ам.</w:t>
      </w:r>
      <w:r w:rsidR="006C6DD2" w:rsidRPr="00963C14">
        <w:rPr>
          <w:rFonts w:cs="Arial"/>
          <w:szCs w:val="24"/>
        </w:rPr>
        <w:t>долларын ашигтай</w:t>
      </w:r>
      <w:r w:rsidRPr="00963C14">
        <w:rPr>
          <w:rFonts w:cs="Arial"/>
          <w:szCs w:val="24"/>
        </w:rPr>
        <w:t xml:space="preserve"> байх төлөвтэй байна.</w:t>
      </w:r>
    </w:p>
    <w:p w14:paraId="745F351B" w14:textId="5142215F" w:rsidR="00EE1D3A" w:rsidRPr="00963C14" w:rsidRDefault="00EE1D3A" w:rsidP="00EE1D3A">
      <w:pPr>
        <w:tabs>
          <w:tab w:val="right" w:leader="dot" w:pos="9354"/>
        </w:tabs>
        <w:spacing w:after="288"/>
        <w:rPr>
          <w:rFonts w:cs="Arial"/>
          <w:szCs w:val="24"/>
        </w:rPr>
      </w:pPr>
      <w:r w:rsidRPr="00963C14">
        <w:rPr>
          <w:rFonts w:cs="Arial"/>
          <w:b/>
          <w:i/>
          <w:color w:val="055957"/>
          <w:szCs w:val="24"/>
        </w:rPr>
        <w:t>Инфляц:</w:t>
      </w:r>
      <w:r w:rsidRPr="00963C14">
        <w:rPr>
          <w:rFonts w:cs="Arial"/>
          <w:szCs w:val="24"/>
        </w:rPr>
        <w:t xml:space="preserve"> Дунд хугацаанд хөдөө аж ахуйн салбарт цогц шинэчлэл хийж хүнсний нийлүүлэлтийн сүлжээг </w:t>
      </w:r>
      <w:r w:rsidR="00C17F88" w:rsidRPr="00963C14">
        <w:rPr>
          <w:rFonts w:cs="Arial"/>
          <w:szCs w:val="24"/>
        </w:rPr>
        <w:t>нэмэгдүүлэн, үндэсний мөнгөн тэмдэгтийн ханш</w:t>
      </w:r>
      <w:r w:rsidRPr="00963C14">
        <w:rPr>
          <w:rFonts w:cs="Arial"/>
          <w:szCs w:val="24"/>
        </w:rPr>
        <w:t xml:space="preserve"> тогтвортой </w:t>
      </w:r>
      <w:r w:rsidR="00C17F88" w:rsidRPr="00963C14">
        <w:rPr>
          <w:rFonts w:cs="Arial"/>
          <w:szCs w:val="24"/>
        </w:rPr>
        <w:t>хадгалагдан</w:t>
      </w:r>
      <w:r w:rsidRPr="00963C14">
        <w:rPr>
          <w:rFonts w:cs="Arial"/>
          <w:szCs w:val="24"/>
        </w:rPr>
        <w:t xml:space="preserve">, төсвийн алдагдлыг хязгаарлах арга хэмжээнүүдийг авч </w:t>
      </w:r>
      <w:r w:rsidR="00C17F88" w:rsidRPr="00963C14">
        <w:rPr>
          <w:rFonts w:cs="Arial"/>
          <w:szCs w:val="24"/>
        </w:rPr>
        <w:t>хэрэгжүүлсний үр дүнд</w:t>
      </w:r>
      <w:r w:rsidRPr="00963C14">
        <w:rPr>
          <w:rFonts w:cs="Arial"/>
          <w:szCs w:val="24"/>
        </w:rPr>
        <w:t xml:space="preserve"> </w:t>
      </w:r>
      <w:r w:rsidRPr="00963C14">
        <w:rPr>
          <w:rFonts w:cs="Arial"/>
          <w:bCs/>
          <w:iCs/>
          <w:szCs w:val="24"/>
        </w:rPr>
        <w:t xml:space="preserve">инфляц 2025-2027 онд буурч, 3 хувийн орчимд хүрэхээр </w:t>
      </w:r>
      <w:r w:rsidR="00156B2C" w:rsidRPr="00963C14">
        <w:rPr>
          <w:rFonts w:cs="Arial"/>
          <w:bCs/>
          <w:iCs/>
          <w:szCs w:val="24"/>
        </w:rPr>
        <w:t>төсөөлж</w:t>
      </w:r>
      <w:r w:rsidRPr="00963C14">
        <w:rPr>
          <w:rFonts w:cs="Arial"/>
          <w:bCs/>
          <w:iCs/>
          <w:szCs w:val="24"/>
        </w:rPr>
        <w:t xml:space="preserve"> байна.</w:t>
      </w:r>
    </w:p>
    <w:p w14:paraId="03853AC5" w14:textId="6EE838E2" w:rsidR="00EE1D3A" w:rsidRPr="00963C14" w:rsidRDefault="00EE1D3A" w:rsidP="00EE1D3A">
      <w:pPr>
        <w:tabs>
          <w:tab w:val="right" w:leader="dot" w:pos="9354"/>
        </w:tabs>
        <w:spacing w:after="288"/>
        <w:rPr>
          <w:rFonts w:cs="Arial"/>
          <w:szCs w:val="24"/>
        </w:rPr>
      </w:pPr>
      <w:r w:rsidRPr="00963C14">
        <w:rPr>
          <w:rFonts w:cs="Arial"/>
          <w:b/>
          <w:i/>
          <w:color w:val="055957"/>
          <w:szCs w:val="24"/>
        </w:rPr>
        <w:t xml:space="preserve">Төлбөрийн тэнцэл: </w:t>
      </w:r>
      <w:r w:rsidRPr="00963C14">
        <w:rPr>
          <w:rFonts w:cs="Arial"/>
          <w:szCs w:val="24"/>
        </w:rPr>
        <w:t>Засгийн газрын төлөх үүрэг бүхий гадаад үнэт цаасны хуваарьт төлбөр 2026 он хүртэл байхгүй нь төлбөрийн тэнцлийн дарамты</w:t>
      </w:r>
      <w:r w:rsidR="00BB791D" w:rsidRPr="00963C14">
        <w:rPr>
          <w:rFonts w:cs="Arial"/>
          <w:szCs w:val="24"/>
        </w:rPr>
        <w:t>г</w:t>
      </w:r>
      <w:r w:rsidRPr="00963C14">
        <w:rPr>
          <w:rFonts w:cs="Arial"/>
          <w:szCs w:val="24"/>
        </w:rPr>
        <w:t xml:space="preserve"> бууруулж байна. Экспортын орлого тогтвортой нэмэгдсэнээр төлбөрийн тэнцэл дунд хугацаанд буюу 2025-2027 онд ашигтай гарч, гадаад валютын нөөц тогтвортой нэмэгдэн 10 тэрбум ам.долларт хүрэхээр хүлээгдэж байна.</w:t>
      </w:r>
    </w:p>
    <w:p w14:paraId="292C4D4B" w14:textId="77777777" w:rsidR="00EE1D3A" w:rsidRPr="00963C14" w:rsidRDefault="00EE1D3A" w:rsidP="00EE1D3A">
      <w:pPr>
        <w:spacing w:after="288"/>
        <w:rPr>
          <w:rFonts w:cs="Arial"/>
          <w:b/>
          <w:color w:val="055957"/>
          <w:szCs w:val="24"/>
        </w:rPr>
      </w:pPr>
      <w:r w:rsidRPr="00963C14">
        <w:rPr>
          <w:rFonts w:cs="Arial"/>
          <w:b/>
          <w:color w:val="055957"/>
          <w:szCs w:val="24"/>
        </w:rPr>
        <w:t>Макро эдийн засгийн төсөөлөлд учирч болзошгүй эрсдэл</w:t>
      </w:r>
    </w:p>
    <w:p w14:paraId="239DF2CA" w14:textId="05927AF3" w:rsidR="00EE1D3A" w:rsidRPr="00963C14" w:rsidRDefault="00EE1D3A" w:rsidP="00EE1D3A">
      <w:pPr>
        <w:tabs>
          <w:tab w:val="right" w:leader="dot" w:pos="9354"/>
        </w:tabs>
        <w:spacing w:afterLines="0"/>
        <w:rPr>
          <w:rFonts w:eastAsia="SimSun" w:cs="Arial"/>
        </w:rPr>
      </w:pPr>
      <w:r w:rsidRPr="00963C14">
        <w:rPr>
          <w:rFonts w:cs="Arial"/>
          <w:b/>
          <w:i/>
          <w:color w:val="055957"/>
          <w:szCs w:val="24"/>
        </w:rPr>
        <w:t xml:space="preserve">Нэг. </w:t>
      </w:r>
      <w:bookmarkStart w:id="32" w:name="_Hlk163573168"/>
      <w:r w:rsidRPr="00963C14">
        <w:rPr>
          <w:rFonts w:cs="Arial"/>
          <w:b/>
          <w:i/>
          <w:color w:val="055957"/>
          <w:szCs w:val="24"/>
        </w:rPr>
        <w:t>Геополитикийн зөрчил гүнзгийрэх</w:t>
      </w:r>
      <w:bookmarkEnd w:id="32"/>
      <w:r w:rsidRPr="00963C14">
        <w:rPr>
          <w:rFonts w:cs="Arial"/>
          <w:b/>
          <w:i/>
          <w:color w:val="055957"/>
          <w:szCs w:val="24"/>
        </w:rPr>
        <w:t>, хамрах хүрээ тэлэх:</w:t>
      </w:r>
      <w:r w:rsidRPr="00963C14">
        <w:rPr>
          <w:rFonts w:cs="Arial"/>
          <w:i/>
          <w:color w:val="055957"/>
          <w:szCs w:val="24"/>
        </w:rPr>
        <w:t xml:space="preserve"> </w:t>
      </w:r>
      <w:r w:rsidRPr="00963C14">
        <w:rPr>
          <w:rFonts w:cs="Arial"/>
        </w:rPr>
        <w:t>ОХУ-Украины нөхцөл байдал даамжрах</w:t>
      </w:r>
      <w:r w:rsidRPr="00963C14">
        <w:rPr>
          <w:rFonts w:cs="Arial" w:hint="eastAsia"/>
          <w:lang w:eastAsia="ja-JP"/>
        </w:rPr>
        <w:t>,</w:t>
      </w:r>
      <w:r w:rsidRPr="00963C14">
        <w:rPr>
          <w:rFonts w:cs="Arial"/>
        </w:rPr>
        <w:t xml:space="preserve"> </w:t>
      </w:r>
      <w:r w:rsidRPr="00963C14">
        <w:rPr>
          <w:rFonts w:cs="Arial"/>
          <w:lang w:eastAsia="ja-JP"/>
        </w:rPr>
        <w:t>д</w:t>
      </w:r>
      <w:r w:rsidRPr="00963C14">
        <w:rPr>
          <w:rFonts w:cs="Arial"/>
        </w:rPr>
        <w:t>элхийн нефть, газрын тосны экспортын 35 орчим хувийг бүрдүүлдэг Газын зурвас, Израйл орчмын бүс нутгийн мөргөлдөөн хурцдах, дэлхийн худалдааны 11 орчим хувь дамжин өнгөрдөг Улаан тэнгист халдлага үргэлжлэх</w:t>
      </w:r>
      <w:r w:rsidRPr="00963C14">
        <w:rPr>
          <w:rFonts w:cs="Arial" w:hint="eastAsia"/>
          <w:lang w:eastAsia="ja-JP"/>
        </w:rPr>
        <w:t xml:space="preserve"> </w:t>
      </w:r>
      <w:r w:rsidRPr="00963C14">
        <w:rPr>
          <w:rFonts w:cs="Arial"/>
          <w:lang w:eastAsia="ja-JP"/>
        </w:rPr>
        <w:t xml:space="preserve">болон </w:t>
      </w:r>
      <w:r w:rsidRPr="00963C14">
        <w:rPr>
          <w:rFonts w:cs="Arial"/>
        </w:rPr>
        <w:t>геополитикийн зөрчлийн хамрах хүрээ тэлэх зэрэг эрсдэлүүд авто бензин, улаан буудай, хүнс, эрчим хүч зэрэг манай улсын импортын голлох бараа бүтээгдэхүүний үнийг өсгөж болзошгүй байна.</w:t>
      </w:r>
    </w:p>
    <w:p w14:paraId="7D78003A" w14:textId="2DC85A4A" w:rsidR="00EE1D3A" w:rsidRPr="00963C14" w:rsidRDefault="00EE1D3A" w:rsidP="00EE1D3A">
      <w:pPr>
        <w:tabs>
          <w:tab w:val="right" w:leader="dot" w:pos="9354"/>
        </w:tabs>
        <w:spacing w:afterLines="0"/>
        <w:rPr>
          <w:rFonts w:cs="Arial"/>
          <w:i/>
          <w:color w:val="055957"/>
          <w:szCs w:val="24"/>
        </w:rPr>
      </w:pPr>
      <w:r w:rsidRPr="00963C14">
        <w:rPr>
          <w:rFonts w:cs="Arial"/>
          <w:b/>
          <w:i/>
          <w:color w:val="055957"/>
          <w:szCs w:val="24"/>
        </w:rPr>
        <w:t>Хоёр. Түүхий эдийн үнийн хэлбэлзэл</w:t>
      </w:r>
      <w:r w:rsidRPr="00963C14">
        <w:rPr>
          <w:rFonts w:cs="Arial" w:hint="eastAsia"/>
          <w:b/>
          <w:i/>
          <w:color w:val="055957"/>
          <w:szCs w:val="24"/>
          <w:lang w:eastAsia="ja-JP"/>
        </w:rPr>
        <w:t>:</w:t>
      </w:r>
      <w:r w:rsidRPr="00963C14">
        <w:rPr>
          <w:rFonts w:cs="Arial"/>
          <w:b/>
          <w:i/>
          <w:color w:val="055957"/>
          <w:szCs w:val="24"/>
          <w:lang w:eastAsia="ja-JP"/>
        </w:rPr>
        <w:t xml:space="preserve"> </w:t>
      </w:r>
      <w:r w:rsidRPr="00963C14">
        <w:rPr>
          <w:rFonts w:cs="Arial"/>
        </w:rPr>
        <w:t>Дэлхийн эдийн засгийн тодорхой бус байдлаас шалтгаалсан эрэлт, нийлүүлэлтийн тогтворгүй байдал манай улсын экспортын голлох бүтээгдэхүүнүүдийн гадаад зах зээл дээрх үнийн хэлбэлзлийг нэмэгдүүлж, манай улсын экспортын орлогод сөргөөр нөлөөлж болзошгүй байна. Тухайлбал, түүхий эдийн дэлхийн зах зээлд өндөр нөлөө бүхий</w:t>
      </w:r>
      <w:r w:rsidRPr="00963C14">
        <w:rPr>
          <w:rFonts w:cs="Arial"/>
          <w:lang w:eastAsia="ja-JP"/>
        </w:rPr>
        <w:t xml:space="preserve"> </w:t>
      </w:r>
      <w:r w:rsidRPr="00963C14">
        <w:rPr>
          <w:rFonts w:cs="Arial"/>
        </w:rPr>
        <w:t>БНХАУ-ын үл хөдлөх хөрөнгийн салбарын уналт үргэлжилж, тус улсын эдийн засгийн өсөлт хүлээлтээс доогуур байх нь манай улсын экспортын түүхий эдийн эрэлт, үнийг бууруулах замаар экспортын орлогод сөргөөр нөлөөлж болзошгүй</w:t>
      </w:r>
    </w:p>
    <w:p w14:paraId="7FADB0E5" w14:textId="1FD87A00" w:rsidR="00EE1D3A" w:rsidRPr="00963C14" w:rsidRDefault="00EE1D3A" w:rsidP="00EE1D3A">
      <w:pPr>
        <w:tabs>
          <w:tab w:val="right" w:leader="dot" w:pos="9354"/>
        </w:tabs>
        <w:spacing w:afterLines="0"/>
        <w:rPr>
          <w:rFonts w:cs="Arial"/>
        </w:rPr>
      </w:pPr>
      <w:r w:rsidRPr="00963C14">
        <w:rPr>
          <w:rFonts w:cs="Arial"/>
          <w:b/>
          <w:i/>
          <w:color w:val="055957"/>
          <w:szCs w:val="24"/>
        </w:rPr>
        <w:t>Гурав. Зуд, ган, мал, амьтны өвчин:</w:t>
      </w:r>
      <w:r w:rsidRPr="00963C14">
        <w:rPr>
          <w:rFonts w:cs="Arial"/>
          <w:b/>
          <w:i/>
          <w:color w:val="E97132" w:themeColor="accent2"/>
          <w:szCs w:val="24"/>
        </w:rPr>
        <w:t xml:space="preserve"> </w:t>
      </w:r>
      <w:r w:rsidRPr="00963C14">
        <w:rPr>
          <w:rFonts w:cs="Arial"/>
        </w:rPr>
        <w:t xml:space="preserve">Цаг агаарын таагүй нөхцөл байдлаас өндөр хамааралтай хөдөө аж ахуйн салбарт зудын эрсдэл нэмэгдэж, хаваржилт хүндрэх, зуншлага тааруу байх, ган тохиолдох, малын халдварт өвчин тархах эрсдэл өндөр байна. Улмаар хөдөө аж ахуйн салбарын үйлдвэрлэл, өрхүүдийн орлого буурах, орлогын тэгш бус байдал нэмэгдэх, инфляц нэмэгдэх эрсдэлтэй байна. Өвөлжилт, хаваржилтын нөхцөл байдал хүндэрсэнтэй холбоотойгоор 2023 онд том малын зүй бүс хорогдол 2010 оноос хойш хамгийн өндөр түвшинд хүрч нэмэгдсэн. </w:t>
      </w:r>
      <w:r w:rsidR="00AB76AC" w:rsidRPr="00963C14">
        <w:rPr>
          <w:rFonts w:cs="Arial"/>
        </w:rPr>
        <w:t xml:space="preserve">Мөн </w:t>
      </w:r>
      <w:r w:rsidRPr="00963C14">
        <w:rPr>
          <w:rFonts w:cs="Arial"/>
        </w:rPr>
        <w:t>2024 оны эхнээс ихэнх нутгаар цас их хэмжээгээр орж, жил дараалсан зуд тохиолдож, 3 дугаар сарын 14-ний өдрийн байдлаар улсын хэмжээнд 4.7 сая толгой мал хорогдоод байгаа бөгөөд цаашид нэмэгдэх эрсдэлтэй байна. Малын зүй бус хорогдол өндөр байгаа нь нийлүүлэлтийн шалтгаантайгаар махны үнэ нэмэгдэх, хүнсний инфляц өсөх дарамтыг нэмэгдүүлж байна.</w:t>
      </w:r>
    </w:p>
    <w:p w14:paraId="45683CE6" w14:textId="3C9C9292" w:rsidR="00EE1D3A" w:rsidRPr="00963C14" w:rsidRDefault="00EE1D3A" w:rsidP="00EE1D3A">
      <w:pPr>
        <w:tabs>
          <w:tab w:val="right" w:leader="dot" w:pos="9354"/>
        </w:tabs>
        <w:spacing w:afterLines="0"/>
        <w:rPr>
          <w:rFonts w:cs="Arial"/>
        </w:rPr>
      </w:pPr>
      <w:r w:rsidRPr="00963C14">
        <w:rPr>
          <w:rFonts w:cs="Arial"/>
          <w:b/>
          <w:i/>
          <w:color w:val="055957"/>
          <w:szCs w:val="24"/>
        </w:rPr>
        <w:t xml:space="preserve">Дөрөв. Эрчим хүчний тасралтгүй, найдвартай байдал: </w:t>
      </w:r>
      <w:r w:rsidRPr="00963C14">
        <w:rPr>
          <w:rFonts w:cs="Arial"/>
        </w:rPr>
        <w:t>Эрчим хүч нь эдийн засаг, нийгмийн тогтвортой байдлыг хангах суурь хүчин зүйл боловч манай улс дотоодын цахилгаан хүчний хэрэглээг бүрэн хангаж чадахгүй, 20 орчим хувийг хөрш орнуудаас худалдан авч хэрэглэж байна. 2023 оны 12 дугаар сард ОХУ-ын 2 станцад гэмтэл гарснаар Монгол Улс руу нийлүүлэх эрчим хүчийг хязгаарлах тухай мэдэгдсэн ба энэ нь манай улсад эрчим хүчний тасалдал үүсэх эрсдэл өндөр байгааг харуулж байна. Мөн манай улсын эрчим хүчний хангамж нь төвлөрсөн системтэй ба станцуудын насжилт өндөр, түгээлтийн шугам, тоног төхөөрөмжийн дийлэнх нь хуучирч, элэгдсэн эрсдэлтэй нөхцөлд ажиллаж байна. Эрчим хүчний тасалдал нь бодит салбаруудын үйл ажиллагаа, нийт эдийн засгийн бүтээмжийг хязгаарлах эрсдэлтэй.</w:t>
      </w:r>
    </w:p>
    <w:p w14:paraId="4AF51933" w14:textId="77777777" w:rsidR="00EE1D3A" w:rsidRPr="00963C14" w:rsidRDefault="00EE1D3A" w:rsidP="00EE1D3A">
      <w:pPr>
        <w:tabs>
          <w:tab w:val="right" w:leader="dot" w:pos="9354"/>
        </w:tabs>
        <w:spacing w:afterLines="0"/>
        <w:rPr>
          <w:rFonts w:cs="Arial"/>
          <w:szCs w:val="24"/>
        </w:rPr>
      </w:pPr>
      <w:r w:rsidRPr="00963C14">
        <w:rPr>
          <w:rFonts w:cs="Arial"/>
          <w:b/>
          <w:i/>
          <w:color w:val="055957"/>
          <w:szCs w:val="24"/>
        </w:rPr>
        <w:t xml:space="preserve">Тав. Зээлжих зэрэглэл буурах болон аливаа төрлийн хориг: </w:t>
      </w:r>
      <w:r w:rsidRPr="00963C14">
        <w:rPr>
          <w:rFonts w:cs="Arial"/>
          <w:szCs w:val="24"/>
        </w:rPr>
        <w:t>Хөрш орнуудыг хамарсан геополитикийн хүндрэлтэй асуудлууд өрнөж буй энэ үед манай улс аливаа төрлийн хоригт өртөхгүй байх, зээлжих зэрэглэлийг сайжруулах хүрээнд олон улсад баримталж буй дүрэм журмуудыг мөрдөж, зээлжих зэрэглэл тогтоодог болон хориг арга хэмжээ авах эрх бүхий олон улсын байгууллагуудад хүргүүлэх холбогдох үнэлгээний тайлангуудыг сайтар бэлтгэх нь зүйтэй байна. Зээлжих зэрэглэл буурч, аливаа хоригт орсон тохиолдолд гадаадын хөрөнгө оруулалт, зээлийн урсгал буурах, төлбөр тооцоо саатах зэрэг эрсдэлүүд үүсэж болзошгүй.</w:t>
      </w:r>
    </w:p>
    <w:p w14:paraId="097B2B39" w14:textId="159797A0" w:rsidR="00EE1D3A" w:rsidRPr="00963C14" w:rsidRDefault="00BC243A" w:rsidP="0042195C">
      <w:pPr>
        <w:tabs>
          <w:tab w:val="right" w:leader="dot" w:pos="9354"/>
        </w:tabs>
        <w:spacing w:afterLines="0"/>
        <w:rPr>
          <w:rFonts w:cs="Arial"/>
          <w:szCs w:val="24"/>
          <w:lang w:eastAsia="ja-JP"/>
        </w:rPr>
      </w:pPr>
      <w:r w:rsidRPr="00963C14">
        <w:rPr>
          <w:rFonts w:cs="Arial"/>
          <w:b/>
          <w:i/>
          <w:color w:val="055957"/>
          <w:szCs w:val="24"/>
        </w:rPr>
        <w:t>Зургаа</w:t>
      </w:r>
      <w:r w:rsidR="00EE1D3A" w:rsidRPr="00963C14">
        <w:rPr>
          <w:rFonts w:cs="Arial"/>
          <w:b/>
          <w:i/>
          <w:color w:val="055957"/>
          <w:szCs w:val="24"/>
        </w:rPr>
        <w:t xml:space="preserve">. Уур амьсгалын өөрчлөлтөөс шалтгаалсан байгалийн гамшигт үзэгдлүүд: </w:t>
      </w:r>
      <w:r w:rsidR="00EE1D3A" w:rsidRPr="00963C14">
        <w:rPr>
          <w:rFonts w:eastAsia="SimSun" w:cs="Arial"/>
        </w:rPr>
        <w:t>Дэлхийн дулаарал, уур амьсгалын өөрчлөлтөөс шалтгаалсан хүнсний үнийн өсөлт манай улсын инфляцыг өсгө</w:t>
      </w:r>
      <w:r w:rsidR="00EE1D3A" w:rsidRPr="00963C14">
        <w:rPr>
          <w:rFonts w:eastAsia="Yu Gothic" w:cs="Arial"/>
          <w:lang w:eastAsia="ja-JP"/>
        </w:rPr>
        <w:t xml:space="preserve">ж болзошгүй </w:t>
      </w:r>
      <w:r w:rsidR="00EE1D3A" w:rsidRPr="00963C14">
        <w:rPr>
          <w:rFonts w:eastAsia="SimSun" w:cs="Arial"/>
        </w:rPr>
        <w:t xml:space="preserve">байна. </w:t>
      </w:r>
      <w:r w:rsidR="00EE1D3A" w:rsidRPr="00963C14">
        <w:rPr>
          <w:rFonts w:cs="Arial"/>
          <w:szCs w:val="24"/>
        </w:rPr>
        <w:t xml:space="preserve">Дэлхийн цаг уурын байгууллага болон уур амьсгалын судалгаа хийж буй бусад байгууллагууд олон жилийн ажиглалт, судалгаанд үндэслэн дэлхийн уур амьсгал дулаарч байна гэж дүгнэжээ (ТТБЗ, 2024). Уур амьсгалын өөрчлөлтийн улмаас дэлхийн олон бүс нутагт хэт халалт, хэт хүйтрэлт, хүчтэй хар шуурга, аадар бороо, үер, хөрсний гулгалт зэрэг байгаль цаг уурын </w:t>
      </w:r>
      <w:bookmarkStart w:id="33" w:name="_Hlk162872228"/>
      <w:r w:rsidR="00EE1D3A" w:rsidRPr="00963C14">
        <w:rPr>
          <w:rFonts w:cs="Arial"/>
          <w:szCs w:val="24"/>
        </w:rPr>
        <w:t xml:space="preserve">гамшигт болон аюулт үзэгдлийн тоо нэмэгдэж байна. </w:t>
      </w:r>
      <w:bookmarkEnd w:id="33"/>
      <w:r w:rsidR="00EE1D3A" w:rsidRPr="00963C14">
        <w:rPr>
          <w:rFonts w:cs="Arial"/>
          <w:szCs w:val="24"/>
        </w:rPr>
        <w:t>Уур амьсгалын өөрчлөлт Ази тивд загас агнуур, газар тариалангийн гарц, мал аж ахуйн салбарын үйлдвэрлэлийг бууруулах, хүнсний аюулгүй байдалд сөрөг нөлөө үзүүлж болзошгүй бөгөөд хэрвээ дундаж температур 1-ээс 4 цельсээр нэмэгдсэн тохиолдолд дэлхийн будааны гол экспортлогч Энэтхэг улсын будааны үйлдвэрлэл 10-аас 30 хувиар буурах, эрдэнэ шишийн гарц 25-аас 70 хувиар буурах эрсдэлтэй гэж үзжээ (IPCC, 2022</w:t>
      </w:r>
      <w:r w:rsidR="00EE1D3A" w:rsidRPr="00963C14">
        <w:rPr>
          <w:rStyle w:val="FootnoteReference"/>
          <w:rFonts w:cs="Arial"/>
          <w:szCs w:val="24"/>
        </w:rPr>
        <w:footnoteReference w:id="2"/>
      </w:r>
      <w:r w:rsidR="00EE1D3A" w:rsidRPr="00963C14">
        <w:rPr>
          <w:rFonts w:cs="Arial"/>
          <w:szCs w:val="24"/>
        </w:rPr>
        <w:t>). Дэлхийн дулаарал, уур амьсгалын өөрчлөлтөөс</w:t>
      </w:r>
      <w:r w:rsidR="00EE1D3A" w:rsidRPr="00963C14">
        <w:t xml:space="preserve"> </w:t>
      </w:r>
      <w:r w:rsidR="00EE1D3A" w:rsidRPr="00963C14">
        <w:rPr>
          <w:rFonts w:cs="Arial"/>
          <w:szCs w:val="24"/>
        </w:rPr>
        <w:t>шалтгаалсан байгалийн гамшигт үзэгдлүүдийн нөлөөгөөр олон улсад тээвэр логистикийн саатал үүсэх, хүнсний болон бусад бүтээгдэхүүний нийлүүлэлт буурах, үнэ өсөх, улмаар манай улсын импортын инфляцын дарамт нэмэгдэх эрсдэлтэй байна.</w:t>
      </w:r>
    </w:p>
    <w:p w14:paraId="5535D47D" w14:textId="77777777" w:rsidR="00EE1D3A" w:rsidRPr="00963C14" w:rsidRDefault="00EE1D3A" w:rsidP="00EE1D3A">
      <w:pPr>
        <w:tabs>
          <w:tab w:val="right" w:leader="dot" w:pos="9354"/>
        </w:tabs>
        <w:spacing w:after="288"/>
        <w:jc w:val="left"/>
        <w:rPr>
          <w:rFonts w:cs="Arial"/>
          <w:b/>
          <w:i/>
          <w:color w:val="055957"/>
          <w:szCs w:val="24"/>
        </w:rPr>
      </w:pPr>
      <w:r w:rsidRPr="00963C14">
        <w:rPr>
          <w:rFonts w:cs="Arial"/>
          <w:b/>
          <w:i/>
          <w:color w:val="055957"/>
          <w:szCs w:val="24"/>
        </w:rPr>
        <w:br w:type="page"/>
      </w:r>
    </w:p>
    <w:p w14:paraId="0D25B4C0" w14:textId="77777777" w:rsidR="00EE1D3A" w:rsidRPr="00963C14" w:rsidRDefault="00EE1D3A" w:rsidP="00EE1D3A">
      <w:pPr>
        <w:pStyle w:val="ListParagraph"/>
        <w:numPr>
          <w:ilvl w:val="0"/>
          <w:numId w:val="3"/>
        </w:numPr>
        <w:tabs>
          <w:tab w:val="right" w:leader="dot" w:pos="9354"/>
        </w:tabs>
        <w:spacing w:afterLines="80" w:after="192"/>
        <w:outlineLvl w:val="0"/>
        <w:rPr>
          <w:rFonts w:cs="Arial"/>
          <w:b/>
          <w:szCs w:val="24"/>
        </w:rPr>
      </w:pPr>
      <w:bookmarkStart w:id="34" w:name="_Toc158214391"/>
      <w:bookmarkStart w:id="35" w:name="_Toc163484918"/>
      <w:bookmarkStart w:id="36" w:name="_Toc163736652"/>
      <w:bookmarkStart w:id="37" w:name="_Toc163811085"/>
      <w:bookmarkStart w:id="38" w:name="_Toc165299382"/>
      <w:bookmarkEnd w:id="34"/>
      <w:r w:rsidRPr="00963C14">
        <w:rPr>
          <w:rFonts w:cs="Arial"/>
          <w:b/>
          <w:szCs w:val="24"/>
        </w:rPr>
        <w:t>МОНГОЛ УЛСЫН НЭГДСЭН ТӨСВИЙН 2025 ОНЫ ТӨСВИЙН ХҮРЭЭНИЙ МЭДЭГДЭЛ, 2026-2027 ОНЫ ТӨСВИЙН ТӨСӨӨЛЛИЙН ТУХАЙ ХУУЛИЙН ТӨСӨЛ</w:t>
      </w:r>
      <w:bookmarkEnd w:id="35"/>
      <w:bookmarkEnd w:id="36"/>
      <w:bookmarkEnd w:id="37"/>
      <w:bookmarkEnd w:id="38"/>
    </w:p>
    <w:p w14:paraId="7A93EE75" w14:textId="77777777" w:rsidR="00EE1D3A" w:rsidRPr="00963C14" w:rsidRDefault="00EE1D3A" w:rsidP="00EE1D3A">
      <w:pPr>
        <w:pStyle w:val="Caption"/>
        <w:tabs>
          <w:tab w:val="right" w:leader="dot" w:pos="9354"/>
        </w:tabs>
        <w:spacing w:after="240"/>
      </w:pPr>
    </w:p>
    <w:p w14:paraId="182FEE00" w14:textId="2FA422B7" w:rsidR="00EE1D3A" w:rsidRPr="00963C14" w:rsidRDefault="00EE1D3A" w:rsidP="00735EAB">
      <w:pPr>
        <w:pStyle w:val="Caption"/>
        <w:keepNext/>
        <w:jc w:val="left"/>
        <w:rPr>
          <w:rFonts w:ascii="Arial" w:hAnsi="Arial" w:cs="Arial"/>
        </w:rPr>
      </w:pPr>
      <w:r w:rsidRPr="00963C14">
        <w:rPr>
          <w:rFonts w:ascii="Arial" w:hAnsi="Arial" w:cs="Arial"/>
        </w:rPr>
        <w:t xml:space="preserve">Хүснэгт 2.1. Монгол Улсын </w:t>
      </w:r>
      <w:r w:rsidR="00BE57AC" w:rsidRPr="00963C14">
        <w:rPr>
          <w:rFonts w:ascii="Arial" w:hAnsi="Arial" w:cs="Arial"/>
        </w:rPr>
        <w:t>н</w:t>
      </w:r>
      <w:r w:rsidRPr="00963C14">
        <w:rPr>
          <w:rFonts w:ascii="Arial" w:hAnsi="Arial" w:cs="Arial"/>
        </w:rPr>
        <w:t xml:space="preserve">эгдсэн төсвийн 2025 оны </w:t>
      </w:r>
      <w:r w:rsidR="00605B39" w:rsidRPr="00963C14">
        <w:rPr>
          <w:rFonts w:ascii="Arial" w:hAnsi="Arial" w:cs="Arial"/>
        </w:rPr>
        <w:t>т</w:t>
      </w:r>
      <w:r w:rsidRPr="00963C14">
        <w:rPr>
          <w:rFonts w:ascii="Arial" w:hAnsi="Arial" w:cs="Arial"/>
        </w:rPr>
        <w:t>өсвийн хүрээний мэдэгдэл</w:t>
      </w:r>
      <w:r w:rsidR="00605B39" w:rsidRPr="00963C14">
        <w:rPr>
          <w:rFonts w:ascii="Arial" w:hAnsi="Arial" w:cs="Arial"/>
        </w:rPr>
        <w:t xml:space="preserve">, </w:t>
      </w:r>
      <w:r w:rsidR="00541D4C" w:rsidRPr="00963C14">
        <w:rPr>
          <w:rFonts w:ascii="Arial" w:hAnsi="Arial" w:cs="Arial"/>
        </w:rPr>
        <w:t>2026-2027 оны төсвийн төсөөллийн үзүүлэлт</w:t>
      </w:r>
      <w:r w:rsidRPr="00963C14">
        <w:rPr>
          <w:rFonts w:ascii="Arial" w:hAnsi="Arial" w:cs="Arial"/>
        </w:rPr>
        <w:t xml:space="preserve"> </w:t>
      </w:r>
      <w:r w:rsidR="00E15D9A" w:rsidRPr="00963C14">
        <w:rPr>
          <w:rFonts w:ascii="Arial" w:hAnsi="Arial" w:cs="Arial"/>
        </w:rPr>
        <w:t>(</w:t>
      </w:r>
      <w:r w:rsidRPr="00963C14">
        <w:rPr>
          <w:rFonts w:ascii="Arial" w:hAnsi="Arial" w:cs="Arial"/>
        </w:rPr>
        <w:t>тэрбум төгрөг</w:t>
      </w:r>
      <w:r w:rsidR="00E15D9A" w:rsidRPr="00963C14">
        <w:rPr>
          <w:rFonts w:ascii="Arial" w:hAnsi="Arial" w:cs="Arial"/>
        </w:rPr>
        <w:t>)</w:t>
      </w:r>
    </w:p>
    <w:tbl>
      <w:tblPr>
        <w:tblStyle w:val="GridTable4-Accent2"/>
        <w:tblW w:w="9270" w:type="dxa"/>
        <w:tblInd w:w="108"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50"/>
        <w:gridCol w:w="3510"/>
        <w:gridCol w:w="2250"/>
        <w:gridCol w:w="1530"/>
        <w:gridCol w:w="1530"/>
      </w:tblGrid>
      <w:tr w:rsidR="00EE1D3A" w:rsidRPr="00963C14" w14:paraId="12028F30" w14:textId="77777777">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960" w:type="dxa"/>
            <w:gridSpan w:val="2"/>
            <w:vMerge w:val="restart"/>
            <w:tcBorders>
              <w:top w:val="nil"/>
              <w:left w:val="nil"/>
              <w:bottom w:val="single" w:sz="4" w:space="0" w:color="auto"/>
            </w:tcBorders>
            <w:shd w:val="clear" w:color="auto" w:fill="11A795"/>
            <w:vAlign w:val="center"/>
          </w:tcPr>
          <w:p w14:paraId="01CA3445" w14:textId="77777777" w:rsidR="00EE1D3A" w:rsidRPr="00963C14" w:rsidRDefault="00EE1D3A">
            <w:pPr>
              <w:tabs>
                <w:tab w:val="right" w:leader="dot" w:pos="9354"/>
              </w:tabs>
              <w:snapToGrid w:val="0"/>
              <w:spacing w:before="60" w:afterLines="0" w:after="60"/>
              <w:jc w:val="center"/>
              <w:rPr>
                <w:rFonts w:cs="Arial"/>
              </w:rPr>
            </w:pPr>
            <w:r w:rsidRPr="00963C14">
              <w:rPr>
                <w:rFonts w:cs="Arial"/>
              </w:rPr>
              <w:t>Эдийн засгийн үндсэн үзүүлэлт</w:t>
            </w:r>
          </w:p>
        </w:tc>
        <w:tc>
          <w:tcPr>
            <w:tcW w:w="2250" w:type="dxa"/>
            <w:tcBorders>
              <w:top w:val="nil"/>
              <w:bottom w:val="single" w:sz="4" w:space="0" w:color="FFFFFF" w:themeColor="background1"/>
            </w:tcBorders>
            <w:shd w:val="clear" w:color="auto" w:fill="11A795"/>
          </w:tcPr>
          <w:p w14:paraId="4543EC5F" w14:textId="77777777" w:rsidR="00EE1D3A" w:rsidRPr="00963C14" w:rsidRDefault="00EE1D3A">
            <w:pPr>
              <w:tabs>
                <w:tab w:val="right" w:leader="dot" w:pos="9354"/>
              </w:tabs>
              <w:snapToGrid w:val="0"/>
              <w:spacing w:before="60" w:afterLines="0" w:after="60"/>
              <w:jc w:val="center"/>
              <w:cnfStyle w:val="100000000000" w:firstRow="1" w:lastRow="0" w:firstColumn="0" w:lastColumn="0" w:oddVBand="0" w:evenVBand="0" w:oddHBand="0" w:evenHBand="0" w:firstRowFirstColumn="0" w:firstRowLastColumn="0" w:lastRowFirstColumn="0" w:lastRowLastColumn="0"/>
              <w:rPr>
                <w:rFonts w:cs="Arial"/>
              </w:rPr>
            </w:pPr>
            <w:r w:rsidRPr="00963C14">
              <w:rPr>
                <w:rFonts w:cs="Arial"/>
              </w:rPr>
              <w:t>Төсвийн хүрээний мэдэгдэл</w:t>
            </w:r>
          </w:p>
        </w:tc>
        <w:tc>
          <w:tcPr>
            <w:tcW w:w="3060" w:type="dxa"/>
            <w:gridSpan w:val="2"/>
            <w:tcBorders>
              <w:top w:val="nil"/>
              <w:bottom w:val="single" w:sz="4" w:space="0" w:color="FFFFFF" w:themeColor="background1"/>
            </w:tcBorders>
            <w:shd w:val="clear" w:color="auto" w:fill="11A795"/>
          </w:tcPr>
          <w:p w14:paraId="59CFBFEB" w14:textId="77777777" w:rsidR="00EE1D3A" w:rsidRPr="00963C14" w:rsidRDefault="00EE1D3A">
            <w:pPr>
              <w:tabs>
                <w:tab w:val="right" w:leader="dot" w:pos="9354"/>
              </w:tabs>
              <w:snapToGrid w:val="0"/>
              <w:spacing w:before="60" w:afterLines="0" w:after="60"/>
              <w:jc w:val="center"/>
              <w:cnfStyle w:val="100000000000" w:firstRow="1" w:lastRow="0" w:firstColumn="0" w:lastColumn="0" w:oddVBand="0" w:evenVBand="0" w:oddHBand="0" w:evenHBand="0" w:firstRowFirstColumn="0" w:firstRowLastColumn="0" w:lastRowFirstColumn="0" w:lastRowLastColumn="0"/>
              <w:rPr>
                <w:rFonts w:cs="Arial"/>
              </w:rPr>
            </w:pPr>
            <w:r w:rsidRPr="00963C14">
              <w:rPr>
                <w:rFonts w:cs="Arial"/>
              </w:rPr>
              <w:t>Төсвийн төсөөлөл</w:t>
            </w:r>
          </w:p>
        </w:tc>
      </w:tr>
      <w:tr w:rsidR="00EE1D3A" w:rsidRPr="00963C14" w14:paraId="597B4950"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960" w:type="dxa"/>
            <w:gridSpan w:val="2"/>
            <w:vMerge/>
            <w:tcBorders>
              <w:top w:val="nil"/>
              <w:bottom w:val="single" w:sz="4" w:space="0" w:color="auto"/>
            </w:tcBorders>
            <w:shd w:val="clear" w:color="auto" w:fill="11A795"/>
          </w:tcPr>
          <w:p w14:paraId="073BDEBC" w14:textId="77777777" w:rsidR="00EE1D3A" w:rsidRPr="00963C14" w:rsidRDefault="00EE1D3A">
            <w:pPr>
              <w:tabs>
                <w:tab w:val="right" w:leader="dot" w:pos="9354"/>
              </w:tabs>
              <w:snapToGrid w:val="0"/>
              <w:spacing w:before="60" w:afterLines="0" w:after="60"/>
              <w:jc w:val="center"/>
              <w:rPr>
                <w:rFonts w:cs="Arial"/>
                <w:color w:val="FFFFFF" w:themeColor="background1"/>
              </w:rPr>
            </w:pPr>
          </w:p>
        </w:tc>
        <w:tc>
          <w:tcPr>
            <w:tcW w:w="2250" w:type="dxa"/>
            <w:tcBorders>
              <w:top w:val="single" w:sz="4" w:space="0" w:color="FFFFFF" w:themeColor="background1"/>
            </w:tcBorders>
            <w:shd w:val="clear" w:color="auto" w:fill="11A795"/>
            <w:vAlign w:val="center"/>
          </w:tcPr>
          <w:p w14:paraId="1EDC91EA" w14:textId="77777777" w:rsidR="00EE1D3A" w:rsidRPr="00963C14" w:rsidRDefault="00EE1D3A">
            <w:pPr>
              <w:tabs>
                <w:tab w:val="right" w:leader="dot" w:pos="9354"/>
              </w:tabs>
              <w:snapToGrid w:val="0"/>
              <w:spacing w:before="60" w:afterLines="0" w:after="60"/>
              <w:jc w:val="center"/>
              <w:cnfStyle w:val="000000100000" w:firstRow="0" w:lastRow="0" w:firstColumn="0" w:lastColumn="0" w:oddVBand="0" w:evenVBand="0" w:oddHBand="1" w:evenHBand="0" w:firstRowFirstColumn="0" w:firstRowLastColumn="0" w:lastRowFirstColumn="0" w:lastRowLastColumn="0"/>
              <w:rPr>
                <w:rFonts w:cs="Arial"/>
                <w:b/>
                <w:color w:val="FFFFFF" w:themeColor="background1"/>
              </w:rPr>
            </w:pPr>
            <w:r w:rsidRPr="00963C14">
              <w:rPr>
                <w:rFonts w:cs="Arial"/>
                <w:b/>
                <w:color w:val="FFFFFF" w:themeColor="background1"/>
              </w:rPr>
              <w:t>2025</w:t>
            </w:r>
          </w:p>
        </w:tc>
        <w:tc>
          <w:tcPr>
            <w:tcW w:w="1530" w:type="dxa"/>
            <w:tcBorders>
              <w:top w:val="single" w:sz="4" w:space="0" w:color="FFFFFF" w:themeColor="background1"/>
            </w:tcBorders>
            <w:shd w:val="clear" w:color="auto" w:fill="11A795"/>
            <w:vAlign w:val="center"/>
          </w:tcPr>
          <w:p w14:paraId="0ED679A7" w14:textId="77777777" w:rsidR="00EE1D3A" w:rsidRPr="00963C14" w:rsidRDefault="00EE1D3A">
            <w:pPr>
              <w:tabs>
                <w:tab w:val="right" w:leader="dot" w:pos="9354"/>
              </w:tabs>
              <w:snapToGrid w:val="0"/>
              <w:spacing w:before="60" w:afterLines="0" w:after="60"/>
              <w:jc w:val="center"/>
              <w:cnfStyle w:val="000000100000" w:firstRow="0" w:lastRow="0" w:firstColumn="0" w:lastColumn="0" w:oddVBand="0" w:evenVBand="0" w:oddHBand="1" w:evenHBand="0" w:firstRowFirstColumn="0" w:firstRowLastColumn="0" w:lastRowFirstColumn="0" w:lastRowLastColumn="0"/>
              <w:rPr>
                <w:rFonts w:cs="Arial"/>
                <w:b/>
                <w:color w:val="FFFFFF" w:themeColor="background1"/>
              </w:rPr>
            </w:pPr>
            <w:r w:rsidRPr="00963C14">
              <w:rPr>
                <w:rFonts w:cs="Arial"/>
                <w:b/>
                <w:color w:val="FFFFFF" w:themeColor="background1"/>
              </w:rPr>
              <w:t>2026</w:t>
            </w:r>
          </w:p>
        </w:tc>
        <w:tc>
          <w:tcPr>
            <w:tcW w:w="1530" w:type="dxa"/>
            <w:tcBorders>
              <w:top w:val="single" w:sz="4" w:space="0" w:color="FFFFFF" w:themeColor="background1"/>
            </w:tcBorders>
            <w:shd w:val="clear" w:color="auto" w:fill="11A795"/>
            <w:vAlign w:val="center"/>
          </w:tcPr>
          <w:p w14:paraId="5505C59F" w14:textId="77777777" w:rsidR="00EE1D3A" w:rsidRPr="00963C14" w:rsidRDefault="00EE1D3A">
            <w:pPr>
              <w:tabs>
                <w:tab w:val="right" w:leader="dot" w:pos="9354"/>
              </w:tabs>
              <w:snapToGrid w:val="0"/>
              <w:spacing w:before="60" w:afterLines="0" w:after="60"/>
              <w:jc w:val="center"/>
              <w:cnfStyle w:val="000000100000" w:firstRow="0" w:lastRow="0" w:firstColumn="0" w:lastColumn="0" w:oddVBand="0" w:evenVBand="0" w:oddHBand="1" w:evenHBand="0" w:firstRowFirstColumn="0" w:firstRowLastColumn="0" w:lastRowFirstColumn="0" w:lastRowLastColumn="0"/>
              <w:rPr>
                <w:rFonts w:cs="Arial"/>
                <w:b/>
                <w:color w:val="FFFFFF" w:themeColor="background1"/>
              </w:rPr>
            </w:pPr>
            <w:r w:rsidRPr="00963C14">
              <w:rPr>
                <w:rFonts w:cs="Arial"/>
                <w:b/>
                <w:color w:val="FFFFFF" w:themeColor="background1"/>
              </w:rPr>
              <w:t>2027</w:t>
            </w:r>
          </w:p>
        </w:tc>
      </w:tr>
      <w:tr w:rsidR="00D06703" w:rsidRPr="00963C14" w14:paraId="0A529B60" w14:textId="77777777" w:rsidTr="00F00FD1">
        <w:trPr>
          <w:trHeight w:val="6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tcBorders>
            <w:shd w:val="clear" w:color="auto" w:fill="auto"/>
            <w:vAlign w:val="center"/>
          </w:tcPr>
          <w:p w14:paraId="69B8791F" w14:textId="77777777" w:rsidR="00D06703" w:rsidRPr="00963C14" w:rsidRDefault="00D06703" w:rsidP="00D06703">
            <w:pPr>
              <w:tabs>
                <w:tab w:val="right" w:leader="dot" w:pos="9354"/>
              </w:tabs>
              <w:snapToGrid w:val="0"/>
              <w:spacing w:afterLines="0"/>
              <w:rPr>
                <w:rFonts w:cs="Arial"/>
                <w:b w:val="0"/>
              </w:rPr>
            </w:pPr>
            <w:r w:rsidRPr="00963C14">
              <w:rPr>
                <w:rFonts w:cs="Arial"/>
                <w:b w:val="0"/>
              </w:rPr>
              <w:t>1</w:t>
            </w:r>
          </w:p>
        </w:tc>
        <w:tc>
          <w:tcPr>
            <w:tcW w:w="3510" w:type="dxa"/>
            <w:tcBorders>
              <w:top w:val="single" w:sz="4" w:space="0" w:color="auto"/>
            </w:tcBorders>
            <w:shd w:val="clear" w:color="auto" w:fill="auto"/>
            <w:vAlign w:val="center"/>
          </w:tcPr>
          <w:p w14:paraId="650B8C27" w14:textId="77777777" w:rsidR="00D06703" w:rsidRPr="00963C14" w:rsidRDefault="00D06703" w:rsidP="00D06703">
            <w:pPr>
              <w:tabs>
                <w:tab w:val="right" w:leader="dot" w:pos="9354"/>
              </w:tabs>
              <w:snapToGrid w:val="0"/>
              <w:spacing w:before="60" w:afterLines="0" w:after="60"/>
              <w:jc w:val="left"/>
              <w:cnfStyle w:val="000000000000" w:firstRow="0" w:lastRow="0" w:firstColumn="0" w:lastColumn="0" w:oddVBand="0" w:evenVBand="0" w:oddHBand="0" w:evenHBand="0" w:firstRowFirstColumn="0" w:firstRowLastColumn="0" w:lastRowFirstColumn="0" w:lastRowLastColumn="0"/>
              <w:rPr>
                <w:rFonts w:cs="Arial"/>
              </w:rPr>
            </w:pPr>
            <w:r w:rsidRPr="00963C14">
              <w:rPr>
                <w:rFonts w:cs="Arial"/>
              </w:rPr>
              <w:t xml:space="preserve">Дотоодын нийт бүтээгдэхүүний бодит өсөлтийн хэмжээ </w:t>
            </w:r>
          </w:p>
        </w:tc>
        <w:tc>
          <w:tcPr>
            <w:tcW w:w="2250" w:type="dxa"/>
            <w:shd w:val="clear" w:color="auto" w:fill="auto"/>
            <w:vAlign w:val="center"/>
          </w:tcPr>
          <w:p w14:paraId="070C919B" w14:textId="5EE49F1B"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8.0 </w:t>
            </w:r>
          </w:p>
        </w:tc>
        <w:tc>
          <w:tcPr>
            <w:tcW w:w="1530" w:type="dxa"/>
            <w:shd w:val="clear" w:color="auto" w:fill="auto"/>
            <w:vAlign w:val="center"/>
          </w:tcPr>
          <w:p w14:paraId="083AAE32" w14:textId="5E221A5D"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6.5 </w:t>
            </w:r>
          </w:p>
        </w:tc>
        <w:tc>
          <w:tcPr>
            <w:tcW w:w="1530" w:type="dxa"/>
            <w:shd w:val="clear" w:color="auto" w:fill="auto"/>
            <w:vAlign w:val="center"/>
          </w:tcPr>
          <w:p w14:paraId="4E396132" w14:textId="6B77463B"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6.5 </w:t>
            </w:r>
          </w:p>
        </w:tc>
      </w:tr>
      <w:tr w:rsidR="00D06703" w:rsidRPr="00963C14" w14:paraId="5A5D4979" w14:textId="77777777" w:rsidTr="00F00FD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50" w:type="dxa"/>
            <w:shd w:val="clear" w:color="auto" w:fill="auto"/>
            <w:vAlign w:val="center"/>
          </w:tcPr>
          <w:p w14:paraId="1E1F6E0B" w14:textId="77777777" w:rsidR="00D06703" w:rsidRPr="00963C14" w:rsidRDefault="00D06703" w:rsidP="00D06703">
            <w:pPr>
              <w:tabs>
                <w:tab w:val="right" w:leader="dot" w:pos="9354"/>
              </w:tabs>
              <w:snapToGrid w:val="0"/>
              <w:spacing w:afterLines="0"/>
              <w:rPr>
                <w:rFonts w:cs="Arial"/>
                <w:b w:val="0"/>
              </w:rPr>
            </w:pPr>
            <w:r w:rsidRPr="00963C14">
              <w:rPr>
                <w:rFonts w:cs="Arial"/>
                <w:b w:val="0"/>
              </w:rPr>
              <w:t>2</w:t>
            </w:r>
          </w:p>
        </w:tc>
        <w:tc>
          <w:tcPr>
            <w:tcW w:w="3510" w:type="dxa"/>
            <w:shd w:val="clear" w:color="auto" w:fill="auto"/>
            <w:vAlign w:val="center"/>
          </w:tcPr>
          <w:p w14:paraId="36CD705E" w14:textId="77777777" w:rsidR="00D06703" w:rsidRPr="00963C14" w:rsidRDefault="00D06703" w:rsidP="00D06703">
            <w:pPr>
              <w:tabs>
                <w:tab w:val="right" w:leader="dot" w:pos="9354"/>
              </w:tabs>
              <w:snapToGrid w:val="0"/>
              <w:spacing w:before="60" w:afterLines="0" w:after="60"/>
              <w:jc w:val="left"/>
              <w:cnfStyle w:val="000000100000" w:firstRow="0" w:lastRow="0" w:firstColumn="0" w:lastColumn="0" w:oddVBand="0" w:evenVBand="0" w:oddHBand="1" w:evenHBand="0" w:firstRowFirstColumn="0" w:firstRowLastColumn="0" w:lastRowFirstColumn="0" w:lastRowLastColumn="0"/>
              <w:rPr>
                <w:rFonts w:cs="Arial"/>
              </w:rPr>
            </w:pPr>
            <w:r w:rsidRPr="00963C14">
              <w:rPr>
                <w:rFonts w:cs="Arial"/>
              </w:rPr>
              <w:t>Хэрэглээний үнийн өсөлтийн түвшин</w:t>
            </w:r>
          </w:p>
        </w:tc>
        <w:tc>
          <w:tcPr>
            <w:tcW w:w="2250" w:type="dxa"/>
            <w:shd w:val="clear" w:color="auto" w:fill="auto"/>
            <w:vAlign w:val="center"/>
          </w:tcPr>
          <w:p w14:paraId="025C8DDC" w14:textId="58CB35F7"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6.0 </w:t>
            </w:r>
          </w:p>
        </w:tc>
        <w:tc>
          <w:tcPr>
            <w:tcW w:w="1530" w:type="dxa"/>
            <w:shd w:val="clear" w:color="auto" w:fill="auto"/>
            <w:vAlign w:val="center"/>
          </w:tcPr>
          <w:p w14:paraId="33BADDE1" w14:textId="2BF23641"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4.0 </w:t>
            </w:r>
          </w:p>
        </w:tc>
        <w:tc>
          <w:tcPr>
            <w:tcW w:w="1530" w:type="dxa"/>
            <w:shd w:val="clear" w:color="auto" w:fill="auto"/>
            <w:vAlign w:val="center"/>
          </w:tcPr>
          <w:p w14:paraId="22DED9FB" w14:textId="6979D84D"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3.0 </w:t>
            </w:r>
          </w:p>
        </w:tc>
      </w:tr>
      <w:tr w:rsidR="00D06703" w:rsidRPr="00963C14" w14:paraId="3B13AF74" w14:textId="77777777" w:rsidTr="00F00FD1">
        <w:trPr>
          <w:trHeight w:val="60"/>
        </w:trPr>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auto"/>
            <w:vAlign w:val="center"/>
          </w:tcPr>
          <w:p w14:paraId="47D89840" w14:textId="77777777" w:rsidR="00D06703" w:rsidRPr="00963C14" w:rsidRDefault="00D06703" w:rsidP="00D06703">
            <w:pPr>
              <w:tabs>
                <w:tab w:val="right" w:leader="dot" w:pos="9354"/>
              </w:tabs>
              <w:snapToGrid w:val="0"/>
              <w:spacing w:afterLines="0"/>
              <w:rPr>
                <w:rFonts w:cs="Arial"/>
                <w:b w:val="0"/>
              </w:rPr>
            </w:pPr>
            <w:r w:rsidRPr="00963C14">
              <w:rPr>
                <w:rFonts w:cs="Arial"/>
                <w:b w:val="0"/>
              </w:rPr>
              <w:t>3</w:t>
            </w:r>
          </w:p>
        </w:tc>
        <w:tc>
          <w:tcPr>
            <w:tcW w:w="3510" w:type="dxa"/>
            <w:shd w:val="clear" w:color="auto" w:fill="auto"/>
            <w:vAlign w:val="center"/>
          </w:tcPr>
          <w:p w14:paraId="5B559B4D" w14:textId="77777777" w:rsidR="00D06703" w:rsidRPr="00963C14" w:rsidRDefault="00D06703" w:rsidP="00D06703">
            <w:pPr>
              <w:tabs>
                <w:tab w:val="right" w:leader="dot" w:pos="9354"/>
              </w:tabs>
              <w:snapToGrid w:val="0"/>
              <w:spacing w:before="60" w:afterLines="0" w:after="60"/>
              <w:jc w:val="left"/>
              <w:cnfStyle w:val="000000000000" w:firstRow="0" w:lastRow="0" w:firstColumn="0" w:lastColumn="0" w:oddVBand="0" w:evenVBand="0" w:oddHBand="0" w:evenHBand="0" w:firstRowFirstColumn="0" w:firstRowLastColumn="0" w:lastRowFirstColumn="0" w:lastRowLastColumn="0"/>
              <w:rPr>
                <w:rFonts w:cs="Arial"/>
              </w:rPr>
            </w:pPr>
            <w:r w:rsidRPr="00963C14">
              <w:rPr>
                <w:rFonts w:cs="Arial"/>
              </w:rPr>
              <w:t>Нэгдсэн төсвийн тэнцвэржүүлсэн орлогын хэмжээ</w:t>
            </w:r>
          </w:p>
        </w:tc>
        <w:tc>
          <w:tcPr>
            <w:tcW w:w="2250" w:type="dxa"/>
            <w:shd w:val="clear" w:color="auto" w:fill="auto"/>
            <w:vAlign w:val="center"/>
          </w:tcPr>
          <w:p w14:paraId="7E33C0D2" w14:textId="03F87165"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29,400.1 </w:t>
            </w:r>
          </w:p>
        </w:tc>
        <w:tc>
          <w:tcPr>
            <w:tcW w:w="1530" w:type="dxa"/>
            <w:shd w:val="clear" w:color="auto" w:fill="auto"/>
            <w:vAlign w:val="center"/>
          </w:tcPr>
          <w:p w14:paraId="22792F0D" w14:textId="6F15A9EA"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31,951.2  </w:t>
            </w:r>
          </w:p>
        </w:tc>
        <w:tc>
          <w:tcPr>
            <w:tcW w:w="1530" w:type="dxa"/>
            <w:shd w:val="clear" w:color="auto" w:fill="auto"/>
            <w:vAlign w:val="center"/>
          </w:tcPr>
          <w:p w14:paraId="1E0EDBD1" w14:textId="6670FA0F"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34,460.3  </w:t>
            </w:r>
          </w:p>
        </w:tc>
      </w:tr>
      <w:tr w:rsidR="00D06703" w:rsidRPr="00963C14" w14:paraId="1DAECE8C" w14:textId="77777777" w:rsidTr="00F00FD1">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auto"/>
            <w:vAlign w:val="center"/>
          </w:tcPr>
          <w:p w14:paraId="7D3EB666" w14:textId="77777777" w:rsidR="00D06703" w:rsidRPr="00963C14" w:rsidRDefault="00D06703" w:rsidP="00D06703">
            <w:pPr>
              <w:tabs>
                <w:tab w:val="right" w:leader="dot" w:pos="9354"/>
              </w:tabs>
              <w:snapToGrid w:val="0"/>
              <w:spacing w:afterLines="0"/>
              <w:rPr>
                <w:rFonts w:cs="Arial"/>
                <w:b w:val="0"/>
              </w:rPr>
            </w:pPr>
          </w:p>
        </w:tc>
        <w:tc>
          <w:tcPr>
            <w:tcW w:w="3510" w:type="dxa"/>
            <w:shd w:val="clear" w:color="auto" w:fill="auto"/>
            <w:vAlign w:val="center"/>
          </w:tcPr>
          <w:p w14:paraId="69E86F46" w14:textId="77777777" w:rsidR="00D06703" w:rsidRPr="00963C14" w:rsidRDefault="00D06703" w:rsidP="00D06703">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rPr>
                <w:rFonts w:cs="Arial"/>
              </w:rPr>
              <w:t xml:space="preserve">ДНБ-д эзлэх хувь </w:t>
            </w:r>
          </w:p>
        </w:tc>
        <w:tc>
          <w:tcPr>
            <w:tcW w:w="2250" w:type="dxa"/>
            <w:shd w:val="clear" w:color="auto" w:fill="auto"/>
            <w:vAlign w:val="center"/>
          </w:tcPr>
          <w:p w14:paraId="1501B2F7" w14:textId="0C2B5511"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30.9  </w:t>
            </w:r>
          </w:p>
        </w:tc>
        <w:tc>
          <w:tcPr>
            <w:tcW w:w="1530" w:type="dxa"/>
            <w:shd w:val="clear" w:color="auto" w:fill="auto"/>
            <w:vAlign w:val="center"/>
          </w:tcPr>
          <w:p w14:paraId="7D3B5BBC" w14:textId="27AB710B"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30.5  </w:t>
            </w:r>
          </w:p>
        </w:tc>
        <w:tc>
          <w:tcPr>
            <w:tcW w:w="1530" w:type="dxa"/>
            <w:shd w:val="clear" w:color="auto" w:fill="auto"/>
            <w:vAlign w:val="center"/>
          </w:tcPr>
          <w:p w14:paraId="693B295D" w14:textId="1A7F6002"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29.5  </w:t>
            </w:r>
          </w:p>
        </w:tc>
      </w:tr>
      <w:tr w:rsidR="00D06703" w:rsidRPr="00963C14" w14:paraId="096BD7AC" w14:textId="77777777" w:rsidTr="00F00FD1">
        <w:trPr>
          <w:trHeight w:val="60"/>
        </w:trPr>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auto"/>
            <w:vAlign w:val="center"/>
          </w:tcPr>
          <w:p w14:paraId="56368AB4" w14:textId="77777777" w:rsidR="00D06703" w:rsidRPr="00963C14" w:rsidRDefault="00D06703" w:rsidP="00D06703">
            <w:pPr>
              <w:tabs>
                <w:tab w:val="right" w:leader="dot" w:pos="9354"/>
              </w:tabs>
              <w:snapToGrid w:val="0"/>
              <w:spacing w:afterLines="0"/>
              <w:rPr>
                <w:rFonts w:cs="Arial"/>
                <w:b w:val="0"/>
              </w:rPr>
            </w:pPr>
            <w:r w:rsidRPr="00963C14">
              <w:rPr>
                <w:rFonts w:cs="Arial"/>
                <w:b w:val="0"/>
              </w:rPr>
              <w:t>4</w:t>
            </w:r>
          </w:p>
        </w:tc>
        <w:tc>
          <w:tcPr>
            <w:tcW w:w="3510" w:type="dxa"/>
            <w:shd w:val="clear" w:color="auto" w:fill="auto"/>
            <w:vAlign w:val="center"/>
          </w:tcPr>
          <w:p w14:paraId="0573FDED" w14:textId="77777777" w:rsidR="00D06703" w:rsidRPr="00963C14" w:rsidRDefault="00D06703" w:rsidP="00D06703">
            <w:pPr>
              <w:tabs>
                <w:tab w:val="right" w:leader="dot" w:pos="9354"/>
              </w:tabs>
              <w:snapToGrid w:val="0"/>
              <w:spacing w:before="60" w:afterLines="0" w:after="60"/>
              <w:jc w:val="left"/>
              <w:cnfStyle w:val="000000000000" w:firstRow="0" w:lastRow="0" w:firstColumn="0" w:lastColumn="0" w:oddVBand="0" w:evenVBand="0" w:oddHBand="0" w:evenHBand="0" w:firstRowFirstColumn="0" w:firstRowLastColumn="0" w:lastRowFirstColumn="0" w:lastRowLastColumn="0"/>
              <w:rPr>
                <w:rFonts w:cs="Arial"/>
              </w:rPr>
            </w:pPr>
            <w:r w:rsidRPr="00963C14">
              <w:rPr>
                <w:rFonts w:cs="Arial"/>
              </w:rPr>
              <w:t>Нэгдсэн төсвийн нийт зарлагын дээд хэмжээ</w:t>
            </w:r>
          </w:p>
        </w:tc>
        <w:tc>
          <w:tcPr>
            <w:tcW w:w="2250" w:type="dxa"/>
            <w:shd w:val="clear" w:color="auto" w:fill="auto"/>
            <w:vAlign w:val="center"/>
          </w:tcPr>
          <w:p w14:paraId="4DE11B1A" w14:textId="550BF86C"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31,300.4  </w:t>
            </w:r>
          </w:p>
        </w:tc>
        <w:tc>
          <w:tcPr>
            <w:tcW w:w="1530" w:type="dxa"/>
            <w:shd w:val="clear" w:color="auto" w:fill="auto"/>
            <w:vAlign w:val="center"/>
          </w:tcPr>
          <w:p w14:paraId="4FD9A284" w14:textId="6B9A431A"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33,521.8  </w:t>
            </w:r>
          </w:p>
        </w:tc>
        <w:tc>
          <w:tcPr>
            <w:tcW w:w="1530" w:type="dxa"/>
            <w:shd w:val="clear" w:color="auto" w:fill="auto"/>
            <w:vAlign w:val="center"/>
          </w:tcPr>
          <w:p w14:paraId="6B3C7545" w14:textId="4D1C123A"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 35,628.1  </w:t>
            </w:r>
          </w:p>
        </w:tc>
      </w:tr>
      <w:tr w:rsidR="00D06703" w:rsidRPr="00963C14" w14:paraId="7EAC78A7" w14:textId="77777777" w:rsidTr="00F00FD1">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auto"/>
            <w:vAlign w:val="center"/>
          </w:tcPr>
          <w:p w14:paraId="093DA1DA" w14:textId="77777777" w:rsidR="00D06703" w:rsidRPr="00963C14" w:rsidRDefault="00D06703" w:rsidP="00D06703">
            <w:pPr>
              <w:tabs>
                <w:tab w:val="right" w:leader="dot" w:pos="9354"/>
              </w:tabs>
              <w:snapToGrid w:val="0"/>
              <w:spacing w:afterLines="0"/>
              <w:rPr>
                <w:rFonts w:cs="Arial"/>
                <w:b w:val="0"/>
              </w:rPr>
            </w:pPr>
          </w:p>
        </w:tc>
        <w:tc>
          <w:tcPr>
            <w:tcW w:w="3510" w:type="dxa"/>
            <w:shd w:val="clear" w:color="auto" w:fill="auto"/>
            <w:vAlign w:val="center"/>
          </w:tcPr>
          <w:p w14:paraId="1C76DCCC" w14:textId="77777777" w:rsidR="00D06703" w:rsidRPr="00963C14" w:rsidRDefault="00D06703" w:rsidP="00D06703">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rPr>
                <w:rFonts w:cs="Arial"/>
              </w:rPr>
              <w:t>ДНБ-д эзлэх хувь</w:t>
            </w:r>
          </w:p>
        </w:tc>
        <w:tc>
          <w:tcPr>
            <w:tcW w:w="2250" w:type="dxa"/>
            <w:shd w:val="clear" w:color="auto" w:fill="auto"/>
            <w:vAlign w:val="center"/>
          </w:tcPr>
          <w:p w14:paraId="17014538" w14:textId="5668A51A"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32.9 </w:t>
            </w:r>
          </w:p>
        </w:tc>
        <w:tc>
          <w:tcPr>
            <w:tcW w:w="1530" w:type="dxa"/>
            <w:shd w:val="clear" w:color="auto" w:fill="auto"/>
            <w:vAlign w:val="center"/>
          </w:tcPr>
          <w:p w14:paraId="26C93748" w14:textId="214B14A7"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32.0  </w:t>
            </w:r>
          </w:p>
        </w:tc>
        <w:tc>
          <w:tcPr>
            <w:tcW w:w="1530" w:type="dxa"/>
            <w:shd w:val="clear" w:color="auto" w:fill="auto"/>
            <w:vAlign w:val="center"/>
          </w:tcPr>
          <w:p w14:paraId="105A9901" w14:textId="0F44C12D"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30.5  </w:t>
            </w:r>
          </w:p>
        </w:tc>
      </w:tr>
      <w:tr w:rsidR="00D06703" w:rsidRPr="00963C14" w14:paraId="10AAB6D9" w14:textId="77777777" w:rsidTr="00F00FD1">
        <w:trPr>
          <w:trHeight w:val="60"/>
        </w:trPr>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auto"/>
            <w:vAlign w:val="center"/>
          </w:tcPr>
          <w:p w14:paraId="399D8ED6" w14:textId="77777777" w:rsidR="00D06703" w:rsidRPr="00963C14" w:rsidRDefault="00D06703" w:rsidP="00D06703">
            <w:pPr>
              <w:tabs>
                <w:tab w:val="right" w:leader="dot" w:pos="9354"/>
              </w:tabs>
              <w:snapToGrid w:val="0"/>
              <w:spacing w:afterLines="0"/>
              <w:rPr>
                <w:rFonts w:cs="Arial"/>
                <w:b w:val="0"/>
              </w:rPr>
            </w:pPr>
            <w:r w:rsidRPr="00963C14">
              <w:rPr>
                <w:rFonts w:cs="Arial"/>
                <w:b w:val="0"/>
              </w:rPr>
              <w:t>5</w:t>
            </w:r>
          </w:p>
        </w:tc>
        <w:tc>
          <w:tcPr>
            <w:tcW w:w="3510" w:type="dxa"/>
            <w:shd w:val="clear" w:color="auto" w:fill="auto"/>
            <w:vAlign w:val="center"/>
          </w:tcPr>
          <w:p w14:paraId="6C7D7E6F" w14:textId="77777777" w:rsidR="00D06703" w:rsidRPr="00963C14" w:rsidRDefault="00D06703" w:rsidP="00D06703">
            <w:pPr>
              <w:tabs>
                <w:tab w:val="right" w:leader="dot" w:pos="9354"/>
              </w:tabs>
              <w:snapToGrid w:val="0"/>
              <w:spacing w:before="60" w:afterLines="0" w:after="60"/>
              <w:jc w:val="left"/>
              <w:cnfStyle w:val="000000000000" w:firstRow="0" w:lastRow="0" w:firstColumn="0" w:lastColumn="0" w:oddVBand="0" w:evenVBand="0" w:oddHBand="0" w:evenHBand="0" w:firstRowFirstColumn="0" w:firstRowLastColumn="0" w:lastRowFirstColumn="0" w:lastRowLastColumn="0"/>
              <w:rPr>
                <w:rFonts w:cs="Arial"/>
              </w:rPr>
            </w:pPr>
            <w:r w:rsidRPr="00963C14">
              <w:rPr>
                <w:rFonts w:cs="Arial"/>
              </w:rPr>
              <w:t>Нэгдсэн төсвийн нийт зарлагын өсөлтийн хэмжээ</w:t>
            </w:r>
          </w:p>
        </w:tc>
        <w:tc>
          <w:tcPr>
            <w:tcW w:w="2250" w:type="dxa"/>
            <w:shd w:val="clear" w:color="auto" w:fill="auto"/>
            <w:vAlign w:val="center"/>
          </w:tcPr>
          <w:p w14:paraId="2568483C" w14:textId="14A5CD5E"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     3,939.9  </w:t>
            </w:r>
          </w:p>
        </w:tc>
        <w:tc>
          <w:tcPr>
            <w:tcW w:w="1530" w:type="dxa"/>
            <w:shd w:val="clear" w:color="auto" w:fill="auto"/>
            <w:vAlign w:val="center"/>
          </w:tcPr>
          <w:p w14:paraId="2CA7EC75" w14:textId="00B554DC"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  2,221.4  </w:t>
            </w:r>
          </w:p>
        </w:tc>
        <w:tc>
          <w:tcPr>
            <w:tcW w:w="1530" w:type="dxa"/>
            <w:shd w:val="clear" w:color="auto" w:fill="auto"/>
            <w:vAlign w:val="center"/>
          </w:tcPr>
          <w:p w14:paraId="412702FF" w14:textId="5AFC934A"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2,106.3  </w:t>
            </w:r>
          </w:p>
        </w:tc>
      </w:tr>
      <w:tr w:rsidR="00D06703" w:rsidRPr="00963C14" w14:paraId="1C67CE32" w14:textId="77777777" w:rsidTr="00F00FD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auto"/>
            <w:vAlign w:val="center"/>
          </w:tcPr>
          <w:p w14:paraId="00355DE1" w14:textId="77777777" w:rsidR="00D06703" w:rsidRPr="00963C14" w:rsidRDefault="00D06703" w:rsidP="00D06703">
            <w:pPr>
              <w:tabs>
                <w:tab w:val="right" w:leader="dot" w:pos="9354"/>
              </w:tabs>
              <w:snapToGrid w:val="0"/>
              <w:spacing w:afterLines="0"/>
              <w:rPr>
                <w:rFonts w:cs="Arial"/>
                <w:b w:val="0"/>
              </w:rPr>
            </w:pPr>
          </w:p>
        </w:tc>
        <w:tc>
          <w:tcPr>
            <w:tcW w:w="3510" w:type="dxa"/>
            <w:shd w:val="clear" w:color="auto" w:fill="auto"/>
            <w:vAlign w:val="center"/>
          </w:tcPr>
          <w:p w14:paraId="1A5F3950" w14:textId="77777777" w:rsidR="00D06703" w:rsidRPr="00963C14" w:rsidRDefault="00D06703" w:rsidP="00D06703">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rPr>
                <w:rFonts w:cs="Arial"/>
              </w:rPr>
              <w:t>ДНБ-д эзлэх хувь</w:t>
            </w:r>
          </w:p>
        </w:tc>
        <w:tc>
          <w:tcPr>
            <w:tcW w:w="2250" w:type="dxa"/>
            <w:shd w:val="clear" w:color="auto" w:fill="auto"/>
            <w:vAlign w:val="center"/>
          </w:tcPr>
          <w:p w14:paraId="52266ADC" w14:textId="15C72C17"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4.1  </w:t>
            </w:r>
          </w:p>
        </w:tc>
        <w:tc>
          <w:tcPr>
            <w:tcW w:w="1530" w:type="dxa"/>
            <w:shd w:val="clear" w:color="auto" w:fill="auto"/>
            <w:vAlign w:val="center"/>
          </w:tcPr>
          <w:p w14:paraId="26DE55FE" w14:textId="4F3A707B"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2.1  </w:t>
            </w:r>
          </w:p>
        </w:tc>
        <w:tc>
          <w:tcPr>
            <w:tcW w:w="1530" w:type="dxa"/>
            <w:shd w:val="clear" w:color="auto" w:fill="auto"/>
            <w:vAlign w:val="center"/>
          </w:tcPr>
          <w:p w14:paraId="3A95B5AF" w14:textId="03F97BC5"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1.8  </w:t>
            </w:r>
          </w:p>
        </w:tc>
      </w:tr>
      <w:tr w:rsidR="00D06703" w:rsidRPr="00963C14" w14:paraId="39E499C7" w14:textId="77777777" w:rsidTr="00F00FD1">
        <w:trPr>
          <w:trHeight w:val="60"/>
        </w:trPr>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auto"/>
            <w:vAlign w:val="center"/>
          </w:tcPr>
          <w:p w14:paraId="555E22EA" w14:textId="77777777" w:rsidR="00D06703" w:rsidRPr="00963C14" w:rsidRDefault="00D06703" w:rsidP="00D06703">
            <w:pPr>
              <w:tabs>
                <w:tab w:val="right" w:leader="dot" w:pos="9354"/>
              </w:tabs>
              <w:snapToGrid w:val="0"/>
              <w:spacing w:afterLines="0"/>
              <w:rPr>
                <w:rFonts w:cs="Arial"/>
                <w:b w:val="0"/>
              </w:rPr>
            </w:pPr>
            <w:r w:rsidRPr="00963C14">
              <w:rPr>
                <w:rFonts w:cs="Arial"/>
                <w:b w:val="0"/>
              </w:rPr>
              <w:t>6</w:t>
            </w:r>
          </w:p>
        </w:tc>
        <w:tc>
          <w:tcPr>
            <w:tcW w:w="3510" w:type="dxa"/>
            <w:shd w:val="clear" w:color="auto" w:fill="auto"/>
            <w:vAlign w:val="center"/>
          </w:tcPr>
          <w:p w14:paraId="176E412E" w14:textId="77777777" w:rsidR="00D06703" w:rsidRPr="00963C14" w:rsidRDefault="00D06703" w:rsidP="00D06703">
            <w:pPr>
              <w:tabs>
                <w:tab w:val="right" w:leader="dot" w:pos="9354"/>
              </w:tabs>
              <w:snapToGrid w:val="0"/>
              <w:spacing w:before="60" w:afterLines="0" w:after="60"/>
              <w:jc w:val="left"/>
              <w:cnfStyle w:val="000000000000" w:firstRow="0" w:lastRow="0" w:firstColumn="0" w:lastColumn="0" w:oddVBand="0" w:evenVBand="0" w:oddHBand="0" w:evenHBand="0" w:firstRowFirstColumn="0" w:firstRowLastColumn="0" w:lastRowFirstColumn="0" w:lastRowLastColumn="0"/>
              <w:rPr>
                <w:rFonts w:cs="Arial"/>
              </w:rPr>
            </w:pPr>
            <w:r w:rsidRPr="00963C14">
              <w:rPr>
                <w:rFonts w:cs="Arial"/>
              </w:rPr>
              <w:t xml:space="preserve">Нэгдсэн төсвийн тэнцвэржүүлсэн тэнцэл/ тэрбум </w:t>
            </w:r>
          </w:p>
        </w:tc>
        <w:tc>
          <w:tcPr>
            <w:tcW w:w="2250" w:type="dxa"/>
            <w:shd w:val="clear" w:color="auto" w:fill="auto"/>
            <w:vAlign w:val="center"/>
          </w:tcPr>
          <w:p w14:paraId="7BC730D6" w14:textId="50A00A46"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-1,900.3 </w:t>
            </w:r>
          </w:p>
        </w:tc>
        <w:tc>
          <w:tcPr>
            <w:tcW w:w="1530" w:type="dxa"/>
            <w:shd w:val="clear" w:color="auto" w:fill="auto"/>
            <w:vAlign w:val="center"/>
          </w:tcPr>
          <w:p w14:paraId="23A98B9D" w14:textId="535AAB30"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  -1,570.6 </w:t>
            </w:r>
          </w:p>
        </w:tc>
        <w:tc>
          <w:tcPr>
            <w:tcW w:w="1530" w:type="dxa"/>
            <w:shd w:val="clear" w:color="auto" w:fill="auto"/>
            <w:vAlign w:val="center"/>
          </w:tcPr>
          <w:p w14:paraId="3A5DC1E7" w14:textId="635C6CDC"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   -1,167.8 </w:t>
            </w:r>
          </w:p>
        </w:tc>
      </w:tr>
      <w:tr w:rsidR="00D06703" w:rsidRPr="00963C14" w14:paraId="233B798B" w14:textId="77777777" w:rsidTr="00F00FD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auto"/>
            <w:vAlign w:val="center"/>
          </w:tcPr>
          <w:p w14:paraId="11EC3F7D" w14:textId="77777777" w:rsidR="00D06703" w:rsidRPr="00963C14" w:rsidRDefault="00D06703" w:rsidP="00D06703">
            <w:pPr>
              <w:tabs>
                <w:tab w:val="right" w:leader="dot" w:pos="9354"/>
              </w:tabs>
              <w:snapToGrid w:val="0"/>
              <w:spacing w:afterLines="0"/>
              <w:rPr>
                <w:rFonts w:cs="Arial"/>
                <w:b w:val="0"/>
              </w:rPr>
            </w:pPr>
          </w:p>
        </w:tc>
        <w:tc>
          <w:tcPr>
            <w:tcW w:w="3510" w:type="dxa"/>
            <w:shd w:val="clear" w:color="auto" w:fill="auto"/>
            <w:vAlign w:val="center"/>
          </w:tcPr>
          <w:p w14:paraId="2F4C49DF" w14:textId="77777777" w:rsidR="00D06703" w:rsidRPr="00963C14" w:rsidRDefault="00D06703" w:rsidP="00D06703">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rPr>
                <w:rFonts w:cs="Arial"/>
              </w:rPr>
              <w:t>ДНБ-д эзлэх хувь</w:t>
            </w:r>
          </w:p>
        </w:tc>
        <w:tc>
          <w:tcPr>
            <w:tcW w:w="2250" w:type="dxa"/>
            <w:shd w:val="clear" w:color="auto" w:fill="auto"/>
            <w:vAlign w:val="center"/>
          </w:tcPr>
          <w:p w14:paraId="1CBAB0FA" w14:textId="1C2A379E"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-2.0 </w:t>
            </w:r>
          </w:p>
        </w:tc>
        <w:tc>
          <w:tcPr>
            <w:tcW w:w="1530" w:type="dxa"/>
            <w:shd w:val="clear" w:color="auto" w:fill="auto"/>
            <w:vAlign w:val="center"/>
          </w:tcPr>
          <w:p w14:paraId="41242CCE" w14:textId="2F066ACE"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-1.5 </w:t>
            </w:r>
          </w:p>
        </w:tc>
        <w:tc>
          <w:tcPr>
            <w:tcW w:w="1530" w:type="dxa"/>
            <w:shd w:val="clear" w:color="auto" w:fill="auto"/>
            <w:vAlign w:val="center"/>
          </w:tcPr>
          <w:p w14:paraId="23D7A757" w14:textId="357B9255"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        -1.0 </w:t>
            </w:r>
          </w:p>
        </w:tc>
      </w:tr>
      <w:tr w:rsidR="00D06703" w:rsidRPr="00963C14" w14:paraId="35FD2649" w14:textId="77777777" w:rsidTr="00F00FD1">
        <w:trPr>
          <w:trHeight w:val="161"/>
        </w:trPr>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auto"/>
            <w:vAlign w:val="center"/>
          </w:tcPr>
          <w:p w14:paraId="3BB2812B" w14:textId="77777777" w:rsidR="00D06703" w:rsidRPr="00963C14" w:rsidRDefault="00D06703" w:rsidP="00D06703">
            <w:pPr>
              <w:tabs>
                <w:tab w:val="right" w:leader="dot" w:pos="9354"/>
              </w:tabs>
              <w:snapToGrid w:val="0"/>
              <w:spacing w:afterLines="0"/>
              <w:rPr>
                <w:rFonts w:cs="Arial"/>
                <w:b w:val="0"/>
              </w:rPr>
            </w:pPr>
            <w:r w:rsidRPr="00963C14">
              <w:rPr>
                <w:rFonts w:cs="Arial"/>
                <w:b w:val="0"/>
              </w:rPr>
              <w:t>7</w:t>
            </w:r>
          </w:p>
        </w:tc>
        <w:tc>
          <w:tcPr>
            <w:tcW w:w="3510" w:type="dxa"/>
            <w:shd w:val="clear" w:color="auto" w:fill="auto"/>
            <w:vAlign w:val="center"/>
          </w:tcPr>
          <w:p w14:paraId="4A1226E3" w14:textId="77777777" w:rsidR="00D06703" w:rsidRPr="00963C14" w:rsidRDefault="00D06703" w:rsidP="00D06703">
            <w:pPr>
              <w:tabs>
                <w:tab w:val="right" w:leader="dot" w:pos="9354"/>
              </w:tabs>
              <w:snapToGrid w:val="0"/>
              <w:spacing w:before="60" w:afterLines="0" w:after="60"/>
              <w:jc w:val="left"/>
              <w:cnfStyle w:val="000000000000" w:firstRow="0" w:lastRow="0" w:firstColumn="0" w:lastColumn="0" w:oddVBand="0" w:evenVBand="0" w:oddHBand="0" w:evenHBand="0" w:firstRowFirstColumn="0" w:firstRowLastColumn="0" w:lastRowFirstColumn="0" w:lastRowLastColumn="0"/>
              <w:rPr>
                <w:rFonts w:cs="Arial"/>
              </w:rPr>
            </w:pPr>
            <w:r w:rsidRPr="00963C14">
              <w:rPr>
                <w:rFonts w:cs="Arial"/>
              </w:rPr>
              <w:t xml:space="preserve">Нэгдсэн төсвийн хөрөнгийн зардлын хэмжээ </w:t>
            </w:r>
          </w:p>
        </w:tc>
        <w:tc>
          <w:tcPr>
            <w:tcW w:w="2250" w:type="dxa"/>
            <w:shd w:val="clear" w:color="auto" w:fill="auto"/>
            <w:vAlign w:val="center"/>
          </w:tcPr>
          <w:p w14:paraId="356AAB41" w14:textId="639C2623"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7,273.3 </w:t>
            </w:r>
          </w:p>
        </w:tc>
        <w:tc>
          <w:tcPr>
            <w:tcW w:w="1530" w:type="dxa"/>
            <w:shd w:val="clear" w:color="auto" w:fill="auto"/>
            <w:vAlign w:val="center"/>
          </w:tcPr>
          <w:p w14:paraId="5838BFD1" w14:textId="7D33AA79"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7,564.2 </w:t>
            </w:r>
          </w:p>
        </w:tc>
        <w:tc>
          <w:tcPr>
            <w:tcW w:w="1530" w:type="dxa"/>
            <w:shd w:val="clear" w:color="auto" w:fill="auto"/>
            <w:vAlign w:val="center"/>
          </w:tcPr>
          <w:p w14:paraId="1423A1A6" w14:textId="59A0EBBF"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7,866.8 </w:t>
            </w:r>
          </w:p>
        </w:tc>
      </w:tr>
      <w:tr w:rsidR="00D06703" w:rsidRPr="00963C14" w14:paraId="2357A39C" w14:textId="77777777" w:rsidTr="00F00FD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auto"/>
            <w:vAlign w:val="center"/>
          </w:tcPr>
          <w:p w14:paraId="4BB29536" w14:textId="77777777" w:rsidR="00D06703" w:rsidRPr="00963C14" w:rsidRDefault="00D06703" w:rsidP="00D06703">
            <w:pPr>
              <w:tabs>
                <w:tab w:val="right" w:leader="dot" w:pos="9354"/>
              </w:tabs>
              <w:snapToGrid w:val="0"/>
              <w:spacing w:afterLines="0"/>
              <w:rPr>
                <w:rFonts w:cs="Arial"/>
                <w:b w:val="0"/>
              </w:rPr>
            </w:pPr>
          </w:p>
        </w:tc>
        <w:tc>
          <w:tcPr>
            <w:tcW w:w="3510" w:type="dxa"/>
            <w:shd w:val="clear" w:color="auto" w:fill="auto"/>
            <w:vAlign w:val="center"/>
          </w:tcPr>
          <w:p w14:paraId="1D131887" w14:textId="77777777" w:rsidR="00D06703" w:rsidRPr="00963C14" w:rsidRDefault="00D06703" w:rsidP="00D06703">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rPr>
                <w:rFonts w:cs="Arial"/>
              </w:rPr>
              <w:t>ДНБ-д эзлэх хувь</w:t>
            </w:r>
          </w:p>
        </w:tc>
        <w:tc>
          <w:tcPr>
            <w:tcW w:w="2250" w:type="dxa"/>
            <w:shd w:val="clear" w:color="auto" w:fill="auto"/>
            <w:vAlign w:val="center"/>
          </w:tcPr>
          <w:p w14:paraId="00A0B9B4" w14:textId="26CDEE63"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7.7 </w:t>
            </w:r>
          </w:p>
        </w:tc>
        <w:tc>
          <w:tcPr>
            <w:tcW w:w="1530" w:type="dxa"/>
            <w:shd w:val="clear" w:color="auto" w:fill="auto"/>
            <w:vAlign w:val="center"/>
          </w:tcPr>
          <w:p w14:paraId="3100ECE2" w14:textId="1DAC3A49"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7.2 </w:t>
            </w:r>
          </w:p>
        </w:tc>
        <w:tc>
          <w:tcPr>
            <w:tcW w:w="1530" w:type="dxa"/>
            <w:shd w:val="clear" w:color="auto" w:fill="auto"/>
            <w:vAlign w:val="center"/>
          </w:tcPr>
          <w:p w14:paraId="0B8C6050" w14:textId="2EDE5F9C"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6.7 </w:t>
            </w:r>
          </w:p>
        </w:tc>
      </w:tr>
      <w:tr w:rsidR="00D06703" w:rsidRPr="00963C14" w14:paraId="72497521" w14:textId="77777777" w:rsidTr="00F00FD1">
        <w:trPr>
          <w:trHeight w:val="161"/>
        </w:trPr>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auto"/>
            <w:vAlign w:val="center"/>
          </w:tcPr>
          <w:p w14:paraId="742C5EE3" w14:textId="77777777" w:rsidR="00D06703" w:rsidRPr="00963C14" w:rsidRDefault="00D06703" w:rsidP="00D06703">
            <w:pPr>
              <w:tabs>
                <w:tab w:val="right" w:leader="dot" w:pos="9354"/>
              </w:tabs>
              <w:snapToGrid w:val="0"/>
              <w:spacing w:afterLines="0"/>
              <w:rPr>
                <w:rFonts w:cs="Arial"/>
                <w:b w:val="0"/>
              </w:rPr>
            </w:pPr>
            <w:r w:rsidRPr="00963C14">
              <w:rPr>
                <w:rFonts w:cs="Arial"/>
                <w:b w:val="0"/>
              </w:rPr>
              <w:t>8</w:t>
            </w:r>
          </w:p>
        </w:tc>
        <w:tc>
          <w:tcPr>
            <w:tcW w:w="3510" w:type="dxa"/>
            <w:shd w:val="clear" w:color="auto" w:fill="auto"/>
            <w:vAlign w:val="center"/>
          </w:tcPr>
          <w:p w14:paraId="65413066" w14:textId="77777777" w:rsidR="00D06703" w:rsidRPr="00963C14" w:rsidRDefault="00D06703" w:rsidP="00D06703">
            <w:pPr>
              <w:tabs>
                <w:tab w:val="right" w:leader="dot" w:pos="9354"/>
              </w:tabs>
              <w:snapToGrid w:val="0"/>
              <w:spacing w:before="60" w:afterLines="0" w:after="60"/>
              <w:jc w:val="left"/>
              <w:cnfStyle w:val="000000000000" w:firstRow="0" w:lastRow="0" w:firstColumn="0" w:lastColumn="0" w:oddVBand="0" w:evenVBand="0" w:oddHBand="0" w:evenHBand="0" w:firstRowFirstColumn="0" w:firstRowLastColumn="0" w:lastRowFirstColumn="0" w:lastRowLastColumn="0"/>
              <w:rPr>
                <w:rFonts w:cs="Arial"/>
              </w:rPr>
            </w:pPr>
            <w:r w:rsidRPr="00963C14">
              <w:rPr>
                <w:rFonts w:cs="Arial"/>
              </w:rPr>
              <w:t>Засгийн газрын өрийн нийт хэмжээ, өнөөгийн үнэ цэнээр</w:t>
            </w:r>
          </w:p>
        </w:tc>
        <w:tc>
          <w:tcPr>
            <w:tcW w:w="2250" w:type="dxa"/>
            <w:shd w:val="clear" w:color="auto" w:fill="auto"/>
            <w:vAlign w:val="center"/>
          </w:tcPr>
          <w:p w14:paraId="10EA99F1" w14:textId="313F60A9"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   47,507.1  </w:t>
            </w:r>
          </w:p>
        </w:tc>
        <w:tc>
          <w:tcPr>
            <w:tcW w:w="1530" w:type="dxa"/>
            <w:shd w:val="clear" w:color="auto" w:fill="auto"/>
            <w:vAlign w:val="center"/>
          </w:tcPr>
          <w:p w14:paraId="132060B6" w14:textId="28C4904A"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4</w:t>
            </w:r>
            <w:r w:rsidR="008F3EB5" w:rsidRPr="00963C14">
              <w:t>7.117</w:t>
            </w:r>
            <w:r w:rsidRPr="00963C14">
              <w:t>.</w:t>
            </w:r>
            <w:r w:rsidR="00292694" w:rsidRPr="00963C14">
              <w:t>6</w:t>
            </w:r>
          </w:p>
        </w:tc>
        <w:tc>
          <w:tcPr>
            <w:tcW w:w="1530" w:type="dxa"/>
            <w:shd w:val="clear" w:color="auto" w:fill="auto"/>
            <w:vAlign w:val="center"/>
          </w:tcPr>
          <w:p w14:paraId="5C2AD565" w14:textId="1F3AB877"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46,708.6</w:t>
            </w:r>
          </w:p>
        </w:tc>
      </w:tr>
      <w:tr w:rsidR="00D06703" w:rsidRPr="00963C14" w14:paraId="61CCF28C" w14:textId="77777777" w:rsidTr="00F00FD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auto"/>
            <w:vAlign w:val="center"/>
          </w:tcPr>
          <w:p w14:paraId="071F7358" w14:textId="77777777" w:rsidR="00D06703" w:rsidRPr="00963C14" w:rsidRDefault="00D06703" w:rsidP="00D06703">
            <w:pPr>
              <w:tabs>
                <w:tab w:val="right" w:leader="dot" w:pos="9354"/>
              </w:tabs>
              <w:snapToGrid w:val="0"/>
              <w:spacing w:afterLines="0"/>
              <w:rPr>
                <w:rFonts w:cs="Arial"/>
                <w:b w:val="0"/>
              </w:rPr>
            </w:pPr>
          </w:p>
        </w:tc>
        <w:tc>
          <w:tcPr>
            <w:tcW w:w="3510" w:type="dxa"/>
            <w:shd w:val="clear" w:color="auto" w:fill="auto"/>
            <w:vAlign w:val="center"/>
          </w:tcPr>
          <w:p w14:paraId="5C98B04A" w14:textId="77777777" w:rsidR="00D06703" w:rsidRPr="00963C14" w:rsidRDefault="00D06703" w:rsidP="00D06703">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rPr>
                <w:rFonts w:cs="Arial"/>
              </w:rPr>
              <w:t>ДНБ-д эзлэх хувь</w:t>
            </w:r>
          </w:p>
        </w:tc>
        <w:tc>
          <w:tcPr>
            <w:tcW w:w="2250" w:type="dxa"/>
            <w:shd w:val="clear" w:color="auto" w:fill="auto"/>
            <w:vAlign w:val="center"/>
          </w:tcPr>
          <w:p w14:paraId="68AFDEFF" w14:textId="27642EC5"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50.0 </w:t>
            </w:r>
          </w:p>
        </w:tc>
        <w:tc>
          <w:tcPr>
            <w:tcW w:w="1530" w:type="dxa"/>
            <w:shd w:val="clear" w:color="auto" w:fill="auto"/>
            <w:vAlign w:val="center"/>
          </w:tcPr>
          <w:p w14:paraId="3E0ACDDB" w14:textId="0BB92917"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4</w:t>
            </w:r>
            <w:r w:rsidR="00292694" w:rsidRPr="00963C14">
              <w:t>5</w:t>
            </w:r>
            <w:r w:rsidRPr="00963C14">
              <w:t xml:space="preserve">.0 </w:t>
            </w:r>
          </w:p>
        </w:tc>
        <w:tc>
          <w:tcPr>
            <w:tcW w:w="1530" w:type="dxa"/>
            <w:shd w:val="clear" w:color="auto" w:fill="auto"/>
            <w:vAlign w:val="center"/>
          </w:tcPr>
          <w:p w14:paraId="3F880FA5" w14:textId="6A557392"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40.0 </w:t>
            </w:r>
          </w:p>
        </w:tc>
      </w:tr>
      <w:tr w:rsidR="00D06703" w:rsidRPr="00963C14" w14:paraId="64608812" w14:textId="77777777" w:rsidTr="00F00FD1">
        <w:trPr>
          <w:trHeight w:val="161"/>
        </w:trPr>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auto"/>
            <w:vAlign w:val="center"/>
          </w:tcPr>
          <w:p w14:paraId="0E81DB40" w14:textId="77777777" w:rsidR="00D06703" w:rsidRPr="00963C14" w:rsidRDefault="00D06703" w:rsidP="00D06703">
            <w:pPr>
              <w:tabs>
                <w:tab w:val="right" w:leader="dot" w:pos="9354"/>
              </w:tabs>
              <w:snapToGrid w:val="0"/>
              <w:spacing w:afterLines="0"/>
              <w:rPr>
                <w:rFonts w:cs="Arial"/>
                <w:b w:val="0"/>
              </w:rPr>
            </w:pPr>
            <w:r w:rsidRPr="00963C14">
              <w:rPr>
                <w:rFonts w:cs="Arial"/>
                <w:b w:val="0"/>
              </w:rPr>
              <w:t>9</w:t>
            </w:r>
          </w:p>
        </w:tc>
        <w:tc>
          <w:tcPr>
            <w:tcW w:w="3510" w:type="dxa"/>
            <w:shd w:val="clear" w:color="auto" w:fill="auto"/>
            <w:vAlign w:val="center"/>
          </w:tcPr>
          <w:p w14:paraId="26C4D96E" w14:textId="77777777" w:rsidR="00D06703" w:rsidRPr="00963C14" w:rsidRDefault="00D06703" w:rsidP="00D06703">
            <w:pPr>
              <w:tabs>
                <w:tab w:val="right" w:leader="dot" w:pos="9354"/>
              </w:tabs>
              <w:snapToGrid w:val="0"/>
              <w:spacing w:before="60" w:afterLines="0" w:after="60"/>
              <w:jc w:val="left"/>
              <w:cnfStyle w:val="000000000000" w:firstRow="0" w:lastRow="0" w:firstColumn="0" w:lastColumn="0" w:oddVBand="0" w:evenVBand="0" w:oddHBand="0" w:evenHBand="0" w:firstRowFirstColumn="0" w:firstRowLastColumn="0" w:lastRowFirstColumn="0" w:lastRowLastColumn="0"/>
              <w:rPr>
                <w:rFonts w:cs="Arial"/>
              </w:rPr>
            </w:pPr>
            <w:r w:rsidRPr="00963C14">
              <w:rPr>
                <w:rFonts w:cs="Arial"/>
              </w:rPr>
              <w:t>Нийгмийн халамжийн тухай хуульд заасны дагуу төсвөөс санхүүжүүлэх зардлын нийт хэмжээ</w:t>
            </w:r>
          </w:p>
        </w:tc>
        <w:tc>
          <w:tcPr>
            <w:tcW w:w="2250" w:type="dxa"/>
            <w:shd w:val="clear" w:color="auto" w:fill="auto"/>
            <w:vAlign w:val="center"/>
          </w:tcPr>
          <w:p w14:paraId="68D606C2" w14:textId="01014869"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2,850.4  </w:t>
            </w:r>
          </w:p>
        </w:tc>
        <w:tc>
          <w:tcPr>
            <w:tcW w:w="1530" w:type="dxa"/>
            <w:shd w:val="clear" w:color="auto" w:fill="auto"/>
            <w:vAlign w:val="center"/>
          </w:tcPr>
          <w:p w14:paraId="75CE2A59" w14:textId="2183FBC8"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2,931.8  </w:t>
            </w:r>
          </w:p>
        </w:tc>
        <w:tc>
          <w:tcPr>
            <w:tcW w:w="1530" w:type="dxa"/>
            <w:shd w:val="clear" w:color="auto" w:fill="auto"/>
            <w:vAlign w:val="center"/>
          </w:tcPr>
          <w:p w14:paraId="013B8B6D" w14:textId="5774ED27" w:rsidR="00D06703" w:rsidRPr="00963C14" w:rsidRDefault="00D06703" w:rsidP="00F00FD1">
            <w:pPr>
              <w:tabs>
                <w:tab w:val="right" w:leader="dot" w:pos="9354"/>
              </w:tabs>
              <w:snapToGrid w:val="0"/>
              <w:spacing w:before="60" w:afterLines="0" w:after="60"/>
              <w:jc w:val="right"/>
              <w:cnfStyle w:val="000000000000" w:firstRow="0" w:lastRow="0" w:firstColumn="0" w:lastColumn="0" w:oddVBand="0" w:evenVBand="0" w:oddHBand="0" w:evenHBand="0" w:firstRowFirstColumn="0" w:firstRowLastColumn="0" w:lastRowFirstColumn="0" w:lastRowLastColumn="0"/>
              <w:rPr>
                <w:rFonts w:cs="Arial"/>
              </w:rPr>
            </w:pPr>
            <w:r w:rsidRPr="00963C14">
              <w:t xml:space="preserve"> 3,269.6  </w:t>
            </w:r>
          </w:p>
        </w:tc>
      </w:tr>
      <w:tr w:rsidR="00D06703" w:rsidRPr="00963C14" w14:paraId="33CF798F" w14:textId="77777777" w:rsidTr="00F00FD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auto"/>
            <w:vAlign w:val="center"/>
          </w:tcPr>
          <w:p w14:paraId="66511293" w14:textId="77777777" w:rsidR="00D06703" w:rsidRPr="00963C14" w:rsidRDefault="00D06703" w:rsidP="00D06703">
            <w:pPr>
              <w:tabs>
                <w:tab w:val="right" w:leader="dot" w:pos="9354"/>
              </w:tabs>
              <w:snapToGrid w:val="0"/>
              <w:spacing w:afterLines="0"/>
              <w:rPr>
                <w:rFonts w:cs="Arial"/>
                <w:b w:val="0"/>
              </w:rPr>
            </w:pPr>
          </w:p>
        </w:tc>
        <w:tc>
          <w:tcPr>
            <w:tcW w:w="3510" w:type="dxa"/>
            <w:shd w:val="clear" w:color="auto" w:fill="auto"/>
            <w:vAlign w:val="center"/>
          </w:tcPr>
          <w:p w14:paraId="4F427641" w14:textId="77777777" w:rsidR="00D06703" w:rsidRPr="00963C14" w:rsidRDefault="00D06703" w:rsidP="00D06703">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rPr>
                <w:rFonts w:cs="Arial"/>
              </w:rPr>
              <w:t>ДНБ-д эзлэх хувь</w:t>
            </w:r>
          </w:p>
        </w:tc>
        <w:tc>
          <w:tcPr>
            <w:tcW w:w="2250" w:type="dxa"/>
            <w:shd w:val="clear" w:color="auto" w:fill="auto"/>
            <w:vAlign w:val="center"/>
          </w:tcPr>
          <w:p w14:paraId="43BF882F" w14:textId="09FC2707"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3.0 </w:t>
            </w:r>
          </w:p>
        </w:tc>
        <w:tc>
          <w:tcPr>
            <w:tcW w:w="1530" w:type="dxa"/>
            <w:shd w:val="clear" w:color="auto" w:fill="auto"/>
            <w:vAlign w:val="center"/>
          </w:tcPr>
          <w:p w14:paraId="25D8547C" w14:textId="14A4F5B9"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2.8 </w:t>
            </w:r>
          </w:p>
        </w:tc>
        <w:tc>
          <w:tcPr>
            <w:tcW w:w="1530" w:type="dxa"/>
            <w:shd w:val="clear" w:color="auto" w:fill="auto"/>
            <w:vAlign w:val="center"/>
          </w:tcPr>
          <w:p w14:paraId="772DD19D" w14:textId="40D694AC" w:rsidR="00D06703" w:rsidRPr="00963C14" w:rsidRDefault="00D06703" w:rsidP="00F00FD1">
            <w:pPr>
              <w:tabs>
                <w:tab w:val="right" w:leader="dot" w:pos="9354"/>
              </w:tabs>
              <w:snapToGrid w:val="0"/>
              <w:spacing w:before="60" w:afterLines="0" w:after="60"/>
              <w:jc w:val="right"/>
              <w:cnfStyle w:val="000000100000" w:firstRow="0" w:lastRow="0" w:firstColumn="0" w:lastColumn="0" w:oddVBand="0" w:evenVBand="0" w:oddHBand="1" w:evenHBand="0" w:firstRowFirstColumn="0" w:firstRowLastColumn="0" w:lastRowFirstColumn="0" w:lastRowLastColumn="0"/>
              <w:rPr>
                <w:rFonts w:cs="Arial"/>
              </w:rPr>
            </w:pPr>
            <w:r w:rsidRPr="00963C14">
              <w:t xml:space="preserve">2.8 </w:t>
            </w:r>
          </w:p>
        </w:tc>
      </w:tr>
    </w:tbl>
    <w:p w14:paraId="397730CD" w14:textId="77777777" w:rsidR="00EE1D3A" w:rsidRPr="00963C14" w:rsidRDefault="00EE1D3A" w:rsidP="00EE1D3A">
      <w:pPr>
        <w:tabs>
          <w:tab w:val="right" w:leader="dot" w:pos="9354"/>
        </w:tabs>
        <w:spacing w:after="288"/>
        <w:rPr>
          <w:rFonts w:cs="Arial"/>
        </w:rPr>
      </w:pPr>
    </w:p>
    <w:p w14:paraId="2C97F7C0" w14:textId="77777777" w:rsidR="00EE1D3A" w:rsidRPr="00963C14" w:rsidRDefault="00EE1D3A" w:rsidP="00EE1D3A">
      <w:pPr>
        <w:tabs>
          <w:tab w:val="right" w:leader="dot" w:pos="9354"/>
        </w:tabs>
        <w:spacing w:after="288"/>
        <w:rPr>
          <w:rFonts w:cs="Arial"/>
        </w:rPr>
      </w:pPr>
    </w:p>
    <w:p w14:paraId="5D083AF8" w14:textId="77777777" w:rsidR="00EE1D3A" w:rsidRPr="00963C14" w:rsidRDefault="00EE1D3A" w:rsidP="00EE1D3A">
      <w:pPr>
        <w:tabs>
          <w:tab w:val="right" w:leader="dot" w:pos="9354"/>
        </w:tabs>
        <w:spacing w:after="288"/>
        <w:rPr>
          <w:rFonts w:cs="Arial"/>
        </w:rPr>
      </w:pPr>
      <w:r w:rsidRPr="00963C14">
        <w:rPr>
          <w:rFonts w:cs="Arial"/>
        </w:rPr>
        <w:br w:type="page"/>
      </w:r>
    </w:p>
    <w:p w14:paraId="1FCB1B1B" w14:textId="77777777" w:rsidR="00EE1D3A" w:rsidRPr="00963C14" w:rsidRDefault="00EE1D3A" w:rsidP="00EE1D3A">
      <w:pPr>
        <w:pStyle w:val="Heading1"/>
        <w:numPr>
          <w:ilvl w:val="0"/>
          <w:numId w:val="3"/>
        </w:numPr>
        <w:tabs>
          <w:tab w:val="right" w:leader="dot" w:pos="9354"/>
        </w:tabs>
        <w:spacing w:after="288"/>
        <w:rPr>
          <w:rFonts w:ascii="Arial" w:hAnsi="Arial" w:cs="Arial"/>
          <w:b/>
          <w:color w:val="auto"/>
          <w:sz w:val="24"/>
          <w:szCs w:val="24"/>
        </w:rPr>
      </w:pPr>
      <w:bookmarkStart w:id="39" w:name="_Toc163484919"/>
      <w:bookmarkStart w:id="40" w:name="_Toc163736653"/>
      <w:bookmarkStart w:id="41" w:name="_Toc163811086"/>
      <w:bookmarkStart w:id="42" w:name="_Toc165299383"/>
      <w:r w:rsidRPr="00963C14">
        <w:rPr>
          <w:rFonts w:ascii="Arial" w:hAnsi="Arial" w:cs="Arial"/>
          <w:b/>
          <w:color w:val="auto"/>
          <w:sz w:val="24"/>
          <w:szCs w:val="24"/>
        </w:rPr>
        <w:t>ТӨСВИЙН ТУСГАЙ ШААРДЛАГЫГ ХАНГАСАН БАЙДАЛ</w:t>
      </w:r>
      <w:bookmarkEnd w:id="39"/>
      <w:bookmarkEnd w:id="40"/>
      <w:bookmarkEnd w:id="41"/>
      <w:bookmarkEnd w:id="42"/>
      <w:r w:rsidRPr="00963C14">
        <w:rPr>
          <w:rFonts w:ascii="Arial" w:hAnsi="Arial" w:cs="Arial"/>
          <w:b/>
          <w:color w:val="auto"/>
          <w:sz w:val="24"/>
          <w:szCs w:val="24"/>
        </w:rPr>
        <w:t xml:space="preserve"> </w:t>
      </w:r>
    </w:p>
    <w:p w14:paraId="4DDB9A92" w14:textId="77777777" w:rsidR="00EE1D3A" w:rsidRPr="00963C14" w:rsidRDefault="00EE1D3A" w:rsidP="00EE1D3A">
      <w:pPr>
        <w:tabs>
          <w:tab w:val="right" w:leader="dot" w:pos="9354"/>
        </w:tabs>
        <w:spacing w:after="288"/>
        <w:rPr>
          <w:rFonts w:cs="Arial"/>
        </w:rPr>
      </w:pPr>
      <w:r w:rsidRPr="00963C14">
        <w:rPr>
          <w:rFonts w:cs="Arial"/>
        </w:rPr>
        <w:t xml:space="preserve">          Төсвийн тогтвортой байдлын тухай хуулийн 6 дугаар зүйлийн 6.1 дэх хэсэгт заасны дагуу төсвийн хүрээний мэдэгдэл нь дараах төсвийн тусгай шаардлагуудыг хангаж байна. </w:t>
      </w:r>
    </w:p>
    <w:p w14:paraId="7CC5C2FB" w14:textId="77777777" w:rsidR="00EE1D3A" w:rsidRPr="00963C14" w:rsidRDefault="00EE1D3A" w:rsidP="00EE1D3A">
      <w:pPr>
        <w:tabs>
          <w:tab w:val="right" w:leader="dot" w:pos="9270"/>
        </w:tabs>
        <w:spacing w:after="288"/>
        <w:rPr>
          <w:rFonts w:cs="Arial"/>
          <w:i/>
        </w:rPr>
      </w:pPr>
      <w:r w:rsidRPr="00963C14">
        <w:rPr>
          <w:rFonts w:cs="Arial"/>
          <w:b/>
          <w:i/>
          <w:color w:val="11A795"/>
        </w:rPr>
        <w:tab/>
        <w:t xml:space="preserve">         Нэгдсэн төсвийн орлогыг тэнцвэржүүлсэн журмаар тооцдог байх</w:t>
      </w:r>
      <w:r w:rsidRPr="00963C14">
        <w:rPr>
          <w:rFonts w:cs="Arial"/>
          <w:i/>
          <w:color w:val="11A795"/>
        </w:rPr>
        <w:t>.</w:t>
      </w:r>
      <w:r w:rsidRPr="00963C14">
        <w:rPr>
          <w:rFonts w:cs="Arial"/>
          <w:i/>
        </w:rPr>
        <w:t xml:space="preserve"> </w:t>
      </w:r>
      <w:r w:rsidRPr="00963C14">
        <w:rPr>
          <w:rFonts w:cs="Arial"/>
        </w:rPr>
        <w:t xml:space="preserve">Дунд хугацааны төсвийн хүрээний мэдэгдэлд тусгасан гол нэр төрлийн эрдэс баялгийн тэнцвэржүүлсэн үнийг олон улсын нэр хүнд бүхий санхүүгийн мэдээллийн байгууллагуудаас гаргасан үнийн төсөөлөлд үндэслэхээс гадна макро эдийн засгийн үндсэн үзүүлэлтүүдтэй уялдуулан төсвийн тэнцвэржүүлсэн орлогыг тооцлоо. </w:t>
      </w:r>
      <w:r w:rsidRPr="00963C14">
        <w:rPr>
          <w:rFonts w:cs="Arial"/>
          <w:lang w:eastAsia="ja-JP"/>
        </w:rPr>
        <w:t>Төсвийн тогтвортой байдлын тухай хуулийн 11 дүгээр зүйлийн 11.1.3.а-д заасан шаардлагын дагуу зэс, нүүрсний үнийг тэнцвэржүүлсэн журмаар тооцсон бөгөөд 2025 онд зэсийн тэнцвэржүүлсэн үнэ тонн тутамд 7,491 ам.доллар, нүүрсний тэнцвэржүүлсэн үнэ тонн тутамд 129 ам.доллар байна</w:t>
      </w:r>
      <w:r w:rsidRPr="00963C14">
        <w:rPr>
          <w:rFonts w:asciiTheme="minorBidi" w:hAnsiTheme="minorBidi"/>
          <w:lang w:eastAsia="ja-JP"/>
        </w:rPr>
        <w:t>.</w:t>
      </w:r>
    </w:p>
    <w:p w14:paraId="49D5FF42" w14:textId="77777777" w:rsidR="00EE1D3A" w:rsidRPr="00963C14" w:rsidRDefault="00EE1D3A" w:rsidP="00EE1D3A">
      <w:pPr>
        <w:tabs>
          <w:tab w:val="right" w:leader="dot" w:pos="9354"/>
        </w:tabs>
        <w:spacing w:after="288"/>
        <w:ind w:firstLine="540"/>
        <w:rPr>
          <w:rFonts w:cs="Arial"/>
          <w:b/>
          <w:i/>
        </w:rPr>
      </w:pPr>
      <w:r w:rsidRPr="00963C14">
        <w:rPr>
          <w:rFonts w:cs="Arial"/>
          <w:b/>
          <w:i/>
          <w:color w:val="11A795"/>
        </w:rPr>
        <w:t>Нэгдсэн төсвийн тэнцвэржүүлсэн тэнцэл.</w:t>
      </w:r>
      <w:r w:rsidRPr="00963C14">
        <w:rPr>
          <w:rFonts w:cs="Arial"/>
          <w:b/>
          <w:i/>
        </w:rPr>
        <w:t xml:space="preserve"> </w:t>
      </w:r>
      <w:r w:rsidRPr="00963C14">
        <w:rPr>
          <w:rFonts w:cs="Arial"/>
        </w:rPr>
        <w:t>Төсвийн тогтвортой байдлын тухай хуулийн 19 дүгээр зүйлийн 19.9 дэх хэсэгт 2025 оны төсвийн жилээс эхлэн нэгдсэн төсвийн тэнцвэржүүлсэн тэнцэл нь тухайн төсвийн жилийн дотоодын нийт бүтээгдэхүүний хоёр хувиас илүүгүй алдагдалтай, эсхүл ашигтай байна гэж заасан.  Нэгдсэн төсвийн тэнцвэржүүлсэн тэнцэл нь дотоодын нийт бүтээгдэхүүний 2025 онд -2.0 хувь, 2026 онд -1.5 хувь, 2027 онд -1.0 хувьтай тус тус тэнцэж байгаа нь хуулийн шаардлагыг хангаж байна.</w:t>
      </w:r>
    </w:p>
    <w:p w14:paraId="31AE6C5B" w14:textId="24B7CE86" w:rsidR="00EE1D3A" w:rsidRPr="00963C14" w:rsidRDefault="00EE1D3A" w:rsidP="00EE1D3A">
      <w:pPr>
        <w:pStyle w:val="Caption"/>
        <w:keepNext/>
        <w:rPr>
          <w:rFonts w:ascii="Arial" w:hAnsi="Arial" w:cs="Arial"/>
        </w:rPr>
      </w:pPr>
      <w:r w:rsidRPr="00963C14">
        <w:rPr>
          <w:rFonts w:ascii="Arial" w:hAnsi="Arial" w:cs="Arial"/>
        </w:rPr>
        <w:t>Хүснэгт 3.1. Нэгдсэн төсвийн тэнцвэржүүлсэн тэнцлийн төсөөлөл</w:t>
      </w:r>
      <w:r w:rsidR="00AC25ED" w:rsidRPr="00963C14">
        <w:rPr>
          <w:rFonts w:ascii="Arial" w:hAnsi="Arial" w:cs="Arial"/>
        </w:rPr>
        <w:t xml:space="preserve"> (</w:t>
      </w:r>
      <w:r w:rsidRPr="00963C14">
        <w:rPr>
          <w:rFonts w:ascii="Arial" w:hAnsi="Arial" w:cs="Arial"/>
        </w:rPr>
        <w:t>ДНБ-д эзлэх хув</w:t>
      </w:r>
      <w:r w:rsidR="00AC25ED" w:rsidRPr="00963C14">
        <w:rPr>
          <w:rFonts w:ascii="Arial" w:hAnsi="Arial" w:cs="Arial"/>
        </w:rPr>
        <w:t>ь)</w:t>
      </w:r>
    </w:p>
    <w:tbl>
      <w:tblPr>
        <w:tblStyle w:val="TableGrid1"/>
        <w:tblpPr w:leftFromText="180" w:rightFromText="180" w:vertAnchor="text" w:horzAnchor="margin" w:tblpX="108" w:tblpY="76"/>
        <w:tblW w:w="92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45"/>
        <w:gridCol w:w="2005"/>
        <w:gridCol w:w="2005"/>
        <w:gridCol w:w="2005"/>
      </w:tblGrid>
      <w:tr w:rsidR="00EE1D3A" w:rsidRPr="00963C14" w14:paraId="57775215" w14:textId="77777777">
        <w:trPr>
          <w:trHeight w:val="283"/>
        </w:trPr>
        <w:tc>
          <w:tcPr>
            <w:tcW w:w="3245" w:type="dxa"/>
            <w:shd w:val="clear" w:color="auto" w:fill="11A795"/>
          </w:tcPr>
          <w:p w14:paraId="0B7FAFAF" w14:textId="77777777" w:rsidR="00EE1D3A" w:rsidRPr="00963C14" w:rsidRDefault="00EE1D3A">
            <w:pPr>
              <w:tabs>
                <w:tab w:val="left" w:pos="426"/>
              </w:tabs>
              <w:spacing w:after="288" w:afterAutospacing="1"/>
              <w:ind w:right="-90" w:firstLine="567"/>
              <w:jc w:val="left"/>
              <w:rPr>
                <w:rFonts w:cs="Arial"/>
                <w:color w:val="FFFFFF" w:themeColor="background1"/>
              </w:rPr>
            </w:pPr>
          </w:p>
        </w:tc>
        <w:tc>
          <w:tcPr>
            <w:tcW w:w="2005" w:type="dxa"/>
            <w:shd w:val="clear" w:color="auto" w:fill="11A795"/>
            <w:vAlign w:val="center"/>
          </w:tcPr>
          <w:p w14:paraId="3C839122" w14:textId="77777777" w:rsidR="00EE1D3A" w:rsidRPr="00963C14" w:rsidRDefault="00EE1D3A">
            <w:pPr>
              <w:tabs>
                <w:tab w:val="left" w:pos="426"/>
              </w:tabs>
              <w:spacing w:after="288" w:afterAutospacing="1"/>
              <w:ind w:right="-90"/>
              <w:jc w:val="center"/>
              <w:rPr>
                <w:rFonts w:cs="Arial"/>
                <w:b/>
                <w:color w:val="FFFFFF" w:themeColor="background1"/>
              </w:rPr>
            </w:pPr>
            <w:r w:rsidRPr="00963C14">
              <w:rPr>
                <w:rFonts w:cs="Arial"/>
                <w:b/>
                <w:color w:val="FFFFFF" w:themeColor="background1"/>
              </w:rPr>
              <w:t>2025</w:t>
            </w:r>
          </w:p>
        </w:tc>
        <w:tc>
          <w:tcPr>
            <w:tcW w:w="2005" w:type="dxa"/>
            <w:shd w:val="clear" w:color="auto" w:fill="11A795"/>
            <w:vAlign w:val="center"/>
          </w:tcPr>
          <w:p w14:paraId="1E63A6E9" w14:textId="77777777" w:rsidR="00EE1D3A" w:rsidRPr="00963C14" w:rsidRDefault="00EE1D3A">
            <w:pPr>
              <w:tabs>
                <w:tab w:val="left" w:pos="426"/>
              </w:tabs>
              <w:spacing w:after="288" w:afterAutospacing="1"/>
              <w:ind w:right="-90"/>
              <w:jc w:val="center"/>
              <w:rPr>
                <w:rFonts w:cs="Arial"/>
                <w:b/>
                <w:color w:val="FFFFFF" w:themeColor="background1"/>
              </w:rPr>
            </w:pPr>
            <w:r w:rsidRPr="00963C14">
              <w:rPr>
                <w:rFonts w:cs="Arial"/>
                <w:b/>
                <w:color w:val="FFFFFF" w:themeColor="background1"/>
              </w:rPr>
              <w:t>2026</w:t>
            </w:r>
          </w:p>
        </w:tc>
        <w:tc>
          <w:tcPr>
            <w:tcW w:w="2005" w:type="dxa"/>
            <w:shd w:val="clear" w:color="auto" w:fill="11A795"/>
            <w:vAlign w:val="center"/>
          </w:tcPr>
          <w:p w14:paraId="7006FF26" w14:textId="77777777" w:rsidR="00EE1D3A" w:rsidRPr="00963C14" w:rsidRDefault="00EE1D3A">
            <w:pPr>
              <w:tabs>
                <w:tab w:val="left" w:pos="426"/>
              </w:tabs>
              <w:spacing w:after="288" w:afterAutospacing="1"/>
              <w:ind w:right="-90"/>
              <w:jc w:val="center"/>
              <w:rPr>
                <w:rFonts w:cs="Arial"/>
                <w:b/>
                <w:color w:val="FFFFFF" w:themeColor="background1"/>
              </w:rPr>
            </w:pPr>
            <w:r w:rsidRPr="00963C14">
              <w:rPr>
                <w:rFonts w:cs="Arial"/>
                <w:b/>
                <w:color w:val="FFFFFF" w:themeColor="background1"/>
              </w:rPr>
              <w:t>2027</w:t>
            </w:r>
          </w:p>
        </w:tc>
      </w:tr>
      <w:tr w:rsidR="00EE1D3A" w:rsidRPr="00963C14" w14:paraId="3B0AEE81" w14:textId="77777777" w:rsidTr="0054637E">
        <w:trPr>
          <w:trHeight w:val="311"/>
        </w:trPr>
        <w:tc>
          <w:tcPr>
            <w:tcW w:w="3245" w:type="dxa"/>
          </w:tcPr>
          <w:p w14:paraId="1794E472" w14:textId="77777777" w:rsidR="00EE1D3A" w:rsidRPr="00963C14" w:rsidRDefault="00EE1D3A">
            <w:pPr>
              <w:tabs>
                <w:tab w:val="left" w:pos="426"/>
              </w:tabs>
              <w:spacing w:after="288"/>
              <w:ind w:right="-90" w:firstLine="567"/>
              <w:contextualSpacing/>
              <w:rPr>
                <w:rFonts w:cs="Arial"/>
              </w:rPr>
            </w:pPr>
            <w:r w:rsidRPr="00963C14">
              <w:rPr>
                <w:rFonts w:cs="Arial"/>
              </w:rPr>
              <w:t>Хуулийн хязгаар</w:t>
            </w:r>
          </w:p>
        </w:tc>
        <w:tc>
          <w:tcPr>
            <w:tcW w:w="2005" w:type="dxa"/>
            <w:vAlign w:val="center"/>
          </w:tcPr>
          <w:p w14:paraId="460CA3B5" w14:textId="419A32A5" w:rsidR="00EE1D3A" w:rsidRPr="00963C14" w:rsidRDefault="0054637E" w:rsidP="0054637E">
            <w:pPr>
              <w:spacing w:after="288"/>
              <w:ind w:right="350"/>
              <w:contextualSpacing/>
              <w:jc w:val="center"/>
              <w:rPr>
                <w:rFonts w:cs="Arial"/>
              </w:rPr>
            </w:pPr>
            <w:r w:rsidRPr="00963C14">
              <w:rPr>
                <w:rFonts w:cs="Arial"/>
              </w:rPr>
              <w:t xml:space="preserve">      </w:t>
            </w:r>
            <w:r w:rsidR="00EE1D3A" w:rsidRPr="00963C14">
              <w:rPr>
                <w:rFonts w:cs="Arial"/>
              </w:rPr>
              <w:t>-2.0</w:t>
            </w:r>
          </w:p>
        </w:tc>
        <w:tc>
          <w:tcPr>
            <w:tcW w:w="2005" w:type="dxa"/>
            <w:vAlign w:val="center"/>
          </w:tcPr>
          <w:p w14:paraId="6DF13CBB" w14:textId="42862282" w:rsidR="00EE1D3A" w:rsidRPr="00963C14" w:rsidRDefault="0054637E" w:rsidP="0054637E">
            <w:pPr>
              <w:spacing w:after="288"/>
              <w:ind w:right="570"/>
              <w:contextualSpacing/>
              <w:jc w:val="center"/>
              <w:rPr>
                <w:rFonts w:cs="Arial"/>
              </w:rPr>
            </w:pPr>
            <w:r w:rsidRPr="00963C14">
              <w:rPr>
                <w:rFonts w:cs="Arial"/>
              </w:rPr>
              <w:t xml:space="preserve">          </w:t>
            </w:r>
            <w:r w:rsidR="00EE1D3A" w:rsidRPr="00963C14">
              <w:rPr>
                <w:rFonts w:cs="Arial"/>
              </w:rPr>
              <w:t>-2.0</w:t>
            </w:r>
          </w:p>
        </w:tc>
        <w:tc>
          <w:tcPr>
            <w:tcW w:w="2005" w:type="dxa"/>
            <w:vAlign w:val="center"/>
          </w:tcPr>
          <w:p w14:paraId="5AB3B3F0" w14:textId="5C312D14" w:rsidR="00EE1D3A" w:rsidRPr="00963C14" w:rsidRDefault="0054637E" w:rsidP="0054637E">
            <w:pPr>
              <w:spacing w:after="288"/>
              <w:ind w:right="406"/>
              <w:contextualSpacing/>
              <w:jc w:val="center"/>
              <w:rPr>
                <w:rFonts w:cs="Arial"/>
              </w:rPr>
            </w:pPr>
            <w:r w:rsidRPr="00963C14">
              <w:rPr>
                <w:rFonts w:cs="Arial"/>
              </w:rPr>
              <w:t xml:space="preserve">       </w:t>
            </w:r>
            <w:r w:rsidR="00EE1D3A" w:rsidRPr="00963C14">
              <w:rPr>
                <w:rFonts w:cs="Arial"/>
              </w:rPr>
              <w:t>-2.0</w:t>
            </w:r>
          </w:p>
        </w:tc>
      </w:tr>
      <w:tr w:rsidR="00EE1D3A" w:rsidRPr="00963C14" w14:paraId="70A37F6A" w14:textId="77777777" w:rsidTr="0054637E">
        <w:trPr>
          <w:trHeight w:val="292"/>
        </w:trPr>
        <w:tc>
          <w:tcPr>
            <w:tcW w:w="3245" w:type="dxa"/>
            <w:vAlign w:val="center"/>
          </w:tcPr>
          <w:p w14:paraId="2D6CAF6B" w14:textId="77777777" w:rsidR="00EE1D3A" w:rsidRPr="00963C14" w:rsidRDefault="00EE1D3A">
            <w:pPr>
              <w:tabs>
                <w:tab w:val="left" w:pos="426"/>
              </w:tabs>
              <w:spacing w:after="288"/>
              <w:ind w:right="-90" w:firstLine="567"/>
              <w:contextualSpacing/>
              <w:jc w:val="left"/>
              <w:rPr>
                <w:rFonts w:cs="Arial"/>
              </w:rPr>
            </w:pPr>
            <w:r w:rsidRPr="00963C14">
              <w:rPr>
                <w:rFonts w:cs="Arial"/>
              </w:rPr>
              <w:t>Төсөөлөл</w:t>
            </w:r>
          </w:p>
        </w:tc>
        <w:tc>
          <w:tcPr>
            <w:tcW w:w="2005" w:type="dxa"/>
            <w:vAlign w:val="center"/>
          </w:tcPr>
          <w:p w14:paraId="3D926C92" w14:textId="0AFFC99B" w:rsidR="00EE1D3A" w:rsidRPr="00963C14" w:rsidRDefault="0054637E" w:rsidP="0054637E">
            <w:pPr>
              <w:tabs>
                <w:tab w:val="left" w:pos="426"/>
              </w:tabs>
              <w:spacing w:after="288"/>
              <w:ind w:right="350"/>
              <w:contextualSpacing/>
              <w:jc w:val="center"/>
              <w:rPr>
                <w:rFonts w:cs="Arial"/>
              </w:rPr>
            </w:pPr>
            <w:r w:rsidRPr="00963C14">
              <w:rPr>
                <w:rFonts w:cs="Arial"/>
              </w:rPr>
              <w:t xml:space="preserve">      </w:t>
            </w:r>
            <w:r w:rsidR="00EE1D3A" w:rsidRPr="00963C14">
              <w:rPr>
                <w:rFonts w:cs="Arial"/>
              </w:rPr>
              <w:t>-2.0</w:t>
            </w:r>
          </w:p>
        </w:tc>
        <w:tc>
          <w:tcPr>
            <w:tcW w:w="2005" w:type="dxa"/>
            <w:vAlign w:val="center"/>
          </w:tcPr>
          <w:p w14:paraId="355BE891" w14:textId="5DCCBDC7" w:rsidR="00EE1D3A" w:rsidRPr="00963C14" w:rsidRDefault="0054637E" w:rsidP="0054637E">
            <w:pPr>
              <w:spacing w:after="288"/>
              <w:ind w:right="570"/>
              <w:contextualSpacing/>
              <w:jc w:val="center"/>
              <w:rPr>
                <w:rFonts w:cs="Arial"/>
              </w:rPr>
            </w:pPr>
            <w:r w:rsidRPr="00963C14">
              <w:rPr>
                <w:rFonts w:cs="Arial"/>
              </w:rPr>
              <w:t xml:space="preserve">          </w:t>
            </w:r>
            <w:r w:rsidR="00EE1D3A" w:rsidRPr="00963C14">
              <w:rPr>
                <w:rFonts w:cs="Arial"/>
              </w:rPr>
              <w:t>-1.5</w:t>
            </w:r>
          </w:p>
        </w:tc>
        <w:tc>
          <w:tcPr>
            <w:tcW w:w="2005" w:type="dxa"/>
            <w:vAlign w:val="center"/>
          </w:tcPr>
          <w:p w14:paraId="21F5E01D" w14:textId="3BC48816" w:rsidR="00EE1D3A" w:rsidRPr="00963C14" w:rsidRDefault="0054637E" w:rsidP="0054637E">
            <w:pPr>
              <w:tabs>
                <w:tab w:val="left" w:pos="426"/>
              </w:tabs>
              <w:spacing w:after="288"/>
              <w:ind w:right="350"/>
              <w:contextualSpacing/>
              <w:rPr>
                <w:rFonts w:cs="Arial"/>
              </w:rPr>
            </w:pPr>
            <w:r w:rsidRPr="00963C14">
              <w:rPr>
                <w:rFonts w:cs="Arial"/>
              </w:rPr>
              <w:t xml:space="preserve">           </w:t>
            </w:r>
            <w:r w:rsidR="00D50E53" w:rsidRPr="00963C14">
              <w:rPr>
                <w:rFonts w:cs="Arial"/>
              </w:rPr>
              <w:t xml:space="preserve"> </w:t>
            </w:r>
            <w:r w:rsidR="00EE1D3A" w:rsidRPr="00963C14">
              <w:rPr>
                <w:rFonts w:cs="Arial"/>
              </w:rPr>
              <w:t>-1.0</w:t>
            </w:r>
          </w:p>
        </w:tc>
      </w:tr>
    </w:tbl>
    <w:p w14:paraId="4B5BFF44" w14:textId="4108B37F" w:rsidR="00EE1D3A" w:rsidRPr="00963C14" w:rsidRDefault="00EE1D3A" w:rsidP="00EE1D3A">
      <w:pPr>
        <w:tabs>
          <w:tab w:val="left" w:pos="720"/>
          <w:tab w:val="right" w:leader="dot" w:pos="9354"/>
        </w:tabs>
        <w:snapToGrid w:val="0"/>
        <w:spacing w:before="240" w:after="288"/>
        <w:ind w:firstLine="547"/>
        <w:rPr>
          <w:rFonts w:cs="Arial"/>
          <w:i/>
        </w:rPr>
      </w:pPr>
      <w:r w:rsidRPr="00963C14">
        <w:rPr>
          <w:rFonts w:cs="Arial"/>
          <w:b/>
          <w:i/>
          <w:color w:val="11A795"/>
        </w:rPr>
        <w:t>Тухайн жилийн нэгдсэн төсвийн нийт зарлагын өсөлтийн хувь.</w:t>
      </w:r>
      <w:r w:rsidRPr="00963C14">
        <w:rPr>
          <w:rFonts w:cs="Arial"/>
          <w:i/>
        </w:rPr>
        <w:t xml:space="preserve"> </w:t>
      </w:r>
      <w:r w:rsidRPr="00963C14">
        <w:rPr>
          <w:rFonts w:cs="Arial"/>
        </w:rPr>
        <w:t>Төсвийн тогтвортой байдлын тухай хуулийн 6 дугаар зүйлийн 6.1.3 дахь заалтад тухайн жилийн нэгдсэн төсвийн нийт зарлагын өсөлтийн хувь нь тухайн жилийн эрдэс баялгийн бус дотоодын нийт бүтээгдэхүүний өсөлтийн хувь, тухайн жилийн өмнөх дараалсан 12 жилийн эрдэс баялгийн бус дотоодын нийт бүтээгдэхүүний өсөлтийн дунджийн аль ихээс хэтрэхгүй байна гэж заасан. Нэгдсэн төсвийн нийт зарлага 2025 онд 1</w:t>
      </w:r>
      <w:r w:rsidR="00E42210" w:rsidRPr="00963C14">
        <w:rPr>
          <w:rFonts w:cs="Arial"/>
        </w:rPr>
        <w:t>4</w:t>
      </w:r>
      <w:r w:rsidRPr="00963C14">
        <w:rPr>
          <w:rFonts w:cs="Arial"/>
        </w:rPr>
        <w:t>.</w:t>
      </w:r>
      <w:r w:rsidR="00E42210" w:rsidRPr="00963C14">
        <w:rPr>
          <w:rFonts w:cs="Arial"/>
        </w:rPr>
        <w:t>4</w:t>
      </w:r>
      <w:r w:rsidRPr="00963C14">
        <w:rPr>
          <w:rFonts w:cs="Arial"/>
        </w:rPr>
        <w:t xml:space="preserve"> хувиар, 2026 онд 7.</w:t>
      </w:r>
      <w:r w:rsidR="00E42210" w:rsidRPr="00963C14">
        <w:rPr>
          <w:rFonts w:cs="Arial"/>
        </w:rPr>
        <w:t>1</w:t>
      </w:r>
      <w:r w:rsidRPr="00963C14">
        <w:rPr>
          <w:rFonts w:cs="Arial"/>
        </w:rPr>
        <w:t xml:space="preserve"> хувиар, 2027 онд 6.</w:t>
      </w:r>
      <w:r w:rsidR="00E42210" w:rsidRPr="00963C14">
        <w:rPr>
          <w:rFonts w:cs="Arial"/>
        </w:rPr>
        <w:t>3</w:t>
      </w:r>
      <w:r w:rsidRPr="00963C14">
        <w:rPr>
          <w:rFonts w:cs="Arial"/>
        </w:rPr>
        <w:t xml:space="preserve"> хувиар өсөхөөр төсөөлсөн нь заасан төсвийн зарлагын өсөлтийн тусгай шаардлагыг хангаж байна.</w:t>
      </w:r>
    </w:p>
    <w:p w14:paraId="235CB3FD" w14:textId="4E920FF3" w:rsidR="00EE1D3A" w:rsidRPr="00963C14" w:rsidRDefault="00EE1D3A" w:rsidP="00EE1D3A">
      <w:pPr>
        <w:pStyle w:val="Caption"/>
        <w:keepNext/>
        <w:rPr>
          <w:rFonts w:ascii="Arial" w:hAnsi="Arial" w:cs="Arial"/>
        </w:rPr>
      </w:pPr>
      <w:r w:rsidRPr="00963C14">
        <w:rPr>
          <w:rFonts w:ascii="Arial" w:hAnsi="Arial" w:cs="Arial"/>
        </w:rPr>
        <w:t>Хүснэгт 3.2. Нэгдсэн төсвийн зарлагын өсөлтийн төсөөлөл</w:t>
      </w:r>
      <w:r w:rsidR="00AC25ED" w:rsidRPr="00963C14">
        <w:rPr>
          <w:rFonts w:ascii="Arial" w:hAnsi="Arial" w:cs="Arial"/>
        </w:rPr>
        <w:t xml:space="preserve"> (</w:t>
      </w:r>
      <w:r w:rsidRPr="00963C14">
        <w:rPr>
          <w:rFonts w:ascii="Arial" w:hAnsi="Arial" w:cs="Arial"/>
        </w:rPr>
        <w:t>хув</w:t>
      </w:r>
      <w:r w:rsidR="00AC25ED" w:rsidRPr="00963C14">
        <w:rPr>
          <w:rFonts w:ascii="Arial" w:hAnsi="Arial" w:cs="Arial"/>
        </w:rPr>
        <w:t>ь)</w:t>
      </w:r>
    </w:p>
    <w:tbl>
      <w:tblPr>
        <w:tblStyle w:val="TableGrid2"/>
        <w:tblW w:w="930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351"/>
        <w:gridCol w:w="1351"/>
        <w:gridCol w:w="1272"/>
      </w:tblGrid>
      <w:tr w:rsidR="00EE1D3A" w:rsidRPr="00963C14" w14:paraId="3B6F2CA5" w14:textId="77777777">
        <w:trPr>
          <w:trHeight w:val="225"/>
        </w:trPr>
        <w:tc>
          <w:tcPr>
            <w:tcW w:w="5328" w:type="dxa"/>
            <w:shd w:val="clear" w:color="auto" w:fill="11A795"/>
            <w:vAlign w:val="center"/>
          </w:tcPr>
          <w:p w14:paraId="3671B40C" w14:textId="77777777" w:rsidR="00EE1D3A" w:rsidRPr="00963C14" w:rsidRDefault="00EE1D3A">
            <w:pPr>
              <w:tabs>
                <w:tab w:val="left" w:pos="426"/>
                <w:tab w:val="right" w:leader="dot" w:pos="9354"/>
              </w:tabs>
              <w:spacing w:after="288"/>
              <w:ind w:right="-90" w:firstLine="567"/>
              <w:contextualSpacing/>
              <w:jc w:val="center"/>
              <w:rPr>
                <w:rFonts w:cs="Arial"/>
                <w:b/>
                <w:color w:val="FFFFFF" w:themeColor="background1"/>
              </w:rPr>
            </w:pPr>
            <w:r w:rsidRPr="00963C14">
              <w:rPr>
                <w:rFonts w:cs="Arial"/>
                <w:b/>
                <w:color w:val="FFFFFF" w:themeColor="background1"/>
              </w:rPr>
              <w:t>Өсөлт</w:t>
            </w:r>
          </w:p>
        </w:tc>
        <w:tc>
          <w:tcPr>
            <w:tcW w:w="1351" w:type="dxa"/>
            <w:shd w:val="clear" w:color="auto" w:fill="11A795"/>
            <w:vAlign w:val="center"/>
          </w:tcPr>
          <w:p w14:paraId="4315009C" w14:textId="77777777" w:rsidR="00EE1D3A" w:rsidRPr="00963C14" w:rsidRDefault="00EE1D3A">
            <w:pPr>
              <w:tabs>
                <w:tab w:val="left" w:pos="426"/>
                <w:tab w:val="right" w:leader="dot" w:pos="9354"/>
              </w:tabs>
              <w:spacing w:after="288"/>
              <w:ind w:right="-90"/>
              <w:contextualSpacing/>
              <w:jc w:val="center"/>
              <w:rPr>
                <w:rFonts w:cs="Arial"/>
                <w:b/>
                <w:color w:val="FFFFFF" w:themeColor="background1"/>
              </w:rPr>
            </w:pPr>
            <w:r w:rsidRPr="00963C14">
              <w:rPr>
                <w:rFonts w:cs="Arial"/>
                <w:b/>
                <w:color w:val="FFFFFF" w:themeColor="background1"/>
              </w:rPr>
              <w:t>2025</w:t>
            </w:r>
          </w:p>
        </w:tc>
        <w:tc>
          <w:tcPr>
            <w:tcW w:w="1351" w:type="dxa"/>
            <w:shd w:val="clear" w:color="auto" w:fill="11A795"/>
            <w:vAlign w:val="center"/>
          </w:tcPr>
          <w:p w14:paraId="17C528C1" w14:textId="77777777" w:rsidR="00EE1D3A" w:rsidRPr="00963C14" w:rsidRDefault="00EE1D3A">
            <w:pPr>
              <w:tabs>
                <w:tab w:val="left" w:pos="426"/>
                <w:tab w:val="right" w:leader="dot" w:pos="9354"/>
              </w:tabs>
              <w:spacing w:after="288"/>
              <w:ind w:right="-90"/>
              <w:contextualSpacing/>
              <w:jc w:val="center"/>
              <w:rPr>
                <w:rFonts w:cs="Arial"/>
                <w:b/>
                <w:color w:val="FFFFFF" w:themeColor="background1"/>
              </w:rPr>
            </w:pPr>
            <w:r w:rsidRPr="00963C14">
              <w:rPr>
                <w:rFonts w:cs="Arial"/>
                <w:b/>
                <w:color w:val="FFFFFF" w:themeColor="background1"/>
              </w:rPr>
              <w:t>2026</w:t>
            </w:r>
          </w:p>
        </w:tc>
        <w:tc>
          <w:tcPr>
            <w:tcW w:w="1272" w:type="dxa"/>
            <w:shd w:val="clear" w:color="auto" w:fill="11A795"/>
          </w:tcPr>
          <w:p w14:paraId="01B943EB" w14:textId="77777777" w:rsidR="00EE1D3A" w:rsidRPr="00963C14" w:rsidRDefault="00EE1D3A">
            <w:pPr>
              <w:tabs>
                <w:tab w:val="left" w:pos="426"/>
                <w:tab w:val="right" w:leader="dot" w:pos="9354"/>
              </w:tabs>
              <w:spacing w:after="288"/>
              <w:ind w:right="-90"/>
              <w:contextualSpacing/>
              <w:jc w:val="center"/>
              <w:rPr>
                <w:rFonts w:cs="Arial"/>
                <w:b/>
                <w:color w:val="FFFFFF" w:themeColor="background1"/>
              </w:rPr>
            </w:pPr>
            <w:r w:rsidRPr="00963C14">
              <w:rPr>
                <w:rFonts w:cs="Arial"/>
                <w:b/>
                <w:color w:val="FFFFFF" w:themeColor="background1"/>
              </w:rPr>
              <w:t>2027</w:t>
            </w:r>
          </w:p>
        </w:tc>
      </w:tr>
      <w:tr w:rsidR="00EE1D3A" w:rsidRPr="00963C14" w14:paraId="5DAD7EA0" w14:textId="77777777">
        <w:trPr>
          <w:trHeight w:val="414"/>
        </w:trPr>
        <w:tc>
          <w:tcPr>
            <w:tcW w:w="5328" w:type="dxa"/>
            <w:vAlign w:val="center"/>
          </w:tcPr>
          <w:p w14:paraId="3310781B" w14:textId="77777777" w:rsidR="00EE1D3A" w:rsidRPr="00963C14" w:rsidRDefault="00EE1D3A">
            <w:pPr>
              <w:tabs>
                <w:tab w:val="left" w:pos="426"/>
                <w:tab w:val="right" w:leader="dot" w:pos="9354"/>
              </w:tabs>
              <w:spacing w:after="288"/>
              <w:ind w:right="-90"/>
              <w:contextualSpacing/>
              <w:rPr>
                <w:rFonts w:cs="Arial"/>
              </w:rPr>
            </w:pPr>
            <w:r w:rsidRPr="00963C14">
              <w:rPr>
                <w:rFonts w:cs="Arial"/>
              </w:rPr>
              <w:t>Тухайн жилийн нэгдсэн төсвийн нийт зарлагын өсөлтийн хувь</w:t>
            </w:r>
          </w:p>
        </w:tc>
        <w:tc>
          <w:tcPr>
            <w:tcW w:w="1351" w:type="dxa"/>
            <w:shd w:val="clear" w:color="auto" w:fill="auto"/>
            <w:vAlign w:val="center"/>
          </w:tcPr>
          <w:p w14:paraId="19DC7D33" w14:textId="380D8FF0" w:rsidR="00EE1D3A" w:rsidRPr="00963C14" w:rsidRDefault="00EE1D3A">
            <w:pPr>
              <w:tabs>
                <w:tab w:val="left" w:pos="426"/>
                <w:tab w:val="right" w:leader="dot" w:pos="9354"/>
              </w:tabs>
              <w:spacing w:after="288"/>
              <w:ind w:right="22"/>
              <w:contextualSpacing/>
              <w:rPr>
                <w:rFonts w:cs="Arial"/>
              </w:rPr>
            </w:pPr>
            <w:r w:rsidRPr="00963C14">
              <w:rPr>
                <w:rFonts w:cs="Arial"/>
              </w:rPr>
              <w:t xml:space="preserve">     1</w:t>
            </w:r>
            <w:r w:rsidR="00E42210" w:rsidRPr="00963C14">
              <w:rPr>
                <w:rFonts w:cs="Arial"/>
              </w:rPr>
              <w:t>4</w:t>
            </w:r>
            <w:r w:rsidR="00E95A65" w:rsidRPr="00963C14">
              <w:rPr>
                <w:rFonts w:cs="Arial"/>
              </w:rPr>
              <w:t>.</w:t>
            </w:r>
            <w:r w:rsidR="00E42210" w:rsidRPr="00963C14">
              <w:rPr>
                <w:rFonts w:cs="Arial"/>
              </w:rPr>
              <w:t>4</w:t>
            </w:r>
            <w:r w:rsidRPr="00963C14">
              <w:rPr>
                <w:rFonts w:cs="Arial"/>
              </w:rPr>
              <w:t>%</w:t>
            </w:r>
          </w:p>
        </w:tc>
        <w:tc>
          <w:tcPr>
            <w:tcW w:w="1351" w:type="dxa"/>
            <w:shd w:val="clear" w:color="auto" w:fill="auto"/>
            <w:vAlign w:val="center"/>
          </w:tcPr>
          <w:p w14:paraId="3ABBDBC1" w14:textId="71F3C79B" w:rsidR="00EE1D3A" w:rsidRPr="00963C14" w:rsidRDefault="00EE1D3A">
            <w:pPr>
              <w:tabs>
                <w:tab w:val="left" w:pos="426"/>
                <w:tab w:val="right" w:leader="dot" w:pos="9354"/>
              </w:tabs>
              <w:spacing w:after="288"/>
              <w:ind w:right="22"/>
              <w:contextualSpacing/>
              <w:rPr>
                <w:rFonts w:cs="Arial"/>
              </w:rPr>
            </w:pPr>
            <w:r w:rsidRPr="00963C14">
              <w:rPr>
                <w:rFonts w:cs="Arial"/>
              </w:rPr>
              <w:t xml:space="preserve">      7.</w:t>
            </w:r>
            <w:r w:rsidR="00E42210" w:rsidRPr="00963C14">
              <w:rPr>
                <w:rFonts w:cs="Arial"/>
              </w:rPr>
              <w:t>1</w:t>
            </w:r>
            <w:r w:rsidRPr="00963C14">
              <w:rPr>
                <w:rFonts w:cs="Arial"/>
              </w:rPr>
              <w:t>%</w:t>
            </w:r>
          </w:p>
        </w:tc>
        <w:tc>
          <w:tcPr>
            <w:tcW w:w="1272" w:type="dxa"/>
            <w:shd w:val="clear" w:color="auto" w:fill="auto"/>
            <w:vAlign w:val="center"/>
          </w:tcPr>
          <w:p w14:paraId="53EA46DD" w14:textId="1404D1F8" w:rsidR="00EE1D3A" w:rsidRPr="00963C14" w:rsidRDefault="00EE1D3A">
            <w:pPr>
              <w:tabs>
                <w:tab w:val="left" w:pos="426"/>
                <w:tab w:val="right" w:leader="dot" w:pos="9354"/>
              </w:tabs>
              <w:snapToGrid w:val="0"/>
              <w:spacing w:after="288"/>
              <w:ind w:right="29"/>
              <w:jc w:val="center"/>
              <w:rPr>
                <w:rFonts w:cs="Arial"/>
              </w:rPr>
            </w:pPr>
            <w:r w:rsidRPr="00963C14">
              <w:rPr>
                <w:rFonts w:cs="Arial"/>
              </w:rPr>
              <w:t xml:space="preserve">                      6.</w:t>
            </w:r>
            <w:r w:rsidR="008C1ABA" w:rsidRPr="00963C14">
              <w:rPr>
                <w:rFonts w:cs="Arial"/>
              </w:rPr>
              <w:t>3</w:t>
            </w:r>
            <w:r w:rsidRPr="00963C14">
              <w:rPr>
                <w:rFonts w:cs="Arial"/>
              </w:rPr>
              <w:t>%</w:t>
            </w:r>
          </w:p>
        </w:tc>
      </w:tr>
      <w:tr w:rsidR="00EE1D3A" w:rsidRPr="00963C14" w14:paraId="72427708" w14:textId="77777777">
        <w:trPr>
          <w:trHeight w:val="530"/>
        </w:trPr>
        <w:tc>
          <w:tcPr>
            <w:tcW w:w="5328" w:type="dxa"/>
            <w:vAlign w:val="center"/>
          </w:tcPr>
          <w:p w14:paraId="63DFA101" w14:textId="77777777" w:rsidR="00EE1D3A" w:rsidRPr="00963C14" w:rsidRDefault="00EE1D3A">
            <w:pPr>
              <w:tabs>
                <w:tab w:val="left" w:pos="426"/>
                <w:tab w:val="right" w:leader="dot" w:pos="9354"/>
              </w:tabs>
              <w:spacing w:after="288"/>
              <w:ind w:right="-90"/>
              <w:contextualSpacing/>
              <w:rPr>
                <w:rFonts w:cs="Arial"/>
              </w:rPr>
            </w:pPr>
            <w:r w:rsidRPr="00963C14">
              <w:rPr>
                <w:rFonts w:cs="Arial"/>
              </w:rPr>
              <w:t>Тухайн жилийн эрдэс баялгийн бус дотоодын нийт бүтээгдэхүүний өсөлтийн хувь</w:t>
            </w:r>
          </w:p>
        </w:tc>
        <w:tc>
          <w:tcPr>
            <w:tcW w:w="1351" w:type="dxa"/>
            <w:shd w:val="clear" w:color="auto" w:fill="FFFFFF" w:themeFill="background1"/>
            <w:vAlign w:val="center"/>
          </w:tcPr>
          <w:p w14:paraId="15309E40" w14:textId="77777777" w:rsidR="00EE1D3A" w:rsidRPr="00963C14" w:rsidRDefault="00EE1D3A">
            <w:pPr>
              <w:tabs>
                <w:tab w:val="left" w:pos="426"/>
                <w:tab w:val="right" w:leader="dot" w:pos="9354"/>
              </w:tabs>
              <w:spacing w:after="288"/>
              <w:ind w:right="-90"/>
              <w:contextualSpacing/>
              <w:jc w:val="center"/>
              <w:rPr>
                <w:rFonts w:cs="Arial"/>
              </w:rPr>
            </w:pPr>
            <w:r w:rsidRPr="00963C14">
              <w:rPr>
                <w:rFonts w:cs="Arial"/>
              </w:rPr>
              <w:t>14.4%</w:t>
            </w:r>
          </w:p>
        </w:tc>
        <w:tc>
          <w:tcPr>
            <w:tcW w:w="1351" w:type="dxa"/>
            <w:shd w:val="clear" w:color="auto" w:fill="FFFFFF" w:themeFill="background1"/>
            <w:vAlign w:val="center"/>
          </w:tcPr>
          <w:p w14:paraId="0533AC89" w14:textId="77777777" w:rsidR="00EE1D3A" w:rsidRPr="00963C14" w:rsidRDefault="00EE1D3A">
            <w:pPr>
              <w:tabs>
                <w:tab w:val="left" w:pos="426"/>
                <w:tab w:val="right" w:leader="dot" w:pos="9354"/>
              </w:tabs>
              <w:spacing w:after="288"/>
              <w:ind w:right="-90"/>
              <w:contextualSpacing/>
              <w:jc w:val="center"/>
              <w:rPr>
                <w:rFonts w:cs="Arial"/>
              </w:rPr>
            </w:pPr>
            <w:r w:rsidRPr="00963C14">
              <w:rPr>
                <w:rFonts w:cs="Arial"/>
              </w:rPr>
              <w:t>14.3%</w:t>
            </w:r>
          </w:p>
        </w:tc>
        <w:tc>
          <w:tcPr>
            <w:tcW w:w="1272" w:type="dxa"/>
            <w:shd w:val="clear" w:color="auto" w:fill="FFFFFF" w:themeFill="background1"/>
            <w:vAlign w:val="center"/>
          </w:tcPr>
          <w:p w14:paraId="2A6EA87C" w14:textId="77777777" w:rsidR="00EE1D3A" w:rsidRPr="00963C14" w:rsidRDefault="00EE1D3A">
            <w:pPr>
              <w:tabs>
                <w:tab w:val="left" w:pos="426"/>
                <w:tab w:val="right" w:leader="dot" w:pos="9354"/>
              </w:tabs>
              <w:spacing w:after="288"/>
              <w:ind w:right="-90"/>
              <w:contextualSpacing/>
              <w:jc w:val="center"/>
              <w:rPr>
                <w:rFonts w:cs="Arial"/>
              </w:rPr>
            </w:pPr>
            <w:r w:rsidRPr="00963C14">
              <w:rPr>
                <w:rFonts w:cs="Arial"/>
              </w:rPr>
              <w:t>15.4%</w:t>
            </w:r>
          </w:p>
        </w:tc>
      </w:tr>
      <w:tr w:rsidR="00EE1D3A" w:rsidRPr="00963C14" w14:paraId="648FA8DC" w14:textId="77777777">
        <w:trPr>
          <w:trHeight w:val="771"/>
        </w:trPr>
        <w:tc>
          <w:tcPr>
            <w:tcW w:w="5328" w:type="dxa"/>
            <w:vAlign w:val="center"/>
          </w:tcPr>
          <w:p w14:paraId="7ADD73E0" w14:textId="77777777" w:rsidR="00EE1D3A" w:rsidRPr="00963C14" w:rsidRDefault="00EE1D3A">
            <w:pPr>
              <w:tabs>
                <w:tab w:val="left" w:pos="426"/>
                <w:tab w:val="right" w:leader="dot" w:pos="9354"/>
              </w:tabs>
              <w:spacing w:after="288"/>
              <w:ind w:right="-90"/>
              <w:contextualSpacing/>
              <w:rPr>
                <w:rFonts w:cs="Arial"/>
              </w:rPr>
            </w:pPr>
            <w:r w:rsidRPr="00963C14">
              <w:rPr>
                <w:rFonts w:cs="Arial"/>
              </w:rPr>
              <w:t>Тухайн жилийн өмнөх дараалсан 12 жилийн  эрдэс баялгийн бус дотоодын нийт бүтээгдэхүүний өсөлтийн дундаж</w:t>
            </w:r>
          </w:p>
        </w:tc>
        <w:tc>
          <w:tcPr>
            <w:tcW w:w="1351" w:type="dxa"/>
            <w:shd w:val="clear" w:color="auto" w:fill="FFFFFF" w:themeFill="background1"/>
            <w:vAlign w:val="center"/>
          </w:tcPr>
          <w:p w14:paraId="1CB34FE3" w14:textId="77777777" w:rsidR="00EE1D3A" w:rsidRPr="00963C14" w:rsidRDefault="00EE1D3A">
            <w:pPr>
              <w:tabs>
                <w:tab w:val="left" w:pos="426"/>
                <w:tab w:val="right" w:leader="dot" w:pos="9354"/>
              </w:tabs>
              <w:spacing w:after="288"/>
              <w:ind w:right="-90"/>
              <w:contextualSpacing/>
              <w:jc w:val="center"/>
              <w:rPr>
                <w:rFonts w:cs="Arial"/>
              </w:rPr>
            </w:pPr>
            <w:r w:rsidRPr="00963C14">
              <w:rPr>
                <w:rFonts w:cs="Arial"/>
              </w:rPr>
              <w:t>12.6%</w:t>
            </w:r>
          </w:p>
        </w:tc>
        <w:tc>
          <w:tcPr>
            <w:tcW w:w="1351" w:type="dxa"/>
            <w:shd w:val="clear" w:color="auto" w:fill="FFFFFF" w:themeFill="background1"/>
            <w:vAlign w:val="center"/>
          </w:tcPr>
          <w:p w14:paraId="260C8684" w14:textId="77777777" w:rsidR="00EE1D3A" w:rsidRPr="00963C14" w:rsidRDefault="00EE1D3A">
            <w:pPr>
              <w:tabs>
                <w:tab w:val="left" w:pos="426"/>
                <w:tab w:val="right" w:leader="dot" w:pos="9354"/>
              </w:tabs>
              <w:spacing w:after="288"/>
              <w:ind w:right="-90"/>
              <w:contextualSpacing/>
              <w:jc w:val="center"/>
              <w:rPr>
                <w:rFonts w:cs="Arial"/>
              </w:rPr>
            </w:pPr>
            <w:r w:rsidRPr="00963C14">
              <w:rPr>
                <w:rFonts w:cs="Arial"/>
              </w:rPr>
              <w:t>12.4%</w:t>
            </w:r>
          </w:p>
        </w:tc>
        <w:tc>
          <w:tcPr>
            <w:tcW w:w="1272" w:type="dxa"/>
            <w:shd w:val="clear" w:color="auto" w:fill="FFFFFF" w:themeFill="background1"/>
            <w:vAlign w:val="center"/>
          </w:tcPr>
          <w:p w14:paraId="499141A1" w14:textId="77777777" w:rsidR="00EE1D3A" w:rsidRPr="00963C14" w:rsidRDefault="00EE1D3A">
            <w:pPr>
              <w:tabs>
                <w:tab w:val="left" w:pos="426"/>
                <w:tab w:val="right" w:leader="dot" w:pos="9354"/>
              </w:tabs>
              <w:spacing w:after="288"/>
              <w:ind w:right="-90"/>
              <w:contextualSpacing/>
              <w:jc w:val="center"/>
              <w:rPr>
                <w:rFonts w:cs="Arial"/>
              </w:rPr>
            </w:pPr>
            <w:r w:rsidRPr="00963C14">
              <w:rPr>
                <w:rFonts w:cs="Arial"/>
              </w:rPr>
              <w:t>12.4%</w:t>
            </w:r>
          </w:p>
        </w:tc>
      </w:tr>
    </w:tbl>
    <w:p w14:paraId="764DE4EC" w14:textId="77777777" w:rsidR="00EE1D3A" w:rsidRPr="00963C14" w:rsidRDefault="00EE1D3A" w:rsidP="00EE1D3A">
      <w:pPr>
        <w:tabs>
          <w:tab w:val="right" w:leader="dot" w:pos="9354"/>
        </w:tabs>
        <w:spacing w:before="240" w:after="288"/>
        <w:ind w:firstLine="540"/>
        <w:rPr>
          <w:rFonts w:cs="Arial"/>
          <w:b/>
          <w:i/>
        </w:rPr>
      </w:pPr>
      <w:r w:rsidRPr="00963C14">
        <w:rPr>
          <w:rFonts w:cs="Arial"/>
          <w:b/>
          <w:i/>
          <w:color w:val="11A795"/>
        </w:rPr>
        <w:t>Засгийн газрын өрийн өнөөгийн үнэ цэнээр илэрхийлэгдсэн үлдэгдэл.</w:t>
      </w:r>
      <w:r w:rsidRPr="00963C14">
        <w:rPr>
          <w:rFonts w:cs="Arial"/>
          <w:b/>
          <w:i/>
        </w:rPr>
        <w:t xml:space="preserve"> </w:t>
      </w:r>
      <w:r w:rsidRPr="00963C14">
        <w:rPr>
          <w:rFonts w:cs="Arial"/>
          <w:szCs w:val="24"/>
          <w:lang w:eastAsia="ja-JP"/>
        </w:rPr>
        <w:t>Төсвийн тогтвортой байдлын тухай хуулийн 19 дүгээр зүйлийн 19.3 дахь хэсэгт “Энэ хуулийн 6.1.4-т заасан төсвийн тусгай шаардлагыг үе шаттайгаар хэрэгжүүлэх зорилгоор өнөөгийн үнэ цэнээр илэрхийлсэн Засгийн газрын өрийн дотоодын нийт бүтээгдэхүүнд эзлэх хувь хэмжээг 2024 оны төсвийн жилээс эхлэн 60 хувиас хэтрүүлэхгүй байна” гэж заасан. Засгийн газрын өрийн өнөөгийн үнэ цэнээр илэрхийлсэн үлдэгдэл 2025-аас 2027 онд хуульд заасан хязгаарт байхаар байна.</w:t>
      </w:r>
    </w:p>
    <w:p w14:paraId="25542C3E" w14:textId="452D038A" w:rsidR="00EE1D3A" w:rsidRPr="00963C14" w:rsidRDefault="00EE1D3A" w:rsidP="00EE1D3A">
      <w:pPr>
        <w:pStyle w:val="Caption"/>
        <w:keepNext/>
        <w:rPr>
          <w:rFonts w:ascii="Arial" w:hAnsi="Arial" w:cs="Arial"/>
        </w:rPr>
      </w:pPr>
      <w:r w:rsidRPr="00963C14">
        <w:rPr>
          <w:rFonts w:ascii="Arial" w:hAnsi="Arial" w:cs="Arial"/>
        </w:rPr>
        <w:t>Хүснэгт 3.3. Засгийн газрын өрийн төсөөлөл, өнөөгийн үнэ цэнээр</w:t>
      </w:r>
      <w:r w:rsidR="00840E08" w:rsidRPr="00963C14">
        <w:rPr>
          <w:rFonts w:ascii="Arial" w:hAnsi="Arial" w:cs="Arial"/>
        </w:rPr>
        <w:t xml:space="preserve"> (</w:t>
      </w:r>
      <w:r w:rsidRPr="00963C14">
        <w:rPr>
          <w:rFonts w:ascii="Arial" w:hAnsi="Arial" w:cs="Arial"/>
        </w:rPr>
        <w:t>ДНБ-д эзлэх хувь</w:t>
      </w:r>
      <w:r w:rsidR="00840E08" w:rsidRPr="00963C14">
        <w:rPr>
          <w:rFonts w:ascii="Arial" w:hAnsi="Arial" w:cs="Arial"/>
        </w:rPr>
        <w:t>)</w:t>
      </w:r>
    </w:p>
    <w:tbl>
      <w:tblPr>
        <w:tblStyle w:val="TableGrid2"/>
        <w:tblW w:w="944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29"/>
        <w:gridCol w:w="1883"/>
        <w:gridCol w:w="1883"/>
        <w:gridCol w:w="1749"/>
      </w:tblGrid>
      <w:tr w:rsidR="00EE1D3A" w:rsidRPr="00963C14" w14:paraId="2A5F81AD" w14:textId="77777777">
        <w:trPr>
          <w:trHeight w:val="28"/>
        </w:trPr>
        <w:tc>
          <w:tcPr>
            <w:tcW w:w="3929" w:type="dxa"/>
            <w:shd w:val="clear" w:color="auto" w:fill="11A795"/>
            <w:vAlign w:val="center"/>
          </w:tcPr>
          <w:p w14:paraId="29321FC4" w14:textId="77777777" w:rsidR="00EE1D3A" w:rsidRPr="00963C14" w:rsidRDefault="00EE1D3A">
            <w:pPr>
              <w:tabs>
                <w:tab w:val="left" w:pos="426"/>
                <w:tab w:val="right" w:leader="dot" w:pos="9354"/>
              </w:tabs>
              <w:spacing w:after="288"/>
              <w:ind w:right="-90" w:firstLine="567"/>
              <w:contextualSpacing/>
              <w:jc w:val="center"/>
              <w:rPr>
                <w:rFonts w:cs="Arial"/>
                <w:b/>
                <w:color w:val="FFFFFF" w:themeColor="background1"/>
              </w:rPr>
            </w:pPr>
          </w:p>
        </w:tc>
        <w:tc>
          <w:tcPr>
            <w:tcW w:w="1883" w:type="dxa"/>
            <w:shd w:val="clear" w:color="auto" w:fill="11A795"/>
            <w:vAlign w:val="center"/>
          </w:tcPr>
          <w:p w14:paraId="02F9627F" w14:textId="77777777" w:rsidR="00EE1D3A" w:rsidRPr="00963C14" w:rsidRDefault="00EE1D3A">
            <w:pPr>
              <w:tabs>
                <w:tab w:val="left" w:pos="426"/>
                <w:tab w:val="right" w:leader="dot" w:pos="9354"/>
              </w:tabs>
              <w:spacing w:after="288"/>
              <w:ind w:right="-90"/>
              <w:contextualSpacing/>
              <w:jc w:val="center"/>
              <w:rPr>
                <w:rFonts w:cs="Arial"/>
                <w:b/>
                <w:color w:val="FFFFFF" w:themeColor="background1"/>
              </w:rPr>
            </w:pPr>
            <w:r w:rsidRPr="00963C14">
              <w:rPr>
                <w:rFonts w:cs="Arial"/>
                <w:b/>
                <w:color w:val="FFFFFF" w:themeColor="background1"/>
              </w:rPr>
              <w:t>2025</w:t>
            </w:r>
          </w:p>
        </w:tc>
        <w:tc>
          <w:tcPr>
            <w:tcW w:w="1883" w:type="dxa"/>
            <w:shd w:val="clear" w:color="auto" w:fill="11A795"/>
            <w:vAlign w:val="center"/>
          </w:tcPr>
          <w:p w14:paraId="34444FC5" w14:textId="77777777" w:rsidR="00EE1D3A" w:rsidRPr="00963C14" w:rsidRDefault="00EE1D3A">
            <w:pPr>
              <w:tabs>
                <w:tab w:val="left" w:pos="426"/>
                <w:tab w:val="right" w:leader="dot" w:pos="9354"/>
              </w:tabs>
              <w:spacing w:after="288"/>
              <w:ind w:right="-90"/>
              <w:contextualSpacing/>
              <w:jc w:val="center"/>
              <w:rPr>
                <w:rFonts w:cs="Arial"/>
                <w:b/>
                <w:color w:val="FFFFFF" w:themeColor="background1"/>
              </w:rPr>
            </w:pPr>
            <w:r w:rsidRPr="00963C14">
              <w:rPr>
                <w:rFonts w:cs="Arial"/>
                <w:b/>
                <w:color w:val="FFFFFF" w:themeColor="background1"/>
              </w:rPr>
              <w:t>2026</w:t>
            </w:r>
          </w:p>
        </w:tc>
        <w:tc>
          <w:tcPr>
            <w:tcW w:w="1749" w:type="dxa"/>
            <w:shd w:val="clear" w:color="auto" w:fill="11A795"/>
            <w:vAlign w:val="center"/>
          </w:tcPr>
          <w:p w14:paraId="3BB503CC" w14:textId="77777777" w:rsidR="00EE1D3A" w:rsidRPr="00963C14" w:rsidRDefault="00EE1D3A">
            <w:pPr>
              <w:tabs>
                <w:tab w:val="left" w:pos="426"/>
                <w:tab w:val="right" w:leader="dot" w:pos="9354"/>
              </w:tabs>
              <w:spacing w:after="288"/>
              <w:ind w:right="-90"/>
              <w:contextualSpacing/>
              <w:jc w:val="center"/>
              <w:rPr>
                <w:rFonts w:cs="Arial"/>
                <w:b/>
                <w:color w:val="FFFFFF" w:themeColor="background1"/>
              </w:rPr>
            </w:pPr>
            <w:r w:rsidRPr="00963C14">
              <w:rPr>
                <w:rFonts w:cs="Arial"/>
                <w:b/>
                <w:color w:val="FFFFFF" w:themeColor="background1"/>
              </w:rPr>
              <w:t>2027</w:t>
            </w:r>
          </w:p>
        </w:tc>
      </w:tr>
      <w:tr w:rsidR="00EE1D3A" w:rsidRPr="00963C14" w14:paraId="21523290" w14:textId="77777777">
        <w:trPr>
          <w:trHeight w:val="28"/>
        </w:trPr>
        <w:tc>
          <w:tcPr>
            <w:tcW w:w="3929" w:type="dxa"/>
            <w:vAlign w:val="center"/>
          </w:tcPr>
          <w:p w14:paraId="2CFE9826" w14:textId="77777777" w:rsidR="00EE1D3A" w:rsidRPr="00963C14" w:rsidRDefault="00EE1D3A">
            <w:pPr>
              <w:tabs>
                <w:tab w:val="left" w:pos="426"/>
                <w:tab w:val="right" w:leader="dot" w:pos="9354"/>
              </w:tabs>
              <w:spacing w:after="288"/>
              <w:ind w:right="-90" w:firstLine="567"/>
              <w:contextualSpacing/>
              <w:jc w:val="left"/>
              <w:rPr>
                <w:rFonts w:cs="Arial"/>
              </w:rPr>
            </w:pPr>
            <w:r w:rsidRPr="00963C14">
              <w:rPr>
                <w:rFonts w:cs="Arial"/>
              </w:rPr>
              <w:t>Хуулийн хязгаар</w:t>
            </w:r>
          </w:p>
        </w:tc>
        <w:tc>
          <w:tcPr>
            <w:tcW w:w="1883" w:type="dxa"/>
            <w:vAlign w:val="center"/>
          </w:tcPr>
          <w:p w14:paraId="3E1FBC87" w14:textId="77777777" w:rsidR="00EE1D3A" w:rsidRPr="00963C14" w:rsidRDefault="00EE1D3A">
            <w:pPr>
              <w:tabs>
                <w:tab w:val="left" w:pos="426"/>
                <w:tab w:val="right" w:leader="dot" w:pos="9354"/>
              </w:tabs>
              <w:spacing w:after="288"/>
              <w:ind w:right="-90" w:firstLine="567"/>
              <w:contextualSpacing/>
              <w:jc w:val="center"/>
              <w:rPr>
                <w:rFonts w:cs="Arial"/>
              </w:rPr>
            </w:pPr>
            <w:r w:rsidRPr="00963C14">
              <w:rPr>
                <w:rFonts w:cs="Arial"/>
              </w:rPr>
              <w:t>60.0</w:t>
            </w:r>
          </w:p>
        </w:tc>
        <w:tc>
          <w:tcPr>
            <w:tcW w:w="1883" w:type="dxa"/>
            <w:vAlign w:val="center"/>
          </w:tcPr>
          <w:p w14:paraId="62904EE6" w14:textId="77777777" w:rsidR="00EE1D3A" w:rsidRPr="00963C14" w:rsidRDefault="00EE1D3A">
            <w:pPr>
              <w:tabs>
                <w:tab w:val="left" w:pos="426"/>
                <w:tab w:val="right" w:leader="dot" w:pos="9354"/>
              </w:tabs>
              <w:spacing w:after="288"/>
              <w:ind w:right="-90" w:firstLine="567"/>
              <w:contextualSpacing/>
              <w:jc w:val="center"/>
              <w:rPr>
                <w:rFonts w:cs="Arial"/>
              </w:rPr>
            </w:pPr>
            <w:r w:rsidRPr="00963C14">
              <w:rPr>
                <w:rFonts w:cs="Arial"/>
              </w:rPr>
              <w:t>60.0</w:t>
            </w:r>
          </w:p>
        </w:tc>
        <w:tc>
          <w:tcPr>
            <w:tcW w:w="1749" w:type="dxa"/>
            <w:vAlign w:val="center"/>
          </w:tcPr>
          <w:p w14:paraId="552FAED0" w14:textId="77777777" w:rsidR="00EE1D3A" w:rsidRPr="00963C14" w:rsidRDefault="00EE1D3A">
            <w:pPr>
              <w:tabs>
                <w:tab w:val="left" w:pos="426"/>
                <w:tab w:val="right" w:leader="dot" w:pos="9354"/>
              </w:tabs>
              <w:spacing w:after="288"/>
              <w:ind w:right="-90" w:firstLine="567"/>
              <w:contextualSpacing/>
              <w:jc w:val="center"/>
              <w:rPr>
                <w:rFonts w:cs="Arial"/>
              </w:rPr>
            </w:pPr>
            <w:r w:rsidRPr="00963C14">
              <w:rPr>
                <w:rFonts w:cs="Arial"/>
              </w:rPr>
              <w:t>60.0</w:t>
            </w:r>
          </w:p>
        </w:tc>
      </w:tr>
      <w:tr w:rsidR="00EE1D3A" w:rsidRPr="00963C14" w14:paraId="41FBC07A" w14:textId="77777777">
        <w:trPr>
          <w:trHeight w:val="28"/>
        </w:trPr>
        <w:tc>
          <w:tcPr>
            <w:tcW w:w="3929" w:type="dxa"/>
            <w:vAlign w:val="center"/>
          </w:tcPr>
          <w:p w14:paraId="696A7F59" w14:textId="77777777" w:rsidR="00EE1D3A" w:rsidRPr="00963C14" w:rsidRDefault="00EE1D3A">
            <w:pPr>
              <w:tabs>
                <w:tab w:val="left" w:pos="426"/>
                <w:tab w:val="right" w:leader="dot" w:pos="9354"/>
              </w:tabs>
              <w:spacing w:after="288"/>
              <w:ind w:right="-90" w:firstLine="567"/>
              <w:contextualSpacing/>
              <w:jc w:val="left"/>
              <w:rPr>
                <w:rFonts w:cs="Arial"/>
              </w:rPr>
            </w:pPr>
            <w:r w:rsidRPr="00963C14">
              <w:rPr>
                <w:rFonts w:cs="Arial"/>
              </w:rPr>
              <w:t>Төсөөлөл</w:t>
            </w:r>
          </w:p>
        </w:tc>
        <w:tc>
          <w:tcPr>
            <w:tcW w:w="1883" w:type="dxa"/>
            <w:shd w:val="clear" w:color="auto" w:fill="auto"/>
            <w:vAlign w:val="center"/>
          </w:tcPr>
          <w:p w14:paraId="35A46CA6" w14:textId="41CA85EA" w:rsidR="00EE1D3A" w:rsidRPr="00963C14" w:rsidRDefault="00E42210">
            <w:pPr>
              <w:tabs>
                <w:tab w:val="left" w:pos="426"/>
                <w:tab w:val="right" w:leader="dot" w:pos="9354"/>
              </w:tabs>
              <w:spacing w:after="288"/>
              <w:ind w:right="-90" w:firstLine="567"/>
              <w:contextualSpacing/>
              <w:jc w:val="center"/>
              <w:rPr>
                <w:rFonts w:cs="Arial"/>
              </w:rPr>
            </w:pPr>
            <w:r w:rsidRPr="00963C14">
              <w:rPr>
                <w:rFonts w:cs="Arial"/>
              </w:rPr>
              <w:t>50</w:t>
            </w:r>
            <w:r w:rsidR="00EE1D3A" w:rsidRPr="00963C14">
              <w:rPr>
                <w:rFonts w:cs="Arial"/>
              </w:rPr>
              <w:t>.0</w:t>
            </w:r>
          </w:p>
        </w:tc>
        <w:tc>
          <w:tcPr>
            <w:tcW w:w="1883" w:type="dxa"/>
            <w:shd w:val="clear" w:color="auto" w:fill="auto"/>
            <w:vAlign w:val="center"/>
          </w:tcPr>
          <w:p w14:paraId="7FE8E4AF" w14:textId="523755AF" w:rsidR="00EE1D3A" w:rsidRPr="00963C14" w:rsidRDefault="00EE1D3A">
            <w:pPr>
              <w:tabs>
                <w:tab w:val="left" w:pos="426"/>
                <w:tab w:val="right" w:leader="dot" w:pos="9354"/>
              </w:tabs>
              <w:spacing w:after="288"/>
              <w:ind w:right="-90" w:firstLine="567"/>
              <w:contextualSpacing/>
              <w:jc w:val="center"/>
              <w:rPr>
                <w:rFonts w:cs="Arial"/>
              </w:rPr>
            </w:pPr>
            <w:r w:rsidRPr="00963C14">
              <w:rPr>
                <w:rFonts w:cs="Arial"/>
              </w:rPr>
              <w:t>4</w:t>
            </w:r>
            <w:r w:rsidR="00292694" w:rsidRPr="00963C14">
              <w:rPr>
                <w:rFonts w:cs="Arial"/>
              </w:rPr>
              <w:t>5</w:t>
            </w:r>
            <w:r w:rsidRPr="00963C14">
              <w:rPr>
                <w:rFonts w:cs="Arial"/>
              </w:rPr>
              <w:t>.0</w:t>
            </w:r>
          </w:p>
        </w:tc>
        <w:tc>
          <w:tcPr>
            <w:tcW w:w="1749" w:type="dxa"/>
            <w:shd w:val="clear" w:color="auto" w:fill="auto"/>
            <w:vAlign w:val="center"/>
          </w:tcPr>
          <w:p w14:paraId="2499F940" w14:textId="77777777" w:rsidR="00EE1D3A" w:rsidRPr="00963C14" w:rsidRDefault="00EE1D3A">
            <w:pPr>
              <w:tabs>
                <w:tab w:val="left" w:pos="426"/>
                <w:tab w:val="right" w:leader="dot" w:pos="9354"/>
              </w:tabs>
              <w:spacing w:after="288"/>
              <w:ind w:right="-90" w:firstLine="567"/>
              <w:contextualSpacing/>
              <w:jc w:val="center"/>
              <w:rPr>
                <w:rFonts w:cs="Arial"/>
              </w:rPr>
            </w:pPr>
            <w:r w:rsidRPr="00963C14">
              <w:rPr>
                <w:rFonts w:cs="Arial"/>
              </w:rPr>
              <w:t>40.0</w:t>
            </w:r>
          </w:p>
        </w:tc>
      </w:tr>
    </w:tbl>
    <w:p w14:paraId="7213D2F2" w14:textId="77777777" w:rsidR="00EE1D3A" w:rsidRPr="00963C14" w:rsidRDefault="00EE1D3A" w:rsidP="00EE1D3A">
      <w:pPr>
        <w:tabs>
          <w:tab w:val="right" w:leader="dot" w:pos="9354"/>
        </w:tabs>
        <w:spacing w:after="288"/>
        <w:ind w:left="720"/>
        <w:rPr>
          <w:rFonts w:cs="Arial"/>
          <w:i/>
        </w:rPr>
      </w:pPr>
    </w:p>
    <w:p w14:paraId="7D908AD1" w14:textId="77777777" w:rsidR="00EE1D3A" w:rsidRPr="00963C14" w:rsidRDefault="00EE1D3A" w:rsidP="00EE1D3A">
      <w:pPr>
        <w:tabs>
          <w:tab w:val="right" w:leader="dot" w:pos="9354"/>
        </w:tabs>
        <w:spacing w:after="288"/>
        <w:ind w:firstLine="360"/>
        <w:rPr>
          <w:rFonts w:cs="Arial"/>
          <w:i/>
        </w:rPr>
      </w:pPr>
    </w:p>
    <w:p w14:paraId="2D2A6C56" w14:textId="77777777" w:rsidR="00EE1D3A" w:rsidRPr="00963C14" w:rsidRDefault="00EE1D3A" w:rsidP="00EE1D3A">
      <w:pPr>
        <w:tabs>
          <w:tab w:val="right" w:leader="dot" w:pos="9354"/>
        </w:tabs>
        <w:spacing w:after="288"/>
        <w:ind w:firstLine="360"/>
        <w:rPr>
          <w:rFonts w:cs="Arial"/>
        </w:rPr>
      </w:pPr>
    </w:p>
    <w:p w14:paraId="4F8AF52F" w14:textId="77777777" w:rsidR="00EE1D3A" w:rsidRPr="00963C14" w:rsidRDefault="00EE1D3A" w:rsidP="00EE1D3A">
      <w:pPr>
        <w:tabs>
          <w:tab w:val="right" w:leader="dot" w:pos="9354"/>
        </w:tabs>
        <w:spacing w:after="288"/>
        <w:ind w:firstLine="360"/>
        <w:rPr>
          <w:rFonts w:cs="Arial"/>
        </w:rPr>
      </w:pPr>
    </w:p>
    <w:p w14:paraId="20ECF307" w14:textId="77777777" w:rsidR="00EE1D3A" w:rsidRPr="00963C14" w:rsidRDefault="00EE1D3A" w:rsidP="00EE1D3A">
      <w:pPr>
        <w:tabs>
          <w:tab w:val="right" w:leader="dot" w:pos="9354"/>
        </w:tabs>
        <w:spacing w:after="288"/>
        <w:rPr>
          <w:rFonts w:cs="Arial"/>
        </w:rPr>
      </w:pPr>
    </w:p>
    <w:p w14:paraId="3D341D0C" w14:textId="77777777" w:rsidR="00EE1D3A" w:rsidRPr="00963C14" w:rsidRDefault="00EE1D3A" w:rsidP="00EE1D3A">
      <w:pPr>
        <w:tabs>
          <w:tab w:val="right" w:leader="dot" w:pos="9354"/>
        </w:tabs>
        <w:spacing w:after="288"/>
        <w:rPr>
          <w:rFonts w:cs="Arial"/>
        </w:rPr>
      </w:pPr>
      <w:r w:rsidRPr="00963C14">
        <w:rPr>
          <w:rFonts w:cs="Arial"/>
        </w:rPr>
        <w:br w:type="page"/>
      </w:r>
    </w:p>
    <w:p w14:paraId="134B3678" w14:textId="77777777" w:rsidR="00EE1D3A" w:rsidRPr="00963C14" w:rsidRDefault="00EE1D3A" w:rsidP="00EE1D3A">
      <w:pPr>
        <w:pStyle w:val="Heading1"/>
        <w:numPr>
          <w:ilvl w:val="0"/>
          <w:numId w:val="3"/>
        </w:numPr>
        <w:tabs>
          <w:tab w:val="right" w:leader="dot" w:pos="9354"/>
        </w:tabs>
        <w:spacing w:after="288"/>
        <w:rPr>
          <w:rFonts w:ascii="Arial" w:hAnsi="Arial" w:cs="Arial"/>
          <w:b/>
          <w:color w:val="auto"/>
          <w:sz w:val="24"/>
          <w:szCs w:val="24"/>
        </w:rPr>
      </w:pPr>
      <w:bookmarkStart w:id="43" w:name="_Toc163484920"/>
      <w:bookmarkStart w:id="44" w:name="_Toc163736654"/>
      <w:bookmarkStart w:id="45" w:name="_Toc163811087"/>
      <w:bookmarkStart w:id="46" w:name="_Toc165299384"/>
      <w:r w:rsidRPr="00963C14">
        <w:rPr>
          <w:rFonts w:ascii="Arial" w:hAnsi="Arial" w:cs="Arial"/>
          <w:b/>
          <w:color w:val="auto"/>
          <w:sz w:val="24"/>
          <w:szCs w:val="24"/>
        </w:rPr>
        <w:t>ТӨСВИЙН ТӨЛӨВ БАЙДАЛ, ТҮҮНИЙ ТӨСӨӨЛӨЛ</w:t>
      </w:r>
      <w:bookmarkEnd w:id="43"/>
      <w:bookmarkEnd w:id="44"/>
      <w:bookmarkEnd w:id="45"/>
      <w:bookmarkEnd w:id="46"/>
      <w:r w:rsidRPr="00963C14">
        <w:rPr>
          <w:rFonts w:ascii="Arial" w:hAnsi="Arial" w:cs="Arial"/>
          <w:b/>
          <w:color w:val="auto"/>
          <w:sz w:val="24"/>
          <w:szCs w:val="24"/>
        </w:rPr>
        <w:t xml:space="preserve"> </w:t>
      </w:r>
    </w:p>
    <w:p w14:paraId="47755CA8" w14:textId="77777777" w:rsidR="00EE1D3A" w:rsidRPr="00963C14" w:rsidRDefault="00EE1D3A" w:rsidP="00EE1D3A">
      <w:pPr>
        <w:pStyle w:val="Heading2"/>
        <w:tabs>
          <w:tab w:val="right" w:leader="dot" w:pos="9354"/>
        </w:tabs>
        <w:spacing w:after="288"/>
        <w:ind w:firstLine="360"/>
        <w:rPr>
          <w:rFonts w:ascii="Arial" w:hAnsi="Arial" w:cs="Arial"/>
          <w:b/>
          <w:color w:val="auto"/>
          <w:sz w:val="24"/>
          <w:szCs w:val="24"/>
        </w:rPr>
      </w:pPr>
      <w:bookmarkStart w:id="47" w:name="_Toc163484921"/>
      <w:bookmarkStart w:id="48" w:name="_Toc163736655"/>
      <w:bookmarkStart w:id="49" w:name="_Toc163811088"/>
      <w:bookmarkStart w:id="50" w:name="_Toc165299385"/>
      <w:r w:rsidRPr="00963C14">
        <w:rPr>
          <w:rFonts w:ascii="Arial" w:eastAsiaTheme="minorEastAsia" w:hAnsi="Arial" w:cs="Arial"/>
          <w:b/>
          <w:color w:val="055957"/>
          <w:kern w:val="0"/>
          <w:sz w:val="24"/>
          <w:szCs w:val="24"/>
        </w:rPr>
        <w:t>4.1. Монгол Улсын нэгдсэн төсвийн 2023 оны урьдчилсан гүйцэтгэл</w:t>
      </w:r>
      <w:bookmarkEnd w:id="47"/>
      <w:bookmarkEnd w:id="48"/>
      <w:bookmarkEnd w:id="49"/>
      <w:bookmarkEnd w:id="50"/>
      <w:r w:rsidRPr="00963C14">
        <w:rPr>
          <w:rFonts w:ascii="Arial" w:eastAsiaTheme="minorEastAsia" w:hAnsi="Arial" w:cs="Arial"/>
          <w:b/>
          <w:color w:val="055957"/>
          <w:kern w:val="0"/>
          <w:sz w:val="24"/>
          <w:szCs w:val="24"/>
        </w:rPr>
        <w:t xml:space="preserve"> </w:t>
      </w:r>
    </w:p>
    <w:p w14:paraId="7C70624F" w14:textId="77777777" w:rsidR="00EE1D3A" w:rsidRPr="00963C14" w:rsidRDefault="00EE1D3A" w:rsidP="00EE1D3A">
      <w:pPr>
        <w:pStyle w:val="Heading3"/>
        <w:tabs>
          <w:tab w:val="left" w:pos="810"/>
          <w:tab w:val="right" w:leader="dot" w:pos="9354"/>
        </w:tabs>
        <w:spacing w:after="288"/>
        <w:rPr>
          <w:rFonts w:ascii="Arial" w:hAnsi="Arial" w:cs="Arial"/>
          <w:color w:val="auto"/>
        </w:rPr>
      </w:pPr>
      <w:bookmarkStart w:id="51" w:name="_Toc163484922"/>
      <w:bookmarkStart w:id="52" w:name="_Toc163736656"/>
      <w:bookmarkStart w:id="53" w:name="_Toc163811089"/>
      <w:bookmarkStart w:id="54" w:name="_Toc165299386"/>
      <w:r w:rsidRPr="00963C14">
        <w:rPr>
          <w:rFonts w:ascii="Arial" w:hAnsi="Arial" w:cs="Arial"/>
          <w:color w:val="auto"/>
        </w:rPr>
        <w:t>4.1.1. Төсвийн орлого</w:t>
      </w:r>
      <w:bookmarkEnd w:id="51"/>
      <w:bookmarkEnd w:id="52"/>
      <w:bookmarkEnd w:id="53"/>
      <w:bookmarkEnd w:id="54"/>
      <w:r w:rsidRPr="00963C14">
        <w:rPr>
          <w:rFonts w:ascii="Arial" w:hAnsi="Arial" w:cs="Arial"/>
          <w:color w:val="auto"/>
        </w:rPr>
        <w:t xml:space="preserve"> </w:t>
      </w:r>
    </w:p>
    <w:p w14:paraId="7E786343" w14:textId="77777777" w:rsidR="00EE1D3A" w:rsidRPr="00963C14" w:rsidRDefault="00EE1D3A" w:rsidP="00EE1D3A">
      <w:pPr>
        <w:tabs>
          <w:tab w:val="right" w:leader="dot" w:pos="9354"/>
        </w:tabs>
        <w:spacing w:after="288"/>
        <w:rPr>
          <w:rFonts w:cs="Arial"/>
        </w:rPr>
      </w:pPr>
      <w:r w:rsidRPr="00963C14">
        <w:rPr>
          <w:rFonts w:cs="Arial"/>
        </w:rPr>
        <w:t xml:space="preserve">Монгол Улсын нэгдсэн төсвийн нийт орлого 2023 оны урьдчилсан гүйцэтгэлээр 24,310.1 тэрбум төгрөгт хүрч, төлөвлөсөн хэмжээнээс 5.6 хувиар буюу 1,284.9 тэрбум төгрөгөөр давсан байна. </w:t>
      </w:r>
    </w:p>
    <w:p w14:paraId="6B84F733" w14:textId="38F2235F" w:rsidR="00EE1D3A" w:rsidRPr="00963C14" w:rsidRDefault="00EE1D3A" w:rsidP="00EE1D3A">
      <w:pPr>
        <w:pStyle w:val="Caption"/>
        <w:keepNext/>
        <w:rPr>
          <w:rFonts w:ascii="Arial" w:hAnsi="Arial" w:cs="Arial"/>
        </w:rPr>
      </w:pPr>
      <w:r w:rsidRPr="00963C14">
        <w:rPr>
          <w:rFonts w:ascii="Arial" w:hAnsi="Arial" w:cs="Arial"/>
        </w:rPr>
        <w:t>Хүснэгт 4.1. Төсвийн орлого</w:t>
      </w:r>
      <w:r w:rsidR="00840E08" w:rsidRPr="00963C14">
        <w:rPr>
          <w:rFonts w:ascii="Arial" w:hAnsi="Arial" w:cs="Arial"/>
        </w:rPr>
        <w:t xml:space="preserve"> (</w:t>
      </w:r>
      <w:r w:rsidRPr="00963C14">
        <w:rPr>
          <w:rFonts w:ascii="Arial" w:hAnsi="Arial" w:cs="Arial"/>
        </w:rPr>
        <w:t xml:space="preserve">тэрбум </w:t>
      </w:r>
      <w:r w:rsidR="00840E08" w:rsidRPr="00963C14">
        <w:rPr>
          <w:rFonts w:ascii="Arial" w:hAnsi="Arial" w:cs="Arial"/>
        </w:rPr>
        <w:t>төгрөг)</w:t>
      </w:r>
    </w:p>
    <w:tbl>
      <w:tblPr>
        <w:tblW w:w="9465" w:type="dxa"/>
        <w:tblLook w:val="04A0" w:firstRow="1" w:lastRow="0" w:firstColumn="1" w:lastColumn="0" w:noHBand="0" w:noVBand="1"/>
      </w:tblPr>
      <w:tblGrid>
        <w:gridCol w:w="3504"/>
        <w:gridCol w:w="1904"/>
        <w:gridCol w:w="2029"/>
        <w:gridCol w:w="2028"/>
      </w:tblGrid>
      <w:tr w:rsidR="00EE1D3A" w:rsidRPr="00963C14" w14:paraId="441FA3C8" w14:textId="77777777">
        <w:trPr>
          <w:trHeight w:val="350"/>
        </w:trPr>
        <w:tc>
          <w:tcPr>
            <w:tcW w:w="3504" w:type="dxa"/>
            <w:shd w:val="clear" w:color="auto" w:fill="11A795"/>
            <w:vAlign w:val="center"/>
          </w:tcPr>
          <w:p w14:paraId="670C5516" w14:textId="77777777" w:rsidR="00EE1D3A" w:rsidRPr="00963C14" w:rsidRDefault="00EE1D3A">
            <w:pPr>
              <w:tabs>
                <w:tab w:val="left" w:pos="426"/>
                <w:tab w:val="right" w:leader="dot" w:pos="9354"/>
              </w:tabs>
              <w:spacing w:afterLines="0" w:after="0" w:line="240" w:lineRule="auto"/>
              <w:jc w:val="center"/>
              <w:rPr>
                <w:rFonts w:eastAsia="Times New Roman" w:cs="Arial"/>
                <w:b/>
                <w:color w:val="FFFFFF"/>
                <w:kern w:val="0"/>
                <w:lang w:eastAsia="mn-MN"/>
                <w14:ligatures w14:val="none"/>
              </w:rPr>
            </w:pPr>
            <w:r w:rsidRPr="00963C14">
              <w:rPr>
                <w:rFonts w:eastAsia="Times New Roman" w:cs="Arial"/>
                <w:b/>
                <w:color w:val="FFFFFF"/>
                <w:kern w:val="0"/>
                <w:lang w:eastAsia="mn-MN"/>
                <w14:ligatures w14:val="none"/>
              </w:rPr>
              <w:t>Үзүүлэлт</w:t>
            </w:r>
          </w:p>
        </w:tc>
        <w:tc>
          <w:tcPr>
            <w:tcW w:w="1904" w:type="dxa"/>
            <w:shd w:val="clear" w:color="auto" w:fill="11A795"/>
            <w:noWrap/>
            <w:vAlign w:val="center"/>
            <w:hideMark/>
          </w:tcPr>
          <w:p w14:paraId="5F292D0B" w14:textId="77777777" w:rsidR="00EE1D3A" w:rsidRPr="00963C14" w:rsidRDefault="00EE1D3A" w:rsidP="00AB7EF0">
            <w:pPr>
              <w:tabs>
                <w:tab w:val="left" w:pos="426"/>
                <w:tab w:val="right" w:leader="dot" w:pos="9354"/>
              </w:tabs>
              <w:spacing w:afterLines="0" w:after="0" w:line="240" w:lineRule="auto"/>
              <w:jc w:val="right"/>
              <w:rPr>
                <w:rFonts w:eastAsia="Times New Roman" w:cs="Arial"/>
                <w:b/>
                <w:color w:val="FFFFFF"/>
                <w:kern w:val="0"/>
                <w:lang w:eastAsia="mn-MN"/>
                <w14:ligatures w14:val="none"/>
              </w:rPr>
            </w:pPr>
            <w:r w:rsidRPr="00963C14">
              <w:rPr>
                <w:rFonts w:eastAsia="Times New Roman" w:cs="Arial"/>
                <w:b/>
                <w:color w:val="FFFFFF"/>
                <w:kern w:val="0"/>
                <w:lang w:eastAsia="mn-MN"/>
                <w14:ligatures w14:val="none"/>
              </w:rPr>
              <w:t>2021</w:t>
            </w:r>
          </w:p>
        </w:tc>
        <w:tc>
          <w:tcPr>
            <w:tcW w:w="2029" w:type="dxa"/>
            <w:shd w:val="clear" w:color="auto" w:fill="11A795"/>
            <w:vAlign w:val="center"/>
            <w:hideMark/>
          </w:tcPr>
          <w:p w14:paraId="49B1E918" w14:textId="77777777" w:rsidR="00EE1D3A" w:rsidRPr="00963C14" w:rsidRDefault="00EE1D3A" w:rsidP="00AB7EF0">
            <w:pPr>
              <w:tabs>
                <w:tab w:val="left" w:pos="426"/>
                <w:tab w:val="right" w:leader="dot" w:pos="9354"/>
              </w:tabs>
              <w:spacing w:afterLines="0" w:after="0" w:line="240" w:lineRule="auto"/>
              <w:jc w:val="right"/>
              <w:rPr>
                <w:rFonts w:eastAsia="Times New Roman" w:cs="Arial"/>
                <w:b/>
                <w:color w:val="FFFFFF"/>
                <w:kern w:val="0"/>
                <w:lang w:eastAsia="mn-MN"/>
                <w14:ligatures w14:val="none"/>
              </w:rPr>
            </w:pPr>
            <w:r w:rsidRPr="00963C14">
              <w:rPr>
                <w:rFonts w:eastAsia="Times New Roman" w:cs="Arial"/>
                <w:b/>
                <w:color w:val="FFFFFF"/>
                <w:kern w:val="0"/>
                <w:lang w:eastAsia="mn-MN"/>
                <w14:ligatures w14:val="none"/>
              </w:rPr>
              <w:t>2022</w:t>
            </w:r>
          </w:p>
        </w:tc>
        <w:tc>
          <w:tcPr>
            <w:tcW w:w="2028" w:type="dxa"/>
            <w:shd w:val="clear" w:color="auto" w:fill="11A795"/>
            <w:noWrap/>
            <w:vAlign w:val="center"/>
            <w:hideMark/>
          </w:tcPr>
          <w:p w14:paraId="49481F5A" w14:textId="635F5E76" w:rsidR="00EE1D3A" w:rsidRPr="00963C14" w:rsidRDefault="00A70062" w:rsidP="00AB7EF0">
            <w:pPr>
              <w:tabs>
                <w:tab w:val="left" w:pos="426"/>
                <w:tab w:val="right" w:leader="dot" w:pos="9354"/>
              </w:tabs>
              <w:spacing w:afterLines="0" w:after="0" w:line="240" w:lineRule="auto"/>
              <w:jc w:val="center"/>
              <w:rPr>
                <w:rFonts w:eastAsia="Times New Roman" w:cs="Arial"/>
                <w:b/>
                <w:color w:val="FFFFFF"/>
                <w:kern w:val="0"/>
                <w:lang w:eastAsia="mn-MN"/>
                <w14:ligatures w14:val="none"/>
              </w:rPr>
            </w:pPr>
            <w:r w:rsidRPr="00963C14">
              <w:rPr>
                <w:rFonts w:eastAsia="Times New Roman" w:cs="Arial"/>
                <w:b/>
                <w:color w:val="FFFFFF"/>
                <w:kern w:val="0"/>
                <w:lang w:eastAsia="mn-MN"/>
                <w14:ligatures w14:val="none"/>
              </w:rPr>
              <w:t xml:space="preserve">         </w:t>
            </w:r>
            <w:r w:rsidR="00EE1D3A" w:rsidRPr="00963C14">
              <w:rPr>
                <w:rFonts w:eastAsia="Times New Roman" w:cs="Arial"/>
                <w:b/>
                <w:color w:val="FFFFFF"/>
                <w:kern w:val="0"/>
                <w:lang w:eastAsia="mn-MN"/>
                <w14:ligatures w14:val="none"/>
              </w:rPr>
              <w:t>2023</w:t>
            </w:r>
          </w:p>
          <w:p w14:paraId="6EE78D2B" w14:textId="77777777" w:rsidR="00EE1D3A" w:rsidRPr="00963C14" w:rsidRDefault="00EE1D3A" w:rsidP="00AB7EF0">
            <w:pPr>
              <w:tabs>
                <w:tab w:val="left" w:pos="426"/>
                <w:tab w:val="right" w:leader="dot" w:pos="9354"/>
              </w:tabs>
              <w:spacing w:afterLines="0" w:after="0" w:line="240" w:lineRule="auto"/>
              <w:jc w:val="right"/>
              <w:rPr>
                <w:rFonts w:eastAsia="Times New Roman" w:cs="Arial"/>
                <w:i/>
                <w:color w:val="FFFFFF"/>
                <w:kern w:val="0"/>
                <w:lang w:eastAsia="mn-MN"/>
                <w14:ligatures w14:val="none"/>
              </w:rPr>
            </w:pPr>
            <w:r w:rsidRPr="00963C14">
              <w:rPr>
                <w:rFonts w:eastAsia="Times New Roman" w:cs="Arial"/>
                <w:i/>
                <w:color w:val="FFFFFF"/>
                <w:kern w:val="0"/>
                <w:lang w:eastAsia="mn-MN"/>
                <w14:ligatures w14:val="none"/>
              </w:rPr>
              <w:t>у.гүйцэтгэл</w:t>
            </w:r>
          </w:p>
        </w:tc>
      </w:tr>
      <w:tr w:rsidR="00EE1D3A" w:rsidRPr="00963C14" w14:paraId="41BAFDFE" w14:textId="77777777" w:rsidTr="00DF0264">
        <w:trPr>
          <w:trHeight w:val="350"/>
        </w:trPr>
        <w:tc>
          <w:tcPr>
            <w:tcW w:w="3504" w:type="dxa"/>
            <w:tcBorders>
              <w:bottom w:val="single" w:sz="4" w:space="0" w:color="auto"/>
            </w:tcBorders>
            <w:shd w:val="clear" w:color="auto" w:fill="auto"/>
            <w:noWrap/>
            <w:vAlign w:val="center"/>
            <w:hideMark/>
          </w:tcPr>
          <w:p w14:paraId="0C6C8AFE" w14:textId="77777777" w:rsidR="00EE1D3A" w:rsidRPr="00963C14" w:rsidRDefault="00EE1D3A">
            <w:pPr>
              <w:tabs>
                <w:tab w:val="left" w:pos="426"/>
                <w:tab w:val="right" w:leader="dot" w:pos="9354"/>
              </w:tabs>
              <w:spacing w:afterLines="0" w:after="0" w:line="240" w:lineRule="auto"/>
              <w:jc w:val="left"/>
              <w:rPr>
                <w:rFonts w:eastAsia="Times New Roman" w:cs="Arial"/>
                <w:b/>
                <w:color w:val="000000"/>
                <w:kern w:val="0"/>
                <w:sz w:val="22"/>
                <w:szCs w:val="20"/>
                <w:lang w:eastAsia="mn-MN"/>
                <w14:ligatures w14:val="none"/>
              </w:rPr>
            </w:pPr>
            <w:r w:rsidRPr="00963C14">
              <w:rPr>
                <w:rFonts w:eastAsia="Times New Roman" w:cs="Arial"/>
                <w:b/>
                <w:color w:val="000000"/>
                <w:kern w:val="0"/>
                <w:sz w:val="22"/>
                <w:szCs w:val="20"/>
                <w:lang w:eastAsia="mn-MN"/>
                <w14:ligatures w14:val="none"/>
              </w:rPr>
              <w:t>Тэнцвэржүүлсэн орлого</w:t>
            </w:r>
          </w:p>
        </w:tc>
        <w:tc>
          <w:tcPr>
            <w:tcW w:w="1904" w:type="dxa"/>
            <w:tcBorders>
              <w:bottom w:val="single" w:sz="4" w:space="0" w:color="auto"/>
            </w:tcBorders>
            <w:shd w:val="clear" w:color="auto" w:fill="auto"/>
            <w:noWrap/>
            <w:vAlign w:val="center"/>
            <w:hideMark/>
          </w:tcPr>
          <w:p w14:paraId="3B1CDC02" w14:textId="682107DA" w:rsidR="00EE1D3A" w:rsidRPr="00963C14" w:rsidRDefault="00EE1D3A">
            <w:pPr>
              <w:tabs>
                <w:tab w:val="left" w:pos="426"/>
                <w:tab w:val="right" w:leader="dot" w:pos="9354"/>
              </w:tabs>
              <w:spacing w:afterLines="0" w:after="0" w:line="240" w:lineRule="auto"/>
              <w:jc w:val="right"/>
              <w:rPr>
                <w:rFonts w:eastAsia="Times New Roman" w:cs="Arial"/>
                <w:b/>
                <w:color w:val="000000"/>
                <w:kern w:val="0"/>
                <w:sz w:val="22"/>
                <w:szCs w:val="20"/>
                <w:lang w:eastAsia="mn-MN"/>
                <w14:ligatures w14:val="none"/>
              </w:rPr>
            </w:pPr>
            <w:r w:rsidRPr="00963C14">
              <w:rPr>
                <w:rFonts w:eastAsia="Times New Roman" w:cs="Arial"/>
                <w:b/>
                <w:color w:val="000000"/>
                <w:kern w:val="0"/>
                <w:sz w:val="22"/>
                <w:szCs w:val="20"/>
                <w:lang w:eastAsia="mn-MN"/>
                <w14:ligatures w14:val="none"/>
              </w:rPr>
              <w:t>12,711</w:t>
            </w:r>
            <w:r w:rsidR="001F7983" w:rsidRPr="00963C14">
              <w:rPr>
                <w:rFonts w:eastAsia="Times New Roman" w:cs="Arial"/>
                <w:b/>
                <w:color w:val="000000"/>
                <w:kern w:val="0"/>
                <w:sz w:val="22"/>
                <w:szCs w:val="20"/>
                <w:lang w:eastAsia="mn-MN"/>
                <w14:ligatures w14:val="none"/>
              </w:rPr>
              <w:t>.4</w:t>
            </w:r>
          </w:p>
        </w:tc>
        <w:tc>
          <w:tcPr>
            <w:tcW w:w="2029" w:type="dxa"/>
            <w:tcBorders>
              <w:bottom w:val="single" w:sz="4" w:space="0" w:color="auto"/>
            </w:tcBorders>
            <w:shd w:val="clear" w:color="auto" w:fill="auto"/>
            <w:vAlign w:val="center"/>
            <w:hideMark/>
          </w:tcPr>
          <w:p w14:paraId="5D31193C" w14:textId="0A7133F5" w:rsidR="00EE1D3A" w:rsidRPr="00963C14" w:rsidRDefault="00EE1D3A">
            <w:pPr>
              <w:tabs>
                <w:tab w:val="left" w:pos="426"/>
                <w:tab w:val="right" w:leader="dot" w:pos="9354"/>
              </w:tabs>
              <w:spacing w:afterLines="0" w:after="0" w:line="240" w:lineRule="auto"/>
              <w:jc w:val="right"/>
              <w:rPr>
                <w:rFonts w:eastAsia="Times New Roman" w:cs="Arial"/>
                <w:b/>
                <w:color w:val="000000"/>
                <w:kern w:val="0"/>
                <w:sz w:val="22"/>
                <w:szCs w:val="20"/>
                <w:lang w:eastAsia="mn-MN"/>
                <w14:ligatures w14:val="none"/>
              </w:rPr>
            </w:pPr>
            <w:r w:rsidRPr="00963C14">
              <w:rPr>
                <w:rFonts w:eastAsia="Times New Roman" w:cs="Arial"/>
                <w:b/>
                <w:color w:val="000000"/>
                <w:kern w:val="0"/>
                <w:sz w:val="22"/>
                <w:szCs w:val="20"/>
                <w:lang w:eastAsia="mn-MN"/>
                <w14:ligatures w14:val="none"/>
              </w:rPr>
              <w:t>17,12</w:t>
            </w:r>
            <w:r w:rsidR="00102E55" w:rsidRPr="00963C14">
              <w:rPr>
                <w:rFonts w:eastAsia="Times New Roman" w:cs="Arial"/>
                <w:b/>
                <w:color w:val="000000"/>
                <w:kern w:val="0"/>
                <w:sz w:val="22"/>
                <w:szCs w:val="20"/>
                <w:lang w:eastAsia="mn-MN"/>
                <w14:ligatures w14:val="none"/>
              </w:rPr>
              <w:t>6.</w:t>
            </w:r>
            <w:r w:rsidR="00EB467A" w:rsidRPr="00963C14">
              <w:rPr>
                <w:rFonts w:eastAsia="Times New Roman" w:cs="Arial"/>
                <w:b/>
                <w:color w:val="000000"/>
                <w:kern w:val="0"/>
                <w:sz w:val="22"/>
                <w:szCs w:val="20"/>
                <w:lang w:eastAsia="mn-MN"/>
                <w14:ligatures w14:val="none"/>
              </w:rPr>
              <w:t>9</w:t>
            </w:r>
          </w:p>
        </w:tc>
        <w:tc>
          <w:tcPr>
            <w:tcW w:w="2028" w:type="dxa"/>
            <w:tcBorders>
              <w:bottom w:val="single" w:sz="4" w:space="0" w:color="auto"/>
            </w:tcBorders>
            <w:shd w:val="clear" w:color="auto" w:fill="auto"/>
            <w:noWrap/>
            <w:vAlign w:val="center"/>
            <w:hideMark/>
          </w:tcPr>
          <w:p w14:paraId="3FA1EAD7" w14:textId="38E8D187" w:rsidR="00EE1D3A" w:rsidRPr="00963C14" w:rsidRDefault="00EE1D3A">
            <w:pPr>
              <w:tabs>
                <w:tab w:val="left" w:pos="426"/>
                <w:tab w:val="right" w:leader="dot" w:pos="9354"/>
              </w:tabs>
              <w:spacing w:afterLines="0" w:after="0" w:line="240" w:lineRule="auto"/>
              <w:jc w:val="right"/>
              <w:rPr>
                <w:rFonts w:eastAsia="Times New Roman" w:cs="Arial"/>
                <w:b/>
                <w:color w:val="000000"/>
                <w:kern w:val="0"/>
                <w:sz w:val="22"/>
                <w:szCs w:val="20"/>
                <w:lang w:eastAsia="mn-MN"/>
                <w14:ligatures w14:val="none"/>
              </w:rPr>
            </w:pPr>
            <w:r w:rsidRPr="00963C14">
              <w:rPr>
                <w:rFonts w:eastAsia="Times New Roman" w:cs="Arial"/>
                <w:b/>
                <w:color w:val="000000"/>
                <w:kern w:val="0"/>
                <w:sz w:val="22"/>
                <w:szCs w:val="20"/>
                <w:lang w:eastAsia="mn-MN"/>
                <w14:ligatures w14:val="none"/>
              </w:rPr>
              <w:t>23,218</w:t>
            </w:r>
            <w:r w:rsidR="00CE4D68" w:rsidRPr="00963C14">
              <w:rPr>
                <w:rFonts w:eastAsia="Times New Roman" w:cs="Arial"/>
                <w:b/>
                <w:color w:val="000000"/>
                <w:kern w:val="0"/>
                <w:sz w:val="22"/>
                <w:szCs w:val="20"/>
                <w:lang w:eastAsia="mn-MN"/>
                <w14:ligatures w14:val="none"/>
              </w:rPr>
              <w:t>.</w:t>
            </w:r>
            <w:r w:rsidR="00ED12B2" w:rsidRPr="00963C14">
              <w:rPr>
                <w:rFonts w:eastAsia="Times New Roman" w:cs="Arial"/>
                <w:b/>
                <w:color w:val="000000"/>
                <w:kern w:val="0"/>
                <w:sz w:val="22"/>
                <w:szCs w:val="20"/>
                <w:lang w:eastAsia="mn-MN"/>
                <w14:ligatures w14:val="none"/>
              </w:rPr>
              <w:t>0</w:t>
            </w:r>
          </w:p>
        </w:tc>
      </w:tr>
      <w:tr w:rsidR="00EE1D3A" w:rsidRPr="00963C14" w14:paraId="3DA77054" w14:textId="77777777" w:rsidTr="00DF0264">
        <w:trPr>
          <w:trHeight w:val="350"/>
        </w:trPr>
        <w:tc>
          <w:tcPr>
            <w:tcW w:w="3504" w:type="dxa"/>
            <w:tcBorders>
              <w:top w:val="single" w:sz="4" w:space="0" w:color="auto"/>
            </w:tcBorders>
            <w:shd w:val="clear" w:color="auto" w:fill="auto"/>
            <w:noWrap/>
            <w:vAlign w:val="center"/>
            <w:hideMark/>
          </w:tcPr>
          <w:p w14:paraId="3DAEC27B" w14:textId="77777777" w:rsidR="00EE1D3A" w:rsidRPr="00963C14" w:rsidRDefault="00EE1D3A">
            <w:pPr>
              <w:tabs>
                <w:tab w:val="left" w:pos="426"/>
                <w:tab w:val="right" w:leader="dot" w:pos="9354"/>
              </w:tabs>
              <w:spacing w:afterLines="0" w:after="0" w:line="240" w:lineRule="auto"/>
              <w:jc w:val="left"/>
              <w:rPr>
                <w:rFonts w:eastAsia="Times New Roman" w:cs="Arial"/>
                <w:color w:val="000000"/>
                <w:kern w:val="0"/>
                <w:sz w:val="22"/>
                <w:szCs w:val="20"/>
                <w:lang w:eastAsia="mn-MN"/>
                <w14:ligatures w14:val="none"/>
              </w:rPr>
            </w:pPr>
            <w:r w:rsidRPr="00963C14">
              <w:rPr>
                <w:rFonts w:eastAsia="Times New Roman" w:cs="Arial"/>
                <w:color w:val="000000"/>
                <w:kern w:val="0"/>
                <w:sz w:val="22"/>
                <w:szCs w:val="20"/>
                <w:lang w:eastAsia="mn-MN"/>
                <w14:ligatures w14:val="none"/>
              </w:rPr>
              <w:t>Татварын орлого</w:t>
            </w:r>
          </w:p>
        </w:tc>
        <w:tc>
          <w:tcPr>
            <w:tcW w:w="1904" w:type="dxa"/>
            <w:tcBorders>
              <w:top w:val="single" w:sz="4" w:space="0" w:color="auto"/>
            </w:tcBorders>
            <w:shd w:val="clear" w:color="auto" w:fill="auto"/>
            <w:noWrap/>
            <w:vAlign w:val="center"/>
            <w:hideMark/>
          </w:tcPr>
          <w:p w14:paraId="7467ADEA" w14:textId="254B87E1" w:rsidR="00EE1D3A" w:rsidRPr="00963C14" w:rsidRDefault="00EE1D3A">
            <w:pPr>
              <w:tabs>
                <w:tab w:val="left" w:pos="426"/>
                <w:tab w:val="right" w:leader="dot" w:pos="9354"/>
              </w:tabs>
              <w:spacing w:afterLines="0" w:after="0" w:line="240" w:lineRule="auto"/>
              <w:jc w:val="right"/>
              <w:rPr>
                <w:rFonts w:eastAsia="Times New Roman" w:cs="Arial"/>
                <w:color w:val="000000"/>
                <w:kern w:val="0"/>
                <w:sz w:val="22"/>
                <w:szCs w:val="20"/>
                <w:lang w:eastAsia="mn-MN"/>
                <w14:ligatures w14:val="none"/>
              </w:rPr>
            </w:pPr>
            <w:r w:rsidRPr="00963C14">
              <w:rPr>
                <w:rFonts w:eastAsia="Times New Roman" w:cs="Arial"/>
                <w:color w:val="000000"/>
                <w:kern w:val="0"/>
                <w:sz w:val="22"/>
                <w:szCs w:val="20"/>
                <w:lang w:eastAsia="mn-MN"/>
                <w14:ligatures w14:val="none"/>
              </w:rPr>
              <w:t>11,300</w:t>
            </w:r>
            <w:r w:rsidR="00E52810" w:rsidRPr="00963C14">
              <w:rPr>
                <w:rFonts w:eastAsia="Times New Roman" w:cs="Arial"/>
                <w:color w:val="000000"/>
                <w:kern w:val="0"/>
                <w:sz w:val="22"/>
                <w:szCs w:val="20"/>
                <w:lang w:eastAsia="mn-MN"/>
                <w14:ligatures w14:val="none"/>
              </w:rPr>
              <w:t>.0</w:t>
            </w:r>
          </w:p>
        </w:tc>
        <w:tc>
          <w:tcPr>
            <w:tcW w:w="2029" w:type="dxa"/>
            <w:tcBorders>
              <w:top w:val="single" w:sz="4" w:space="0" w:color="auto"/>
            </w:tcBorders>
            <w:shd w:val="clear" w:color="auto" w:fill="auto"/>
            <w:vAlign w:val="center"/>
            <w:hideMark/>
          </w:tcPr>
          <w:p w14:paraId="4887E3EA" w14:textId="534CDE27" w:rsidR="00EE1D3A" w:rsidRPr="00963C14" w:rsidRDefault="00EE1D3A">
            <w:pPr>
              <w:tabs>
                <w:tab w:val="left" w:pos="426"/>
                <w:tab w:val="right" w:leader="dot" w:pos="9354"/>
              </w:tabs>
              <w:spacing w:afterLines="0" w:after="0" w:line="240" w:lineRule="auto"/>
              <w:jc w:val="right"/>
              <w:rPr>
                <w:rFonts w:eastAsia="Times New Roman" w:cs="Arial"/>
                <w:color w:val="000000"/>
                <w:kern w:val="0"/>
                <w:sz w:val="22"/>
                <w:szCs w:val="20"/>
                <w:lang w:eastAsia="mn-MN"/>
                <w14:ligatures w14:val="none"/>
              </w:rPr>
            </w:pPr>
            <w:r w:rsidRPr="00963C14">
              <w:rPr>
                <w:rFonts w:eastAsia="Times New Roman" w:cs="Arial"/>
                <w:color w:val="000000"/>
                <w:kern w:val="0"/>
                <w:sz w:val="22"/>
                <w:szCs w:val="20"/>
                <w:lang w:eastAsia="mn-MN"/>
                <w14:ligatures w14:val="none"/>
              </w:rPr>
              <w:t>15,45</w:t>
            </w:r>
            <w:r w:rsidR="008A3CF2" w:rsidRPr="00963C14">
              <w:rPr>
                <w:rFonts w:eastAsia="Times New Roman" w:cs="Arial"/>
                <w:color w:val="000000"/>
                <w:kern w:val="0"/>
                <w:sz w:val="22"/>
                <w:szCs w:val="20"/>
                <w:lang w:eastAsia="mn-MN"/>
                <w14:ligatures w14:val="none"/>
              </w:rPr>
              <w:t>9</w:t>
            </w:r>
            <w:r w:rsidR="00235FA9" w:rsidRPr="00963C14">
              <w:rPr>
                <w:rFonts w:eastAsia="Times New Roman" w:cs="Arial"/>
                <w:color w:val="000000"/>
                <w:kern w:val="0"/>
                <w:sz w:val="22"/>
                <w:szCs w:val="20"/>
                <w:lang w:eastAsia="mn-MN"/>
                <w14:ligatures w14:val="none"/>
              </w:rPr>
              <w:t>.</w:t>
            </w:r>
            <w:r w:rsidR="008A3CF2" w:rsidRPr="00963C14">
              <w:rPr>
                <w:rFonts w:eastAsia="Times New Roman" w:cs="Arial"/>
                <w:color w:val="000000"/>
                <w:kern w:val="0"/>
                <w:sz w:val="22"/>
                <w:szCs w:val="20"/>
                <w:lang w:eastAsia="mn-MN"/>
                <w14:ligatures w14:val="none"/>
              </w:rPr>
              <w:t>0</w:t>
            </w:r>
          </w:p>
        </w:tc>
        <w:tc>
          <w:tcPr>
            <w:tcW w:w="2028" w:type="dxa"/>
            <w:tcBorders>
              <w:top w:val="single" w:sz="4" w:space="0" w:color="auto"/>
            </w:tcBorders>
            <w:shd w:val="clear" w:color="auto" w:fill="auto"/>
            <w:noWrap/>
            <w:vAlign w:val="center"/>
            <w:hideMark/>
          </w:tcPr>
          <w:p w14:paraId="203F763B" w14:textId="23B39553" w:rsidR="00EE1D3A" w:rsidRPr="00963C14" w:rsidRDefault="00EE1D3A">
            <w:pPr>
              <w:tabs>
                <w:tab w:val="left" w:pos="426"/>
                <w:tab w:val="right" w:leader="dot" w:pos="9354"/>
              </w:tabs>
              <w:spacing w:afterLines="0" w:after="0" w:line="240" w:lineRule="auto"/>
              <w:jc w:val="right"/>
              <w:rPr>
                <w:rFonts w:eastAsia="Times New Roman" w:cs="Arial"/>
                <w:color w:val="000000"/>
                <w:kern w:val="0"/>
                <w:sz w:val="22"/>
                <w:szCs w:val="20"/>
                <w:lang w:eastAsia="mn-MN"/>
                <w14:ligatures w14:val="none"/>
              </w:rPr>
            </w:pPr>
            <w:r w:rsidRPr="00963C14">
              <w:rPr>
                <w:rFonts w:eastAsia="Times New Roman" w:cs="Arial"/>
                <w:color w:val="000000"/>
                <w:kern w:val="0"/>
                <w:sz w:val="22"/>
                <w:szCs w:val="20"/>
                <w:lang w:eastAsia="mn-MN"/>
                <w14:ligatures w14:val="none"/>
              </w:rPr>
              <w:t>21,45</w:t>
            </w:r>
            <w:r w:rsidR="00C67C2C" w:rsidRPr="00963C14">
              <w:rPr>
                <w:rFonts w:eastAsia="Times New Roman" w:cs="Arial"/>
                <w:color w:val="000000"/>
                <w:kern w:val="0"/>
                <w:sz w:val="22"/>
                <w:szCs w:val="20"/>
                <w:lang w:eastAsia="mn-MN"/>
                <w14:ligatures w14:val="none"/>
              </w:rPr>
              <w:t>0.8</w:t>
            </w:r>
          </w:p>
        </w:tc>
      </w:tr>
      <w:tr w:rsidR="00EE1D3A" w:rsidRPr="00963C14" w14:paraId="594D1099" w14:textId="77777777" w:rsidTr="004650D3">
        <w:trPr>
          <w:trHeight w:val="350"/>
        </w:trPr>
        <w:tc>
          <w:tcPr>
            <w:tcW w:w="3504" w:type="dxa"/>
            <w:tcBorders>
              <w:bottom w:val="single" w:sz="4" w:space="0" w:color="auto"/>
            </w:tcBorders>
            <w:shd w:val="clear" w:color="auto" w:fill="auto"/>
            <w:noWrap/>
            <w:vAlign w:val="center"/>
          </w:tcPr>
          <w:p w14:paraId="5B8D1783" w14:textId="77777777" w:rsidR="00EE1D3A" w:rsidRPr="00963C14" w:rsidRDefault="00EE1D3A">
            <w:pPr>
              <w:tabs>
                <w:tab w:val="left" w:pos="426"/>
                <w:tab w:val="right" w:leader="dot" w:pos="9354"/>
              </w:tabs>
              <w:spacing w:afterLines="0" w:after="0" w:line="240" w:lineRule="auto"/>
              <w:jc w:val="left"/>
              <w:rPr>
                <w:rFonts w:eastAsia="Times New Roman" w:cs="Arial"/>
                <w:color w:val="000000"/>
                <w:kern w:val="0"/>
                <w:sz w:val="22"/>
                <w:szCs w:val="20"/>
                <w:lang w:eastAsia="mn-MN"/>
                <w14:ligatures w14:val="none"/>
              </w:rPr>
            </w:pPr>
            <w:r w:rsidRPr="00963C14">
              <w:rPr>
                <w:rFonts w:eastAsia="Times New Roman" w:cs="Arial"/>
                <w:color w:val="000000"/>
                <w:kern w:val="0"/>
                <w:sz w:val="22"/>
                <w:szCs w:val="20"/>
                <w:lang w:eastAsia="mn-MN"/>
                <w14:ligatures w14:val="none"/>
              </w:rPr>
              <w:t>Татварын бус орлого</w:t>
            </w:r>
          </w:p>
        </w:tc>
        <w:tc>
          <w:tcPr>
            <w:tcW w:w="1904" w:type="dxa"/>
            <w:tcBorders>
              <w:bottom w:val="single" w:sz="4" w:space="0" w:color="auto"/>
            </w:tcBorders>
            <w:shd w:val="clear" w:color="auto" w:fill="auto"/>
            <w:noWrap/>
            <w:vAlign w:val="center"/>
          </w:tcPr>
          <w:p w14:paraId="4ECBE3FE" w14:textId="6007B168" w:rsidR="00EE1D3A" w:rsidRPr="00963C14" w:rsidRDefault="00EE1D3A">
            <w:pPr>
              <w:tabs>
                <w:tab w:val="left" w:pos="426"/>
                <w:tab w:val="right" w:leader="dot" w:pos="9354"/>
              </w:tabs>
              <w:spacing w:afterLines="0" w:after="0" w:line="240" w:lineRule="auto"/>
              <w:jc w:val="right"/>
              <w:rPr>
                <w:rFonts w:eastAsia="Times New Roman" w:cs="Arial"/>
                <w:color w:val="000000"/>
                <w:kern w:val="0"/>
                <w:sz w:val="22"/>
                <w:szCs w:val="20"/>
                <w:lang w:eastAsia="mn-MN"/>
                <w14:ligatures w14:val="none"/>
              </w:rPr>
            </w:pPr>
            <w:r w:rsidRPr="00963C14">
              <w:rPr>
                <w:rFonts w:eastAsia="Times New Roman" w:cs="Arial"/>
                <w:color w:val="000000"/>
                <w:kern w:val="0"/>
                <w:sz w:val="22"/>
                <w:szCs w:val="20"/>
                <w:lang w:eastAsia="mn-MN"/>
                <w14:ligatures w14:val="none"/>
              </w:rPr>
              <w:t>1,411</w:t>
            </w:r>
            <w:r w:rsidR="00CF284E" w:rsidRPr="00963C14">
              <w:rPr>
                <w:rFonts w:eastAsia="Times New Roman" w:cs="Arial"/>
                <w:color w:val="000000"/>
                <w:kern w:val="0"/>
                <w:sz w:val="22"/>
                <w:szCs w:val="20"/>
                <w:lang w:eastAsia="mn-MN"/>
                <w14:ligatures w14:val="none"/>
              </w:rPr>
              <w:t>.</w:t>
            </w:r>
            <w:r w:rsidR="00F14FD8" w:rsidRPr="00963C14">
              <w:rPr>
                <w:rFonts w:eastAsia="Times New Roman" w:cs="Arial"/>
                <w:color w:val="000000"/>
                <w:kern w:val="0"/>
                <w:sz w:val="22"/>
                <w:szCs w:val="20"/>
                <w:lang w:eastAsia="mn-MN"/>
                <w14:ligatures w14:val="none"/>
              </w:rPr>
              <w:t>5</w:t>
            </w:r>
          </w:p>
        </w:tc>
        <w:tc>
          <w:tcPr>
            <w:tcW w:w="2029" w:type="dxa"/>
            <w:tcBorders>
              <w:bottom w:val="single" w:sz="4" w:space="0" w:color="auto"/>
            </w:tcBorders>
            <w:shd w:val="clear" w:color="auto" w:fill="auto"/>
            <w:vAlign w:val="center"/>
          </w:tcPr>
          <w:p w14:paraId="7EF65439" w14:textId="61FBB9BB" w:rsidR="00EE1D3A" w:rsidRPr="00963C14" w:rsidRDefault="00EE1D3A">
            <w:pPr>
              <w:tabs>
                <w:tab w:val="left" w:pos="426"/>
                <w:tab w:val="right" w:leader="dot" w:pos="9354"/>
              </w:tabs>
              <w:spacing w:afterLines="0" w:after="0" w:line="240" w:lineRule="auto"/>
              <w:jc w:val="right"/>
              <w:rPr>
                <w:rFonts w:eastAsia="Times New Roman" w:cs="Arial"/>
                <w:color w:val="000000"/>
                <w:kern w:val="0"/>
                <w:sz w:val="22"/>
                <w:szCs w:val="20"/>
                <w:lang w:eastAsia="mn-MN"/>
                <w14:ligatures w14:val="none"/>
              </w:rPr>
            </w:pPr>
            <w:r w:rsidRPr="00963C14">
              <w:rPr>
                <w:rFonts w:eastAsia="Times New Roman" w:cs="Arial"/>
                <w:color w:val="000000"/>
                <w:kern w:val="0"/>
                <w:sz w:val="22"/>
                <w:szCs w:val="20"/>
                <w:lang w:eastAsia="mn-MN"/>
                <w14:ligatures w14:val="none"/>
              </w:rPr>
              <w:t>1,66</w:t>
            </w:r>
            <w:r w:rsidR="006D07A4" w:rsidRPr="00963C14">
              <w:rPr>
                <w:rFonts w:eastAsia="Times New Roman" w:cs="Arial"/>
                <w:color w:val="000000"/>
                <w:kern w:val="0"/>
                <w:sz w:val="22"/>
                <w:szCs w:val="20"/>
                <w:lang w:eastAsia="mn-MN"/>
                <w14:ligatures w14:val="none"/>
              </w:rPr>
              <w:t>7</w:t>
            </w:r>
            <w:r w:rsidR="005213F2" w:rsidRPr="00963C14">
              <w:rPr>
                <w:rFonts w:eastAsia="Times New Roman" w:cs="Arial"/>
                <w:color w:val="000000"/>
                <w:kern w:val="0"/>
                <w:sz w:val="22"/>
                <w:szCs w:val="20"/>
                <w:lang w:eastAsia="mn-MN"/>
                <w14:ligatures w14:val="none"/>
              </w:rPr>
              <w:t>.</w:t>
            </w:r>
            <w:r w:rsidR="006D07A4" w:rsidRPr="00963C14">
              <w:rPr>
                <w:rFonts w:eastAsia="Times New Roman" w:cs="Arial"/>
                <w:color w:val="000000"/>
                <w:kern w:val="0"/>
                <w:sz w:val="22"/>
                <w:szCs w:val="20"/>
                <w:lang w:eastAsia="mn-MN"/>
                <w14:ligatures w14:val="none"/>
              </w:rPr>
              <w:t>9</w:t>
            </w:r>
          </w:p>
        </w:tc>
        <w:tc>
          <w:tcPr>
            <w:tcW w:w="2028" w:type="dxa"/>
            <w:tcBorders>
              <w:bottom w:val="single" w:sz="4" w:space="0" w:color="auto"/>
            </w:tcBorders>
            <w:shd w:val="clear" w:color="auto" w:fill="auto"/>
            <w:noWrap/>
            <w:vAlign w:val="center"/>
          </w:tcPr>
          <w:p w14:paraId="4B09FD73" w14:textId="78B1BC48" w:rsidR="00EE1D3A" w:rsidRPr="00963C14" w:rsidRDefault="00EE1D3A">
            <w:pPr>
              <w:tabs>
                <w:tab w:val="left" w:pos="426"/>
                <w:tab w:val="right" w:leader="dot" w:pos="9354"/>
              </w:tabs>
              <w:spacing w:afterLines="0" w:after="0" w:line="240" w:lineRule="auto"/>
              <w:jc w:val="right"/>
              <w:rPr>
                <w:rFonts w:eastAsia="Times New Roman" w:cs="Arial"/>
                <w:color w:val="000000"/>
                <w:kern w:val="0"/>
                <w:sz w:val="22"/>
                <w:szCs w:val="20"/>
                <w:lang w:eastAsia="mn-MN"/>
                <w14:ligatures w14:val="none"/>
              </w:rPr>
            </w:pPr>
            <w:r w:rsidRPr="00963C14">
              <w:rPr>
                <w:rFonts w:eastAsia="Times New Roman" w:cs="Arial"/>
                <w:color w:val="000000"/>
                <w:kern w:val="0"/>
                <w:sz w:val="22"/>
                <w:szCs w:val="20"/>
                <w:lang w:eastAsia="mn-MN"/>
                <w14:ligatures w14:val="none"/>
              </w:rPr>
              <w:t>1,767</w:t>
            </w:r>
            <w:r w:rsidR="009773D2" w:rsidRPr="00963C14">
              <w:rPr>
                <w:rFonts w:eastAsia="Times New Roman" w:cs="Arial"/>
                <w:color w:val="000000"/>
                <w:kern w:val="0"/>
                <w:sz w:val="22"/>
                <w:szCs w:val="20"/>
                <w:lang w:eastAsia="mn-MN"/>
                <w14:ligatures w14:val="none"/>
              </w:rPr>
              <w:t>.2</w:t>
            </w:r>
          </w:p>
        </w:tc>
      </w:tr>
    </w:tbl>
    <w:p w14:paraId="7C82A607" w14:textId="77777777" w:rsidR="00EE1D3A" w:rsidRPr="00963C14" w:rsidRDefault="00EE1D3A" w:rsidP="00EE1D3A">
      <w:pPr>
        <w:pStyle w:val="Heading3"/>
        <w:tabs>
          <w:tab w:val="left" w:pos="810"/>
          <w:tab w:val="right" w:leader="dot" w:pos="9354"/>
        </w:tabs>
        <w:snapToGrid w:val="0"/>
        <w:spacing w:before="360" w:after="288"/>
        <w:rPr>
          <w:rFonts w:ascii="Arial" w:hAnsi="Arial" w:cs="Arial"/>
          <w:color w:val="auto"/>
        </w:rPr>
      </w:pPr>
      <w:bookmarkStart w:id="55" w:name="_Toc163484923"/>
      <w:bookmarkStart w:id="56" w:name="_Toc163736657"/>
      <w:bookmarkStart w:id="57" w:name="_Toc163811090"/>
      <w:bookmarkStart w:id="58" w:name="_Toc165299387"/>
      <w:r w:rsidRPr="00963C14">
        <w:rPr>
          <w:rFonts w:ascii="Arial" w:hAnsi="Arial" w:cs="Arial"/>
          <w:color w:val="auto"/>
        </w:rPr>
        <w:t>4.1.2. Төсвийн зарлага</w:t>
      </w:r>
      <w:bookmarkEnd w:id="55"/>
      <w:bookmarkEnd w:id="56"/>
      <w:bookmarkEnd w:id="57"/>
      <w:bookmarkEnd w:id="58"/>
      <w:r w:rsidRPr="00963C14">
        <w:rPr>
          <w:rFonts w:ascii="Arial" w:hAnsi="Arial" w:cs="Arial"/>
          <w:color w:val="auto"/>
        </w:rPr>
        <w:t xml:space="preserve"> </w:t>
      </w:r>
    </w:p>
    <w:p w14:paraId="3B2862B0" w14:textId="77777777" w:rsidR="00EE1D3A" w:rsidRPr="00963C14" w:rsidRDefault="00EE1D3A" w:rsidP="00EE1D3A">
      <w:pPr>
        <w:tabs>
          <w:tab w:val="right" w:leader="dot" w:pos="9354"/>
        </w:tabs>
        <w:spacing w:after="288"/>
      </w:pPr>
      <w:r w:rsidRPr="00963C14">
        <w:t>Монгол улсын нэгдсэн төсвийн зарлага ба цэвэр зээлийн дүн 2023 оны урьдчилсан гүйцэтгэлээр 22,454.5 тэрбум төгрөгийн буюу төлөвлөгдсөн хэмжээнээс 92.7 хувийн, улсын төсвийн зарлага 16,035.2 тэрбум төгрөгийн буюу төлөвлөгдсөн хэмжээнээс 94.6 хувийн гүйцэтгэлтэй гарсан байна.</w:t>
      </w:r>
    </w:p>
    <w:p w14:paraId="175ED56E" w14:textId="18B9B817" w:rsidR="00EE1D3A" w:rsidRPr="00963C14" w:rsidRDefault="00EE1D3A" w:rsidP="006F7DA3">
      <w:pPr>
        <w:pStyle w:val="Caption"/>
        <w:keepNext/>
        <w:jc w:val="left"/>
        <w:rPr>
          <w:rFonts w:ascii="Arial" w:hAnsi="Arial" w:cs="Arial"/>
        </w:rPr>
      </w:pPr>
      <w:r w:rsidRPr="00963C14">
        <w:rPr>
          <w:rFonts w:ascii="Arial" w:hAnsi="Arial" w:cs="Arial"/>
        </w:rPr>
        <w:t>Хүснэгт 4.2. 2023 оны Монгол Улсын нэгдсэн төсвийн зарлагын урьдчилсан гүйцэтгэл, томсгосон ангиллаар</w:t>
      </w:r>
      <w:r w:rsidR="00840E08" w:rsidRPr="00963C14">
        <w:rPr>
          <w:rFonts w:ascii="Arial" w:hAnsi="Arial" w:cs="Arial"/>
        </w:rPr>
        <w:t xml:space="preserve"> (</w:t>
      </w:r>
      <w:r w:rsidRPr="00963C14">
        <w:rPr>
          <w:rFonts w:ascii="Arial" w:hAnsi="Arial" w:cs="Arial"/>
        </w:rPr>
        <w:t xml:space="preserve">тэрбум </w:t>
      </w:r>
      <w:r w:rsidR="00840E08" w:rsidRPr="00963C14">
        <w:rPr>
          <w:rFonts w:ascii="Arial" w:hAnsi="Arial" w:cs="Arial"/>
        </w:rPr>
        <w:t>төгрөг)</w:t>
      </w:r>
    </w:p>
    <w:tbl>
      <w:tblPr>
        <w:tblStyle w:val="TableGrid"/>
        <w:tblW w:w="944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7"/>
        <w:gridCol w:w="1265"/>
        <w:gridCol w:w="1013"/>
        <w:gridCol w:w="1013"/>
        <w:gridCol w:w="1014"/>
        <w:gridCol w:w="1122"/>
        <w:gridCol w:w="1013"/>
        <w:gridCol w:w="1259"/>
      </w:tblGrid>
      <w:tr w:rsidR="00EE1D3A" w:rsidRPr="00963C14" w14:paraId="2E52EA14" w14:textId="77777777">
        <w:trPr>
          <w:trHeight w:val="179"/>
        </w:trPr>
        <w:tc>
          <w:tcPr>
            <w:tcW w:w="1747" w:type="dxa"/>
            <w:vMerge w:val="restart"/>
            <w:shd w:val="clear" w:color="auto" w:fill="11A795"/>
            <w:vAlign w:val="center"/>
            <w:hideMark/>
          </w:tcPr>
          <w:p w14:paraId="2C2E881F" w14:textId="77777777" w:rsidR="00EE1D3A" w:rsidRPr="00963C14" w:rsidRDefault="00EE1D3A" w:rsidP="00ED1BE8">
            <w:pPr>
              <w:tabs>
                <w:tab w:val="left" w:pos="426"/>
                <w:tab w:val="right" w:leader="dot" w:pos="9354"/>
              </w:tabs>
              <w:spacing w:before="60" w:afterLines="0" w:after="0"/>
              <w:jc w:val="center"/>
              <w:rPr>
                <w:rFonts w:eastAsia="Times New Roman" w:cs="Arial"/>
                <w:b/>
                <w:color w:val="FFFFFF" w:themeColor="background1"/>
              </w:rPr>
            </w:pPr>
            <w:r w:rsidRPr="00963C14">
              <w:rPr>
                <w:rFonts w:eastAsia="Times New Roman" w:cs="Arial"/>
                <w:b/>
                <w:color w:val="FFFFFF" w:themeColor="background1"/>
              </w:rPr>
              <w:t>Төсвийн төрөл</w:t>
            </w:r>
          </w:p>
        </w:tc>
        <w:tc>
          <w:tcPr>
            <w:tcW w:w="1265" w:type="dxa"/>
            <w:vMerge w:val="restart"/>
            <w:shd w:val="clear" w:color="auto" w:fill="11A795"/>
            <w:vAlign w:val="center"/>
            <w:hideMark/>
          </w:tcPr>
          <w:p w14:paraId="1028D8B8" w14:textId="77777777" w:rsidR="00EE1D3A" w:rsidRPr="00963C14" w:rsidRDefault="00EE1D3A" w:rsidP="00ED1BE8">
            <w:pPr>
              <w:tabs>
                <w:tab w:val="left" w:pos="426"/>
                <w:tab w:val="right" w:leader="dot" w:pos="9354"/>
              </w:tabs>
              <w:spacing w:before="60" w:afterLines="0" w:after="0"/>
              <w:jc w:val="center"/>
              <w:rPr>
                <w:rFonts w:eastAsia="Times New Roman" w:cs="Arial"/>
                <w:b/>
                <w:color w:val="FFFFFF" w:themeColor="background1"/>
              </w:rPr>
            </w:pPr>
            <w:r w:rsidRPr="00963C14">
              <w:rPr>
                <w:rFonts w:eastAsia="Times New Roman" w:cs="Arial"/>
                <w:b/>
                <w:color w:val="FFFFFF" w:themeColor="background1"/>
              </w:rPr>
              <w:t>Нийт зарлага ба цэвэр зээл</w:t>
            </w:r>
          </w:p>
        </w:tc>
        <w:tc>
          <w:tcPr>
            <w:tcW w:w="4162" w:type="dxa"/>
            <w:gridSpan w:val="4"/>
            <w:tcBorders>
              <w:bottom w:val="single" w:sz="4" w:space="0" w:color="FFFFFF" w:themeColor="background1"/>
            </w:tcBorders>
            <w:shd w:val="clear" w:color="auto" w:fill="11A795"/>
            <w:vAlign w:val="center"/>
            <w:hideMark/>
          </w:tcPr>
          <w:p w14:paraId="0A0EBAF4" w14:textId="77777777" w:rsidR="00EE1D3A" w:rsidRPr="00963C14" w:rsidRDefault="00EE1D3A" w:rsidP="00ED1BE8">
            <w:pPr>
              <w:tabs>
                <w:tab w:val="left" w:pos="426"/>
                <w:tab w:val="right" w:leader="dot" w:pos="9354"/>
              </w:tabs>
              <w:spacing w:before="60" w:afterLines="0" w:after="0"/>
              <w:ind w:firstLine="567"/>
              <w:jc w:val="center"/>
              <w:rPr>
                <w:rFonts w:eastAsia="Times New Roman" w:cs="Arial"/>
                <w:b/>
                <w:color w:val="FFFFFF" w:themeColor="background1"/>
              </w:rPr>
            </w:pPr>
            <w:r w:rsidRPr="00963C14">
              <w:rPr>
                <w:rFonts w:eastAsia="Times New Roman" w:cs="Arial"/>
                <w:b/>
                <w:color w:val="FFFFFF" w:themeColor="background1"/>
              </w:rPr>
              <w:t>Урсгал зардал</w:t>
            </w:r>
          </w:p>
        </w:tc>
        <w:tc>
          <w:tcPr>
            <w:tcW w:w="1013" w:type="dxa"/>
            <w:vMerge w:val="restart"/>
            <w:shd w:val="clear" w:color="auto" w:fill="11A795"/>
            <w:vAlign w:val="center"/>
            <w:hideMark/>
          </w:tcPr>
          <w:p w14:paraId="7226C747" w14:textId="77777777" w:rsidR="00EE1D3A" w:rsidRPr="00963C14" w:rsidRDefault="00EE1D3A" w:rsidP="00ED1BE8">
            <w:pPr>
              <w:tabs>
                <w:tab w:val="left" w:pos="426"/>
                <w:tab w:val="right" w:leader="dot" w:pos="9354"/>
              </w:tabs>
              <w:spacing w:before="60" w:afterLines="0" w:after="0"/>
              <w:jc w:val="center"/>
              <w:rPr>
                <w:rFonts w:eastAsia="Times New Roman" w:cs="Arial"/>
                <w:b/>
                <w:color w:val="FFFFFF" w:themeColor="background1"/>
              </w:rPr>
            </w:pPr>
            <w:r w:rsidRPr="00963C14">
              <w:rPr>
                <w:rFonts w:eastAsia="Times New Roman" w:cs="Arial"/>
                <w:b/>
                <w:color w:val="FFFFFF" w:themeColor="background1"/>
              </w:rPr>
              <w:t>Хөрөнгийн зардал</w:t>
            </w:r>
          </w:p>
        </w:tc>
        <w:tc>
          <w:tcPr>
            <w:tcW w:w="1259" w:type="dxa"/>
            <w:vMerge w:val="restart"/>
            <w:shd w:val="clear" w:color="auto" w:fill="11A795"/>
            <w:vAlign w:val="center"/>
            <w:hideMark/>
          </w:tcPr>
          <w:p w14:paraId="54B7E82D" w14:textId="77777777" w:rsidR="00EE1D3A" w:rsidRPr="00963C14" w:rsidRDefault="00EE1D3A" w:rsidP="00ED1BE8">
            <w:pPr>
              <w:tabs>
                <w:tab w:val="left" w:pos="426"/>
                <w:tab w:val="right" w:leader="dot" w:pos="9354"/>
              </w:tabs>
              <w:spacing w:before="60" w:afterLines="0" w:after="0"/>
              <w:jc w:val="center"/>
              <w:rPr>
                <w:rFonts w:eastAsia="Times New Roman" w:cs="Arial"/>
                <w:b/>
                <w:color w:val="FFFFFF" w:themeColor="background1"/>
              </w:rPr>
            </w:pPr>
            <w:r w:rsidRPr="00963C14">
              <w:rPr>
                <w:rFonts w:eastAsia="Times New Roman" w:cs="Arial"/>
                <w:b/>
                <w:color w:val="FFFFFF" w:themeColor="background1"/>
              </w:rPr>
              <w:t>Эргэж төлөгдөх цэвэр зээл</w:t>
            </w:r>
          </w:p>
        </w:tc>
      </w:tr>
      <w:tr w:rsidR="00EE1D3A" w:rsidRPr="00963C14" w14:paraId="788A3329" w14:textId="77777777">
        <w:trPr>
          <w:trHeight w:val="428"/>
        </w:trPr>
        <w:tc>
          <w:tcPr>
            <w:tcW w:w="1747" w:type="dxa"/>
            <w:vMerge/>
            <w:shd w:val="clear" w:color="auto" w:fill="11A795"/>
            <w:hideMark/>
          </w:tcPr>
          <w:p w14:paraId="3DEAD20A" w14:textId="77777777" w:rsidR="00EE1D3A" w:rsidRPr="00963C14" w:rsidRDefault="00EE1D3A" w:rsidP="00ED1BE8">
            <w:pPr>
              <w:tabs>
                <w:tab w:val="left" w:pos="426"/>
                <w:tab w:val="right" w:leader="dot" w:pos="9354"/>
              </w:tabs>
              <w:spacing w:before="60" w:afterLines="0" w:after="0"/>
              <w:ind w:firstLine="567"/>
              <w:rPr>
                <w:rFonts w:eastAsia="Times New Roman" w:cs="Arial"/>
                <w:color w:val="000000"/>
              </w:rPr>
            </w:pPr>
          </w:p>
        </w:tc>
        <w:tc>
          <w:tcPr>
            <w:tcW w:w="1265" w:type="dxa"/>
            <w:vMerge/>
            <w:shd w:val="clear" w:color="auto" w:fill="11A795"/>
            <w:hideMark/>
          </w:tcPr>
          <w:p w14:paraId="74889C20" w14:textId="77777777" w:rsidR="00EE1D3A" w:rsidRPr="00963C14" w:rsidRDefault="00EE1D3A" w:rsidP="00ED1BE8">
            <w:pPr>
              <w:tabs>
                <w:tab w:val="left" w:pos="426"/>
                <w:tab w:val="right" w:leader="dot" w:pos="9354"/>
              </w:tabs>
              <w:spacing w:before="60" w:afterLines="0" w:after="0"/>
              <w:ind w:firstLine="567"/>
              <w:rPr>
                <w:rFonts w:eastAsia="Times New Roman" w:cs="Arial"/>
                <w:color w:val="000000"/>
              </w:rPr>
            </w:pPr>
          </w:p>
        </w:tc>
        <w:tc>
          <w:tcPr>
            <w:tcW w:w="1013" w:type="dxa"/>
            <w:tcBorders>
              <w:top w:val="single" w:sz="4" w:space="0" w:color="FFFFFF" w:themeColor="background1"/>
            </w:tcBorders>
            <w:shd w:val="clear" w:color="auto" w:fill="11A795"/>
            <w:vAlign w:val="center"/>
            <w:hideMark/>
          </w:tcPr>
          <w:p w14:paraId="37DA774E" w14:textId="77777777" w:rsidR="00EE1D3A" w:rsidRPr="00963C14" w:rsidRDefault="00EE1D3A" w:rsidP="00ED1BE8">
            <w:pPr>
              <w:tabs>
                <w:tab w:val="left" w:pos="426"/>
                <w:tab w:val="right" w:leader="dot" w:pos="9354"/>
              </w:tabs>
              <w:spacing w:before="60" w:afterLines="0" w:after="0"/>
              <w:jc w:val="center"/>
              <w:rPr>
                <w:rFonts w:eastAsia="Times New Roman" w:cs="Arial"/>
                <w:color w:val="FFFFFF" w:themeColor="background1"/>
              </w:rPr>
            </w:pPr>
            <w:r w:rsidRPr="00963C14">
              <w:rPr>
                <w:rFonts w:eastAsia="Times New Roman" w:cs="Arial"/>
                <w:color w:val="FFFFFF" w:themeColor="background1"/>
              </w:rPr>
              <w:t>Цалин хөлс</w:t>
            </w:r>
          </w:p>
        </w:tc>
        <w:tc>
          <w:tcPr>
            <w:tcW w:w="1013" w:type="dxa"/>
            <w:tcBorders>
              <w:top w:val="single" w:sz="4" w:space="0" w:color="FFFFFF" w:themeColor="background1"/>
            </w:tcBorders>
            <w:shd w:val="clear" w:color="auto" w:fill="11A795"/>
            <w:vAlign w:val="center"/>
            <w:hideMark/>
          </w:tcPr>
          <w:p w14:paraId="531FB298" w14:textId="77777777" w:rsidR="00EE1D3A" w:rsidRPr="00963C14" w:rsidRDefault="00EE1D3A" w:rsidP="00ED1BE8">
            <w:pPr>
              <w:tabs>
                <w:tab w:val="left" w:pos="426"/>
                <w:tab w:val="right" w:leader="dot" w:pos="9354"/>
              </w:tabs>
              <w:spacing w:before="60" w:afterLines="0" w:after="0"/>
              <w:ind w:firstLine="8"/>
              <w:jc w:val="center"/>
              <w:rPr>
                <w:rFonts w:eastAsia="Times New Roman" w:cs="Arial"/>
                <w:color w:val="FFFFFF" w:themeColor="background1"/>
              </w:rPr>
            </w:pPr>
            <w:r w:rsidRPr="00963C14">
              <w:rPr>
                <w:rFonts w:eastAsia="Times New Roman" w:cs="Arial"/>
                <w:color w:val="FFFFFF" w:themeColor="background1"/>
              </w:rPr>
              <w:t>БҮ-ний бусад</w:t>
            </w:r>
          </w:p>
        </w:tc>
        <w:tc>
          <w:tcPr>
            <w:tcW w:w="1014" w:type="dxa"/>
            <w:tcBorders>
              <w:top w:val="single" w:sz="4" w:space="0" w:color="FFFFFF" w:themeColor="background1"/>
            </w:tcBorders>
            <w:shd w:val="clear" w:color="auto" w:fill="11A795"/>
            <w:vAlign w:val="center"/>
            <w:hideMark/>
          </w:tcPr>
          <w:p w14:paraId="02134119" w14:textId="77777777" w:rsidR="00EE1D3A" w:rsidRPr="00963C14" w:rsidRDefault="00EE1D3A" w:rsidP="00ED1BE8">
            <w:pPr>
              <w:tabs>
                <w:tab w:val="left" w:pos="426"/>
                <w:tab w:val="right" w:leader="dot" w:pos="9354"/>
              </w:tabs>
              <w:spacing w:before="60" w:afterLines="0" w:after="0"/>
              <w:jc w:val="center"/>
              <w:rPr>
                <w:rFonts w:eastAsia="Times New Roman" w:cs="Arial"/>
                <w:color w:val="FFFFFF" w:themeColor="background1"/>
              </w:rPr>
            </w:pPr>
            <w:r w:rsidRPr="00963C14">
              <w:rPr>
                <w:rFonts w:eastAsia="Times New Roman" w:cs="Arial"/>
                <w:color w:val="FFFFFF" w:themeColor="background1"/>
              </w:rPr>
              <w:t>Зээлийн хүү</w:t>
            </w:r>
          </w:p>
        </w:tc>
        <w:tc>
          <w:tcPr>
            <w:tcW w:w="1122" w:type="dxa"/>
            <w:tcBorders>
              <w:top w:val="single" w:sz="4" w:space="0" w:color="FFFFFF" w:themeColor="background1"/>
            </w:tcBorders>
            <w:shd w:val="clear" w:color="auto" w:fill="11A795"/>
            <w:vAlign w:val="center"/>
            <w:hideMark/>
          </w:tcPr>
          <w:p w14:paraId="37B50152" w14:textId="77777777" w:rsidR="00EE1D3A" w:rsidRPr="00963C14" w:rsidRDefault="00EE1D3A" w:rsidP="00ED1BE8">
            <w:pPr>
              <w:tabs>
                <w:tab w:val="left" w:pos="426"/>
                <w:tab w:val="right" w:leader="dot" w:pos="9354"/>
              </w:tabs>
              <w:spacing w:before="60" w:afterLines="0" w:after="0"/>
              <w:jc w:val="center"/>
              <w:rPr>
                <w:rFonts w:eastAsia="Times New Roman" w:cs="Arial"/>
                <w:color w:val="FFFFFF" w:themeColor="background1"/>
              </w:rPr>
            </w:pPr>
            <w:r w:rsidRPr="00963C14">
              <w:rPr>
                <w:rFonts w:eastAsia="Times New Roman" w:cs="Arial"/>
                <w:color w:val="FFFFFF" w:themeColor="background1"/>
              </w:rPr>
              <w:t>Татаас, шилж.</w:t>
            </w:r>
          </w:p>
        </w:tc>
        <w:tc>
          <w:tcPr>
            <w:tcW w:w="1013" w:type="dxa"/>
            <w:vMerge/>
            <w:shd w:val="clear" w:color="auto" w:fill="11A795"/>
            <w:hideMark/>
          </w:tcPr>
          <w:p w14:paraId="36008B32" w14:textId="77777777" w:rsidR="00EE1D3A" w:rsidRPr="00963C14" w:rsidRDefault="00EE1D3A" w:rsidP="00ED1BE8">
            <w:pPr>
              <w:tabs>
                <w:tab w:val="left" w:pos="426"/>
                <w:tab w:val="right" w:leader="dot" w:pos="9354"/>
              </w:tabs>
              <w:spacing w:before="60" w:afterLines="0" w:after="0"/>
              <w:ind w:firstLine="567"/>
              <w:rPr>
                <w:rFonts w:eastAsia="Times New Roman" w:cs="Arial"/>
                <w:color w:val="000000"/>
              </w:rPr>
            </w:pPr>
          </w:p>
        </w:tc>
        <w:tc>
          <w:tcPr>
            <w:tcW w:w="1259" w:type="dxa"/>
            <w:vMerge/>
            <w:shd w:val="clear" w:color="auto" w:fill="11A795"/>
            <w:hideMark/>
          </w:tcPr>
          <w:p w14:paraId="4DE8D6ED" w14:textId="77777777" w:rsidR="00EE1D3A" w:rsidRPr="00963C14" w:rsidRDefault="00EE1D3A" w:rsidP="00ED1BE8">
            <w:pPr>
              <w:tabs>
                <w:tab w:val="left" w:pos="426"/>
                <w:tab w:val="right" w:leader="dot" w:pos="9354"/>
              </w:tabs>
              <w:spacing w:before="60" w:afterLines="0" w:after="0"/>
              <w:ind w:firstLine="567"/>
              <w:rPr>
                <w:rFonts w:eastAsia="Times New Roman" w:cs="Arial"/>
                <w:color w:val="000000"/>
              </w:rPr>
            </w:pPr>
          </w:p>
        </w:tc>
      </w:tr>
      <w:tr w:rsidR="00EE1D3A" w:rsidRPr="00963C14" w14:paraId="5D100E2C" w14:textId="77777777" w:rsidTr="00265D5C">
        <w:trPr>
          <w:trHeight w:val="199"/>
        </w:trPr>
        <w:tc>
          <w:tcPr>
            <w:tcW w:w="1747" w:type="dxa"/>
            <w:tcBorders>
              <w:bottom w:val="single" w:sz="4" w:space="0" w:color="auto"/>
            </w:tcBorders>
            <w:noWrap/>
            <w:vAlign w:val="center"/>
            <w:hideMark/>
          </w:tcPr>
          <w:p w14:paraId="68D9AFC4" w14:textId="77777777" w:rsidR="00EE1D3A" w:rsidRPr="00963C14" w:rsidRDefault="00EE1D3A" w:rsidP="00ED1BE8">
            <w:pPr>
              <w:tabs>
                <w:tab w:val="left" w:pos="426"/>
                <w:tab w:val="right" w:leader="dot" w:pos="9354"/>
              </w:tabs>
              <w:spacing w:before="60" w:afterLines="0" w:after="0"/>
              <w:ind w:left="36"/>
              <w:jc w:val="left"/>
              <w:rPr>
                <w:rFonts w:eastAsia="Times New Roman" w:cs="Arial"/>
                <w:b/>
                <w:color w:val="000000"/>
              </w:rPr>
            </w:pPr>
            <w:r w:rsidRPr="00963C14">
              <w:rPr>
                <w:rFonts w:eastAsia="Times New Roman" w:cs="Arial"/>
                <w:b/>
                <w:color w:val="000000"/>
              </w:rPr>
              <w:t>Нэгдсэн төсөв</w:t>
            </w:r>
          </w:p>
        </w:tc>
        <w:tc>
          <w:tcPr>
            <w:tcW w:w="1265" w:type="dxa"/>
            <w:tcBorders>
              <w:bottom w:val="single" w:sz="4" w:space="0" w:color="auto"/>
            </w:tcBorders>
            <w:noWrap/>
            <w:vAlign w:val="center"/>
            <w:hideMark/>
          </w:tcPr>
          <w:p w14:paraId="0238E66C" w14:textId="77777777" w:rsidR="00EE1D3A" w:rsidRPr="00963C14" w:rsidRDefault="00EE1D3A" w:rsidP="00ED1BE8">
            <w:pPr>
              <w:tabs>
                <w:tab w:val="left" w:pos="426"/>
                <w:tab w:val="right" w:leader="dot" w:pos="9354"/>
              </w:tabs>
              <w:spacing w:before="60" w:afterLines="0" w:after="0"/>
              <w:jc w:val="center"/>
              <w:rPr>
                <w:rFonts w:eastAsia="Times New Roman" w:cs="Arial"/>
                <w:b/>
                <w:color w:val="000000"/>
              </w:rPr>
            </w:pPr>
            <w:r w:rsidRPr="00963C14">
              <w:rPr>
                <w:rFonts w:eastAsia="Times New Roman" w:cs="Arial"/>
                <w:b/>
                <w:color w:val="000000"/>
              </w:rPr>
              <w:t>22,454.5</w:t>
            </w:r>
          </w:p>
        </w:tc>
        <w:tc>
          <w:tcPr>
            <w:tcW w:w="1013" w:type="dxa"/>
            <w:tcBorders>
              <w:bottom w:val="single" w:sz="4" w:space="0" w:color="auto"/>
            </w:tcBorders>
            <w:noWrap/>
            <w:vAlign w:val="center"/>
            <w:hideMark/>
          </w:tcPr>
          <w:p w14:paraId="5BEC6625" w14:textId="77777777" w:rsidR="00EE1D3A" w:rsidRPr="00963C14" w:rsidRDefault="00EE1D3A" w:rsidP="00ED1BE8">
            <w:pPr>
              <w:tabs>
                <w:tab w:val="left" w:pos="426"/>
                <w:tab w:val="right" w:leader="dot" w:pos="9354"/>
              </w:tabs>
              <w:spacing w:before="60" w:afterLines="0" w:after="0"/>
              <w:jc w:val="center"/>
              <w:rPr>
                <w:rFonts w:eastAsia="Times New Roman" w:cs="Arial"/>
                <w:b/>
                <w:color w:val="000000"/>
              </w:rPr>
            </w:pPr>
            <w:r w:rsidRPr="00963C14">
              <w:rPr>
                <w:rFonts w:eastAsia="Times New Roman" w:cs="Arial"/>
                <w:b/>
                <w:color w:val="000000"/>
              </w:rPr>
              <w:t>2,321.7</w:t>
            </w:r>
          </w:p>
        </w:tc>
        <w:tc>
          <w:tcPr>
            <w:tcW w:w="1013" w:type="dxa"/>
            <w:tcBorders>
              <w:bottom w:val="single" w:sz="4" w:space="0" w:color="auto"/>
            </w:tcBorders>
            <w:noWrap/>
            <w:vAlign w:val="center"/>
            <w:hideMark/>
          </w:tcPr>
          <w:p w14:paraId="17177A07" w14:textId="77777777" w:rsidR="00EE1D3A" w:rsidRPr="00963C14" w:rsidRDefault="00EE1D3A" w:rsidP="00ED1BE8">
            <w:pPr>
              <w:tabs>
                <w:tab w:val="left" w:pos="426"/>
                <w:tab w:val="right" w:leader="dot" w:pos="9354"/>
              </w:tabs>
              <w:spacing w:before="60" w:afterLines="0" w:after="0"/>
              <w:jc w:val="center"/>
              <w:rPr>
                <w:rFonts w:eastAsia="Times New Roman" w:cs="Arial"/>
                <w:b/>
                <w:color w:val="000000"/>
              </w:rPr>
            </w:pPr>
            <w:r w:rsidRPr="00963C14">
              <w:rPr>
                <w:rFonts w:eastAsia="Times New Roman" w:cs="Arial"/>
                <w:b/>
                <w:color w:val="000000"/>
              </w:rPr>
              <w:t>2,740.3</w:t>
            </w:r>
          </w:p>
        </w:tc>
        <w:tc>
          <w:tcPr>
            <w:tcW w:w="1014" w:type="dxa"/>
            <w:tcBorders>
              <w:bottom w:val="single" w:sz="4" w:space="0" w:color="auto"/>
            </w:tcBorders>
            <w:noWrap/>
            <w:vAlign w:val="center"/>
            <w:hideMark/>
          </w:tcPr>
          <w:p w14:paraId="7AB12E30" w14:textId="77777777" w:rsidR="00EE1D3A" w:rsidRPr="00963C14" w:rsidRDefault="00EE1D3A" w:rsidP="00ED1BE8">
            <w:pPr>
              <w:tabs>
                <w:tab w:val="left" w:pos="426"/>
                <w:tab w:val="right" w:leader="dot" w:pos="9354"/>
              </w:tabs>
              <w:spacing w:before="60" w:afterLines="0" w:after="0"/>
              <w:jc w:val="center"/>
              <w:rPr>
                <w:rFonts w:eastAsia="Times New Roman" w:cs="Arial"/>
                <w:b/>
                <w:color w:val="000000"/>
              </w:rPr>
            </w:pPr>
            <w:r w:rsidRPr="00963C14">
              <w:rPr>
                <w:rFonts w:eastAsia="Times New Roman" w:cs="Arial"/>
                <w:b/>
                <w:color w:val="000000"/>
              </w:rPr>
              <w:t>1,131.7</w:t>
            </w:r>
          </w:p>
        </w:tc>
        <w:tc>
          <w:tcPr>
            <w:tcW w:w="1122" w:type="dxa"/>
            <w:tcBorders>
              <w:bottom w:val="single" w:sz="4" w:space="0" w:color="auto"/>
            </w:tcBorders>
            <w:noWrap/>
            <w:vAlign w:val="center"/>
            <w:hideMark/>
          </w:tcPr>
          <w:p w14:paraId="7A45EADC" w14:textId="77777777" w:rsidR="00EE1D3A" w:rsidRPr="00963C14" w:rsidRDefault="00EE1D3A" w:rsidP="00ED1BE8">
            <w:pPr>
              <w:tabs>
                <w:tab w:val="left" w:pos="426"/>
                <w:tab w:val="right" w:leader="dot" w:pos="9354"/>
              </w:tabs>
              <w:spacing w:before="60" w:afterLines="0" w:after="0"/>
              <w:jc w:val="center"/>
              <w:rPr>
                <w:rFonts w:eastAsia="Times New Roman" w:cs="Arial"/>
                <w:b/>
                <w:color w:val="000000"/>
              </w:rPr>
            </w:pPr>
            <w:r w:rsidRPr="00963C14">
              <w:rPr>
                <w:rFonts w:eastAsia="Times New Roman" w:cs="Arial"/>
                <w:b/>
                <w:color w:val="000000"/>
              </w:rPr>
              <w:t>10,852.8</w:t>
            </w:r>
          </w:p>
        </w:tc>
        <w:tc>
          <w:tcPr>
            <w:tcW w:w="1013" w:type="dxa"/>
            <w:tcBorders>
              <w:bottom w:val="single" w:sz="4" w:space="0" w:color="auto"/>
            </w:tcBorders>
            <w:noWrap/>
            <w:vAlign w:val="center"/>
            <w:hideMark/>
          </w:tcPr>
          <w:p w14:paraId="674FEAD6" w14:textId="77777777" w:rsidR="00EE1D3A" w:rsidRPr="00963C14" w:rsidRDefault="00EE1D3A" w:rsidP="00ED1BE8">
            <w:pPr>
              <w:tabs>
                <w:tab w:val="left" w:pos="426"/>
                <w:tab w:val="right" w:leader="dot" w:pos="9354"/>
              </w:tabs>
              <w:spacing w:before="60" w:afterLines="0" w:after="0"/>
              <w:jc w:val="center"/>
              <w:rPr>
                <w:rFonts w:eastAsia="Times New Roman" w:cs="Arial"/>
                <w:b/>
                <w:color w:val="000000"/>
              </w:rPr>
            </w:pPr>
            <w:r w:rsidRPr="00963C14">
              <w:rPr>
                <w:rFonts w:eastAsia="Times New Roman" w:cs="Arial"/>
                <w:b/>
                <w:color w:val="000000"/>
              </w:rPr>
              <w:t>5,174.9</w:t>
            </w:r>
          </w:p>
        </w:tc>
        <w:tc>
          <w:tcPr>
            <w:tcW w:w="1259" w:type="dxa"/>
            <w:tcBorders>
              <w:bottom w:val="single" w:sz="4" w:space="0" w:color="auto"/>
            </w:tcBorders>
            <w:noWrap/>
            <w:vAlign w:val="center"/>
            <w:hideMark/>
          </w:tcPr>
          <w:p w14:paraId="7FF109C0" w14:textId="77777777" w:rsidR="00EE1D3A" w:rsidRPr="00963C14" w:rsidRDefault="00EE1D3A" w:rsidP="00ED1BE8">
            <w:pPr>
              <w:tabs>
                <w:tab w:val="left" w:pos="426"/>
                <w:tab w:val="right" w:leader="dot" w:pos="9354"/>
              </w:tabs>
              <w:spacing w:before="60" w:afterLines="0" w:after="0"/>
              <w:jc w:val="center"/>
              <w:rPr>
                <w:rFonts w:eastAsia="Times New Roman" w:cs="Arial"/>
                <w:b/>
                <w:color w:val="000000"/>
              </w:rPr>
            </w:pPr>
            <w:r w:rsidRPr="00963C14">
              <w:rPr>
                <w:rFonts w:eastAsia="Times New Roman" w:cs="Arial"/>
                <w:b/>
                <w:color w:val="000000"/>
              </w:rPr>
              <w:t>233.0</w:t>
            </w:r>
          </w:p>
        </w:tc>
      </w:tr>
      <w:tr w:rsidR="00EE1D3A" w:rsidRPr="00963C14" w14:paraId="62E2020E" w14:textId="77777777" w:rsidTr="00265D5C">
        <w:trPr>
          <w:trHeight w:val="199"/>
        </w:trPr>
        <w:tc>
          <w:tcPr>
            <w:tcW w:w="1747" w:type="dxa"/>
            <w:tcBorders>
              <w:top w:val="single" w:sz="4" w:space="0" w:color="auto"/>
            </w:tcBorders>
            <w:noWrap/>
            <w:vAlign w:val="center"/>
            <w:hideMark/>
          </w:tcPr>
          <w:p w14:paraId="4BFC9EE7" w14:textId="77777777" w:rsidR="00EE1D3A" w:rsidRPr="00963C14" w:rsidRDefault="00EE1D3A" w:rsidP="00ED1BE8">
            <w:pPr>
              <w:tabs>
                <w:tab w:val="left" w:pos="426"/>
                <w:tab w:val="right" w:leader="dot" w:pos="9354"/>
              </w:tabs>
              <w:spacing w:before="60" w:afterLines="0" w:after="0"/>
              <w:ind w:left="36"/>
              <w:jc w:val="left"/>
              <w:rPr>
                <w:rFonts w:eastAsia="Times New Roman" w:cs="Arial"/>
                <w:color w:val="000000"/>
              </w:rPr>
            </w:pPr>
            <w:r w:rsidRPr="00963C14">
              <w:rPr>
                <w:rFonts w:eastAsia="Times New Roman" w:cs="Arial"/>
                <w:color w:val="000000"/>
              </w:rPr>
              <w:t>Улсын төсөв</w:t>
            </w:r>
          </w:p>
        </w:tc>
        <w:tc>
          <w:tcPr>
            <w:tcW w:w="1265" w:type="dxa"/>
            <w:tcBorders>
              <w:top w:val="single" w:sz="4" w:space="0" w:color="auto"/>
            </w:tcBorders>
            <w:noWrap/>
            <w:vAlign w:val="center"/>
            <w:hideMark/>
          </w:tcPr>
          <w:p w14:paraId="3568D37E"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16,035.2</w:t>
            </w:r>
          </w:p>
        </w:tc>
        <w:tc>
          <w:tcPr>
            <w:tcW w:w="1013" w:type="dxa"/>
            <w:tcBorders>
              <w:top w:val="single" w:sz="4" w:space="0" w:color="auto"/>
            </w:tcBorders>
            <w:noWrap/>
            <w:vAlign w:val="center"/>
            <w:hideMark/>
          </w:tcPr>
          <w:p w14:paraId="11865EDF"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1,870.0</w:t>
            </w:r>
          </w:p>
        </w:tc>
        <w:tc>
          <w:tcPr>
            <w:tcW w:w="1013" w:type="dxa"/>
            <w:tcBorders>
              <w:top w:val="single" w:sz="4" w:space="0" w:color="auto"/>
            </w:tcBorders>
            <w:noWrap/>
            <w:vAlign w:val="center"/>
            <w:hideMark/>
          </w:tcPr>
          <w:p w14:paraId="6AF2392C"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1,722.7</w:t>
            </w:r>
          </w:p>
        </w:tc>
        <w:tc>
          <w:tcPr>
            <w:tcW w:w="1014" w:type="dxa"/>
            <w:tcBorders>
              <w:top w:val="single" w:sz="4" w:space="0" w:color="auto"/>
            </w:tcBorders>
            <w:noWrap/>
            <w:vAlign w:val="center"/>
            <w:hideMark/>
          </w:tcPr>
          <w:p w14:paraId="6988349C"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1,080.0</w:t>
            </w:r>
          </w:p>
        </w:tc>
        <w:tc>
          <w:tcPr>
            <w:tcW w:w="1122" w:type="dxa"/>
            <w:tcBorders>
              <w:top w:val="single" w:sz="4" w:space="0" w:color="auto"/>
            </w:tcBorders>
            <w:noWrap/>
            <w:vAlign w:val="center"/>
            <w:hideMark/>
          </w:tcPr>
          <w:p w14:paraId="2957269B"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7,254.5</w:t>
            </w:r>
          </w:p>
        </w:tc>
        <w:tc>
          <w:tcPr>
            <w:tcW w:w="1013" w:type="dxa"/>
            <w:tcBorders>
              <w:top w:val="single" w:sz="4" w:space="0" w:color="auto"/>
            </w:tcBorders>
            <w:noWrap/>
            <w:vAlign w:val="center"/>
            <w:hideMark/>
          </w:tcPr>
          <w:p w14:paraId="0F70CB4C"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3,937.6</w:t>
            </w:r>
          </w:p>
        </w:tc>
        <w:tc>
          <w:tcPr>
            <w:tcW w:w="1259" w:type="dxa"/>
            <w:tcBorders>
              <w:top w:val="single" w:sz="4" w:space="0" w:color="auto"/>
            </w:tcBorders>
            <w:noWrap/>
            <w:vAlign w:val="center"/>
            <w:hideMark/>
          </w:tcPr>
          <w:p w14:paraId="7533E4EB"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170.3</w:t>
            </w:r>
          </w:p>
        </w:tc>
      </w:tr>
      <w:tr w:rsidR="00EE1D3A" w:rsidRPr="00963C14" w14:paraId="4BE3D313" w14:textId="77777777">
        <w:trPr>
          <w:trHeight w:val="199"/>
        </w:trPr>
        <w:tc>
          <w:tcPr>
            <w:tcW w:w="1747" w:type="dxa"/>
            <w:noWrap/>
            <w:vAlign w:val="center"/>
            <w:hideMark/>
          </w:tcPr>
          <w:p w14:paraId="1375C880" w14:textId="77777777" w:rsidR="00EE1D3A" w:rsidRPr="00963C14" w:rsidRDefault="00EE1D3A" w:rsidP="00ED1BE8">
            <w:pPr>
              <w:tabs>
                <w:tab w:val="left" w:pos="426"/>
                <w:tab w:val="right" w:leader="dot" w:pos="9354"/>
              </w:tabs>
              <w:spacing w:before="60" w:afterLines="0" w:after="0"/>
              <w:ind w:left="36"/>
              <w:jc w:val="left"/>
              <w:rPr>
                <w:rFonts w:eastAsia="Times New Roman" w:cs="Arial"/>
                <w:color w:val="000000"/>
              </w:rPr>
            </w:pPr>
            <w:r w:rsidRPr="00963C14">
              <w:rPr>
                <w:rFonts w:eastAsia="Times New Roman" w:cs="Arial"/>
                <w:color w:val="000000"/>
              </w:rPr>
              <w:t>ОН-ийн төсөв</w:t>
            </w:r>
          </w:p>
        </w:tc>
        <w:tc>
          <w:tcPr>
            <w:tcW w:w="1265" w:type="dxa"/>
            <w:noWrap/>
            <w:vAlign w:val="center"/>
            <w:hideMark/>
          </w:tcPr>
          <w:p w14:paraId="2899A22E"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4,329.7</w:t>
            </w:r>
          </w:p>
        </w:tc>
        <w:tc>
          <w:tcPr>
            <w:tcW w:w="1013" w:type="dxa"/>
            <w:noWrap/>
            <w:vAlign w:val="center"/>
            <w:hideMark/>
          </w:tcPr>
          <w:p w14:paraId="28EF83B9"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413.3</w:t>
            </w:r>
          </w:p>
        </w:tc>
        <w:tc>
          <w:tcPr>
            <w:tcW w:w="1013" w:type="dxa"/>
            <w:noWrap/>
            <w:vAlign w:val="center"/>
            <w:hideMark/>
          </w:tcPr>
          <w:p w14:paraId="079D0EDA"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1,165.2</w:t>
            </w:r>
          </w:p>
        </w:tc>
        <w:tc>
          <w:tcPr>
            <w:tcW w:w="1014" w:type="dxa"/>
            <w:noWrap/>
            <w:vAlign w:val="center"/>
            <w:hideMark/>
          </w:tcPr>
          <w:p w14:paraId="2F4F6EFA"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51.7</w:t>
            </w:r>
          </w:p>
        </w:tc>
        <w:tc>
          <w:tcPr>
            <w:tcW w:w="1122" w:type="dxa"/>
            <w:noWrap/>
            <w:vAlign w:val="center"/>
            <w:hideMark/>
          </w:tcPr>
          <w:p w14:paraId="156145FD"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1,393.5</w:t>
            </w:r>
          </w:p>
        </w:tc>
        <w:tc>
          <w:tcPr>
            <w:tcW w:w="1013" w:type="dxa"/>
            <w:noWrap/>
            <w:vAlign w:val="center"/>
            <w:hideMark/>
          </w:tcPr>
          <w:p w14:paraId="4FC6B43B"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1,237.3</w:t>
            </w:r>
          </w:p>
        </w:tc>
        <w:tc>
          <w:tcPr>
            <w:tcW w:w="1259" w:type="dxa"/>
            <w:noWrap/>
            <w:vAlign w:val="center"/>
            <w:hideMark/>
          </w:tcPr>
          <w:p w14:paraId="14FD138D"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68.6</w:t>
            </w:r>
          </w:p>
        </w:tc>
      </w:tr>
      <w:tr w:rsidR="00EE1D3A" w:rsidRPr="00963C14" w14:paraId="1D107A78" w14:textId="77777777">
        <w:trPr>
          <w:trHeight w:val="208"/>
        </w:trPr>
        <w:tc>
          <w:tcPr>
            <w:tcW w:w="1747" w:type="dxa"/>
            <w:noWrap/>
            <w:vAlign w:val="center"/>
            <w:hideMark/>
          </w:tcPr>
          <w:p w14:paraId="7E256B59" w14:textId="77777777" w:rsidR="00EE1D3A" w:rsidRPr="00963C14" w:rsidRDefault="00EE1D3A" w:rsidP="00ED1BE8">
            <w:pPr>
              <w:tabs>
                <w:tab w:val="left" w:pos="426"/>
                <w:tab w:val="right" w:leader="dot" w:pos="9354"/>
              </w:tabs>
              <w:spacing w:before="60" w:afterLines="0" w:after="0"/>
              <w:ind w:left="36"/>
              <w:jc w:val="left"/>
              <w:rPr>
                <w:rFonts w:eastAsia="Times New Roman" w:cs="Arial"/>
                <w:color w:val="000000"/>
              </w:rPr>
            </w:pPr>
            <w:r w:rsidRPr="00963C14">
              <w:rPr>
                <w:rFonts w:eastAsia="Times New Roman" w:cs="Arial"/>
                <w:color w:val="000000"/>
              </w:rPr>
              <w:t>НДС</w:t>
            </w:r>
          </w:p>
        </w:tc>
        <w:tc>
          <w:tcPr>
            <w:tcW w:w="1265" w:type="dxa"/>
            <w:noWrap/>
            <w:vAlign w:val="center"/>
            <w:hideMark/>
          </w:tcPr>
          <w:p w14:paraId="7C94214D"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4,031.5</w:t>
            </w:r>
          </w:p>
        </w:tc>
        <w:tc>
          <w:tcPr>
            <w:tcW w:w="1013" w:type="dxa"/>
            <w:noWrap/>
            <w:vAlign w:val="center"/>
            <w:hideMark/>
          </w:tcPr>
          <w:p w14:paraId="59CE7D6F"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32.3</w:t>
            </w:r>
          </w:p>
        </w:tc>
        <w:tc>
          <w:tcPr>
            <w:tcW w:w="1013" w:type="dxa"/>
            <w:noWrap/>
            <w:vAlign w:val="center"/>
            <w:hideMark/>
          </w:tcPr>
          <w:p w14:paraId="61AEEBE8"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9.9</w:t>
            </w:r>
          </w:p>
        </w:tc>
        <w:tc>
          <w:tcPr>
            <w:tcW w:w="1014" w:type="dxa"/>
            <w:noWrap/>
            <w:vAlign w:val="center"/>
            <w:hideMark/>
          </w:tcPr>
          <w:p w14:paraId="0E9D024B"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0.0</w:t>
            </w:r>
          </w:p>
        </w:tc>
        <w:tc>
          <w:tcPr>
            <w:tcW w:w="1122" w:type="dxa"/>
            <w:noWrap/>
            <w:vAlign w:val="center"/>
            <w:hideMark/>
          </w:tcPr>
          <w:p w14:paraId="386DB703"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3,990.6</w:t>
            </w:r>
          </w:p>
        </w:tc>
        <w:tc>
          <w:tcPr>
            <w:tcW w:w="1013" w:type="dxa"/>
            <w:noWrap/>
            <w:vAlign w:val="center"/>
            <w:hideMark/>
          </w:tcPr>
          <w:p w14:paraId="6412B7AB"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0.0</w:t>
            </w:r>
          </w:p>
        </w:tc>
        <w:tc>
          <w:tcPr>
            <w:tcW w:w="1259" w:type="dxa"/>
            <w:noWrap/>
            <w:vAlign w:val="center"/>
            <w:hideMark/>
          </w:tcPr>
          <w:p w14:paraId="3D1D0332"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-1.1</w:t>
            </w:r>
          </w:p>
        </w:tc>
      </w:tr>
      <w:tr w:rsidR="00EE1D3A" w:rsidRPr="00963C14" w14:paraId="4E3554E7" w14:textId="77777777">
        <w:trPr>
          <w:trHeight w:val="208"/>
        </w:trPr>
        <w:tc>
          <w:tcPr>
            <w:tcW w:w="1747" w:type="dxa"/>
            <w:noWrap/>
            <w:vAlign w:val="center"/>
          </w:tcPr>
          <w:p w14:paraId="1C371740" w14:textId="77777777" w:rsidR="00EE1D3A" w:rsidRPr="00963C14" w:rsidRDefault="00EE1D3A" w:rsidP="00ED1BE8">
            <w:pPr>
              <w:tabs>
                <w:tab w:val="left" w:pos="426"/>
                <w:tab w:val="right" w:leader="dot" w:pos="9354"/>
              </w:tabs>
              <w:spacing w:before="60" w:afterLines="0" w:after="0"/>
              <w:ind w:left="36"/>
              <w:jc w:val="left"/>
              <w:rPr>
                <w:rFonts w:eastAsia="Times New Roman" w:cs="Arial"/>
                <w:color w:val="000000"/>
              </w:rPr>
            </w:pPr>
            <w:r w:rsidRPr="00963C14">
              <w:rPr>
                <w:rFonts w:eastAsia="Times New Roman" w:cs="Arial"/>
                <w:color w:val="000000"/>
              </w:rPr>
              <w:t>ЭМДС</w:t>
            </w:r>
          </w:p>
        </w:tc>
        <w:tc>
          <w:tcPr>
            <w:tcW w:w="1265" w:type="dxa"/>
            <w:noWrap/>
            <w:vAlign w:val="center"/>
          </w:tcPr>
          <w:p w14:paraId="0883BAEF"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1,598.0</w:t>
            </w:r>
          </w:p>
        </w:tc>
        <w:tc>
          <w:tcPr>
            <w:tcW w:w="1013" w:type="dxa"/>
            <w:noWrap/>
            <w:vAlign w:val="center"/>
          </w:tcPr>
          <w:p w14:paraId="40A71DA5"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6.2</w:t>
            </w:r>
          </w:p>
        </w:tc>
        <w:tc>
          <w:tcPr>
            <w:tcW w:w="1013" w:type="dxa"/>
            <w:noWrap/>
            <w:vAlign w:val="center"/>
          </w:tcPr>
          <w:p w14:paraId="66290CF8"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43.8</w:t>
            </w:r>
          </w:p>
        </w:tc>
        <w:tc>
          <w:tcPr>
            <w:tcW w:w="1014" w:type="dxa"/>
            <w:noWrap/>
            <w:vAlign w:val="center"/>
          </w:tcPr>
          <w:p w14:paraId="4FE3719D"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0.0</w:t>
            </w:r>
          </w:p>
        </w:tc>
        <w:tc>
          <w:tcPr>
            <w:tcW w:w="1122" w:type="dxa"/>
            <w:noWrap/>
            <w:vAlign w:val="center"/>
          </w:tcPr>
          <w:p w14:paraId="638A86F9"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1,552.8</w:t>
            </w:r>
          </w:p>
        </w:tc>
        <w:tc>
          <w:tcPr>
            <w:tcW w:w="1013" w:type="dxa"/>
            <w:noWrap/>
            <w:vAlign w:val="center"/>
          </w:tcPr>
          <w:p w14:paraId="5468F0B9"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0.0</w:t>
            </w:r>
          </w:p>
        </w:tc>
        <w:tc>
          <w:tcPr>
            <w:tcW w:w="1259" w:type="dxa"/>
            <w:noWrap/>
            <w:vAlign w:val="center"/>
          </w:tcPr>
          <w:p w14:paraId="58E7C31F"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-4.8</w:t>
            </w:r>
          </w:p>
        </w:tc>
      </w:tr>
      <w:tr w:rsidR="00EE1D3A" w:rsidRPr="00963C14" w14:paraId="70B60CDA" w14:textId="77777777" w:rsidTr="00265D5C">
        <w:trPr>
          <w:trHeight w:val="208"/>
        </w:trPr>
        <w:tc>
          <w:tcPr>
            <w:tcW w:w="1747" w:type="dxa"/>
            <w:tcBorders>
              <w:bottom w:val="single" w:sz="4" w:space="0" w:color="auto"/>
            </w:tcBorders>
            <w:noWrap/>
            <w:vAlign w:val="center"/>
          </w:tcPr>
          <w:p w14:paraId="6F06F72F" w14:textId="77777777" w:rsidR="00EE1D3A" w:rsidRPr="00963C14" w:rsidRDefault="00EE1D3A" w:rsidP="00ED1BE8">
            <w:pPr>
              <w:tabs>
                <w:tab w:val="left" w:pos="426"/>
                <w:tab w:val="right" w:leader="dot" w:pos="9354"/>
              </w:tabs>
              <w:spacing w:before="60" w:afterLines="0" w:after="0"/>
              <w:ind w:left="36"/>
              <w:jc w:val="left"/>
              <w:rPr>
                <w:rFonts w:eastAsia="Times New Roman" w:cs="Arial"/>
                <w:color w:val="000000"/>
              </w:rPr>
            </w:pPr>
            <w:r w:rsidRPr="00963C14">
              <w:rPr>
                <w:rFonts w:eastAsia="Times New Roman" w:cs="Arial"/>
                <w:color w:val="000000"/>
              </w:rPr>
              <w:t>Ирээдүй өв сан</w:t>
            </w:r>
          </w:p>
        </w:tc>
        <w:tc>
          <w:tcPr>
            <w:tcW w:w="1265" w:type="dxa"/>
            <w:tcBorders>
              <w:bottom w:val="single" w:sz="4" w:space="0" w:color="auto"/>
            </w:tcBorders>
            <w:noWrap/>
            <w:vAlign w:val="center"/>
          </w:tcPr>
          <w:p w14:paraId="7945BB09"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1,488.1</w:t>
            </w:r>
          </w:p>
        </w:tc>
        <w:tc>
          <w:tcPr>
            <w:tcW w:w="1013" w:type="dxa"/>
            <w:tcBorders>
              <w:bottom w:val="single" w:sz="4" w:space="0" w:color="auto"/>
            </w:tcBorders>
            <w:noWrap/>
            <w:vAlign w:val="center"/>
          </w:tcPr>
          <w:p w14:paraId="032536F1"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0.0</w:t>
            </w:r>
          </w:p>
        </w:tc>
        <w:tc>
          <w:tcPr>
            <w:tcW w:w="1013" w:type="dxa"/>
            <w:tcBorders>
              <w:bottom w:val="single" w:sz="4" w:space="0" w:color="auto"/>
            </w:tcBorders>
            <w:noWrap/>
            <w:vAlign w:val="center"/>
          </w:tcPr>
          <w:p w14:paraId="45B979F7"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0.0</w:t>
            </w:r>
          </w:p>
        </w:tc>
        <w:tc>
          <w:tcPr>
            <w:tcW w:w="1014" w:type="dxa"/>
            <w:tcBorders>
              <w:bottom w:val="single" w:sz="4" w:space="0" w:color="auto"/>
            </w:tcBorders>
            <w:noWrap/>
            <w:vAlign w:val="center"/>
          </w:tcPr>
          <w:p w14:paraId="7788DE55"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0.0</w:t>
            </w:r>
          </w:p>
        </w:tc>
        <w:tc>
          <w:tcPr>
            <w:tcW w:w="1122" w:type="dxa"/>
            <w:tcBorders>
              <w:bottom w:val="single" w:sz="4" w:space="0" w:color="auto"/>
            </w:tcBorders>
            <w:noWrap/>
            <w:vAlign w:val="center"/>
          </w:tcPr>
          <w:p w14:paraId="58C65F69"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1,488.1</w:t>
            </w:r>
          </w:p>
        </w:tc>
        <w:tc>
          <w:tcPr>
            <w:tcW w:w="1013" w:type="dxa"/>
            <w:tcBorders>
              <w:bottom w:val="single" w:sz="4" w:space="0" w:color="auto"/>
            </w:tcBorders>
            <w:noWrap/>
            <w:vAlign w:val="center"/>
          </w:tcPr>
          <w:p w14:paraId="4D4714C9"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0.0</w:t>
            </w:r>
          </w:p>
        </w:tc>
        <w:tc>
          <w:tcPr>
            <w:tcW w:w="1259" w:type="dxa"/>
            <w:tcBorders>
              <w:bottom w:val="single" w:sz="4" w:space="0" w:color="auto"/>
            </w:tcBorders>
            <w:noWrap/>
            <w:vAlign w:val="center"/>
          </w:tcPr>
          <w:p w14:paraId="3AF55476" w14:textId="77777777" w:rsidR="00EE1D3A" w:rsidRPr="00963C14" w:rsidRDefault="00EE1D3A" w:rsidP="00ED1BE8">
            <w:pPr>
              <w:tabs>
                <w:tab w:val="left" w:pos="426"/>
                <w:tab w:val="right" w:leader="dot" w:pos="9354"/>
              </w:tabs>
              <w:spacing w:before="60" w:afterLines="0" w:after="0"/>
              <w:jc w:val="center"/>
              <w:rPr>
                <w:rFonts w:eastAsia="Times New Roman" w:cs="Arial"/>
                <w:color w:val="000000"/>
              </w:rPr>
            </w:pPr>
            <w:r w:rsidRPr="00963C14">
              <w:rPr>
                <w:rFonts w:eastAsia="Times New Roman" w:cs="Arial"/>
                <w:color w:val="000000"/>
              </w:rPr>
              <w:t>0.0</w:t>
            </w:r>
          </w:p>
        </w:tc>
      </w:tr>
    </w:tbl>
    <w:p w14:paraId="13180D2C" w14:textId="77777777" w:rsidR="00EE1D3A" w:rsidRPr="00963C14" w:rsidRDefault="00EE1D3A" w:rsidP="00EE1D3A">
      <w:pPr>
        <w:tabs>
          <w:tab w:val="right" w:leader="dot" w:pos="9354"/>
        </w:tabs>
        <w:spacing w:after="288"/>
        <w:rPr>
          <w:rFonts w:cs="Arial"/>
          <w:sz w:val="22"/>
          <w:szCs w:val="20"/>
        </w:rPr>
      </w:pPr>
    </w:p>
    <w:p w14:paraId="1CBDFBC5" w14:textId="77777777" w:rsidR="00EE1D3A" w:rsidRPr="00963C14" w:rsidRDefault="00EE1D3A" w:rsidP="00EE1D3A">
      <w:pPr>
        <w:spacing w:after="288"/>
        <w:rPr>
          <w:rFonts w:cs="Arial"/>
          <w:sz w:val="22"/>
          <w:szCs w:val="20"/>
        </w:rPr>
      </w:pPr>
    </w:p>
    <w:p w14:paraId="3F70838B" w14:textId="77777777" w:rsidR="00EE1D3A" w:rsidRPr="00963C14" w:rsidRDefault="00EE1D3A" w:rsidP="00EE1D3A">
      <w:pPr>
        <w:tabs>
          <w:tab w:val="left" w:pos="6358"/>
        </w:tabs>
        <w:spacing w:after="288"/>
        <w:rPr>
          <w:rFonts w:cs="Arial"/>
          <w:sz w:val="22"/>
          <w:szCs w:val="20"/>
        </w:rPr>
      </w:pPr>
      <w:r w:rsidRPr="00963C14">
        <w:rPr>
          <w:rFonts w:cs="Arial"/>
          <w:sz w:val="22"/>
          <w:szCs w:val="20"/>
        </w:rPr>
        <w:tab/>
      </w:r>
    </w:p>
    <w:p w14:paraId="5A733034" w14:textId="77777777" w:rsidR="00EE1D3A" w:rsidRPr="00963C14" w:rsidRDefault="00EE1D3A" w:rsidP="00EE1D3A">
      <w:pPr>
        <w:pStyle w:val="Heading2"/>
        <w:tabs>
          <w:tab w:val="right" w:leader="dot" w:pos="9354"/>
        </w:tabs>
        <w:spacing w:after="288"/>
        <w:ind w:left="360"/>
        <w:rPr>
          <w:rFonts w:ascii="Arial" w:hAnsi="Arial" w:cs="Arial"/>
          <w:b/>
          <w:color w:val="055957"/>
          <w:sz w:val="24"/>
          <w:szCs w:val="24"/>
        </w:rPr>
      </w:pPr>
      <w:bookmarkStart w:id="59" w:name="_Toc163484924"/>
      <w:bookmarkStart w:id="60" w:name="_Toc163736658"/>
      <w:bookmarkStart w:id="61" w:name="_Toc163811091"/>
      <w:bookmarkStart w:id="62" w:name="_Toc165299388"/>
      <w:r w:rsidRPr="00963C14">
        <w:rPr>
          <w:rFonts w:ascii="Arial" w:hAnsi="Arial" w:cs="Arial"/>
          <w:b/>
          <w:color w:val="055957"/>
          <w:sz w:val="24"/>
          <w:szCs w:val="24"/>
        </w:rPr>
        <w:t>4.2. Монгол Улсын 2024 оны нэгдсэн төсвийн хүлээгдэж буй гүйцэтгэл</w:t>
      </w:r>
      <w:bookmarkEnd w:id="59"/>
      <w:bookmarkEnd w:id="60"/>
      <w:bookmarkEnd w:id="61"/>
      <w:bookmarkEnd w:id="62"/>
    </w:p>
    <w:p w14:paraId="100D2A63" w14:textId="77777777" w:rsidR="00EE1D3A" w:rsidRPr="00963C14" w:rsidRDefault="00EE1D3A" w:rsidP="00EE1D3A">
      <w:pPr>
        <w:pStyle w:val="Heading3"/>
        <w:tabs>
          <w:tab w:val="right" w:leader="dot" w:pos="9354"/>
        </w:tabs>
        <w:spacing w:after="288"/>
        <w:rPr>
          <w:rFonts w:ascii="Arial" w:hAnsi="Arial" w:cs="Arial"/>
          <w:color w:val="auto"/>
        </w:rPr>
      </w:pPr>
      <w:bookmarkStart w:id="63" w:name="_Toc163484925"/>
      <w:bookmarkStart w:id="64" w:name="_Toc163736659"/>
      <w:bookmarkStart w:id="65" w:name="_Toc163811092"/>
      <w:bookmarkStart w:id="66" w:name="_Toc165299389"/>
      <w:r w:rsidRPr="00963C14">
        <w:rPr>
          <w:rFonts w:ascii="Arial" w:hAnsi="Arial" w:cs="Arial"/>
          <w:color w:val="auto"/>
        </w:rPr>
        <w:t>4.2.1. Төсвийн орлого</w:t>
      </w:r>
      <w:bookmarkEnd w:id="63"/>
      <w:bookmarkEnd w:id="64"/>
      <w:bookmarkEnd w:id="65"/>
      <w:bookmarkEnd w:id="66"/>
      <w:r w:rsidRPr="00963C14">
        <w:rPr>
          <w:rFonts w:ascii="Arial" w:hAnsi="Arial" w:cs="Arial"/>
          <w:color w:val="auto"/>
        </w:rPr>
        <w:t xml:space="preserve"> </w:t>
      </w:r>
    </w:p>
    <w:p w14:paraId="641FD63A" w14:textId="77777777" w:rsidR="00EE1D3A" w:rsidRPr="00963C14" w:rsidRDefault="00EE1D3A" w:rsidP="00EE1D3A">
      <w:pPr>
        <w:tabs>
          <w:tab w:val="right" w:leader="dot" w:pos="9354"/>
        </w:tabs>
        <w:snapToGrid w:val="0"/>
        <w:spacing w:afterLines="0"/>
      </w:pPr>
      <w:r w:rsidRPr="00963C14">
        <w:t xml:space="preserve">Монгол Улсын нэгдсэн төсвийн нийт орлого 2024 оны эхний улирлын гүйцэтгэлээр 7,673.3 тэрбум төгрөгт хүрч, төлөвлөсөн хэмжээнээс 145.1 тэрбум төгрөгөөр бага төвлөрсөн байна.  </w:t>
      </w:r>
    </w:p>
    <w:p w14:paraId="346A6D1A" w14:textId="3FA72E44" w:rsidR="00EE1D3A" w:rsidRPr="00963C14" w:rsidRDefault="00EE1D3A" w:rsidP="00EE1D3A">
      <w:pPr>
        <w:pStyle w:val="Caption"/>
        <w:keepNext/>
        <w:rPr>
          <w:rFonts w:ascii="Arial" w:hAnsi="Arial" w:cs="Arial"/>
        </w:rPr>
      </w:pPr>
      <w:r w:rsidRPr="00963C14">
        <w:rPr>
          <w:rFonts w:ascii="Arial" w:hAnsi="Arial" w:cs="Arial"/>
        </w:rPr>
        <w:t xml:space="preserve">Хүснэгт 4.3. Нэгдсэн төсвийн орлогын </w:t>
      </w:r>
      <w:r w:rsidR="008328C2" w:rsidRPr="00963C14">
        <w:rPr>
          <w:rFonts w:ascii="Arial" w:hAnsi="Arial" w:cs="Arial"/>
        </w:rPr>
        <w:t xml:space="preserve">2024 оны </w:t>
      </w:r>
      <w:r w:rsidRPr="00963C14">
        <w:rPr>
          <w:rFonts w:ascii="Arial" w:hAnsi="Arial" w:cs="Arial"/>
        </w:rPr>
        <w:t>хүлээгдэж буй гүйцэтгэл</w:t>
      </w:r>
      <w:r w:rsidR="00840E08" w:rsidRPr="00963C14">
        <w:rPr>
          <w:rFonts w:ascii="Arial" w:hAnsi="Arial" w:cs="Arial"/>
        </w:rPr>
        <w:t xml:space="preserve"> (</w:t>
      </w:r>
      <w:r w:rsidRPr="00963C14">
        <w:rPr>
          <w:rFonts w:ascii="Arial" w:hAnsi="Arial" w:cs="Arial"/>
        </w:rPr>
        <w:t>тэрбум төгрөг</w:t>
      </w:r>
      <w:r w:rsidR="00840E08" w:rsidRPr="00963C14">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93"/>
        <w:gridCol w:w="1619"/>
        <w:gridCol w:w="1798"/>
        <w:gridCol w:w="3069"/>
      </w:tblGrid>
      <w:tr w:rsidR="00EE1D3A" w:rsidRPr="00963C14" w14:paraId="204E9EAF" w14:textId="77777777">
        <w:trPr>
          <w:trHeight w:val="287"/>
        </w:trPr>
        <w:tc>
          <w:tcPr>
            <w:tcW w:w="2795" w:type="dxa"/>
            <w:shd w:val="clear" w:color="auto" w:fill="11A795"/>
            <w:vAlign w:val="center"/>
          </w:tcPr>
          <w:p w14:paraId="71E845D9" w14:textId="77777777" w:rsidR="00EE1D3A" w:rsidRPr="00963C14" w:rsidRDefault="00EE1D3A" w:rsidP="00ED1BE8">
            <w:pPr>
              <w:snapToGrid w:val="0"/>
              <w:spacing w:afterLines="0" w:after="0"/>
              <w:jc w:val="center"/>
              <w:rPr>
                <w:b/>
                <w:color w:val="FFFFFF" w:themeColor="background1"/>
              </w:rPr>
            </w:pPr>
            <w:r w:rsidRPr="00963C14">
              <w:rPr>
                <w:b/>
                <w:color w:val="FFFFFF" w:themeColor="background1"/>
              </w:rPr>
              <w:t>Үзүүлэлт</w:t>
            </w:r>
          </w:p>
        </w:tc>
        <w:tc>
          <w:tcPr>
            <w:tcW w:w="1620" w:type="dxa"/>
            <w:shd w:val="clear" w:color="auto" w:fill="11A795"/>
            <w:vAlign w:val="center"/>
          </w:tcPr>
          <w:p w14:paraId="76CC9A01" w14:textId="77777777" w:rsidR="00EE1D3A" w:rsidRPr="00963C14" w:rsidRDefault="00EE1D3A" w:rsidP="00ED1BE8">
            <w:pPr>
              <w:snapToGrid w:val="0"/>
              <w:spacing w:afterLines="0" w:after="0"/>
              <w:jc w:val="center"/>
              <w:rPr>
                <w:b/>
                <w:color w:val="FFFFFF" w:themeColor="background1"/>
              </w:rPr>
            </w:pPr>
            <w:r w:rsidRPr="00963C14">
              <w:rPr>
                <w:b/>
                <w:color w:val="FFFFFF" w:themeColor="background1"/>
              </w:rPr>
              <w:t>2024.3 сар</w:t>
            </w:r>
          </w:p>
          <w:p w14:paraId="223D0217" w14:textId="77777777" w:rsidR="00EE1D3A" w:rsidRPr="00963C14" w:rsidRDefault="00EE1D3A" w:rsidP="00ED1BE8">
            <w:pPr>
              <w:snapToGrid w:val="0"/>
              <w:spacing w:afterLines="0" w:after="0"/>
              <w:jc w:val="center"/>
              <w:rPr>
                <w:i/>
                <w:color w:val="FFFFFF" w:themeColor="background1"/>
              </w:rPr>
            </w:pPr>
            <w:r w:rsidRPr="00963C14">
              <w:rPr>
                <w:i/>
                <w:color w:val="FFFFFF" w:themeColor="background1"/>
              </w:rPr>
              <w:t>төлөвлөсөн</w:t>
            </w:r>
          </w:p>
        </w:tc>
        <w:tc>
          <w:tcPr>
            <w:tcW w:w="1800" w:type="dxa"/>
            <w:shd w:val="clear" w:color="auto" w:fill="11A795"/>
            <w:vAlign w:val="center"/>
          </w:tcPr>
          <w:p w14:paraId="1985EB39" w14:textId="77777777" w:rsidR="00EE1D3A" w:rsidRPr="00963C14" w:rsidRDefault="00EE1D3A" w:rsidP="00ED1BE8">
            <w:pPr>
              <w:snapToGrid w:val="0"/>
              <w:spacing w:afterLines="0" w:after="0"/>
              <w:jc w:val="center"/>
              <w:rPr>
                <w:b/>
                <w:color w:val="FFFFFF" w:themeColor="background1"/>
              </w:rPr>
            </w:pPr>
            <w:r w:rsidRPr="00963C14">
              <w:rPr>
                <w:b/>
                <w:color w:val="FFFFFF" w:themeColor="background1"/>
              </w:rPr>
              <w:t>2024.3 сар</w:t>
            </w:r>
          </w:p>
          <w:p w14:paraId="419DAC65" w14:textId="77777777" w:rsidR="00EE1D3A" w:rsidRPr="00963C14" w:rsidRDefault="00EE1D3A" w:rsidP="00ED1BE8">
            <w:pPr>
              <w:snapToGrid w:val="0"/>
              <w:spacing w:afterLines="0" w:after="0"/>
              <w:jc w:val="center"/>
              <w:rPr>
                <w:i/>
                <w:color w:val="FFFFFF" w:themeColor="background1"/>
              </w:rPr>
            </w:pPr>
            <w:r w:rsidRPr="00963C14">
              <w:rPr>
                <w:i/>
                <w:color w:val="FFFFFF" w:themeColor="background1"/>
              </w:rPr>
              <w:t>гүйцэтгэл</w:t>
            </w:r>
          </w:p>
        </w:tc>
        <w:tc>
          <w:tcPr>
            <w:tcW w:w="3074" w:type="dxa"/>
            <w:shd w:val="clear" w:color="auto" w:fill="11A795"/>
            <w:vAlign w:val="center"/>
          </w:tcPr>
          <w:p w14:paraId="58EB6B7E" w14:textId="77777777" w:rsidR="00EE1D3A" w:rsidRPr="00963C14" w:rsidRDefault="00EE1D3A" w:rsidP="00ED1BE8">
            <w:pPr>
              <w:snapToGrid w:val="0"/>
              <w:spacing w:afterLines="0" w:after="0"/>
              <w:jc w:val="center"/>
              <w:rPr>
                <w:b/>
                <w:color w:val="FFFFFF" w:themeColor="background1"/>
              </w:rPr>
            </w:pPr>
            <w:r w:rsidRPr="00963C14">
              <w:rPr>
                <w:b/>
                <w:color w:val="FFFFFF" w:themeColor="background1"/>
              </w:rPr>
              <w:t>2024</w:t>
            </w:r>
          </w:p>
          <w:p w14:paraId="5A87A194" w14:textId="77777777" w:rsidR="00EE1D3A" w:rsidRPr="00963C14" w:rsidRDefault="00EE1D3A" w:rsidP="00ED1BE8">
            <w:pPr>
              <w:snapToGrid w:val="0"/>
              <w:spacing w:afterLines="0" w:after="0"/>
              <w:jc w:val="center"/>
              <w:rPr>
                <w:i/>
                <w:color w:val="FFFFFF" w:themeColor="background1"/>
              </w:rPr>
            </w:pPr>
            <w:r w:rsidRPr="00963C14">
              <w:rPr>
                <w:i/>
                <w:color w:val="FFFFFF" w:themeColor="background1"/>
              </w:rPr>
              <w:t>хүлээгдэж буй гүйцэтгэл</w:t>
            </w:r>
          </w:p>
        </w:tc>
      </w:tr>
      <w:tr w:rsidR="00EE1D3A" w:rsidRPr="00963C14" w14:paraId="5A3D9C3A" w14:textId="77777777">
        <w:trPr>
          <w:trHeight w:val="374"/>
        </w:trPr>
        <w:tc>
          <w:tcPr>
            <w:tcW w:w="2795" w:type="dxa"/>
            <w:tcBorders>
              <w:bottom w:val="single" w:sz="4" w:space="0" w:color="auto"/>
            </w:tcBorders>
            <w:vAlign w:val="center"/>
          </w:tcPr>
          <w:p w14:paraId="032A52FB" w14:textId="77777777" w:rsidR="00EE1D3A" w:rsidRPr="00963C14" w:rsidRDefault="00EE1D3A" w:rsidP="00ED1BE8">
            <w:pPr>
              <w:snapToGrid w:val="0"/>
              <w:spacing w:afterLines="0" w:after="0"/>
              <w:jc w:val="center"/>
              <w:rPr>
                <w:b/>
              </w:rPr>
            </w:pPr>
            <w:r w:rsidRPr="00963C14">
              <w:rPr>
                <w:b/>
              </w:rPr>
              <w:t>Нийт орлого</w:t>
            </w:r>
          </w:p>
        </w:tc>
        <w:tc>
          <w:tcPr>
            <w:tcW w:w="1620" w:type="dxa"/>
            <w:tcBorders>
              <w:bottom w:val="single" w:sz="4" w:space="0" w:color="auto"/>
            </w:tcBorders>
            <w:vAlign w:val="center"/>
          </w:tcPr>
          <w:p w14:paraId="09BE0B87" w14:textId="77777777" w:rsidR="00EE1D3A" w:rsidRPr="00963C14" w:rsidRDefault="00EE1D3A" w:rsidP="00ED1BE8">
            <w:pPr>
              <w:snapToGrid w:val="0"/>
              <w:spacing w:afterLines="0" w:after="0"/>
              <w:jc w:val="center"/>
              <w:rPr>
                <w:b/>
              </w:rPr>
            </w:pPr>
            <w:r w:rsidRPr="00963C14">
              <w:rPr>
                <w:rFonts w:cs="Arial"/>
                <w:b/>
              </w:rPr>
              <w:t>7,818.4</w:t>
            </w:r>
          </w:p>
        </w:tc>
        <w:tc>
          <w:tcPr>
            <w:tcW w:w="1800" w:type="dxa"/>
            <w:tcBorders>
              <w:bottom w:val="single" w:sz="4" w:space="0" w:color="auto"/>
            </w:tcBorders>
            <w:vAlign w:val="center"/>
          </w:tcPr>
          <w:p w14:paraId="5ACCF131" w14:textId="77777777" w:rsidR="00EE1D3A" w:rsidRPr="00963C14" w:rsidRDefault="00EE1D3A" w:rsidP="00ED1BE8">
            <w:pPr>
              <w:snapToGrid w:val="0"/>
              <w:spacing w:afterLines="0" w:after="0"/>
              <w:jc w:val="center"/>
              <w:rPr>
                <w:b/>
              </w:rPr>
            </w:pPr>
            <w:r w:rsidRPr="00963C14">
              <w:rPr>
                <w:b/>
              </w:rPr>
              <w:t>7,673.3</w:t>
            </w:r>
          </w:p>
        </w:tc>
        <w:tc>
          <w:tcPr>
            <w:tcW w:w="3074" w:type="dxa"/>
            <w:tcBorders>
              <w:bottom w:val="single" w:sz="4" w:space="0" w:color="auto"/>
            </w:tcBorders>
            <w:vAlign w:val="center"/>
          </w:tcPr>
          <w:p w14:paraId="034DC9A6" w14:textId="164142C2" w:rsidR="00EE1D3A" w:rsidRPr="00963C14" w:rsidRDefault="00EE1D3A" w:rsidP="00ED1BE8">
            <w:pPr>
              <w:snapToGrid w:val="0"/>
              <w:spacing w:afterLines="0" w:after="0"/>
              <w:jc w:val="center"/>
              <w:rPr>
                <w:b/>
              </w:rPr>
            </w:pPr>
            <w:r w:rsidRPr="00963C14">
              <w:rPr>
                <w:rFonts w:cs="Arial"/>
                <w:b/>
              </w:rPr>
              <w:t>27,7</w:t>
            </w:r>
            <w:r w:rsidR="00674659" w:rsidRPr="00963C14">
              <w:rPr>
                <w:rFonts w:cs="Arial"/>
                <w:b/>
              </w:rPr>
              <w:t>22</w:t>
            </w:r>
            <w:r w:rsidRPr="00963C14">
              <w:rPr>
                <w:rFonts w:cs="Arial"/>
                <w:b/>
              </w:rPr>
              <w:t>.</w:t>
            </w:r>
            <w:r w:rsidR="00674659" w:rsidRPr="00963C14">
              <w:rPr>
                <w:rFonts w:cs="Arial"/>
                <w:b/>
              </w:rPr>
              <w:t>2</w:t>
            </w:r>
          </w:p>
        </w:tc>
      </w:tr>
      <w:tr w:rsidR="00EE1D3A" w:rsidRPr="00963C14" w14:paraId="3B697A1B" w14:textId="77777777">
        <w:trPr>
          <w:trHeight w:val="374"/>
        </w:trPr>
        <w:tc>
          <w:tcPr>
            <w:tcW w:w="2795" w:type="dxa"/>
            <w:tcBorders>
              <w:top w:val="single" w:sz="4" w:space="0" w:color="auto"/>
              <w:bottom w:val="single" w:sz="4" w:space="0" w:color="auto"/>
            </w:tcBorders>
            <w:vAlign w:val="center"/>
          </w:tcPr>
          <w:p w14:paraId="089F3C63" w14:textId="77777777" w:rsidR="00EE1D3A" w:rsidRPr="00963C14" w:rsidRDefault="00EE1D3A" w:rsidP="00ED1BE8">
            <w:pPr>
              <w:snapToGrid w:val="0"/>
              <w:spacing w:afterLines="0" w:after="0"/>
              <w:jc w:val="center"/>
            </w:pPr>
            <w:r w:rsidRPr="00963C14">
              <w:t>Тогтворжуулалтын сан</w:t>
            </w:r>
          </w:p>
        </w:tc>
        <w:tc>
          <w:tcPr>
            <w:tcW w:w="1620" w:type="dxa"/>
            <w:tcBorders>
              <w:top w:val="single" w:sz="4" w:space="0" w:color="auto"/>
              <w:bottom w:val="single" w:sz="4" w:space="0" w:color="auto"/>
            </w:tcBorders>
            <w:vAlign w:val="center"/>
          </w:tcPr>
          <w:p w14:paraId="5FDC47E0" w14:textId="77777777" w:rsidR="00EE1D3A" w:rsidRPr="00963C14" w:rsidRDefault="00EE1D3A" w:rsidP="00ED1BE8">
            <w:pPr>
              <w:snapToGrid w:val="0"/>
              <w:spacing w:afterLines="0" w:after="0"/>
              <w:jc w:val="center"/>
            </w:pPr>
            <w:r w:rsidRPr="00963C14">
              <w:t>101.0</w:t>
            </w:r>
          </w:p>
        </w:tc>
        <w:tc>
          <w:tcPr>
            <w:tcW w:w="1800" w:type="dxa"/>
            <w:tcBorders>
              <w:top w:val="single" w:sz="4" w:space="0" w:color="auto"/>
              <w:bottom w:val="single" w:sz="4" w:space="0" w:color="auto"/>
            </w:tcBorders>
            <w:vAlign w:val="center"/>
          </w:tcPr>
          <w:p w14:paraId="20BE5922" w14:textId="77777777" w:rsidR="00EE1D3A" w:rsidRPr="00963C14" w:rsidRDefault="00EE1D3A" w:rsidP="00ED1BE8">
            <w:pPr>
              <w:snapToGrid w:val="0"/>
              <w:spacing w:afterLines="0" w:after="0"/>
              <w:jc w:val="center"/>
            </w:pPr>
            <w:r w:rsidRPr="00963C14">
              <w:t>67.4</w:t>
            </w:r>
          </w:p>
        </w:tc>
        <w:tc>
          <w:tcPr>
            <w:tcW w:w="3074" w:type="dxa"/>
            <w:tcBorders>
              <w:top w:val="single" w:sz="4" w:space="0" w:color="auto"/>
              <w:bottom w:val="single" w:sz="4" w:space="0" w:color="auto"/>
            </w:tcBorders>
            <w:vAlign w:val="center"/>
          </w:tcPr>
          <w:p w14:paraId="416E3163" w14:textId="77777777" w:rsidR="00EE1D3A" w:rsidRPr="00963C14" w:rsidRDefault="00EE1D3A" w:rsidP="00ED1BE8">
            <w:pPr>
              <w:snapToGrid w:val="0"/>
              <w:spacing w:afterLines="0" w:after="0"/>
              <w:jc w:val="center"/>
            </w:pPr>
            <w:r w:rsidRPr="00963C14">
              <w:rPr>
                <w:rFonts w:cs="Arial"/>
              </w:rPr>
              <w:t>513.7</w:t>
            </w:r>
          </w:p>
        </w:tc>
      </w:tr>
      <w:tr w:rsidR="00EE1D3A" w:rsidRPr="00963C14" w14:paraId="494E5F29" w14:textId="77777777" w:rsidTr="00265D5C">
        <w:trPr>
          <w:trHeight w:val="374"/>
        </w:trPr>
        <w:tc>
          <w:tcPr>
            <w:tcW w:w="2795" w:type="dxa"/>
            <w:tcBorders>
              <w:top w:val="single" w:sz="4" w:space="0" w:color="auto"/>
              <w:bottom w:val="single" w:sz="4" w:space="0" w:color="auto"/>
            </w:tcBorders>
            <w:vAlign w:val="center"/>
          </w:tcPr>
          <w:p w14:paraId="587E412A" w14:textId="77777777" w:rsidR="00EE1D3A" w:rsidRPr="00963C14" w:rsidRDefault="00EE1D3A" w:rsidP="00ED1BE8">
            <w:pPr>
              <w:snapToGrid w:val="0"/>
              <w:spacing w:afterLines="0" w:after="0"/>
              <w:jc w:val="center"/>
              <w:rPr>
                <w:b/>
              </w:rPr>
            </w:pPr>
            <w:r w:rsidRPr="00963C14">
              <w:rPr>
                <w:b/>
              </w:rPr>
              <w:t>Тэнцвэржүүлсэн орлого</w:t>
            </w:r>
          </w:p>
        </w:tc>
        <w:tc>
          <w:tcPr>
            <w:tcW w:w="1620" w:type="dxa"/>
            <w:tcBorders>
              <w:top w:val="single" w:sz="4" w:space="0" w:color="auto"/>
              <w:bottom w:val="single" w:sz="4" w:space="0" w:color="auto"/>
            </w:tcBorders>
            <w:vAlign w:val="center"/>
          </w:tcPr>
          <w:p w14:paraId="7E96BC8C" w14:textId="77777777" w:rsidR="00EE1D3A" w:rsidRPr="00963C14" w:rsidRDefault="00EE1D3A" w:rsidP="00ED1BE8">
            <w:pPr>
              <w:snapToGrid w:val="0"/>
              <w:spacing w:afterLines="0" w:after="0"/>
              <w:jc w:val="center"/>
              <w:rPr>
                <w:b/>
              </w:rPr>
            </w:pPr>
            <w:r w:rsidRPr="00963C14">
              <w:rPr>
                <w:b/>
              </w:rPr>
              <w:t>7,462.6</w:t>
            </w:r>
          </w:p>
        </w:tc>
        <w:tc>
          <w:tcPr>
            <w:tcW w:w="1800" w:type="dxa"/>
            <w:tcBorders>
              <w:top w:val="single" w:sz="4" w:space="0" w:color="auto"/>
              <w:bottom w:val="single" w:sz="4" w:space="0" w:color="auto"/>
            </w:tcBorders>
            <w:vAlign w:val="center"/>
          </w:tcPr>
          <w:p w14:paraId="77CC5452" w14:textId="77777777" w:rsidR="00EE1D3A" w:rsidRPr="00963C14" w:rsidRDefault="00EE1D3A" w:rsidP="00ED1BE8">
            <w:pPr>
              <w:snapToGrid w:val="0"/>
              <w:spacing w:afterLines="0" w:after="0"/>
              <w:jc w:val="center"/>
              <w:rPr>
                <w:b/>
              </w:rPr>
            </w:pPr>
            <w:r w:rsidRPr="00963C14">
              <w:rPr>
                <w:b/>
              </w:rPr>
              <w:t>7,321.9</w:t>
            </w:r>
          </w:p>
        </w:tc>
        <w:tc>
          <w:tcPr>
            <w:tcW w:w="3074" w:type="dxa"/>
            <w:tcBorders>
              <w:top w:val="single" w:sz="4" w:space="0" w:color="auto"/>
              <w:bottom w:val="single" w:sz="4" w:space="0" w:color="auto"/>
            </w:tcBorders>
            <w:vAlign w:val="center"/>
          </w:tcPr>
          <w:p w14:paraId="74CBCB97" w14:textId="288AC505" w:rsidR="00EE1D3A" w:rsidRPr="00963C14" w:rsidRDefault="00EE1D3A" w:rsidP="00ED1BE8">
            <w:pPr>
              <w:snapToGrid w:val="0"/>
              <w:spacing w:afterLines="0" w:after="0"/>
              <w:jc w:val="center"/>
              <w:rPr>
                <w:b/>
              </w:rPr>
            </w:pPr>
            <w:r w:rsidRPr="00963C14">
              <w:rPr>
                <w:rFonts w:cs="Arial"/>
                <w:b/>
              </w:rPr>
              <w:t>25,8</w:t>
            </w:r>
            <w:r w:rsidR="008D7CDB" w:rsidRPr="00963C14">
              <w:rPr>
                <w:rFonts w:cs="Arial"/>
                <w:b/>
              </w:rPr>
              <w:t>55</w:t>
            </w:r>
            <w:r w:rsidRPr="00963C14">
              <w:rPr>
                <w:rFonts w:cs="Arial"/>
                <w:b/>
              </w:rPr>
              <w:t>.</w:t>
            </w:r>
            <w:r w:rsidR="008D7CDB" w:rsidRPr="00963C14">
              <w:rPr>
                <w:rFonts w:cs="Arial"/>
                <w:b/>
              </w:rPr>
              <w:t>1</w:t>
            </w:r>
          </w:p>
        </w:tc>
      </w:tr>
    </w:tbl>
    <w:p w14:paraId="5EA572BF" w14:textId="1996A3B0" w:rsidR="00EE1D3A" w:rsidRPr="00963C14" w:rsidRDefault="00EE1D3A" w:rsidP="00EE1D3A">
      <w:pPr>
        <w:tabs>
          <w:tab w:val="right" w:leader="dot" w:pos="9354"/>
        </w:tabs>
        <w:spacing w:before="240" w:after="288"/>
        <w:rPr>
          <w:rFonts w:cs="Arial"/>
        </w:rPr>
      </w:pPr>
      <w:r w:rsidRPr="00963C14">
        <w:rPr>
          <w:rFonts w:cs="Arial"/>
        </w:rPr>
        <w:t>Төсвийн нийт орлого 2024 онд 27.7 их наяд төгрөг, тэнцвэржүүлсэн орлого 25.9 их наяд төгрөг байхаар хүлээгдэж байна. Энэ онд уул уурхайн бүтээгдэхүүний биржийн үйл ажиллагааг дэмжих, хилийн боомтын дэд бүтцийг хөгжүүлэх, экспортыг эрчимжүүлэх, татварын бүртгэл, хамрагдалтыг сайжруулах чиглэлд арга хэмжээ авч хэрэгжүүлэн ажиллаж байна. Энэ хүрээнд хэрэгжүүлсэн ажлын үр дүнд 2024 оны эхний улирлын байдлаар эрдэс бүтээгдэхүүний экспорт өсөж, нүүрсний экспорт 17.8 сая тоннд хүрч, өмнөх оны мөн үеэс 28 хувиар өссөн байна.</w:t>
      </w:r>
    </w:p>
    <w:p w14:paraId="0C2FF4D6" w14:textId="77777777" w:rsidR="00EE1D3A" w:rsidRPr="00963C14" w:rsidRDefault="00EE1D3A" w:rsidP="00EE1D3A">
      <w:pPr>
        <w:pStyle w:val="Heading3"/>
        <w:tabs>
          <w:tab w:val="right" w:leader="dot" w:pos="9354"/>
        </w:tabs>
        <w:spacing w:after="288"/>
        <w:rPr>
          <w:rFonts w:ascii="Arial" w:hAnsi="Arial" w:cs="Arial"/>
          <w:color w:val="auto"/>
        </w:rPr>
      </w:pPr>
      <w:bookmarkStart w:id="67" w:name="_Toc163484926"/>
      <w:bookmarkStart w:id="68" w:name="_Toc163736660"/>
      <w:bookmarkStart w:id="69" w:name="_Toc163811093"/>
      <w:bookmarkStart w:id="70" w:name="_Toc165299390"/>
      <w:r w:rsidRPr="00963C14">
        <w:rPr>
          <w:rFonts w:ascii="Arial" w:hAnsi="Arial" w:cs="Arial"/>
          <w:color w:val="auto"/>
        </w:rPr>
        <w:t>4.2.2. Төсвийн зарлага</w:t>
      </w:r>
      <w:bookmarkEnd w:id="67"/>
      <w:bookmarkEnd w:id="68"/>
      <w:bookmarkEnd w:id="69"/>
      <w:bookmarkEnd w:id="70"/>
      <w:r w:rsidRPr="00963C14">
        <w:rPr>
          <w:rFonts w:ascii="Arial" w:hAnsi="Arial" w:cs="Arial"/>
          <w:color w:val="auto"/>
        </w:rPr>
        <w:t xml:space="preserve"> </w:t>
      </w:r>
    </w:p>
    <w:p w14:paraId="26D07B5A" w14:textId="52CE3123" w:rsidR="00EE1D3A" w:rsidRPr="00963C14" w:rsidRDefault="00EE1D3A" w:rsidP="00EE1D3A">
      <w:pPr>
        <w:tabs>
          <w:tab w:val="right" w:leader="dot" w:pos="9354"/>
        </w:tabs>
        <w:spacing w:after="288"/>
        <w:rPr>
          <w:lang w:eastAsia="ja-JP"/>
        </w:rPr>
      </w:pPr>
      <w:r w:rsidRPr="00963C14">
        <w:rPr>
          <w:lang w:eastAsia="ja-JP"/>
        </w:rPr>
        <w:t>Төсвийн нийт урсгал зардал 2024 онд 21,</w:t>
      </w:r>
      <w:r w:rsidR="00EC7721" w:rsidRPr="00963C14">
        <w:rPr>
          <w:lang w:eastAsia="ja-JP"/>
        </w:rPr>
        <w:t>087</w:t>
      </w:r>
      <w:r w:rsidRPr="00963C14">
        <w:rPr>
          <w:lang w:eastAsia="ja-JP"/>
        </w:rPr>
        <w:t>.</w:t>
      </w:r>
      <w:r w:rsidR="00EC7721" w:rsidRPr="00963C14">
        <w:rPr>
          <w:lang w:eastAsia="ja-JP"/>
        </w:rPr>
        <w:t>2</w:t>
      </w:r>
      <w:r w:rsidRPr="00963C14">
        <w:rPr>
          <w:lang w:eastAsia="ja-JP"/>
        </w:rPr>
        <w:t xml:space="preserve"> тэрбум төгрөг ба үүний 35.</w:t>
      </w:r>
      <w:r w:rsidR="003208B0" w:rsidRPr="00963C14">
        <w:rPr>
          <w:lang w:eastAsia="ja-JP"/>
        </w:rPr>
        <w:t>9</w:t>
      </w:r>
      <w:r w:rsidRPr="00963C14">
        <w:rPr>
          <w:lang w:eastAsia="ja-JP"/>
        </w:rPr>
        <w:t xml:space="preserve"> хувь нь төрөөс иргэдэд олгодог нийгмийн даатгалын болон халамжийн тэтгэвэр, тэтгэмж, </w:t>
      </w:r>
      <w:r w:rsidR="00000162" w:rsidRPr="00963C14">
        <w:rPr>
          <w:lang w:eastAsia="ja-JP"/>
        </w:rPr>
        <w:t>25.3</w:t>
      </w:r>
      <w:r w:rsidRPr="00963C14">
        <w:rPr>
          <w:lang w:eastAsia="ja-JP"/>
        </w:rPr>
        <w:t xml:space="preserve"> хувь нь төрийн албан хаагчдад олгох цалин хөлс, </w:t>
      </w:r>
      <w:r w:rsidR="00CA13AE" w:rsidRPr="00963C14">
        <w:rPr>
          <w:lang w:eastAsia="ja-JP"/>
        </w:rPr>
        <w:t>11.7</w:t>
      </w:r>
      <w:r w:rsidRPr="00963C14">
        <w:rPr>
          <w:lang w:eastAsia="ja-JP"/>
        </w:rPr>
        <w:t xml:space="preserve"> хувь нь төсвийн байгууллагын хэвийн үйл ажиллагааг хангахтай холбоотой урсгал зардал, 7.3 хувь нь хүүхдийн мөнгөн тэтгэмж,  хувь нь төрөөс иргэн, аж ахуйн нэгжид олгох хөнгөлөлт, чөлөөлөлт, 8.5 хувь нь татаас, гадаад, дотоод зээлийн хүүгийн төлбөр, 1.</w:t>
      </w:r>
      <w:r w:rsidR="00BD2AE2" w:rsidRPr="00963C14">
        <w:rPr>
          <w:lang w:eastAsia="ja-JP"/>
        </w:rPr>
        <w:t>6</w:t>
      </w:r>
      <w:r w:rsidRPr="00963C14">
        <w:rPr>
          <w:lang w:eastAsia="ja-JP"/>
        </w:rPr>
        <w:t xml:space="preserve"> хувь нь гүйцэтгэлээр санхүүждэг эрүүл мэнд, боловсролын салбарын урсгал зардал тус тус эзэлж байна.</w:t>
      </w:r>
    </w:p>
    <w:p w14:paraId="2718FBB8" w14:textId="77777777" w:rsidR="00EE1D3A" w:rsidRPr="00963C14" w:rsidRDefault="00EE1D3A" w:rsidP="00EE1D3A">
      <w:pPr>
        <w:tabs>
          <w:tab w:val="right" w:leader="dot" w:pos="9354"/>
        </w:tabs>
        <w:spacing w:after="288"/>
        <w:rPr>
          <w:rFonts w:cs="Arial"/>
        </w:rPr>
      </w:pPr>
      <w:r w:rsidRPr="00963C14">
        <w:rPr>
          <w:lang w:eastAsia="ja-JP"/>
        </w:rPr>
        <w:t>Монгол Улсын нэгдсэн төсвийн нийт зарлагын гүйцэтгэл 2024 оны эхний улирлын байдлаар 5,695.3 тэрбум төгрөг буюу төлөвлөснөөс 69.3 хувийн гүйцэтгэлтэй гарлаа.</w:t>
      </w:r>
    </w:p>
    <w:p w14:paraId="047D9B63" w14:textId="41A90C0A" w:rsidR="00EE1D3A" w:rsidRPr="00963C14" w:rsidRDefault="00EE1D3A" w:rsidP="00EE1D3A">
      <w:pPr>
        <w:pStyle w:val="Caption"/>
        <w:keepNext/>
        <w:rPr>
          <w:rFonts w:ascii="Arial" w:hAnsi="Arial" w:cs="Arial"/>
        </w:rPr>
      </w:pPr>
      <w:r w:rsidRPr="00963C14">
        <w:rPr>
          <w:rFonts w:ascii="Arial" w:hAnsi="Arial" w:cs="Arial"/>
        </w:rPr>
        <w:t xml:space="preserve">Хүснэгт 4.4. Нэгдсэн төсвийн зарлагын </w:t>
      </w:r>
      <w:r w:rsidR="00211C62" w:rsidRPr="00963C14">
        <w:rPr>
          <w:rFonts w:ascii="Arial" w:hAnsi="Arial" w:cs="Arial"/>
        </w:rPr>
        <w:t xml:space="preserve">2024 оны </w:t>
      </w:r>
      <w:r w:rsidRPr="00963C14">
        <w:rPr>
          <w:rFonts w:ascii="Arial" w:hAnsi="Arial" w:cs="Arial"/>
        </w:rPr>
        <w:t>хүлээгдэж буй гүйцэтгэл</w:t>
      </w:r>
      <w:r w:rsidR="00840E08" w:rsidRPr="00963C14">
        <w:rPr>
          <w:rFonts w:ascii="Arial" w:hAnsi="Arial" w:cs="Arial"/>
        </w:rPr>
        <w:t xml:space="preserve"> (</w:t>
      </w:r>
      <w:r w:rsidRPr="00963C14">
        <w:rPr>
          <w:rFonts w:ascii="Arial" w:hAnsi="Arial" w:cs="Arial"/>
        </w:rPr>
        <w:t>тэрбум төгрөг</w:t>
      </w:r>
      <w:r w:rsidR="00840E08" w:rsidRPr="00963C14">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374"/>
        <w:gridCol w:w="2374"/>
        <w:gridCol w:w="2374"/>
      </w:tblGrid>
      <w:tr w:rsidR="00EE1D3A" w:rsidRPr="00963C14" w14:paraId="2D8FFFD0" w14:textId="77777777">
        <w:tc>
          <w:tcPr>
            <w:tcW w:w="2373" w:type="dxa"/>
            <w:shd w:val="clear" w:color="auto" w:fill="11A795"/>
            <w:vAlign w:val="center"/>
          </w:tcPr>
          <w:p w14:paraId="61BEDAC3" w14:textId="77777777" w:rsidR="00EE1D3A" w:rsidRPr="00963C14" w:rsidRDefault="00EE1D3A" w:rsidP="00ED1BE8">
            <w:pPr>
              <w:snapToGrid w:val="0"/>
              <w:spacing w:afterLines="0" w:after="0"/>
              <w:jc w:val="center"/>
              <w:rPr>
                <w:b/>
                <w:color w:val="FFFFFF" w:themeColor="background1"/>
              </w:rPr>
            </w:pPr>
            <w:r w:rsidRPr="00963C14">
              <w:rPr>
                <w:b/>
                <w:color w:val="FFFFFF" w:themeColor="background1"/>
              </w:rPr>
              <w:t>Үзүүлэлт</w:t>
            </w:r>
          </w:p>
        </w:tc>
        <w:tc>
          <w:tcPr>
            <w:tcW w:w="2374" w:type="dxa"/>
            <w:shd w:val="clear" w:color="auto" w:fill="11A795"/>
            <w:vAlign w:val="center"/>
          </w:tcPr>
          <w:p w14:paraId="71DB54B6" w14:textId="77777777" w:rsidR="00EE1D3A" w:rsidRPr="00963C14" w:rsidRDefault="00EE1D3A" w:rsidP="00ED1BE8">
            <w:pPr>
              <w:snapToGrid w:val="0"/>
              <w:spacing w:afterLines="0" w:after="0"/>
              <w:jc w:val="center"/>
              <w:rPr>
                <w:b/>
                <w:color w:val="FFFFFF" w:themeColor="background1"/>
              </w:rPr>
            </w:pPr>
            <w:r w:rsidRPr="00963C14">
              <w:rPr>
                <w:b/>
                <w:color w:val="FFFFFF" w:themeColor="background1"/>
              </w:rPr>
              <w:t xml:space="preserve">2024 онд </w:t>
            </w:r>
            <w:r w:rsidRPr="00963C14">
              <w:rPr>
                <w:i/>
                <w:color w:val="FFFFFF" w:themeColor="background1"/>
              </w:rPr>
              <w:t>батлагдсан</w:t>
            </w:r>
          </w:p>
        </w:tc>
        <w:tc>
          <w:tcPr>
            <w:tcW w:w="2374" w:type="dxa"/>
            <w:shd w:val="clear" w:color="auto" w:fill="11A795"/>
            <w:vAlign w:val="center"/>
          </w:tcPr>
          <w:p w14:paraId="064DBD36" w14:textId="77777777" w:rsidR="00EE1D3A" w:rsidRPr="00963C14" w:rsidRDefault="00EE1D3A" w:rsidP="00ED1BE8">
            <w:pPr>
              <w:snapToGrid w:val="0"/>
              <w:spacing w:afterLines="0" w:after="0"/>
              <w:jc w:val="center"/>
              <w:rPr>
                <w:b/>
                <w:color w:val="FFFFFF" w:themeColor="background1"/>
              </w:rPr>
            </w:pPr>
            <w:r w:rsidRPr="00963C14">
              <w:rPr>
                <w:b/>
                <w:color w:val="FFFFFF" w:themeColor="background1"/>
              </w:rPr>
              <w:t>2024.3 сар</w:t>
            </w:r>
          </w:p>
          <w:p w14:paraId="6F607417" w14:textId="77777777" w:rsidR="00EE1D3A" w:rsidRPr="00963C14" w:rsidRDefault="00EE1D3A" w:rsidP="00ED1BE8">
            <w:pPr>
              <w:snapToGrid w:val="0"/>
              <w:spacing w:afterLines="0" w:after="0"/>
              <w:jc w:val="center"/>
              <w:rPr>
                <w:i/>
                <w:color w:val="FFFFFF" w:themeColor="background1"/>
              </w:rPr>
            </w:pPr>
            <w:r w:rsidRPr="00963C14">
              <w:rPr>
                <w:i/>
                <w:color w:val="FFFFFF" w:themeColor="background1"/>
              </w:rPr>
              <w:t>төлөвлөсөн</w:t>
            </w:r>
          </w:p>
        </w:tc>
        <w:tc>
          <w:tcPr>
            <w:tcW w:w="2374" w:type="dxa"/>
            <w:shd w:val="clear" w:color="auto" w:fill="11A795"/>
            <w:vAlign w:val="center"/>
          </w:tcPr>
          <w:p w14:paraId="62528E64" w14:textId="77777777" w:rsidR="00EE1D3A" w:rsidRPr="00963C14" w:rsidRDefault="00EE1D3A" w:rsidP="00ED1BE8">
            <w:pPr>
              <w:snapToGrid w:val="0"/>
              <w:spacing w:afterLines="0" w:after="0"/>
              <w:jc w:val="center"/>
              <w:rPr>
                <w:b/>
                <w:color w:val="FFFFFF" w:themeColor="background1"/>
              </w:rPr>
            </w:pPr>
            <w:r w:rsidRPr="00963C14">
              <w:rPr>
                <w:b/>
                <w:color w:val="FFFFFF" w:themeColor="background1"/>
              </w:rPr>
              <w:t>2024.3 сар</w:t>
            </w:r>
          </w:p>
          <w:p w14:paraId="142D6BDF" w14:textId="77777777" w:rsidR="00EE1D3A" w:rsidRPr="00963C14" w:rsidRDefault="00EE1D3A" w:rsidP="00ED1BE8">
            <w:pPr>
              <w:snapToGrid w:val="0"/>
              <w:spacing w:afterLines="0" w:after="0"/>
              <w:jc w:val="center"/>
              <w:rPr>
                <w:i/>
                <w:color w:val="FFFFFF" w:themeColor="background1"/>
              </w:rPr>
            </w:pPr>
            <w:r w:rsidRPr="00963C14">
              <w:rPr>
                <w:i/>
                <w:color w:val="FFFFFF" w:themeColor="background1"/>
              </w:rPr>
              <w:t>гүйцэтгэл</w:t>
            </w:r>
          </w:p>
        </w:tc>
      </w:tr>
      <w:tr w:rsidR="00EE1D3A" w:rsidRPr="00963C14" w14:paraId="162987D4" w14:textId="77777777">
        <w:tc>
          <w:tcPr>
            <w:tcW w:w="2373" w:type="dxa"/>
            <w:tcBorders>
              <w:bottom w:val="single" w:sz="4" w:space="0" w:color="auto"/>
            </w:tcBorders>
          </w:tcPr>
          <w:p w14:paraId="08559214" w14:textId="77777777" w:rsidR="00EE1D3A" w:rsidRPr="00963C14" w:rsidRDefault="00EE1D3A" w:rsidP="00ED1BE8">
            <w:pPr>
              <w:snapToGrid w:val="0"/>
              <w:spacing w:afterLines="0" w:after="0"/>
              <w:rPr>
                <w:b/>
              </w:rPr>
            </w:pPr>
            <w:r w:rsidRPr="00963C14">
              <w:rPr>
                <w:b/>
              </w:rPr>
              <w:t>Нийт зарлага</w:t>
            </w:r>
          </w:p>
        </w:tc>
        <w:tc>
          <w:tcPr>
            <w:tcW w:w="2374" w:type="dxa"/>
            <w:tcBorders>
              <w:bottom w:val="single" w:sz="4" w:space="0" w:color="auto"/>
            </w:tcBorders>
            <w:vAlign w:val="center"/>
          </w:tcPr>
          <w:p w14:paraId="55D1AFA1" w14:textId="1BE0A3D1" w:rsidR="00EE1D3A" w:rsidRPr="00963C14" w:rsidRDefault="00EE1D3A" w:rsidP="00ED1BE8">
            <w:pPr>
              <w:snapToGrid w:val="0"/>
              <w:spacing w:afterLines="0" w:after="0"/>
              <w:jc w:val="center"/>
              <w:rPr>
                <w:b/>
              </w:rPr>
            </w:pPr>
            <w:r w:rsidRPr="00963C14">
              <w:rPr>
                <w:rFonts w:cs="Arial"/>
                <w:b/>
              </w:rPr>
              <w:t>27,3</w:t>
            </w:r>
            <w:r w:rsidR="00974242" w:rsidRPr="00963C14">
              <w:rPr>
                <w:rFonts w:cs="Arial"/>
                <w:b/>
              </w:rPr>
              <w:t>6</w:t>
            </w:r>
            <w:r w:rsidRPr="00963C14">
              <w:rPr>
                <w:rFonts w:cs="Arial"/>
                <w:b/>
              </w:rPr>
              <w:t>0.</w:t>
            </w:r>
            <w:r w:rsidR="00974242" w:rsidRPr="00963C14">
              <w:rPr>
                <w:rFonts w:cs="Arial"/>
                <w:b/>
              </w:rPr>
              <w:t>5</w:t>
            </w:r>
          </w:p>
        </w:tc>
        <w:tc>
          <w:tcPr>
            <w:tcW w:w="2374" w:type="dxa"/>
            <w:tcBorders>
              <w:bottom w:val="single" w:sz="4" w:space="0" w:color="auto"/>
            </w:tcBorders>
            <w:vAlign w:val="center"/>
          </w:tcPr>
          <w:p w14:paraId="684B8D53" w14:textId="77777777" w:rsidR="00EE1D3A" w:rsidRPr="00963C14" w:rsidRDefault="00EE1D3A" w:rsidP="00ED1BE8">
            <w:pPr>
              <w:snapToGrid w:val="0"/>
              <w:spacing w:afterLines="0" w:after="0"/>
              <w:jc w:val="center"/>
              <w:rPr>
                <w:b/>
              </w:rPr>
            </w:pPr>
            <w:r w:rsidRPr="00963C14">
              <w:rPr>
                <w:b/>
              </w:rPr>
              <w:t>8,224.1</w:t>
            </w:r>
          </w:p>
        </w:tc>
        <w:tc>
          <w:tcPr>
            <w:tcW w:w="2374" w:type="dxa"/>
            <w:tcBorders>
              <w:bottom w:val="single" w:sz="4" w:space="0" w:color="auto"/>
            </w:tcBorders>
            <w:vAlign w:val="center"/>
          </w:tcPr>
          <w:p w14:paraId="3579A130" w14:textId="77777777" w:rsidR="00EE1D3A" w:rsidRPr="00963C14" w:rsidRDefault="00EE1D3A" w:rsidP="00ED1BE8">
            <w:pPr>
              <w:snapToGrid w:val="0"/>
              <w:spacing w:afterLines="0" w:after="0"/>
              <w:jc w:val="center"/>
              <w:rPr>
                <w:b/>
              </w:rPr>
            </w:pPr>
            <w:r w:rsidRPr="00963C14">
              <w:rPr>
                <w:b/>
              </w:rPr>
              <w:t>5,695.3</w:t>
            </w:r>
          </w:p>
        </w:tc>
      </w:tr>
      <w:tr w:rsidR="00EE1D3A" w:rsidRPr="00963C14" w14:paraId="56BFB14C" w14:textId="77777777">
        <w:tc>
          <w:tcPr>
            <w:tcW w:w="2373" w:type="dxa"/>
            <w:tcBorders>
              <w:top w:val="single" w:sz="4" w:space="0" w:color="auto"/>
              <w:bottom w:val="single" w:sz="4" w:space="0" w:color="auto"/>
            </w:tcBorders>
          </w:tcPr>
          <w:p w14:paraId="524C9E3D" w14:textId="77777777" w:rsidR="00EE1D3A" w:rsidRPr="00963C14" w:rsidRDefault="00EE1D3A" w:rsidP="00ED1BE8">
            <w:pPr>
              <w:snapToGrid w:val="0"/>
              <w:spacing w:afterLines="0" w:after="0"/>
            </w:pPr>
            <w:r w:rsidRPr="00963C14">
              <w:t>Урсгал зардал</w:t>
            </w:r>
          </w:p>
        </w:tc>
        <w:tc>
          <w:tcPr>
            <w:tcW w:w="2374" w:type="dxa"/>
            <w:tcBorders>
              <w:top w:val="single" w:sz="4" w:space="0" w:color="auto"/>
              <w:bottom w:val="single" w:sz="4" w:space="0" w:color="auto"/>
            </w:tcBorders>
            <w:vAlign w:val="center"/>
          </w:tcPr>
          <w:p w14:paraId="605F7C46" w14:textId="09BAF0BA" w:rsidR="00EE1D3A" w:rsidRPr="00963C14" w:rsidRDefault="00EE1D3A" w:rsidP="00ED1BE8">
            <w:pPr>
              <w:snapToGrid w:val="0"/>
              <w:spacing w:afterLines="0" w:after="0"/>
              <w:jc w:val="center"/>
            </w:pPr>
            <w:r w:rsidRPr="00963C14">
              <w:rPr>
                <w:rFonts w:cs="Arial"/>
              </w:rPr>
              <w:t>21</w:t>
            </w:r>
            <w:r w:rsidR="00C93974" w:rsidRPr="00963C14">
              <w:rPr>
                <w:rFonts w:cs="Arial"/>
              </w:rPr>
              <w:t>,087</w:t>
            </w:r>
            <w:r w:rsidRPr="00963C14">
              <w:rPr>
                <w:rFonts w:cs="Arial"/>
              </w:rPr>
              <w:t>.</w:t>
            </w:r>
            <w:r w:rsidR="00C93974" w:rsidRPr="00963C14">
              <w:rPr>
                <w:rFonts w:cs="Arial"/>
              </w:rPr>
              <w:t>2</w:t>
            </w:r>
          </w:p>
        </w:tc>
        <w:tc>
          <w:tcPr>
            <w:tcW w:w="2374" w:type="dxa"/>
            <w:tcBorders>
              <w:top w:val="single" w:sz="4" w:space="0" w:color="auto"/>
              <w:bottom w:val="single" w:sz="4" w:space="0" w:color="auto"/>
            </w:tcBorders>
            <w:vAlign w:val="center"/>
          </w:tcPr>
          <w:p w14:paraId="4A2F7BC5" w14:textId="77777777" w:rsidR="00EE1D3A" w:rsidRPr="00963C14" w:rsidRDefault="00EE1D3A" w:rsidP="00ED1BE8">
            <w:pPr>
              <w:snapToGrid w:val="0"/>
              <w:spacing w:afterLines="0" w:after="0"/>
              <w:jc w:val="center"/>
            </w:pPr>
            <w:r w:rsidRPr="00963C14">
              <w:t>6,098.8</w:t>
            </w:r>
          </w:p>
        </w:tc>
        <w:tc>
          <w:tcPr>
            <w:tcW w:w="2374" w:type="dxa"/>
            <w:tcBorders>
              <w:top w:val="single" w:sz="4" w:space="0" w:color="auto"/>
              <w:bottom w:val="single" w:sz="4" w:space="0" w:color="auto"/>
            </w:tcBorders>
            <w:vAlign w:val="center"/>
          </w:tcPr>
          <w:p w14:paraId="1AAC1574" w14:textId="77777777" w:rsidR="00EE1D3A" w:rsidRPr="00963C14" w:rsidRDefault="00EE1D3A" w:rsidP="00ED1BE8">
            <w:pPr>
              <w:snapToGrid w:val="0"/>
              <w:spacing w:afterLines="0" w:after="0"/>
              <w:jc w:val="center"/>
            </w:pPr>
            <w:r w:rsidRPr="00963C14">
              <w:t>4,698.0</w:t>
            </w:r>
          </w:p>
        </w:tc>
      </w:tr>
      <w:tr w:rsidR="00EE1D3A" w:rsidRPr="00963C14" w14:paraId="1FFB7EEC" w14:textId="77777777">
        <w:tc>
          <w:tcPr>
            <w:tcW w:w="2373" w:type="dxa"/>
            <w:tcBorders>
              <w:top w:val="single" w:sz="4" w:space="0" w:color="auto"/>
              <w:bottom w:val="single" w:sz="4" w:space="0" w:color="auto"/>
            </w:tcBorders>
          </w:tcPr>
          <w:p w14:paraId="13018641" w14:textId="77777777" w:rsidR="00EE1D3A" w:rsidRPr="00963C14" w:rsidRDefault="00EE1D3A" w:rsidP="00ED1BE8">
            <w:pPr>
              <w:snapToGrid w:val="0"/>
              <w:spacing w:afterLines="0" w:after="0"/>
            </w:pPr>
            <w:r w:rsidRPr="00963C14">
              <w:t>Хөрөнгийн зардал</w:t>
            </w:r>
          </w:p>
        </w:tc>
        <w:tc>
          <w:tcPr>
            <w:tcW w:w="2374" w:type="dxa"/>
            <w:tcBorders>
              <w:top w:val="single" w:sz="4" w:space="0" w:color="auto"/>
              <w:bottom w:val="single" w:sz="4" w:space="0" w:color="auto"/>
            </w:tcBorders>
            <w:vAlign w:val="center"/>
          </w:tcPr>
          <w:p w14:paraId="3C8836B1" w14:textId="77777777" w:rsidR="00EE1D3A" w:rsidRPr="00963C14" w:rsidRDefault="00EE1D3A" w:rsidP="00ED1BE8">
            <w:pPr>
              <w:snapToGrid w:val="0"/>
              <w:spacing w:afterLines="0" w:after="0"/>
              <w:jc w:val="center"/>
            </w:pPr>
            <w:r w:rsidRPr="00963C14">
              <w:rPr>
                <w:rFonts w:cs="Arial"/>
              </w:rPr>
              <w:t>6,273.3</w:t>
            </w:r>
          </w:p>
        </w:tc>
        <w:tc>
          <w:tcPr>
            <w:tcW w:w="2374" w:type="dxa"/>
            <w:tcBorders>
              <w:top w:val="single" w:sz="4" w:space="0" w:color="auto"/>
              <w:bottom w:val="single" w:sz="4" w:space="0" w:color="auto"/>
            </w:tcBorders>
            <w:vAlign w:val="center"/>
          </w:tcPr>
          <w:p w14:paraId="50A6FE4A" w14:textId="77777777" w:rsidR="00EE1D3A" w:rsidRPr="00963C14" w:rsidRDefault="00EE1D3A" w:rsidP="00ED1BE8">
            <w:pPr>
              <w:snapToGrid w:val="0"/>
              <w:spacing w:afterLines="0" w:after="0"/>
              <w:jc w:val="center"/>
            </w:pPr>
            <w:r w:rsidRPr="00963C14">
              <w:t>1,905.4</w:t>
            </w:r>
          </w:p>
        </w:tc>
        <w:tc>
          <w:tcPr>
            <w:tcW w:w="2374" w:type="dxa"/>
            <w:tcBorders>
              <w:top w:val="single" w:sz="4" w:space="0" w:color="auto"/>
              <w:bottom w:val="single" w:sz="4" w:space="0" w:color="auto"/>
            </w:tcBorders>
            <w:vAlign w:val="center"/>
          </w:tcPr>
          <w:p w14:paraId="31763C7E" w14:textId="77777777" w:rsidR="00EE1D3A" w:rsidRPr="00963C14" w:rsidRDefault="00EE1D3A" w:rsidP="00ED1BE8">
            <w:pPr>
              <w:snapToGrid w:val="0"/>
              <w:spacing w:afterLines="0" w:after="0"/>
              <w:jc w:val="center"/>
            </w:pPr>
            <w:r w:rsidRPr="00963C14">
              <w:t>842.9</w:t>
            </w:r>
          </w:p>
        </w:tc>
      </w:tr>
      <w:tr w:rsidR="00EE1D3A" w:rsidRPr="00963C14" w14:paraId="6C2F7C34" w14:textId="77777777" w:rsidTr="00265D5C">
        <w:tc>
          <w:tcPr>
            <w:tcW w:w="2373" w:type="dxa"/>
            <w:tcBorders>
              <w:top w:val="single" w:sz="4" w:space="0" w:color="auto"/>
              <w:bottom w:val="single" w:sz="4" w:space="0" w:color="auto"/>
            </w:tcBorders>
          </w:tcPr>
          <w:p w14:paraId="0E40F2B6" w14:textId="77777777" w:rsidR="00EE1D3A" w:rsidRPr="00963C14" w:rsidRDefault="00EE1D3A" w:rsidP="00ED1BE8">
            <w:pPr>
              <w:snapToGrid w:val="0"/>
              <w:spacing w:afterLines="0" w:after="0"/>
              <w:jc w:val="left"/>
            </w:pPr>
            <w:r w:rsidRPr="00963C14">
              <w:t>Эргэж төлөгдөх цэвэр зээл</w:t>
            </w:r>
          </w:p>
        </w:tc>
        <w:tc>
          <w:tcPr>
            <w:tcW w:w="2374" w:type="dxa"/>
            <w:tcBorders>
              <w:top w:val="single" w:sz="4" w:space="0" w:color="auto"/>
              <w:bottom w:val="single" w:sz="4" w:space="0" w:color="auto"/>
            </w:tcBorders>
            <w:vAlign w:val="center"/>
          </w:tcPr>
          <w:p w14:paraId="6CABF4D3" w14:textId="5DF9F72C" w:rsidR="00EE1D3A" w:rsidRPr="00963C14" w:rsidRDefault="00EE1D3A" w:rsidP="00ED1BE8">
            <w:pPr>
              <w:snapToGrid w:val="0"/>
              <w:spacing w:afterLines="0" w:after="0"/>
              <w:jc w:val="center"/>
            </w:pPr>
          </w:p>
        </w:tc>
        <w:tc>
          <w:tcPr>
            <w:tcW w:w="2374" w:type="dxa"/>
            <w:tcBorders>
              <w:top w:val="single" w:sz="4" w:space="0" w:color="auto"/>
              <w:bottom w:val="single" w:sz="4" w:space="0" w:color="auto"/>
            </w:tcBorders>
            <w:vAlign w:val="center"/>
          </w:tcPr>
          <w:p w14:paraId="1BDC3226" w14:textId="77777777" w:rsidR="00EE1D3A" w:rsidRPr="00963C14" w:rsidRDefault="00EE1D3A" w:rsidP="00ED1BE8">
            <w:pPr>
              <w:snapToGrid w:val="0"/>
              <w:spacing w:afterLines="0" w:after="0"/>
              <w:jc w:val="center"/>
            </w:pPr>
            <w:r w:rsidRPr="00963C14">
              <w:t>219.9</w:t>
            </w:r>
          </w:p>
        </w:tc>
        <w:tc>
          <w:tcPr>
            <w:tcW w:w="2374" w:type="dxa"/>
            <w:tcBorders>
              <w:top w:val="single" w:sz="4" w:space="0" w:color="auto"/>
              <w:bottom w:val="single" w:sz="4" w:space="0" w:color="auto"/>
            </w:tcBorders>
            <w:vAlign w:val="center"/>
          </w:tcPr>
          <w:p w14:paraId="697C9A11" w14:textId="77777777" w:rsidR="00EE1D3A" w:rsidRPr="00963C14" w:rsidRDefault="00EE1D3A" w:rsidP="00ED1BE8">
            <w:pPr>
              <w:snapToGrid w:val="0"/>
              <w:spacing w:afterLines="0" w:after="0"/>
              <w:jc w:val="center"/>
            </w:pPr>
            <w:r w:rsidRPr="00963C14">
              <w:t>154.4</w:t>
            </w:r>
          </w:p>
        </w:tc>
      </w:tr>
    </w:tbl>
    <w:p w14:paraId="1C70F330" w14:textId="77777777" w:rsidR="00EE1D3A" w:rsidRPr="00963C14" w:rsidRDefault="00EE1D3A" w:rsidP="00EE1D3A">
      <w:pPr>
        <w:pStyle w:val="Heading2"/>
        <w:tabs>
          <w:tab w:val="right" w:leader="dot" w:pos="9354"/>
        </w:tabs>
        <w:snapToGrid w:val="0"/>
        <w:spacing w:before="120" w:afterLines="0" w:after="120"/>
        <w:ind w:firstLine="360"/>
        <w:rPr>
          <w:rFonts w:ascii="Arial" w:hAnsi="Arial" w:cs="Arial"/>
          <w:color w:val="auto"/>
          <w:sz w:val="24"/>
          <w:szCs w:val="24"/>
        </w:rPr>
      </w:pPr>
      <w:bookmarkStart w:id="71" w:name="_Toc163484927"/>
    </w:p>
    <w:p w14:paraId="6427458F" w14:textId="628827EF" w:rsidR="00EE1D3A" w:rsidRPr="00963C14" w:rsidRDefault="00EE1D3A" w:rsidP="00EE1D3A">
      <w:pPr>
        <w:pStyle w:val="Heading2"/>
        <w:tabs>
          <w:tab w:val="right" w:leader="dot" w:pos="9354"/>
        </w:tabs>
        <w:snapToGrid w:val="0"/>
        <w:spacing w:before="120" w:afterLines="0" w:after="120"/>
        <w:ind w:firstLine="360"/>
        <w:rPr>
          <w:rFonts w:ascii="Arial" w:hAnsi="Arial" w:cs="Arial"/>
          <w:color w:val="auto"/>
          <w:sz w:val="24"/>
          <w:szCs w:val="24"/>
        </w:rPr>
      </w:pPr>
      <w:bookmarkStart w:id="72" w:name="_Toc163736661"/>
      <w:bookmarkStart w:id="73" w:name="_Toc163811094"/>
      <w:bookmarkStart w:id="74" w:name="_Toc165299391"/>
      <w:r w:rsidRPr="00963C14">
        <w:rPr>
          <w:rFonts w:ascii="Arial" w:hAnsi="Arial" w:cs="Arial"/>
          <w:color w:val="auto"/>
          <w:sz w:val="24"/>
          <w:szCs w:val="24"/>
        </w:rPr>
        <w:t>4.3. Нэгдсэн төсвийн үзүүлэлт</w:t>
      </w:r>
      <w:bookmarkEnd w:id="71"/>
      <w:bookmarkEnd w:id="72"/>
      <w:bookmarkEnd w:id="73"/>
      <w:bookmarkEnd w:id="74"/>
      <w:r w:rsidRPr="00963C14">
        <w:rPr>
          <w:rFonts w:ascii="Arial" w:hAnsi="Arial" w:cs="Arial"/>
          <w:color w:val="auto"/>
          <w:sz w:val="24"/>
          <w:szCs w:val="24"/>
        </w:rPr>
        <w:t xml:space="preserve"> </w:t>
      </w:r>
    </w:p>
    <w:p w14:paraId="51A466F3" w14:textId="66005512" w:rsidR="00EE1D3A" w:rsidRPr="00963C14" w:rsidRDefault="00EE1D3A" w:rsidP="00EE1D3A">
      <w:pPr>
        <w:pStyle w:val="Caption"/>
        <w:keepNext/>
        <w:rPr>
          <w:rFonts w:ascii="Arial" w:hAnsi="Arial" w:cs="Arial"/>
        </w:rPr>
      </w:pPr>
      <w:r w:rsidRPr="00963C14">
        <w:rPr>
          <w:rFonts w:ascii="Arial" w:hAnsi="Arial" w:cs="Arial"/>
        </w:rPr>
        <w:t>Хүснэгт 4.5. Төсвийн нэгдсэн үзүүлэлтүүд</w:t>
      </w:r>
      <w:r w:rsidR="00840E08" w:rsidRPr="00963C14">
        <w:rPr>
          <w:rFonts w:ascii="Arial" w:hAnsi="Arial" w:cs="Arial"/>
        </w:rPr>
        <w:t xml:space="preserve"> (</w:t>
      </w:r>
      <w:r w:rsidRPr="00963C14">
        <w:rPr>
          <w:rFonts w:ascii="Arial" w:hAnsi="Arial" w:cs="Arial"/>
        </w:rPr>
        <w:t xml:space="preserve">тэрбум </w:t>
      </w:r>
      <w:r w:rsidR="00840E08" w:rsidRPr="00963C14">
        <w:rPr>
          <w:rFonts w:ascii="Arial" w:hAnsi="Arial" w:cs="Arial"/>
        </w:rPr>
        <w:t>төгрөг)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530"/>
        <w:gridCol w:w="1710"/>
        <w:gridCol w:w="1530"/>
        <w:gridCol w:w="1377"/>
      </w:tblGrid>
      <w:tr w:rsidR="00EE1D3A" w:rsidRPr="00963C14" w14:paraId="682C29D9" w14:textId="77777777" w:rsidTr="00BD117C">
        <w:tc>
          <w:tcPr>
            <w:tcW w:w="3348" w:type="dxa"/>
            <w:shd w:val="clear" w:color="auto" w:fill="11A795"/>
            <w:vAlign w:val="center"/>
          </w:tcPr>
          <w:p w14:paraId="2B0E569D" w14:textId="77777777" w:rsidR="00EE1D3A" w:rsidRPr="00963C14" w:rsidRDefault="00EE1D3A" w:rsidP="00BD117C">
            <w:pPr>
              <w:snapToGrid w:val="0"/>
              <w:spacing w:afterLines="0" w:after="0"/>
              <w:jc w:val="center"/>
              <w:rPr>
                <w:b/>
                <w:color w:val="FFFFFF" w:themeColor="background1"/>
              </w:rPr>
            </w:pPr>
            <w:r w:rsidRPr="00963C14">
              <w:rPr>
                <w:b/>
                <w:color w:val="FFFFFF" w:themeColor="background1"/>
              </w:rPr>
              <w:t>Үзүүлэлт</w:t>
            </w:r>
          </w:p>
        </w:tc>
        <w:tc>
          <w:tcPr>
            <w:tcW w:w="1530" w:type="dxa"/>
            <w:shd w:val="clear" w:color="auto" w:fill="11A795"/>
            <w:vAlign w:val="center"/>
          </w:tcPr>
          <w:p w14:paraId="601D92CF" w14:textId="0B890C70" w:rsidR="00EE1D3A" w:rsidRPr="00963C14" w:rsidRDefault="00EE1D3A" w:rsidP="00BD117C">
            <w:pPr>
              <w:snapToGrid w:val="0"/>
              <w:spacing w:afterLines="0" w:after="0"/>
              <w:jc w:val="center"/>
              <w:rPr>
                <w:rFonts w:eastAsia="Times New Roman" w:cs="Arial"/>
                <w:b/>
                <w:color w:val="FFFFFF"/>
                <w:kern w:val="0"/>
                <w:lang w:eastAsia="mn-MN"/>
                <w14:ligatures w14:val="none"/>
              </w:rPr>
            </w:pPr>
            <w:r w:rsidRPr="00963C14">
              <w:rPr>
                <w:rFonts w:eastAsia="Times New Roman" w:cs="Arial"/>
                <w:b/>
                <w:color w:val="FFFFFF"/>
                <w:kern w:val="0"/>
                <w:lang w:eastAsia="mn-MN"/>
                <w14:ligatures w14:val="none"/>
              </w:rPr>
              <w:t>2022</w:t>
            </w:r>
          </w:p>
          <w:p w14:paraId="6995FDDE" w14:textId="77777777" w:rsidR="00EE1D3A" w:rsidRPr="00963C14" w:rsidRDefault="00EE1D3A" w:rsidP="00BD117C">
            <w:pPr>
              <w:snapToGrid w:val="0"/>
              <w:spacing w:afterLines="0" w:after="0"/>
              <w:jc w:val="center"/>
              <w:rPr>
                <w:i/>
              </w:rPr>
            </w:pPr>
            <w:r w:rsidRPr="00963C14">
              <w:rPr>
                <w:rFonts w:eastAsia="Times New Roman" w:cs="Arial"/>
                <w:i/>
                <w:color w:val="FFFFFF"/>
                <w:kern w:val="0"/>
                <w:lang w:eastAsia="mn-MN"/>
                <w14:ligatures w14:val="none"/>
              </w:rPr>
              <w:t>Гүйцэтгэл</w:t>
            </w:r>
          </w:p>
        </w:tc>
        <w:tc>
          <w:tcPr>
            <w:tcW w:w="1710" w:type="dxa"/>
            <w:shd w:val="clear" w:color="auto" w:fill="11A795"/>
            <w:vAlign w:val="center"/>
          </w:tcPr>
          <w:p w14:paraId="3A39125A" w14:textId="23AEDF49" w:rsidR="00EE1D3A" w:rsidRPr="00963C14" w:rsidRDefault="00EE1D3A" w:rsidP="00BD117C">
            <w:pPr>
              <w:snapToGrid w:val="0"/>
              <w:spacing w:afterLines="0" w:after="0"/>
              <w:jc w:val="center"/>
              <w:rPr>
                <w:rFonts w:eastAsia="Times New Roman" w:cs="Arial"/>
                <w:b/>
                <w:color w:val="FFFFFF"/>
                <w:kern w:val="0"/>
                <w:lang w:eastAsia="mn-MN"/>
                <w14:ligatures w14:val="none"/>
              </w:rPr>
            </w:pPr>
            <w:r w:rsidRPr="00963C14">
              <w:rPr>
                <w:rFonts w:eastAsia="Times New Roman" w:cs="Arial"/>
                <w:b/>
                <w:color w:val="FFFFFF"/>
                <w:kern w:val="0"/>
                <w:lang w:eastAsia="mn-MN"/>
                <w14:ligatures w14:val="none"/>
              </w:rPr>
              <w:t>2023</w:t>
            </w:r>
          </w:p>
          <w:p w14:paraId="3A81E555" w14:textId="77777777" w:rsidR="00EE1D3A" w:rsidRPr="00963C14" w:rsidRDefault="00EE1D3A" w:rsidP="00BD117C">
            <w:pPr>
              <w:snapToGrid w:val="0"/>
              <w:spacing w:afterLines="0" w:after="0"/>
              <w:jc w:val="center"/>
              <w:rPr>
                <w:i/>
              </w:rPr>
            </w:pPr>
            <w:r w:rsidRPr="00963C14">
              <w:rPr>
                <w:rFonts w:eastAsia="Times New Roman" w:cs="Arial"/>
                <w:i/>
                <w:color w:val="FFFFFF"/>
                <w:kern w:val="0"/>
                <w:lang w:eastAsia="mn-MN"/>
                <w14:ligatures w14:val="none"/>
              </w:rPr>
              <w:t>Урьд. Гүйц</w:t>
            </w:r>
          </w:p>
        </w:tc>
        <w:tc>
          <w:tcPr>
            <w:tcW w:w="1530" w:type="dxa"/>
            <w:shd w:val="clear" w:color="auto" w:fill="11A795"/>
            <w:vAlign w:val="center"/>
          </w:tcPr>
          <w:p w14:paraId="2447B12B" w14:textId="06B8A8A6" w:rsidR="00EE1D3A" w:rsidRPr="00963C14" w:rsidRDefault="00EE1D3A" w:rsidP="00BD117C">
            <w:pPr>
              <w:snapToGrid w:val="0"/>
              <w:spacing w:afterLines="0" w:after="0"/>
              <w:jc w:val="center"/>
              <w:rPr>
                <w:rFonts w:eastAsia="Times New Roman" w:cs="Arial"/>
                <w:b/>
                <w:color w:val="FFFFFF"/>
                <w:kern w:val="0"/>
                <w:lang w:eastAsia="mn-MN"/>
                <w14:ligatures w14:val="none"/>
              </w:rPr>
            </w:pPr>
            <w:r w:rsidRPr="00963C14">
              <w:rPr>
                <w:rFonts w:eastAsia="Times New Roman" w:cs="Arial"/>
                <w:b/>
                <w:color w:val="FFFFFF"/>
                <w:kern w:val="0"/>
                <w:lang w:eastAsia="mn-MN"/>
                <w14:ligatures w14:val="none"/>
              </w:rPr>
              <w:t>2024</w:t>
            </w:r>
          </w:p>
          <w:p w14:paraId="6D647671" w14:textId="6183F428" w:rsidR="00EE1D3A" w:rsidRPr="00963C14" w:rsidRDefault="00EE1D3A" w:rsidP="00BD117C">
            <w:pPr>
              <w:snapToGrid w:val="0"/>
              <w:spacing w:afterLines="0" w:after="0"/>
              <w:jc w:val="center"/>
              <w:rPr>
                <w:i/>
              </w:rPr>
            </w:pPr>
            <w:r w:rsidRPr="00963C14">
              <w:rPr>
                <w:rFonts w:eastAsia="Times New Roman" w:cs="Arial"/>
                <w:i/>
                <w:color w:val="FFFFFF"/>
                <w:kern w:val="0"/>
                <w:lang w:eastAsia="mn-MN"/>
                <w14:ligatures w14:val="none"/>
              </w:rPr>
              <w:t>Бат</w:t>
            </w:r>
            <w:r w:rsidR="0004485C" w:rsidRPr="00963C14">
              <w:rPr>
                <w:rFonts w:eastAsia="Times New Roman" w:cs="Arial"/>
                <w:i/>
                <w:color w:val="FFFFFF"/>
                <w:kern w:val="0"/>
                <w:lang w:eastAsia="mn-MN"/>
                <w14:ligatures w14:val="none"/>
              </w:rPr>
              <w:t>лагдсан</w:t>
            </w:r>
          </w:p>
        </w:tc>
        <w:tc>
          <w:tcPr>
            <w:tcW w:w="1377" w:type="dxa"/>
            <w:shd w:val="clear" w:color="auto" w:fill="11A795"/>
            <w:vAlign w:val="center"/>
          </w:tcPr>
          <w:p w14:paraId="4220B341" w14:textId="752A9376" w:rsidR="00EE1D3A" w:rsidRPr="00963C14" w:rsidRDefault="00EE1D3A" w:rsidP="00BD117C">
            <w:pPr>
              <w:snapToGrid w:val="0"/>
              <w:spacing w:afterLines="0" w:after="0"/>
              <w:jc w:val="center"/>
              <w:rPr>
                <w:rFonts w:eastAsia="Times New Roman" w:cs="Arial"/>
                <w:b/>
                <w:color w:val="FFFFFF"/>
                <w:kern w:val="0"/>
                <w:lang w:eastAsia="mn-MN"/>
                <w14:ligatures w14:val="none"/>
              </w:rPr>
            </w:pPr>
            <w:r w:rsidRPr="00963C14">
              <w:rPr>
                <w:rFonts w:eastAsia="Times New Roman" w:cs="Arial"/>
                <w:b/>
                <w:color w:val="FFFFFF"/>
                <w:kern w:val="0"/>
                <w:lang w:eastAsia="mn-MN"/>
                <w14:ligatures w14:val="none"/>
              </w:rPr>
              <w:t>2025</w:t>
            </w:r>
          </w:p>
          <w:p w14:paraId="7B899528" w14:textId="77777777" w:rsidR="00EE1D3A" w:rsidRPr="00963C14" w:rsidRDefault="00EE1D3A" w:rsidP="00BD117C">
            <w:pPr>
              <w:snapToGrid w:val="0"/>
              <w:spacing w:afterLines="0" w:after="0"/>
              <w:jc w:val="center"/>
              <w:rPr>
                <w:i/>
              </w:rPr>
            </w:pPr>
            <w:r w:rsidRPr="00963C14">
              <w:rPr>
                <w:rFonts w:eastAsia="Times New Roman" w:cs="Arial"/>
                <w:i/>
                <w:color w:val="FFFFFF"/>
                <w:kern w:val="0"/>
                <w:lang w:eastAsia="mn-MN"/>
                <w14:ligatures w14:val="none"/>
              </w:rPr>
              <w:t>ТХМ</w:t>
            </w:r>
          </w:p>
        </w:tc>
      </w:tr>
      <w:tr w:rsidR="00EE1D3A" w:rsidRPr="00963C14" w14:paraId="70D4657A" w14:textId="77777777" w:rsidTr="00625F78">
        <w:tc>
          <w:tcPr>
            <w:tcW w:w="3348" w:type="dxa"/>
            <w:vAlign w:val="center"/>
          </w:tcPr>
          <w:p w14:paraId="0BE65EF0" w14:textId="77777777" w:rsidR="00EE1D3A" w:rsidRPr="00963C14" w:rsidRDefault="00EE1D3A" w:rsidP="00ED1BE8">
            <w:pPr>
              <w:snapToGrid w:val="0"/>
              <w:spacing w:afterLines="0" w:after="0"/>
              <w:jc w:val="left"/>
            </w:pPr>
            <w:r w:rsidRPr="00963C14">
              <w:rPr>
                <w:rFonts w:eastAsia="Times New Roman" w:cs="Arial"/>
                <w:color w:val="000000"/>
                <w:kern w:val="0"/>
                <w:lang w:eastAsia="mn-MN"/>
                <w14:ligatures w14:val="none"/>
              </w:rPr>
              <w:t>Тэнцвэржүүлсэн нийт орлого</w:t>
            </w:r>
          </w:p>
        </w:tc>
        <w:tc>
          <w:tcPr>
            <w:tcW w:w="1530" w:type="dxa"/>
            <w:vAlign w:val="center"/>
          </w:tcPr>
          <w:p w14:paraId="1FD4DD41" w14:textId="77777777" w:rsidR="00EE1D3A" w:rsidRPr="00963C14" w:rsidRDefault="00EE1D3A" w:rsidP="00ED1BE8">
            <w:pPr>
              <w:snapToGrid w:val="0"/>
              <w:spacing w:afterLines="0" w:after="0"/>
              <w:jc w:val="right"/>
            </w:pPr>
            <w:r w:rsidRPr="00963C14">
              <w:t>17,126.9</w:t>
            </w:r>
          </w:p>
        </w:tc>
        <w:tc>
          <w:tcPr>
            <w:tcW w:w="1710" w:type="dxa"/>
            <w:vAlign w:val="center"/>
          </w:tcPr>
          <w:p w14:paraId="4438C5B4" w14:textId="77777777" w:rsidR="00EE1D3A" w:rsidRPr="00963C14" w:rsidRDefault="00EE1D3A" w:rsidP="00ED1BE8">
            <w:pPr>
              <w:snapToGrid w:val="0"/>
              <w:spacing w:afterLines="0" w:after="0"/>
              <w:jc w:val="right"/>
            </w:pPr>
            <w:r w:rsidRPr="00963C14">
              <w:t>23,217.9</w:t>
            </w:r>
          </w:p>
        </w:tc>
        <w:tc>
          <w:tcPr>
            <w:tcW w:w="1530" w:type="dxa"/>
            <w:vAlign w:val="center"/>
          </w:tcPr>
          <w:p w14:paraId="510561FB" w14:textId="77777777" w:rsidR="00EE1D3A" w:rsidRPr="00963C14" w:rsidRDefault="00EE1D3A" w:rsidP="00ED1BE8">
            <w:pPr>
              <w:snapToGrid w:val="0"/>
              <w:spacing w:afterLines="0" w:after="0"/>
              <w:jc w:val="right"/>
            </w:pPr>
            <w:r w:rsidRPr="00963C14">
              <w:t>25,875.4</w:t>
            </w:r>
          </w:p>
        </w:tc>
        <w:tc>
          <w:tcPr>
            <w:tcW w:w="1377" w:type="dxa"/>
            <w:shd w:val="clear" w:color="auto" w:fill="auto"/>
            <w:vAlign w:val="center"/>
          </w:tcPr>
          <w:p w14:paraId="568CC0FC" w14:textId="4260C129" w:rsidR="00EE1D3A" w:rsidRPr="00963C14" w:rsidRDefault="004A42D5" w:rsidP="00ED1BE8">
            <w:pPr>
              <w:snapToGrid w:val="0"/>
              <w:spacing w:afterLines="0" w:after="0"/>
              <w:jc w:val="right"/>
            </w:pPr>
            <w:r w:rsidRPr="00963C14">
              <w:t>29,</w:t>
            </w:r>
            <w:r w:rsidR="005B15A6" w:rsidRPr="00963C14">
              <w:t>400</w:t>
            </w:r>
            <w:r w:rsidRPr="00963C14">
              <w:t>.</w:t>
            </w:r>
            <w:r w:rsidR="005B15A6" w:rsidRPr="00963C14">
              <w:t>1</w:t>
            </w:r>
          </w:p>
        </w:tc>
      </w:tr>
      <w:tr w:rsidR="00EE1D3A" w:rsidRPr="00963C14" w14:paraId="1EE53648" w14:textId="77777777" w:rsidTr="00625F78">
        <w:tc>
          <w:tcPr>
            <w:tcW w:w="3348" w:type="dxa"/>
            <w:tcBorders>
              <w:bottom w:val="single" w:sz="4" w:space="0" w:color="auto"/>
            </w:tcBorders>
            <w:vAlign w:val="center"/>
          </w:tcPr>
          <w:p w14:paraId="1F45E2AC" w14:textId="77777777" w:rsidR="00EE1D3A" w:rsidRPr="00963C14" w:rsidRDefault="00EE1D3A" w:rsidP="00ED1BE8">
            <w:pPr>
              <w:snapToGrid w:val="0"/>
              <w:spacing w:afterLines="0" w:after="0"/>
              <w:jc w:val="left"/>
            </w:pPr>
            <w:r w:rsidRPr="00963C14">
              <w:rPr>
                <w:rFonts w:eastAsia="Times New Roman" w:cs="Arial"/>
                <w:color w:val="000000"/>
                <w:kern w:val="0"/>
                <w:lang w:eastAsia="mn-MN"/>
                <w14:ligatures w14:val="none"/>
              </w:rPr>
              <w:t>Төсвийн нийт зарлага</w:t>
            </w:r>
          </w:p>
        </w:tc>
        <w:tc>
          <w:tcPr>
            <w:tcW w:w="1530" w:type="dxa"/>
            <w:tcBorders>
              <w:bottom w:val="single" w:sz="4" w:space="0" w:color="auto"/>
            </w:tcBorders>
            <w:vAlign w:val="center"/>
          </w:tcPr>
          <w:p w14:paraId="5715A2F2" w14:textId="77777777" w:rsidR="00EE1D3A" w:rsidRPr="00963C14" w:rsidRDefault="00EE1D3A" w:rsidP="00ED1BE8">
            <w:pPr>
              <w:snapToGrid w:val="0"/>
              <w:spacing w:afterLines="0" w:after="0"/>
              <w:jc w:val="right"/>
            </w:pPr>
            <w:r w:rsidRPr="00963C14">
              <w:t>18,159.7</w:t>
            </w:r>
          </w:p>
        </w:tc>
        <w:tc>
          <w:tcPr>
            <w:tcW w:w="1710" w:type="dxa"/>
            <w:tcBorders>
              <w:bottom w:val="single" w:sz="4" w:space="0" w:color="auto"/>
            </w:tcBorders>
            <w:vAlign w:val="center"/>
          </w:tcPr>
          <w:p w14:paraId="7418FC2C" w14:textId="77777777" w:rsidR="00EE1D3A" w:rsidRPr="00963C14" w:rsidRDefault="00EE1D3A" w:rsidP="00ED1BE8">
            <w:pPr>
              <w:snapToGrid w:val="0"/>
              <w:spacing w:afterLines="0" w:after="0"/>
              <w:jc w:val="right"/>
            </w:pPr>
            <w:r w:rsidRPr="00963C14">
              <w:t>22,454.5</w:t>
            </w:r>
          </w:p>
        </w:tc>
        <w:tc>
          <w:tcPr>
            <w:tcW w:w="1530" w:type="dxa"/>
            <w:tcBorders>
              <w:bottom w:val="single" w:sz="4" w:space="0" w:color="auto"/>
            </w:tcBorders>
            <w:vAlign w:val="center"/>
          </w:tcPr>
          <w:p w14:paraId="7D8F1127" w14:textId="77777777" w:rsidR="00EE1D3A" w:rsidRPr="00963C14" w:rsidRDefault="00EE1D3A" w:rsidP="00ED1BE8">
            <w:pPr>
              <w:snapToGrid w:val="0"/>
              <w:spacing w:afterLines="0" w:after="0"/>
              <w:jc w:val="right"/>
            </w:pPr>
            <w:r w:rsidRPr="00963C14">
              <w:t>27,380.8</w:t>
            </w:r>
          </w:p>
        </w:tc>
        <w:tc>
          <w:tcPr>
            <w:tcW w:w="1377" w:type="dxa"/>
            <w:tcBorders>
              <w:bottom w:val="single" w:sz="4" w:space="0" w:color="auto"/>
            </w:tcBorders>
            <w:shd w:val="clear" w:color="auto" w:fill="auto"/>
            <w:vAlign w:val="center"/>
          </w:tcPr>
          <w:p w14:paraId="7491F808" w14:textId="76E6090C" w:rsidR="00EE1D3A" w:rsidRPr="00963C14" w:rsidRDefault="00481915" w:rsidP="00ED1BE8">
            <w:pPr>
              <w:snapToGrid w:val="0"/>
              <w:spacing w:afterLines="0" w:after="0"/>
              <w:jc w:val="right"/>
            </w:pPr>
            <w:r w:rsidRPr="00963C14">
              <w:t>31,</w:t>
            </w:r>
            <w:r w:rsidR="005B15A6" w:rsidRPr="00963C14">
              <w:t>300</w:t>
            </w:r>
            <w:r w:rsidRPr="00963C14">
              <w:t>.</w:t>
            </w:r>
            <w:r w:rsidR="005B15A6" w:rsidRPr="00963C14">
              <w:t>4</w:t>
            </w:r>
          </w:p>
        </w:tc>
      </w:tr>
      <w:tr w:rsidR="00EE1D3A" w:rsidRPr="00963C14" w14:paraId="72A7B605" w14:textId="77777777" w:rsidTr="00ED1BE8">
        <w:tc>
          <w:tcPr>
            <w:tcW w:w="3348" w:type="dxa"/>
            <w:tcBorders>
              <w:top w:val="single" w:sz="4" w:space="0" w:color="auto"/>
              <w:bottom w:val="single" w:sz="4" w:space="0" w:color="auto"/>
            </w:tcBorders>
            <w:vAlign w:val="center"/>
          </w:tcPr>
          <w:p w14:paraId="5A6026DF" w14:textId="77777777" w:rsidR="00EE1D3A" w:rsidRPr="00963C14" w:rsidRDefault="00EE1D3A" w:rsidP="00ED1BE8">
            <w:pPr>
              <w:snapToGrid w:val="0"/>
              <w:spacing w:afterLines="0" w:after="0"/>
              <w:jc w:val="left"/>
            </w:pPr>
            <w:r w:rsidRPr="00963C14">
              <w:rPr>
                <w:rFonts w:eastAsia="Times New Roman" w:cs="Arial"/>
                <w:b/>
                <w:color w:val="000000"/>
                <w:kern w:val="0"/>
                <w:lang w:eastAsia="mn-MN"/>
                <w14:ligatures w14:val="none"/>
              </w:rPr>
              <w:t>Төсвийн тэнцвэржүүлсэн тэнцэл</w:t>
            </w:r>
          </w:p>
        </w:tc>
        <w:tc>
          <w:tcPr>
            <w:tcW w:w="1530" w:type="dxa"/>
            <w:tcBorders>
              <w:top w:val="single" w:sz="4" w:space="0" w:color="auto"/>
              <w:bottom w:val="single" w:sz="4" w:space="0" w:color="auto"/>
            </w:tcBorders>
            <w:vAlign w:val="center"/>
          </w:tcPr>
          <w:p w14:paraId="35C01420" w14:textId="77777777" w:rsidR="00EE1D3A" w:rsidRPr="00963C14" w:rsidRDefault="00EE1D3A" w:rsidP="00ED1BE8">
            <w:pPr>
              <w:snapToGrid w:val="0"/>
              <w:spacing w:afterLines="0" w:after="0"/>
              <w:jc w:val="right"/>
              <w:rPr>
                <w:b/>
              </w:rPr>
            </w:pPr>
            <w:r w:rsidRPr="00963C14">
              <w:rPr>
                <w:b/>
              </w:rPr>
              <w:t>-1,032.7</w:t>
            </w:r>
          </w:p>
        </w:tc>
        <w:tc>
          <w:tcPr>
            <w:tcW w:w="1710" w:type="dxa"/>
            <w:tcBorders>
              <w:top w:val="single" w:sz="4" w:space="0" w:color="auto"/>
              <w:bottom w:val="single" w:sz="4" w:space="0" w:color="auto"/>
            </w:tcBorders>
            <w:vAlign w:val="center"/>
          </w:tcPr>
          <w:p w14:paraId="24D0E4AC" w14:textId="77777777" w:rsidR="00EE1D3A" w:rsidRPr="00963C14" w:rsidRDefault="00EE1D3A" w:rsidP="00ED1BE8">
            <w:pPr>
              <w:snapToGrid w:val="0"/>
              <w:spacing w:afterLines="0" w:after="0"/>
              <w:jc w:val="right"/>
              <w:rPr>
                <w:b/>
              </w:rPr>
            </w:pPr>
            <w:r w:rsidRPr="00963C14">
              <w:rPr>
                <w:b/>
              </w:rPr>
              <w:t>763.4</w:t>
            </w:r>
          </w:p>
        </w:tc>
        <w:tc>
          <w:tcPr>
            <w:tcW w:w="1530" w:type="dxa"/>
            <w:tcBorders>
              <w:top w:val="single" w:sz="4" w:space="0" w:color="auto"/>
              <w:bottom w:val="single" w:sz="4" w:space="0" w:color="auto"/>
            </w:tcBorders>
            <w:vAlign w:val="center"/>
          </w:tcPr>
          <w:p w14:paraId="7CE1542D" w14:textId="77777777" w:rsidR="00EE1D3A" w:rsidRPr="00963C14" w:rsidRDefault="00EE1D3A" w:rsidP="00ED1BE8">
            <w:pPr>
              <w:snapToGrid w:val="0"/>
              <w:spacing w:afterLines="0" w:after="0"/>
              <w:jc w:val="right"/>
              <w:rPr>
                <w:b/>
              </w:rPr>
            </w:pPr>
            <w:r w:rsidRPr="00963C14">
              <w:rPr>
                <w:b/>
              </w:rPr>
              <w:t>-1.505.4</w:t>
            </w:r>
          </w:p>
        </w:tc>
        <w:tc>
          <w:tcPr>
            <w:tcW w:w="1377" w:type="dxa"/>
            <w:tcBorders>
              <w:top w:val="single" w:sz="4" w:space="0" w:color="auto"/>
              <w:bottom w:val="single" w:sz="4" w:space="0" w:color="auto"/>
            </w:tcBorders>
            <w:shd w:val="clear" w:color="auto" w:fill="auto"/>
            <w:vAlign w:val="center"/>
          </w:tcPr>
          <w:p w14:paraId="6B673D4D" w14:textId="60F1B59E" w:rsidR="00EE1D3A" w:rsidRPr="00963C14" w:rsidRDefault="002037A1" w:rsidP="00ED1BE8">
            <w:pPr>
              <w:snapToGrid w:val="0"/>
              <w:spacing w:afterLines="0" w:after="0"/>
              <w:jc w:val="right"/>
              <w:rPr>
                <w:b/>
              </w:rPr>
            </w:pPr>
            <w:r w:rsidRPr="00963C14">
              <w:rPr>
                <w:b/>
                <w:bCs/>
              </w:rPr>
              <w:t>-</w:t>
            </w:r>
            <w:r w:rsidR="00CF6058" w:rsidRPr="00963C14">
              <w:rPr>
                <w:b/>
                <w:bCs/>
              </w:rPr>
              <w:t>1,</w:t>
            </w:r>
            <w:r w:rsidR="00A41CC2" w:rsidRPr="00963C14">
              <w:rPr>
                <w:b/>
              </w:rPr>
              <w:t>900</w:t>
            </w:r>
            <w:r w:rsidR="00CF6058" w:rsidRPr="00963C14">
              <w:rPr>
                <w:b/>
              </w:rPr>
              <w:t>.</w:t>
            </w:r>
            <w:r w:rsidR="00A41CC2" w:rsidRPr="00963C14">
              <w:rPr>
                <w:b/>
              </w:rPr>
              <w:t>3</w:t>
            </w:r>
          </w:p>
        </w:tc>
      </w:tr>
      <w:tr w:rsidR="00EE1D3A" w:rsidRPr="00963C14" w14:paraId="2644B7C9" w14:textId="77777777" w:rsidTr="00265D5C">
        <w:tc>
          <w:tcPr>
            <w:tcW w:w="3348" w:type="dxa"/>
            <w:tcBorders>
              <w:top w:val="single" w:sz="4" w:space="0" w:color="auto"/>
              <w:bottom w:val="single" w:sz="4" w:space="0" w:color="auto"/>
            </w:tcBorders>
            <w:vAlign w:val="center"/>
          </w:tcPr>
          <w:p w14:paraId="26FED22F" w14:textId="77777777" w:rsidR="00EE1D3A" w:rsidRPr="00963C14" w:rsidRDefault="00EE1D3A" w:rsidP="00ED1BE8">
            <w:pPr>
              <w:snapToGrid w:val="0"/>
              <w:spacing w:afterLines="0" w:after="0"/>
              <w:jc w:val="left"/>
            </w:pPr>
            <w:r w:rsidRPr="00963C14">
              <w:rPr>
                <w:rFonts w:eastAsia="Times New Roman" w:cs="Arial"/>
                <w:i/>
                <w:color w:val="000000"/>
                <w:kern w:val="0"/>
                <w:lang w:eastAsia="mn-MN"/>
                <w14:ligatures w14:val="none"/>
              </w:rPr>
              <w:t>ДНБ-д эзлэх хувь</w:t>
            </w:r>
          </w:p>
        </w:tc>
        <w:tc>
          <w:tcPr>
            <w:tcW w:w="1530" w:type="dxa"/>
            <w:tcBorders>
              <w:top w:val="single" w:sz="4" w:space="0" w:color="auto"/>
              <w:bottom w:val="single" w:sz="4" w:space="0" w:color="auto"/>
            </w:tcBorders>
            <w:vAlign w:val="center"/>
          </w:tcPr>
          <w:p w14:paraId="18D20C00" w14:textId="77777777" w:rsidR="00EE1D3A" w:rsidRPr="00963C14" w:rsidRDefault="00EE1D3A" w:rsidP="00ED1BE8">
            <w:pPr>
              <w:snapToGrid w:val="0"/>
              <w:spacing w:afterLines="0" w:after="0"/>
              <w:jc w:val="right"/>
            </w:pPr>
            <w:r w:rsidRPr="00963C14">
              <w:t>-2.0</w:t>
            </w:r>
          </w:p>
        </w:tc>
        <w:tc>
          <w:tcPr>
            <w:tcW w:w="1710" w:type="dxa"/>
            <w:tcBorders>
              <w:top w:val="single" w:sz="4" w:space="0" w:color="auto"/>
              <w:bottom w:val="single" w:sz="4" w:space="0" w:color="auto"/>
            </w:tcBorders>
            <w:vAlign w:val="center"/>
          </w:tcPr>
          <w:p w14:paraId="4D2314F2" w14:textId="77777777" w:rsidR="00EE1D3A" w:rsidRPr="00963C14" w:rsidRDefault="00EE1D3A" w:rsidP="00ED1BE8">
            <w:pPr>
              <w:snapToGrid w:val="0"/>
              <w:spacing w:afterLines="0" w:after="0"/>
              <w:jc w:val="right"/>
            </w:pPr>
            <w:r w:rsidRPr="00963C14">
              <w:t>1.1</w:t>
            </w:r>
          </w:p>
        </w:tc>
        <w:tc>
          <w:tcPr>
            <w:tcW w:w="1530" w:type="dxa"/>
            <w:tcBorders>
              <w:top w:val="single" w:sz="4" w:space="0" w:color="auto"/>
              <w:bottom w:val="single" w:sz="4" w:space="0" w:color="auto"/>
            </w:tcBorders>
            <w:vAlign w:val="center"/>
          </w:tcPr>
          <w:p w14:paraId="55E7638D" w14:textId="77777777" w:rsidR="00EE1D3A" w:rsidRPr="00963C14" w:rsidRDefault="00EE1D3A" w:rsidP="00ED1BE8">
            <w:pPr>
              <w:snapToGrid w:val="0"/>
              <w:spacing w:afterLines="0" w:after="0"/>
              <w:jc w:val="right"/>
            </w:pPr>
            <w:r w:rsidRPr="00963C14">
              <w:rPr>
                <w:rFonts w:eastAsia="Times New Roman" w:cs="Arial"/>
                <w:color w:val="000000"/>
                <w:kern w:val="0"/>
                <w:lang w:eastAsia="mn-MN"/>
                <w14:ligatures w14:val="none"/>
              </w:rPr>
              <w:t>-2.0</w:t>
            </w:r>
          </w:p>
        </w:tc>
        <w:tc>
          <w:tcPr>
            <w:tcW w:w="1377" w:type="dxa"/>
            <w:tcBorders>
              <w:top w:val="single" w:sz="4" w:space="0" w:color="auto"/>
              <w:bottom w:val="single" w:sz="4" w:space="0" w:color="auto"/>
            </w:tcBorders>
            <w:shd w:val="clear" w:color="auto" w:fill="auto"/>
            <w:vAlign w:val="center"/>
          </w:tcPr>
          <w:p w14:paraId="28E2F7AF" w14:textId="02B00606" w:rsidR="00EE1D3A" w:rsidRPr="00963C14" w:rsidRDefault="00397AF1" w:rsidP="00ED1BE8">
            <w:pPr>
              <w:snapToGrid w:val="0"/>
              <w:spacing w:afterLines="0" w:after="0"/>
              <w:jc w:val="right"/>
            </w:pPr>
            <w:r w:rsidRPr="00963C14">
              <w:t>-2.0</w:t>
            </w:r>
          </w:p>
        </w:tc>
      </w:tr>
    </w:tbl>
    <w:p w14:paraId="354B713D" w14:textId="77777777" w:rsidR="00EE1D3A" w:rsidRPr="00963C14" w:rsidRDefault="00EE1D3A" w:rsidP="00EE1D3A">
      <w:pPr>
        <w:pStyle w:val="Heading1"/>
        <w:tabs>
          <w:tab w:val="right" w:leader="dot" w:pos="9354"/>
        </w:tabs>
        <w:spacing w:after="288"/>
        <w:ind w:left="720"/>
        <w:rPr>
          <w:rFonts w:ascii="Arial" w:hAnsi="Arial" w:cs="Arial"/>
          <w:b/>
          <w:color w:val="auto"/>
          <w:sz w:val="24"/>
          <w:szCs w:val="24"/>
        </w:rPr>
        <w:sectPr w:rsidR="00EE1D3A" w:rsidRPr="00963C14" w:rsidSect="00577D4C">
          <w:headerReference w:type="even" r:id="rId34"/>
          <w:headerReference w:type="default" r:id="rId35"/>
          <w:footerReference w:type="even" r:id="rId36"/>
          <w:footerReference w:type="default" r:id="rId37"/>
          <w:headerReference w:type="first" r:id="rId38"/>
          <w:footerReference w:type="first" r:id="rId39"/>
          <w:pgSz w:w="11906" w:h="16838" w:code="9"/>
          <w:pgMar w:top="1134" w:right="926" w:bottom="1134" w:left="1701" w:header="567" w:footer="0" w:gutter="0"/>
          <w:cols w:space="720"/>
          <w:titlePg/>
          <w:docGrid w:linePitch="360"/>
        </w:sectPr>
      </w:pPr>
      <w:bookmarkStart w:id="75" w:name="_Toc163484928"/>
    </w:p>
    <w:p w14:paraId="2A43F51F" w14:textId="77777777" w:rsidR="00EE1D3A" w:rsidRPr="00963C14" w:rsidRDefault="00EE1D3A" w:rsidP="00EE1D3A">
      <w:pPr>
        <w:pStyle w:val="Heading1"/>
        <w:numPr>
          <w:ilvl w:val="0"/>
          <w:numId w:val="3"/>
        </w:numPr>
        <w:tabs>
          <w:tab w:val="right" w:leader="dot" w:pos="9354"/>
        </w:tabs>
        <w:spacing w:after="288"/>
        <w:rPr>
          <w:rFonts w:ascii="Arial" w:hAnsi="Arial" w:cs="Arial"/>
          <w:b/>
          <w:color w:val="auto"/>
          <w:sz w:val="24"/>
          <w:szCs w:val="24"/>
        </w:rPr>
      </w:pPr>
      <w:bookmarkStart w:id="76" w:name="_Toc163736662"/>
      <w:bookmarkStart w:id="77" w:name="_Toc163811095"/>
      <w:bookmarkStart w:id="78" w:name="_Toc165299392"/>
      <w:r w:rsidRPr="00963C14">
        <w:rPr>
          <w:rFonts w:ascii="Arial" w:hAnsi="Arial" w:cs="Arial"/>
          <w:b/>
          <w:color w:val="auto"/>
          <w:sz w:val="24"/>
          <w:szCs w:val="24"/>
        </w:rPr>
        <w:t>МОНГОЛ УЛСЫН 2025-2027 ОНЫ НЭГДСЭН ТӨСВИЙН ТӨСӨӨЛӨЛ</w:t>
      </w:r>
      <w:bookmarkEnd w:id="75"/>
      <w:bookmarkEnd w:id="76"/>
      <w:r w:rsidRPr="00963C14">
        <w:rPr>
          <w:rFonts w:ascii="Arial" w:hAnsi="Arial" w:cs="Arial"/>
          <w:b/>
          <w:color w:val="auto"/>
          <w:sz w:val="24"/>
          <w:szCs w:val="24"/>
        </w:rPr>
        <w:t>, БАРИМТЛАХ СТРАТЕГИ</w:t>
      </w:r>
      <w:bookmarkEnd w:id="77"/>
      <w:bookmarkEnd w:id="78"/>
    </w:p>
    <w:p w14:paraId="0C1F7670" w14:textId="77777777" w:rsidR="00EE1D3A" w:rsidRPr="00963C14" w:rsidRDefault="00EE1D3A" w:rsidP="00EE1D3A">
      <w:pPr>
        <w:tabs>
          <w:tab w:val="right" w:leader="dot" w:pos="9354"/>
        </w:tabs>
        <w:spacing w:afterLines="0" w:after="288"/>
        <w:ind w:left="360"/>
        <w:rPr>
          <w:rFonts w:cs="Arial"/>
          <w:b/>
          <w:color w:val="055957"/>
          <w:szCs w:val="24"/>
        </w:rPr>
      </w:pPr>
      <w:r w:rsidRPr="00963C14">
        <w:rPr>
          <w:rFonts w:cs="Arial"/>
          <w:b/>
          <w:color w:val="055957"/>
          <w:szCs w:val="24"/>
        </w:rPr>
        <w:t xml:space="preserve">5.1.  Төсвийн 2025-2027 онд баримтлах стратеги </w:t>
      </w:r>
    </w:p>
    <w:p w14:paraId="2E0F67CD" w14:textId="77777777" w:rsidR="00EE1D3A" w:rsidRPr="00963C14" w:rsidRDefault="00EE1D3A" w:rsidP="00EE1D3A">
      <w:pPr>
        <w:pStyle w:val="NormalWeb"/>
        <w:spacing w:before="120" w:beforeAutospacing="0" w:after="120" w:afterAutospacing="0"/>
        <w:jc w:val="both"/>
        <w:rPr>
          <w:rFonts w:ascii="Arial" w:eastAsia="MS Mincho" w:hAnsi="Arial" w:cstheme="minorBidi"/>
          <w:kern w:val="2"/>
          <w:szCs w:val="22"/>
          <w:lang w:eastAsia="ja-JP"/>
        </w:rPr>
      </w:pPr>
      <w:r w:rsidRPr="00963C14">
        <w:rPr>
          <w:rFonts w:ascii="Arial" w:eastAsia="MS Mincho" w:hAnsi="Arial" w:cstheme="minorBidi"/>
          <w:kern w:val="2"/>
          <w:szCs w:val="22"/>
          <w:lang w:eastAsia="ja-JP"/>
        </w:rPr>
        <w:t>Нэгдсэн төсвийн нийт орлого 2023 онд төлөвлөгөөнөөс 6 хувь давж, сүүлийн таван жилд анх удаа төсвийн тэнцэл ашигтай гарлаа. Түүнчлэн эдийн засаг өмнөх оноос 7.0 хувиар өсөж, нийлүүлэлтийн шалтгаантай инфляц тогтворжиж, экспортын хэмжээ тэлсэн. Тус өсөлтөд төсвийн сахилга батыг төрийн бүх шатанд хэрэгжүүлэх, уул уурхайн далд эдийн засгийг ил болгох, төрийн өмчит компаниудын засаглал, үр ашгийг сайжруулах арга хэмжээг хэрэгжүүлсэн нь голлох нөлөөг үзүүлсэн байна.</w:t>
      </w:r>
    </w:p>
    <w:p w14:paraId="200DF765" w14:textId="193FE342" w:rsidR="00EE1D3A" w:rsidRPr="00963C14" w:rsidRDefault="00EE1D3A" w:rsidP="00EE1D3A">
      <w:pPr>
        <w:pStyle w:val="NormalWeb"/>
        <w:spacing w:before="240" w:beforeAutospacing="0" w:after="120" w:afterAutospacing="0"/>
        <w:jc w:val="both"/>
        <w:rPr>
          <w:rFonts w:ascii="Arial" w:eastAsia="MS Mincho" w:hAnsi="Arial" w:cstheme="minorBidi"/>
          <w:kern w:val="2"/>
          <w:szCs w:val="22"/>
          <w:lang w:eastAsia="ja-JP"/>
        </w:rPr>
      </w:pPr>
      <w:r w:rsidRPr="00963C14">
        <w:rPr>
          <w:rFonts w:ascii="Arial" w:eastAsia="MS Mincho" w:hAnsi="Arial" w:cstheme="minorBidi"/>
          <w:kern w:val="2"/>
          <w:szCs w:val="22"/>
          <w:lang w:eastAsia="ja-JP"/>
        </w:rPr>
        <w:t xml:space="preserve">Монгол Улсын нэгдсэн төсвийн 2025 оны төсвийн хүрээний мэдэгдэл, 2026-2027 оны төсвийн төсөөллийн тухай хуулийн төслийг боловсруулахдаа эдийн засгийн салбаруудын жигд өсөлтийг дэмжиж, </w:t>
      </w:r>
      <w:r w:rsidR="0053281A" w:rsidRPr="00963C14">
        <w:rPr>
          <w:rFonts w:ascii="Arial" w:eastAsia="MS Mincho" w:hAnsi="Arial" w:cstheme="minorBidi"/>
          <w:kern w:val="2"/>
          <w:szCs w:val="22"/>
          <w:lang w:eastAsia="ja-JP"/>
        </w:rPr>
        <w:t>инфляцын түвшнийг тогтвортой бууруулах бодлого баримтлалаа</w:t>
      </w:r>
      <w:r w:rsidRPr="00963C14">
        <w:rPr>
          <w:rFonts w:ascii="Arial" w:eastAsia="MS Mincho" w:hAnsi="Arial" w:cstheme="minorBidi"/>
          <w:kern w:val="2"/>
          <w:szCs w:val="22"/>
          <w:lang w:eastAsia="ja-JP"/>
        </w:rPr>
        <w:t>. Түүнчлэн хуулийн төслийг боловсруулахдаа төр, хувийн хэвшил, эрдэм шинжилгээ, олон улсын байгууллага, хэвлэл мэдээлэл, иргэдийн олон талт оролцоог хангах, холбогдох хуулийн шаардлагуудад нийцүүлэх, хэрэгжихүйц, бодитой байх зэрэг төлөвлөлтийн үндсэн шалгуурыг баримталсан болно.</w:t>
      </w:r>
    </w:p>
    <w:p w14:paraId="52D8A1F3" w14:textId="0F344F2C" w:rsidR="00EE1D3A" w:rsidRPr="00963C14" w:rsidRDefault="00E83A58" w:rsidP="00EE1D3A">
      <w:pPr>
        <w:pStyle w:val="ListParagraph"/>
        <w:numPr>
          <w:ilvl w:val="0"/>
          <w:numId w:val="28"/>
        </w:numPr>
        <w:spacing w:afterLines="50"/>
        <w:rPr>
          <w:rFonts w:cs="Arial"/>
          <w:b/>
          <w:bCs/>
          <w:i/>
          <w:lang w:eastAsia="ja-JP"/>
        </w:rPr>
      </w:pPr>
      <w:r w:rsidRPr="00963C14">
        <w:rPr>
          <w:rFonts w:cs="Arial"/>
          <w:b/>
          <w:bCs/>
          <w:i/>
          <w:lang w:eastAsia="ja-JP"/>
        </w:rPr>
        <w:t>Макро э</w:t>
      </w:r>
      <w:r w:rsidR="00EE1D3A" w:rsidRPr="00963C14">
        <w:rPr>
          <w:rFonts w:cs="Arial"/>
          <w:b/>
          <w:bCs/>
          <w:i/>
          <w:lang w:eastAsia="ja-JP"/>
        </w:rPr>
        <w:t>дийн засгийн тогтвортой байдлыг бэхжүүлнэ.</w:t>
      </w:r>
    </w:p>
    <w:p w14:paraId="68BCEE24" w14:textId="10572EAE" w:rsidR="00EE1D3A" w:rsidRPr="00963C14" w:rsidRDefault="00EE1D3A" w:rsidP="00EE1D3A">
      <w:pPr>
        <w:spacing w:afterLines="50"/>
        <w:rPr>
          <w:rFonts w:cs="Arial"/>
          <w:lang w:eastAsia="ja-JP"/>
        </w:rPr>
      </w:pPr>
      <w:r w:rsidRPr="00963C14">
        <w:rPr>
          <w:rFonts w:cs="Arial"/>
          <w:lang w:eastAsia="ja-JP"/>
        </w:rPr>
        <w:t xml:space="preserve">Макро тогтвортой орчныг дэмжсэн төсөв, мөнгөний бодлогыг үргэлжлүүлэн хэрэгжүүлж, улсын зээлжих зэрэглэлийг нэг шатаар ахиулна. Төсвийн </w:t>
      </w:r>
      <w:r w:rsidR="007E4652" w:rsidRPr="00963C14">
        <w:rPr>
          <w:rFonts w:cs="Arial"/>
          <w:lang w:eastAsia="ja-JP"/>
        </w:rPr>
        <w:t>алдагдлы</w:t>
      </w:r>
      <w:r w:rsidR="00EB7F14" w:rsidRPr="00963C14">
        <w:rPr>
          <w:rFonts w:cs="Arial"/>
          <w:lang w:eastAsia="ja-JP"/>
        </w:rPr>
        <w:t>н ДНБ-д эзлэх хувийг</w:t>
      </w:r>
      <w:r w:rsidRPr="00963C14">
        <w:rPr>
          <w:rFonts w:cs="Arial"/>
          <w:lang w:eastAsia="ja-JP"/>
        </w:rPr>
        <w:t xml:space="preserve"> </w:t>
      </w:r>
      <w:r w:rsidR="00844250" w:rsidRPr="00963C14">
        <w:rPr>
          <w:rFonts w:cs="Arial"/>
          <w:lang w:eastAsia="ja-JP"/>
        </w:rPr>
        <w:t>2025 онд 2</w:t>
      </w:r>
      <w:r w:rsidR="00E13651" w:rsidRPr="00963C14">
        <w:rPr>
          <w:rFonts w:cs="Arial"/>
          <w:lang w:eastAsia="ja-JP"/>
        </w:rPr>
        <w:t>.0</w:t>
      </w:r>
      <w:r w:rsidR="00844250" w:rsidRPr="00963C14">
        <w:rPr>
          <w:rFonts w:cs="Arial"/>
          <w:lang w:eastAsia="ja-JP"/>
        </w:rPr>
        <w:t xml:space="preserve"> хувь</w:t>
      </w:r>
      <w:r w:rsidR="00584E66" w:rsidRPr="00963C14">
        <w:rPr>
          <w:rFonts w:cs="Arial"/>
          <w:lang w:eastAsia="ja-JP"/>
        </w:rPr>
        <w:t xml:space="preserve">, 2026 онд 1.5 хувь, 2027 онд </w:t>
      </w:r>
      <w:r w:rsidR="00E31AEB" w:rsidRPr="00963C14">
        <w:rPr>
          <w:rFonts w:cs="Arial"/>
          <w:lang w:eastAsia="ja-JP"/>
        </w:rPr>
        <w:t>1</w:t>
      </w:r>
      <w:r w:rsidR="00E13651" w:rsidRPr="00963C14">
        <w:rPr>
          <w:rFonts w:cs="Arial"/>
          <w:lang w:eastAsia="ja-JP"/>
        </w:rPr>
        <w:t>.0</w:t>
      </w:r>
      <w:r w:rsidR="00E31AEB" w:rsidRPr="00963C14">
        <w:rPr>
          <w:rFonts w:cs="Arial"/>
          <w:lang w:eastAsia="ja-JP"/>
        </w:rPr>
        <w:t xml:space="preserve"> хувь </w:t>
      </w:r>
      <w:r w:rsidR="00E13651" w:rsidRPr="00963C14">
        <w:rPr>
          <w:rFonts w:cs="Arial"/>
          <w:lang w:eastAsia="ja-JP"/>
        </w:rPr>
        <w:t>болгон бууруулж, цаашид төсвийн алдагдлыг үе шаттайгаар бууруулах</w:t>
      </w:r>
      <w:r w:rsidRPr="00963C14">
        <w:rPr>
          <w:rFonts w:cs="Arial"/>
          <w:lang w:eastAsia="ja-JP"/>
        </w:rPr>
        <w:t xml:space="preserve">, Засгийн газрын өрийн тогтвортой байдлыг хангана. </w:t>
      </w:r>
    </w:p>
    <w:p w14:paraId="2E836F36" w14:textId="0001A8B9" w:rsidR="00341FE5" w:rsidRPr="00963C14" w:rsidRDefault="00B11FBC" w:rsidP="00341FE5">
      <w:pPr>
        <w:pStyle w:val="ListParagraph"/>
        <w:numPr>
          <w:ilvl w:val="0"/>
          <w:numId w:val="28"/>
        </w:numPr>
        <w:spacing w:afterLines="50"/>
        <w:rPr>
          <w:rFonts w:cs="Arial"/>
          <w:i/>
          <w:lang w:eastAsia="ja-JP"/>
        </w:rPr>
      </w:pPr>
      <w:r w:rsidRPr="00963C14">
        <w:rPr>
          <w:rFonts w:cs="Arial"/>
          <w:b/>
          <w:i/>
          <w:lang w:eastAsia="ja-JP"/>
        </w:rPr>
        <w:t xml:space="preserve">Боловсруулалтын түвшнийг нэг шат ахиулах бодлогыг </w:t>
      </w:r>
      <w:r w:rsidR="007C4F44" w:rsidRPr="00963C14">
        <w:rPr>
          <w:rFonts w:cs="Arial"/>
          <w:b/>
          <w:i/>
          <w:lang w:eastAsia="ja-JP"/>
        </w:rPr>
        <w:t>хөрөнгө оруулалтын бодлоготой уялдуулан</w:t>
      </w:r>
      <w:r w:rsidRPr="00963C14">
        <w:rPr>
          <w:rFonts w:cs="Arial"/>
          <w:b/>
          <w:i/>
          <w:lang w:eastAsia="ja-JP"/>
        </w:rPr>
        <w:t xml:space="preserve"> хэрэгжүүлнэ.</w:t>
      </w:r>
    </w:p>
    <w:p w14:paraId="5FD3C504" w14:textId="58C3A440" w:rsidR="00343D36" w:rsidRPr="00963C14" w:rsidRDefault="00343D36" w:rsidP="00EE1D3A">
      <w:pPr>
        <w:spacing w:afterLines="50"/>
        <w:rPr>
          <w:rFonts w:cs="Arial"/>
          <w:lang w:eastAsia="ja-JP"/>
        </w:rPr>
      </w:pPr>
      <w:r w:rsidRPr="00963C14">
        <w:rPr>
          <w:rFonts w:cs="Arial"/>
          <w:lang w:eastAsia="ja-JP"/>
        </w:rPr>
        <w:t>Эдийн засгийг төрөлжүүлэх, бүтээгдэхүүнүүдийн боловсруулалтын түвшнийг шат ахиулах хүрээнд хөрөнгө оруулалтын орчныг сайжруулж, уул уурхайн болон уул уурхайн бус салбарын үйлдвэрлэлийг дэмжинэ.</w:t>
      </w:r>
    </w:p>
    <w:p w14:paraId="75279275" w14:textId="64C0B0FD" w:rsidR="00EE1D3A" w:rsidRPr="00963C14" w:rsidRDefault="000C0473" w:rsidP="00EE1D3A">
      <w:pPr>
        <w:pStyle w:val="ListParagraph"/>
        <w:numPr>
          <w:ilvl w:val="0"/>
          <w:numId w:val="28"/>
        </w:numPr>
        <w:spacing w:before="120" w:afterLines="50"/>
        <w:rPr>
          <w:rFonts w:cs="Arial"/>
          <w:b/>
          <w:bCs/>
          <w:i/>
          <w:color w:val="000000" w:themeColor="text1"/>
          <w:lang w:eastAsia="ja-JP"/>
        </w:rPr>
      </w:pPr>
      <w:r w:rsidRPr="00963C14">
        <w:rPr>
          <w:rFonts w:cs="Arial"/>
          <w:b/>
          <w:bCs/>
          <w:i/>
          <w:szCs w:val="24"/>
          <w:lang w:eastAsia="ja-JP"/>
        </w:rPr>
        <w:t>Э</w:t>
      </w:r>
      <w:r w:rsidR="00A01140" w:rsidRPr="00963C14">
        <w:rPr>
          <w:rFonts w:cs="Arial"/>
          <w:b/>
          <w:bCs/>
          <w:i/>
          <w:szCs w:val="24"/>
          <w:lang w:eastAsia="ja-JP"/>
        </w:rPr>
        <w:t>дийн засгийг төрөлжүүлэн, э</w:t>
      </w:r>
      <w:r w:rsidR="00EE1D3A" w:rsidRPr="00963C14">
        <w:rPr>
          <w:rFonts w:cs="Arial"/>
          <w:b/>
          <w:bCs/>
          <w:i/>
          <w:color w:val="000000" w:themeColor="text1"/>
          <w:lang w:eastAsia="ja-JP"/>
        </w:rPr>
        <w:t xml:space="preserve">кспортыг нэмэгдүүлнэ. </w:t>
      </w:r>
    </w:p>
    <w:p w14:paraId="5AA3022C" w14:textId="0FEF6807" w:rsidR="00DF3C99" w:rsidRPr="00963C14" w:rsidRDefault="00EE1D3A" w:rsidP="00A01140">
      <w:pPr>
        <w:spacing w:afterLines="50"/>
        <w:rPr>
          <w:rFonts w:cs="Arial"/>
          <w:lang w:eastAsia="ja-JP"/>
        </w:rPr>
      </w:pPr>
      <w:r w:rsidRPr="00963C14">
        <w:rPr>
          <w:rFonts w:cs="Arial"/>
          <w:lang w:eastAsia="ja-JP"/>
        </w:rPr>
        <w:t xml:space="preserve">Эдийн засгийн суурийг тэлэх, төрөлжүүлэх хүрээнд уул уурхайн болон уул уурхайн бус экспортыг нэмэгдүүлэх арга хэмжээг үргэлжлүүлэн авч хэрэгжүүлнэ. Уул уурхайн экспортыг нэмэгдүүлэхэд уул уурхайн бүтээгдэхүүний биржийн тогтолцоог бэхжүүлж, өргөжүүлнэ. </w:t>
      </w:r>
      <w:r w:rsidR="00C330D9" w:rsidRPr="00963C14">
        <w:rPr>
          <w:rFonts w:cs="Arial"/>
          <w:lang w:eastAsia="ja-JP"/>
        </w:rPr>
        <w:t>Зэс, х</w:t>
      </w:r>
      <w:r w:rsidRPr="00963C14">
        <w:rPr>
          <w:rFonts w:cs="Arial"/>
          <w:lang w:eastAsia="ja-JP"/>
        </w:rPr>
        <w:t>айлуур жонш, мөнгө</w:t>
      </w:r>
      <w:r w:rsidR="00C330D9" w:rsidRPr="00963C14">
        <w:rPr>
          <w:rFonts w:cs="Arial"/>
          <w:lang w:eastAsia="ja-JP"/>
        </w:rPr>
        <w:t xml:space="preserve"> </w:t>
      </w:r>
      <w:r w:rsidRPr="00963C14">
        <w:rPr>
          <w:rFonts w:cs="Arial"/>
          <w:lang w:eastAsia="ja-JP"/>
        </w:rPr>
        <w:t xml:space="preserve">зэрэг уул уурхайн бүх бүтээгдэхүүнийг үе шаттайгаар биржээр арилжиж, арилжсан бүтээгдэхүүнийг хилийн боомтын тусгай гарцаар нэвтрүүлнэ. </w:t>
      </w:r>
    </w:p>
    <w:p w14:paraId="20BD6974" w14:textId="18A141D3" w:rsidR="00EE1D3A" w:rsidRPr="00963C14" w:rsidRDefault="00EE1D3A" w:rsidP="00EE1D3A">
      <w:pPr>
        <w:pStyle w:val="ListParagraph"/>
        <w:numPr>
          <w:ilvl w:val="0"/>
          <w:numId w:val="28"/>
        </w:numPr>
        <w:spacing w:afterLines="50"/>
        <w:rPr>
          <w:rFonts w:cs="Arial"/>
          <w:b/>
          <w:bCs/>
          <w:i/>
          <w:szCs w:val="24"/>
          <w:lang w:eastAsia="ja-JP"/>
        </w:rPr>
      </w:pPr>
      <w:r w:rsidRPr="00963C14">
        <w:rPr>
          <w:rFonts w:cs="Arial"/>
          <w:b/>
          <w:bCs/>
          <w:i/>
          <w:szCs w:val="24"/>
          <w:lang w:eastAsia="ja-JP"/>
        </w:rPr>
        <w:t xml:space="preserve">Зохицуулалтыг хялбарчилж, </w:t>
      </w:r>
      <w:r w:rsidR="004909CD" w:rsidRPr="00963C14">
        <w:rPr>
          <w:rFonts w:cs="Arial"/>
          <w:b/>
          <w:bCs/>
          <w:i/>
          <w:szCs w:val="24"/>
          <w:lang w:eastAsia="ja-JP"/>
        </w:rPr>
        <w:t>хувийн хэвшлийг</w:t>
      </w:r>
      <w:r w:rsidRPr="00963C14">
        <w:rPr>
          <w:rFonts w:cs="Arial"/>
          <w:b/>
          <w:bCs/>
          <w:i/>
          <w:szCs w:val="24"/>
          <w:lang w:eastAsia="ja-JP"/>
        </w:rPr>
        <w:t xml:space="preserve"> дэмжинэ. </w:t>
      </w:r>
    </w:p>
    <w:p w14:paraId="31FA3697" w14:textId="6E90E2A2" w:rsidR="00EE1D3A" w:rsidRPr="00963C14" w:rsidRDefault="00EE1D3A" w:rsidP="00EE1D3A">
      <w:pPr>
        <w:spacing w:afterLines="50"/>
        <w:rPr>
          <w:rFonts w:cs="Arial"/>
          <w:lang w:eastAsia="ja-JP"/>
        </w:rPr>
      </w:pPr>
      <w:r w:rsidRPr="00963C14">
        <w:rPr>
          <w:rFonts w:cs="Arial"/>
          <w:lang w:eastAsia="ja-JP"/>
        </w:rPr>
        <w:t>Аливаа төрлийн бизнес эрхлэхэд тулгарч буй саад бэрхшээлийг шийдвэрлэх чиглэлд төрийн зохицуулалтыг хялбарчилж, хувийн секторын чөлөөт өрсөлдөөнийг дэмжих арга хэмжээг авч хэрэгжүүлнэ. Эдийн засгийн салбаруудын өрсөлдөөнийг дэмжих, зах зээл дэх төрийн оролцоог бууруулах чиглэлд хөдөө аж ахуйн салбарт бодлогын цогц шинэчлэл хий</w:t>
      </w:r>
      <w:r w:rsidR="002422B7" w:rsidRPr="00963C14">
        <w:rPr>
          <w:rFonts w:cs="Arial"/>
          <w:lang w:eastAsia="ja-JP"/>
        </w:rPr>
        <w:t>нэ.</w:t>
      </w:r>
      <w:r w:rsidRPr="00963C14">
        <w:rPr>
          <w:rFonts w:cs="Arial"/>
          <w:lang w:eastAsia="ja-JP"/>
        </w:rPr>
        <w:t xml:space="preserve"> </w:t>
      </w:r>
    </w:p>
    <w:p w14:paraId="6B7469D9" w14:textId="77777777" w:rsidR="00EE1D3A" w:rsidRPr="00963C14" w:rsidRDefault="00EE1D3A" w:rsidP="00EE1D3A">
      <w:pPr>
        <w:pStyle w:val="ListParagraph"/>
        <w:numPr>
          <w:ilvl w:val="0"/>
          <w:numId w:val="28"/>
        </w:numPr>
        <w:tabs>
          <w:tab w:val="right" w:leader="dot" w:pos="9354"/>
        </w:tabs>
        <w:spacing w:afterLines="0"/>
        <w:ind w:left="714" w:hanging="357"/>
        <w:contextualSpacing w:val="0"/>
        <w:rPr>
          <w:rFonts w:cs="Arial"/>
          <w:b/>
          <w:bCs/>
          <w:i/>
          <w:szCs w:val="24"/>
        </w:rPr>
      </w:pPr>
      <w:r w:rsidRPr="00963C14">
        <w:rPr>
          <w:rFonts w:cs="Arial"/>
          <w:b/>
          <w:bCs/>
          <w:i/>
          <w:szCs w:val="24"/>
        </w:rPr>
        <w:t>Татварын бүртгэлийг сайжруулан, далд эдийн засгийг бууруулж, татварын суурийг тэлнэ.</w:t>
      </w:r>
    </w:p>
    <w:p w14:paraId="6C0DAAA2" w14:textId="77777777" w:rsidR="00EE1D3A" w:rsidRPr="00963C14" w:rsidRDefault="00EE1D3A" w:rsidP="00EE1D3A">
      <w:pPr>
        <w:tabs>
          <w:tab w:val="right" w:leader="dot" w:pos="9354"/>
        </w:tabs>
        <w:spacing w:afterLines="0"/>
        <w:rPr>
          <w:rFonts w:cs="Arial"/>
          <w:szCs w:val="24"/>
        </w:rPr>
      </w:pPr>
      <w:r w:rsidRPr="00963C14">
        <w:t>Бизнес эрхлэгчдийн татвар тайлагнах, төлөх үйл ажиллагааг хялбаршуулан, татварын хамрагдалт, бүртгэлийг сайжруулах арга хэмжээг авч хэрэгжүүлнэ.</w:t>
      </w:r>
    </w:p>
    <w:p w14:paraId="6357EBFB" w14:textId="77777777" w:rsidR="00EE1D3A" w:rsidRPr="00963C14" w:rsidRDefault="00EE1D3A" w:rsidP="00EE1D3A">
      <w:pPr>
        <w:pStyle w:val="ListParagraph"/>
        <w:numPr>
          <w:ilvl w:val="0"/>
          <w:numId w:val="28"/>
        </w:numPr>
        <w:tabs>
          <w:tab w:val="right" w:leader="dot" w:pos="9354"/>
        </w:tabs>
        <w:spacing w:afterLines="0"/>
        <w:ind w:left="714" w:hanging="357"/>
        <w:contextualSpacing w:val="0"/>
        <w:rPr>
          <w:rFonts w:cs="Arial"/>
          <w:b/>
          <w:bCs/>
          <w:i/>
          <w:szCs w:val="24"/>
        </w:rPr>
      </w:pPr>
      <w:r w:rsidRPr="00963C14">
        <w:rPr>
          <w:rFonts w:cs="Arial"/>
          <w:b/>
          <w:bCs/>
          <w:i/>
          <w:szCs w:val="24"/>
        </w:rPr>
        <w:t>Бүсчилсэн хөгжлийн үзэл баримтлалд суурилан, төвлөрлийг сааруулж, хот хөдөөгийн тэнцвэрийг нэмэгдүүлэх бодлого баримтална.</w:t>
      </w:r>
    </w:p>
    <w:p w14:paraId="3F04E203" w14:textId="77777777" w:rsidR="00EE1D3A" w:rsidRPr="00963C14" w:rsidRDefault="00EE1D3A" w:rsidP="00EE1D3A">
      <w:pPr>
        <w:tabs>
          <w:tab w:val="right" w:leader="dot" w:pos="9354"/>
        </w:tabs>
        <w:spacing w:afterLines="0"/>
        <w:rPr>
          <w:rStyle w:val="normaltextrun"/>
          <w:rFonts w:cs="Arial"/>
          <w:color w:val="000000"/>
          <w:szCs w:val="24"/>
          <w:bdr w:val="none" w:sz="0" w:space="0" w:color="auto" w:frame="1"/>
        </w:rPr>
      </w:pPr>
      <w:r w:rsidRPr="00963C14">
        <w:rPr>
          <w:rStyle w:val="normaltextrun"/>
          <w:rFonts w:cs="Arial"/>
          <w:color w:val="000000"/>
          <w:szCs w:val="24"/>
          <w:bdr w:val="none" w:sz="0" w:space="0" w:color="auto" w:frame="1"/>
        </w:rPr>
        <w:t>Орон нутгийн санхүүжилтийг эдийн засгийн чадавх, үр дүнд суурилсан тогтолцоонд шилжүүлж, урамшууллын механизмыг нэвтрүүлэх замаар Бүсчилсэн хөгжлийг дэмжинэ.</w:t>
      </w:r>
      <w:r w:rsidRPr="00963C14">
        <w:rPr>
          <w:rStyle w:val="Hyperlink"/>
          <w:rFonts w:cs="Arial"/>
          <w:color w:val="000000"/>
          <w:sz w:val="22"/>
          <w:shd w:val="clear" w:color="auto" w:fill="FFFFFF"/>
        </w:rPr>
        <w:t xml:space="preserve"> </w:t>
      </w:r>
    </w:p>
    <w:p w14:paraId="395F6129" w14:textId="77777777" w:rsidR="00EE1D3A" w:rsidRPr="00963C14" w:rsidRDefault="00EE1D3A" w:rsidP="00EE1D3A">
      <w:pPr>
        <w:pStyle w:val="ListParagraph"/>
        <w:numPr>
          <w:ilvl w:val="0"/>
          <w:numId w:val="28"/>
        </w:numPr>
        <w:tabs>
          <w:tab w:val="right" w:leader="dot" w:pos="9354"/>
        </w:tabs>
        <w:spacing w:afterLines="0"/>
        <w:ind w:left="714" w:hanging="357"/>
        <w:contextualSpacing w:val="0"/>
        <w:rPr>
          <w:rFonts w:cs="Arial"/>
          <w:b/>
          <w:bCs/>
          <w:szCs w:val="24"/>
        </w:rPr>
      </w:pPr>
      <w:r w:rsidRPr="00963C14">
        <w:rPr>
          <w:rFonts w:cs="Arial"/>
          <w:b/>
          <w:bCs/>
          <w:i/>
          <w:szCs w:val="24"/>
        </w:rPr>
        <w:t>Төсвийн хэмнэлттэй, үр ашигтай зарцуулалтыг сайжруулж, иргэдийн оролцоо, хяналтыг нэмэгдүүлнэ.</w:t>
      </w:r>
    </w:p>
    <w:p w14:paraId="1B1F3418" w14:textId="77777777" w:rsidR="00EE1D3A" w:rsidRPr="00963C14" w:rsidRDefault="00EE1D3A" w:rsidP="00EE1D3A">
      <w:pPr>
        <w:tabs>
          <w:tab w:val="right" w:leader="dot" w:pos="9354"/>
        </w:tabs>
        <w:spacing w:afterLines="0"/>
        <w:rPr>
          <w:rFonts w:cs="Arial"/>
        </w:rPr>
      </w:pPr>
      <w:r w:rsidRPr="00963C14">
        <w:rPr>
          <w:rFonts w:cs="Arial"/>
        </w:rPr>
        <w:t xml:space="preserve">Улсын төсвийн хөрөнгөөр санхүүжүүлэх хөтөлбөр, төсөл, арга хэмжээг шинээр бий болгох байнгын ажлын байрны тоо, нийгэм, эдийн засаг, байгаль орчны үр өгөөжөөр нь эрэмбэлж, санхүүжүүлэх зарчмыг баримтална. Төсвийн зарцуулалтад иргэд болон хөндлөнгийн хяналтыг нэмэгдүүлж, ил тод байдлыг сайжруулна. </w:t>
      </w:r>
    </w:p>
    <w:p w14:paraId="4592111A" w14:textId="6AA70B0D" w:rsidR="00646CD6" w:rsidRPr="00963C14" w:rsidRDefault="00EE1D3A" w:rsidP="00646CD6">
      <w:pPr>
        <w:pStyle w:val="ListParagraph"/>
        <w:numPr>
          <w:ilvl w:val="0"/>
          <w:numId w:val="28"/>
        </w:numPr>
        <w:tabs>
          <w:tab w:val="right" w:leader="dot" w:pos="9354"/>
        </w:tabs>
        <w:spacing w:afterLines="0"/>
        <w:ind w:left="714" w:hanging="357"/>
        <w:contextualSpacing w:val="0"/>
        <w:rPr>
          <w:rFonts w:cs="Arial"/>
          <w:b/>
          <w:bCs/>
          <w:i/>
          <w:szCs w:val="24"/>
        </w:rPr>
      </w:pPr>
      <w:r w:rsidRPr="00963C14">
        <w:rPr>
          <w:rFonts w:cs="Arial"/>
          <w:b/>
          <w:bCs/>
          <w:i/>
          <w:szCs w:val="24"/>
        </w:rPr>
        <w:t>Нийгмийн халамжийн бодлогыг хөдөлмөр эрхлэлтийг нэмэгдүүлэхэд чиглүүл</w:t>
      </w:r>
      <w:r w:rsidR="00C42E3D" w:rsidRPr="00963C14">
        <w:rPr>
          <w:rFonts w:cs="Arial"/>
          <w:b/>
          <w:bCs/>
          <w:i/>
          <w:szCs w:val="24"/>
        </w:rPr>
        <w:t xml:space="preserve">ж, </w:t>
      </w:r>
      <w:r w:rsidR="00646CD6" w:rsidRPr="00963C14">
        <w:rPr>
          <w:rFonts w:cs="Arial"/>
          <w:b/>
          <w:bCs/>
          <w:i/>
          <w:szCs w:val="24"/>
        </w:rPr>
        <w:t>цалин, тэтгэврийн хэмжээг инфляцын түвшин</w:t>
      </w:r>
      <w:r w:rsidR="003C3BFC" w:rsidRPr="00963C14">
        <w:rPr>
          <w:rFonts w:cs="Arial"/>
          <w:b/>
          <w:bCs/>
          <w:i/>
          <w:szCs w:val="24"/>
        </w:rPr>
        <w:t>mэй</w:t>
      </w:r>
      <w:r w:rsidR="00646CD6" w:rsidRPr="00963C14">
        <w:rPr>
          <w:rFonts w:cs="Arial"/>
          <w:b/>
          <w:bCs/>
          <w:i/>
          <w:szCs w:val="24"/>
        </w:rPr>
        <w:t xml:space="preserve"> уялдуулан нэмэгдүүлнэ.</w:t>
      </w:r>
    </w:p>
    <w:p w14:paraId="2746E7B2" w14:textId="0078095E" w:rsidR="00EE1D3A" w:rsidRPr="00963C14" w:rsidRDefault="00EE1D3A" w:rsidP="00646CD6">
      <w:pPr>
        <w:tabs>
          <w:tab w:val="right" w:leader="dot" w:pos="9354"/>
        </w:tabs>
        <w:spacing w:afterLines="0"/>
        <w:rPr>
          <w:rFonts w:cs="Arial"/>
          <w:szCs w:val="24"/>
        </w:rPr>
      </w:pPr>
      <w:r w:rsidRPr="00963C14">
        <w:rPr>
          <w:rFonts w:cs="Arial"/>
          <w:szCs w:val="24"/>
        </w:rPr>
        <w:t>Төрөөс үзүүлж буй нийгмийн халамж, тусламж, үйлчилгээг зөвхөн зорилтот бүлэгт чиглүүлнэ. Төрийн албан хаагчдын цалинг ажлын хариуцлага, үр дүн, гүйцэтгэлтэй нь болон инфляцын түвшинтэй уялдуулан нэмэгдүүлнэ.</w:t>
      </w:r>
    </w:p>
    <w:p w14:paraId="5FC42F6A" w14:textId="77777777" w:rsidR="007C22D6" w:rsidRPr="00963C14" w:rsidRDefault="007C22D6">
      <w:pPr>
        <w:spacing w:afterLines="0" w:after="160" w:line="278" w:lineRule="auto"/>
        <w:jc w:val="left"/>
        <w:rPr>
          <w:rFonts w:cs="Arial"/>
          <w:b/>
          <w:color w:val="055957"/>
          <w:szCs w:val="24"/>
        </w:rPr>
      </w:pPr>
      <w:r w:rsidRPr="00963C14">
        <w:rPr>
          <w:rFonts w:cs="Arial"/>
          <w:b/>
          <w:color w:val="055957"/>
          <w:szCs w:val="24"/>
        </w:rPr>
        <w:br w:type="page"/>
      </w:r>
    </w:p>
    <w:p w14:paraId="7A4C30E6" w14:textId="378761EA" w:rsidR="00EE1D3A" w:rsidRPr="00963C14" w:rsidRDefault="00EE1D3A" w:rsidP="00EE2949">
      <w:pPr>
        <w:tabs>
          <w:tab w:val="right" w:leader="dot" w:pos="9354"/>
        </w:tabs>
        <w:snapToGrid w:val="0"/>
        <w:spacing w:before="240" w:afterLines="0" w:after="288"/>
        <w:ind w:left="360"/>
        <w:rPr>
          <w:rFonts w:cs="Arial"/>
          <w:b/>
          <w:color w:val="055957"/>
          <w:szCs w:val="24"/>
        </w:rPr>
      </w:pPr>
      <w:r w:rsidRPr="00963C14">
        <w:rPr>
          <w:rFonts w:cs="Arial"/>
          <w:b/>
          <w:color w:val="055957"/>
          <w:szCs w:val="24"/>
        </w:rPr>
        <w:t xml:space="preserve">5.2.  Монгол Улсын 2025-2027 оны төсвийн орлого, зарлагын төсөөлөл </w:t>
      </w:r>
    </w:p>
    <w:p w14:paraId="0C24DD65" w14:textId="7D4E20D0" w:rsidR="00AA1865" w:rsidRPr="00963C14" w:rsidRDefault="000E5629" w:rsidP="00901E8D">
      <w:pPr>
        <w:spacing w:after="288" w:line="240" w:lineRule="auto"/>
        <w:ind w:firstLine="567"/>
        <w:rPr>
          <w:rStyle w:val="normaltextrun"/>
          <w:rFonts w:cs="Arial"/>
          <w:color w:val="000000"/>
          <w:shd w:val="clear" w:color="auto" w:fill="FFFFFF"/>
        </w:rPr>
      </w:pPr>
      <w:r w:rsidRPr="00963C14">
        <w:rPr>
          <w:rStyle w:val="normaltextrun"/>
          <w:rFonts w:cs="Arial"/>
          <w:color w:val="000000"/>
          <w:szCs w:val="24"/>
          <w:shd w:val="clear" w:color="auto" w:fill="FFFFFF"/>
        </w:rPr>
        <w:t>Монгол Улсын Их Хурлын чуулганы 2024 оны 04 дүгээр сарын 19-ний өдрийн нэгдсэн хуралдаанаар Үндэсний баялгийн сангийн тухай хууль батлагдсантай холбогдуулан төсөвт үзүүлэх нөлөөллийг</w:t>
      </w:r>
      <w:r w:rsidRPr="00963C14">
        <w:rPr>
          <w:rStyle w:val="normaltextrun"/>
          <w:rFonts w:cs="Arial"/>
          <w:color w:val="000000"/>
          <w:shd w:val="clear" w:color="auto" w:fill="FFFFFF"/>
        </w:rPr>
        <w:t xml:space="preserve">  </w:t>
      </w:r>
      <w:r w:rsidRPr="00963C14">
        <w:rPr>
          <w:rStyle w:val="normaltextrun"/>
          <w:rFonts w:cs="Arial"/>
          <w:color w:val="000000"/>
          <w:szCs w:val="24"/>
          <w:shd w:val="clear" w:color="auto" w:fill="FFFFFF"/>
        </w:rPr>
        <w:t>Монгол Улсын нэгдсэн төсвийн 2025 оны төсвийн хүрээний мэдэгдэл, 2026-2027 оны төсвийн төсөөллийн тухай хуулийн төсөлд</w:t>
      </w:r>
      <w:r w:rsidRPr="00963C14">
        <w:rPr>
          <w:rStyle w:val="normaltextrun"/>
          <w:rFonts w:cs="Arial"/>
          <w:color w:val="000000"/>
          <w:shd w:val="clear" w:color="auto" w:fill="FFFFFF"/>
        </w:rPr>
        <w:t xml:space="preserve"> тусгалаа.</w:t>
      </w:r>
    </w:p>
    <w:p w14:paraId="452E7D82" w14:textId="1ACB68B0" w:rsidR="00901E8D" w:rsidRPr="00963C14" w:rsidRDefault="002F4DA0" w:rsidP="00901E8D">
      <w:pPr>
        <w:spacing w:after="288" w:line="240" w:lineRule="auto"/>
        <w:ind w:firstLine="567"/>
        <w:rPr>
          <w:rFonts w:cs="Arial"/>
        </w:rPr>
      </w:pPr>
      <w:r w:rsidRPr="00963C14">
        <w:rPr>
          <w:rFonts w:cs="Arial"/>
        </w:rPr>
        <w:t>Х</w:t>
      </w:r>
      <w:r w:rsidR="00901E8D" w:rsidRPr="00963C14">
        <w:rPr>
          <w:rFonts w:cs="Arial"/>
        </w:rPr>
        <w:t>уулийн төсөл нь Төсвийн тогтвортой байдлын тухай хуулийн 6 дугаар зүйлийн 6.1 дэх хэсэгт заасны дагуу 1) Нэгдсэн төсвийн орлогыг тэнцвэржүүлсэн журмаар тооцдог байх, 2) Нэгдсэн төсвийн тэнцвэржүүлсэн тэнцэл, 3) Тухайн жилийн нэгдсэн төсвийн нийт зарлагын өсөлтийн хувь, 4) Засгийн газрын өрийн өнөөгийн үнэ цэнээр илэрхийлэгдсэн үлдэгдлийн тусгай шаардлагыг тус тус хангаж байна.</w:t>
      </w:r>
    </w:p>
    <w:p w14:paraId="57FCD21A" w14:textId="0ABE5B21" w:rsidR="00EE1D3A" w:rsidRPr="00963C14" w:rsidRDefault="00F120E5" w:rsidP="00EE1D3A">
      <w:pPr>
        <w:tabs>
          <w:tab w:val="right" w:leader="dot" w:pos="9354"/>
        </w:tabs>
        <w:spacing w:afterLines="50"/>
        <w:rPr>
          <w:rFonts w:cs="Arial"/>
          <w:szCs w:val="24"/>
        </w:rPr>
      </w:pPr>
      <w:r w:rsidRPr="00963C14">
        <w:rPr>
          <w:rFonts w:cs="Arial"/>
          <w:szCs w:val="24"/>
        </w:rPr>
        <w:t xml:space="preserve">         </w:t>
      </w:r>
      <w:r w:rsidR="00EE1D3A" w:rsidRPr="00963C14">
        <w:rPr>
          <w:rFonts w:cs="Arial"/>
          <w:szCs w:val="24"/>
        </w:rPr>
        <w:t>Нэгдсэн төсвийн тэнцвэржүүлсэн орлого 29,</w:t>
      </w:r>
      <w:r w:rsidR="006E7D9D" w:rsidRPr="00963C14">
        <w:rPr>
          <w:rFonts w:cs="Arial"/>
          <w:szCs w:val="24"/>
        </w:rPr>
        <w:t>400</w:t>
      </w:r>
      <w:r w:rsidR="00EE1D3A" w:rsidRPr="00963C14">
        <w:rPr>
          <w:rFonts w:cs="Arial"/>
          <w:szCs w:val="24"/>
        </w:rPr>
        <w:t>.</w:t>
      </w:r>
      <w:r w:rsidR="006E7D9D" w:rsidRPr="00963C14">
        <w:rPr>
          <w:rFonts w:cs="Arial"/>
          <w:szCs w:val="24"/>
        </w:rPr>
        <w:t>1</w:t>
      </w:r>
      <w:r w:rsidR="00EE1D3A" w:rsidRPr="00963C14">
        <w:rPr>
          <w:rFonts w:cs="Arial"/>
          <w:szCs w:val="24"/>
        </w:rPr>
        <w:t xml:space="preserve"> тэрбум төгрөг, Ирээдүйн өв сангийн орлого 3,</w:t>
      </w:r>
      <w:r w:rsidR="007E60DA" w:rsidRPr="00963C14">
        <w:rPr>
          <w:rFonts w:cs="Arial"/>
          <w:szCs w:val="24"/>
        </w:rPr>
        <w:t>482.5</w:t>
      </w:r>
      <w:r w:rsidR="00EE1D3A" w:rsidRPr="00963C14">
        <w:rPr>
          <w:rFonts w:cs="Arial"/>
          <w:szCs w:val="24"/>
        </w:rPr>
        <w:t xml:space="preserve"> тэрбум төгрөг, Тогтворжуулалтын сангийн орлого </w:t>
      </w:r>
      <w:r w:rsidR="007E60DA" w:rsidRPr="00963C14">
        <w:rPr>
          <w:rFonts w:cs="Arial"/>
          <w:szCs w:val="24"/>
        </w:rPr>
        <w:t>53</w:t>
      </w:r>
      <w:r w:rsidR="00EA4BD9" w:rsidRPr="00963C14">
        <w:rPr>
          <w:rFonts w:cs="Arial"/>
          <w:szCs w:val="24"/>
        </w:rPr>
        <w:t>8.3</w:t>
      </w:r>
      <w:r w:rsidR="00EE1D3A" w:rsidRPr="00963C14">
        <w:rPr>
          <w:rFonts w:cs="Arial"/>
          <w:szCs w:val="24"/>
        </w:rPr>
        <w:t xml:space="preserve"> тэрбум төгрөг байхаар тооцоолов.</w:t>
      </w:r>
    </w:p>
    <w:p w14:paraId="191514AD" w14:textId="7BAA3306" w:rsidR="00EE1D3A" w:rsidRPr="00963C14" w:rsidRDefault="00EE1D3A" w:rsidP="00EE1D3A">
      <w:pPr>
        <w:pStyle w:val="Caption"/>
        <w:keepNext/>
        <w:rPr>
          <w:rFonts w:ascii="Arial" w:hAnsi="Arial" w:cs="Arial"/>
        </w:rPr>
      </w:pPr>
      <w:r w:rsidRPr="00963C14">
        <w:rPr>
          <w:rFonts w:ascii="Arial" w:hAnsi="Arial" w:cs="Arial"/>
        </w:rPr>
        <w:t>Хүснэгт 5.1. Нийт тэнцвэржүүлсэн орлогын дүн</w:t>
      </w:r>
      <w:r w:rsidR="00074CE4" w:rsidRPr="00963C14">
        <w:rPr>
          <w:rFonts w:ascii="Arial" w:hAnsi="Arial" w:cs="Arial"/>
        </w:rPr>
        <w:t xml:space="preserve"> (</w:t>
      </w:r>
      <w:r w:rsidRPr="00963C14">
        <w:rPr>
          <w:rFonts w:ascii="Arial" w:hAnsi="Arial" w:cs="Arial"/>
        </w:rPr>
        <w:t>тэрбум төгрөг</w:t>
      </w:r>
      <w:r w:rsidR="00074CE4" w:rsidRPr="00963C14">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1743"/>
        <w:gridCol w:w="1743"/>
        <w:gridCol w:w="1743"/>
        <w:gridCol w:w="227"/>
      </w:tblGrid>
      <w:tr w:rsidR="00EE1D3A" w:rsidRPr="00963C14" w14:paraId="5DFCE35D" w14:textId="77777777" w:rsidTr="0050130B">
        <w:trPr>
          <w:trHeight w:val="314"/>
        </w:trPr>
        <w:tc>
          <w:tcPr>
            <w:tcW w:w="4402" w:type="dxa"/>
            <w:shd w:val="clear" w:color="auto" w:fill="11A795"/>
          </w:tcPr>
          <w:p w14:paraId="58C6F388" w14:textId="77777777" w:rsidR="00EE1D3A" w:rsidRPr="00963C14" w:rsidRDefault="00EE1D3A" w:rsidP="00AD2B7B">
            <w:pPr>
              <w:snapToGrid w:val="0"/>
              <w:spacing w:afterLines="0" w:after="0"/>
              <w:jc w:val="left"/>
            </w:pPr>
            <w:r w:rsidRPr="00963C14">
              <w:rPr>
                <w:b/>
                <w:color w:val="FFFFFF" w:themeColor="background1"/>
              </w:rPr>
              <w:t>Үзүүлэлт</w:t>
            </w:r>
          </w:p>
        </w:tc>
        <w:tc>
          <w:tcPr>
            <w:tcW w:w="1807" w:type="dxa"/>
            <w:shd w:val="clear" w:color="auto" w:fill="11A795"/>
          </w:tcPr>
          <w:p w14:paraId="3D6D29A2" w14:textId="77777777" w:rsidR="009E4190" w:rsidRPr="00963C14" w:rsidRDefault="00EE1D3A" w:rsidP="009E4190">
            <w:pPr>
              <w:snapToGrid w:val="0"/>
              <w:spacing w:afterLines="0" w:after="0"/>
              <w:jc w:val="center"/>
              <w:rPr>
                <w:b/>
                <w:color w:val="FFFFFF" w:themeColor="background1"/>
              </w:rPr>
            </w:pPr>
            <w:r w:rsidRPr="00963C14">
              <w:rPr>
                <w:b/>
                <w:color w:val="FFFFFF" w:themeColor="background1"/>
              </w:rPr>
              <w:t>2025</w:t>
            </w:r>
          </w:p>
          <w:p w14:paraId="63799B92" w14:textId="1FE303E5" w:rsidR="00EE1D3A" w:rsidRPr="00963C14" w:rsidRDefault="009E4190" w:rsidP="009E4190">
            <w:pPr>
              <w:snapToGrid w:val="0"/>
              <w:spacing w:afterLines="0" w:after="0"/>
              <w:jc w:val="center"/>
            </w:pPr>
            <w:r w:rsidRPr="00963C14">
              <w:rPr>
                <w:i/>
                <w:color w:val="FFFFFF" w:themeColor="background1"/>
              </w:rPr>
              <w:t>төсөөлөл</w:t>
            </w:r>
          </w:p>
        </w:tc>
        <w:tc>
          <w:tcPr>
            <w:tcW w:w="1807" w:type="dxa"/>
            <w:shd w:val="clear" w:color="auto" w:fill="11A795"/>
          </w:tcPr>
          <w:p w14:paraId="57BCC478" w14:textId="77777777" w:rsidR="009E4190" w:rsidRPr="00963C14" w:rsidRDefault="00EE1D3A" w:rsidP="009E4190">
            <w:pPr>
              <w:snapToGrid w:val="0"/>
              <w:spacing w:afterLines="0" w:after="0"/>
              <w:jc w:val="center"/>
              <w:rPr>
                <w:b/>
                <w:color w:val="FFFFFF" w:themeColor="background1"/>
              </w:rPr>
            </w:pPr>
            <w:r w:rsidRPr="00963C14">
              <w:rPr>
                <w:b/>
                <w:color w:val="FFFFFF" w:themeColor="background1"/>
              </w:rPr>
              <w:t>2026</w:t>
            </w:r>
          </w:p>
          <w:p w14:paraId="4B5210D9" w14:textId="7FCA1B30" w:rsidR="00EE1D3A" w:rsidRPr="00963C14" w:rsidRDefault="009E4190" w:rsidP="009E4190">
            <w:pPr>
              <w:snapToGrid w:val="0"/>
              <w:spacing w:afterLines="0" w:after="0"/>
              <w:jc w:val="center"/>
            </w:pPr>
            <w:r w:rsidRPr="00963C14">
              <w:rPr>
                <w:i/>
                <w:color w:val="FFFFFF" w:themeColor="background1"/>
              </w:rPr>
              <w:t>төсөөлөл</w:t>
            </w:r>
          </w:p>
        </w:tc>
        <w:tc>
          <w:tcPr>
            <w:tcW w:w="1808" w:type="dxa"/>
            <w:gridSpan w:val="2"/>
            <w:shd w:val="clear" w:color="auto" w:fill="11A795"/>
          </w:tcPr>
          <w:p w14:paraId="206DF031" w14:textId="77777777" w:rsidR="009E4190" w:rsidRPr="00963C14" w:rsidRDefault="00EE1D3A" w:rsidP="009E4190">
            <w:pPr>
              <w:snapToGrid w:val="0"/>
              <w:spacing w:afterLines="0" w:after="0"/>
              <w:jc w:val="center"/>
              <w:rPr>
                <w:b/>
                <w:color w:val="FFFFFF" w:themeColor="background1"/>
              </w:rPr>
            </w:pPr>
            <w:r w:rsidRPr="00963C14">
              <w:rPr>
                <w:b/>
                <w:color w:val="FFFFFF" w:themeColor="background1"/>
              </w:rPr>
              <w:t>2027</w:t>
            </w:r>
          </w:p>
          <w:p w14:paraId="265D2262" w14:textId="34A442B2" w:rsidR="00EE1D3A" w:rsidRPr="00963C14" w:rsidRDefault="009E4190" w:rsidP="009E4190">
            <w:pPr>
              <w:snapToGrid w:val="0"/>
              <w:spacing w:afterLines="0" w:after="0"/>
              <w:jc w:val="center"/>
            </w:pPr>
            <w:r w:rsidRPr="00963C14">
              <w:rPr>
                <w:i/>
                <w:color w:val="FFFFFF" w:themeColor="background1"/>
              </w:rPr>
              <w:t>төсөөлөл</w:t>
            </w:r>
          </w:p>
        </w:tc>
      </w:tr>
      <w:tr w:rsidR="00EE1D3A" w:rsidRPr="00963C14" w14:paraId="16E93DDD" w14:textId="77777777" w:rsidTr="00A16B26">
        <w:trPr>
          <w:gridAfter w:val="1"/>
          <w:wAfter w:w="254" w:type="dxa"/>
          <w:trHeight w:val="407"/>
        </w:trPr>
        <w:tc>
          <w:tcPr>
            <w:tcW w:w="4402" w:type="dxa"/>
            <w:tcBorders>
              <w:bottom w:val="single" w:sz="4" w:space="0" w:color="auto"/>
            </w:tcBorders>
          </w:tcPr>
          <w:p w14:paraId="49AB57DA" w14:textId="77777777" w:rsidR="00EE1D3A" w:rsidRPr="00963C14" w:rsidRDefault="00EE1D3A">
            <w:pPr>
              <w:snapToGrid w:val="0"/>
              <w:spacing w:before="120" w:afterLines="0"/>
            </w:pPr>
            <w:r w:rsidRPr="00963C14">
              <w:rPr>
                <w:rFonts w:eastAsia="Times New Roman" w:cs="Arial"/>
                <w:lang w:eastAsia="zh-CN"/>
              </w:rPr>
              <w:t>Тэнцвэржүүлсэн орлого</w:t>
            </w:r>
          </w:p>
        </w:tc>
        <w:tc>
          <w:tcPr>
            <w:tcW w:w="1807" w:type="dxa"/>
            <w:tcBorders>
              <w:bottom w:val="single" w:sz="4" w:space="0" w:color="auto"/>
            </w:tcBorders>
            <w:vAlign w:val="center"/>
          </w:tcPr>
          <w:p w14:paraId="4D5623B5" w14:textId="628AB59B" w:rsidR="00EE1D3A" w:rsidRPr="00963C14" w:rsidRDefault="00EE1D3A">
            <w:pPr>
              <w:snapToGrid w:val="0"/>
              <w:spacing w:before="120" w:afterLines="0"/>
              <w:jc w:val="center"/>
            </w:pPr>
            <w:r w:rsidRPr="00963C14">
              <w:t>29,</w:t>
            </w:r>
            <w:r w:rsidR="00615C93" w:rsidRPr="00963C14">
              <w:t>400</w:t>
            </w:r>
            <w:r w:rsidRPr="00963C14">
              <w:t>.</w:t>
            </w:r>
            <w:r w:rsidR="00615C93" w:rsidRPr="00963C14">
              <w:t>1</w:t>
            </w:r>
          </w:p>
        </w:tc>
        <w:tc>
          <w:tcPr>
            <w:tcW w:w="1807" w:type="dxa"/>
            <w:tcBorders>
              <w:bottom w:val="single" w:sz="4" w:space="0" w:color="auto"/>
            </w:tcBorders>
            <w:vAlign w:val="center"/>
          </w:tcPr>
          <w:p w14:paraId="7CA4A49A" w14:textId="16758B23" w:rsidR="00EE1D3A" w:rsidRPr="00963C14" w:rsidRDefault="00EE1D3A">
            <w:pPr>
              <w:snapToGrid w:val="0"/>
              <w:spacing w:before="120" w:afterLines="0"/>
              <w:jc w:val="center"/>
            </w:pPr>
            <w:r w:rsidRPr="00963C14">
              <w:t>3</w:t>
            </w:r>
            <w:r w:rsidR="009A3380" w:rsidRPr="00963C14">
              <w:t>1</w:t>
            </w:r>
            <w:r w:rsidRPr="00963C14">
              <w:t>,</w:t>
            </w:r>
            <w:r w:rsidR="00615C93" w:rsidRPr="00963C14">
              <w:t>95</w:t>
            </w:r>
            <w:r w:rsidR="009A3380" w:rsidRPr="00963C14">
              <w:t>1</w:t>
            </w:r>
            <w:r w:rsidRPr="00963C14">
              <w:t>.</w:t>
            </w:r>
            <w:r w:rsidR="00615C93" w:rsidRPr="00963C14">
              <w:t>2</w:t>
            </w:r>
          </w:p>
        </w:tc>
        <w:tc>
          <w:tcPr>
            <w:tcW w:w="1808" w:type="dxa"/>
            <w:tcBorders>
              <w:bottom w:val="single" w:sz="4" w:space="0" w:color="auto"/>
            </w:tcBorders>
            <w:vAlign w:val="center"/>
          </w:tcPr>
          <w:p w14:paraId="534B9D95" w14:textId="258DE8F1" w:rsidR="00EE1D3A" w:rsidRPr="00963C14" w:rsidRDefault="00EE1D3A">
            <w:pPr>
              <w:snapToGrid w:val="0"/>
              <w:spacing w:before="120" w:afterLines="0"/>
              <w:jc w:val="center"/>
            </w:pPr>
            <w:r w:rsidRPr="00963C14">
              <w:t>34,</w:t>
            </w:r>
            <w:r w:rsidR="00615C93" w:rsidRPr="00963C14">
              <w:t>460</w:t>
            </w:r>
            <w:r w:rsidRPr="00963C14">
              <w:t>.</w:t>
            </w:r>
            <w:r w:rsidR="00C25692" w:rsidRPr="00963C14">
              <w:t>3</w:t>
            </w:r>
          </w:p>
        </w:tc>
      </w:tr>
    </w:tbl>
    <w:p w14:paraId="0CF70DDF" w14:textId="22698FD9" w:rsidR="00EE1D3A" w:rsidRPr="00963C14" w:rsidRDefault="00EE1D3A" w:rsidP="00E771AC">
      <w:pPr>
        <w:tabs>
          <w:tab w:val="right" w:leader="dot" w:pos="9354"/>
        </w:tabs>
        <w:spacing w:before="240" w:afterLines="0"/>
        <w:rPr>
          <w:rFonts w:cs="Arial"/>
          <w:szCs w:val="24"/>
        </w:rPr>
      </w:pPr>
      <w:r w:rsidRPr="00963C14">
        <w:rPr>
          <w:rFonts w:cs="Arial"/>
          <w:szCs w:val="24"/>
        </w:rPr>
        <w:t>Монгол Улсын нэгдсэн төсвийн нийт зарлага 2025 онд 31,</w:t>
      </w:r>
      <w:r w:rsidR="003B0D40" w:rsidRPr="00963C14">
        <w:rPr>
          <w:rFonts w:cs="Arial"/>
          <w:szCs w:val="24"/>
        </w:rPr>
        <w:t>300</w:t>
      </w:r>
      <w:r w:rsidRPr="00963C14">
        <w:rPr>
          <w:rFonts w:cs="Arial"/>
          <w:szCs w:val="24"/>
        </w:rPr>
        <w:t>.</w:t>
      </w:r>
      <w:r w:rsidR="003B0D40" w:rsidRPr="00963C14">
        <w:rPr>
          <w:rFonts w:cs="Arial"/>
          <w:szCs w:val="24"/>
        </w:rPr>
        <w:t>4</w:t>
      </w:r>
      <w:r w:rsidRPr="00963C14">
        <w:rPr>
          <w:rFonts w:cs="Arial"/>
          <w:szCs w:val="24"/>
        </w:rPr>
        <w:t xml:space="preserve"> тэрбум төгрөг болж, 2024 оны хүлээгдэж буй гүйцэтгэлээс 3,</w:t>
      </w:r>
      <w:r w:rsidR="003B0D40" w:rsidRPr="00963C14">
        <w:rPr>
          <w:rFonts w:cs="Arial"/>
          <w:szCs w:val="24"/>
        </w:rPr>
        <w:t>939</w:t>
      </w:r>
      <w:r w:rsidRPr="00963C14">
        <w:rPr>
          <w:rFonts w:cs="Arial"/>
          <w:szCs w:val="24"/>
        </w:rPr>
        <w:t>.</w:t>
      </w:r>
      <w:r w:rsidR="003B0D40" w:rsidRPr="00963C14">
        <w:rPr>
          <w:rFonts w:cs="Arial"/>
          <w:szCs w:val="24"/>
        </w:rPr>
        <w:t>9</w:t>
      </w:r>
      <w:r w:rsidRPr="00963C14">
        <w:rPr>
          <w:rFonts w:cs="Arial"/>
          <w:szCs w:val="24"/>
        </w:rPr>
        <w:t xml:space="preserve"> тэрбум төгрөгөөр нэмэгдэхээр тооцооллоо. </w:t>
      </w:r>
    </w:p>
    <w:p w14:paraId="7CDBDB88" w14:textId="2428800F" w:rsidR="00EE1D3A" w:rsidRPr="00963C14" w:rsidRDefault="00EE1D3A" w:rsidP="00EE1D3A">
      <w:pPr>
        <w:pStyle w:val="Caption"/>
        <w:tabs>
          <w:tab w:val="right" w:leader="dot" w:pos="9354"/>
        </w:tabs>
        <w:rPr>
          <w:rFonts w:ascii="Arial" w:hAnsi="Arial" w:cs="Arial"/>
        </w:rPr>
      </w:pPr>
      <w:r w:rsidRPr="00963C14">
        <w:rPr>
          <w:rFonts w:ascii="Arial" w:hAnsi="Arial" w:cs="Arial"/>
        </w:rPr>
        <w:t xml:space="preserve">Хүснэгт 5.2. Төсвийн нийт зарлагын дээд хэмжээ </w:t>
      </w:r>
      <w:r w:rsidR="00074CE4" w:rsidRPr="00963C14">
        <w:rPr>
          <w:rFonts w:ascii="Arial" w:hAnsi="Arial" w:cs="Arial"/>
        </w:rPr>
        <w:t>(</w:t>
      </w:r>
      <w:r w:rsidRPr="00963C14">
        <w:rPr>
          <w:rFonts w:ascii="Arial" w:hAnsi="Arial" w:cs="Arial"/>
        </w:rPr>
        <w:t>тэрбум төгрөг</w:t>
      </w:r>
      <w:r w:rsidR="00074CE4" w:rsidRPr="00963C14">
        <w:rPr>
          <w:rFonts w:ascii="Arial" w:hAnsi="Arial" w:cs="Arial"/>
        </w:rPr>
        <w:t>)</w:t>
      </w:r>
    </w:p>
    <w:tbl>
      <w:tblPr>
        <w:tblStyle w:val="TableGrid"/>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2022"/>
        <w:gridCol w:w="2022"/>
        <w:gridCol w:w="2022"/>
      </w:tblGrid>
      <w:tr w:rsidR="00EE1D3A" w:rsidRPr="00963C14" w14:paraId="232C3B20" w14:textId="77777777" w:rsidTr="00A16B26">
        <w:trPr>
          <w:trHeight w:val="76"/>
        </w:trPr>
        <w:tc>
          <w:tcPr>
            <w:tcW w:w="3632" w:type="dxa"/>
            <w:tcBorders>
              <w:bottom w:val="nil"/>
            </w:tcBorders>
            <w:shd w:val="clear" w:color="auto" w:fill="11A795"/>
          </w:tcPr>
          <w:p w14:paraId="1981E11A" w14:textId="77777777" w:rsidR="00EE1D3A" w:rsidRPr="00963C14" w:rsidRDefault="00EE1D3A" w:rsidP="009E4190">
            <w:pPr>
              <w:snapToGrid w:val="0"/>
              <w:spacing w:afterLines="0" w:after="0"/>
              <w:jc w:val="center"/>
              <w:rPr>
                <w:b/>
                <w:color w:val="FFFFFF" w:themeColor="background1"/>
              </w:rPr>
            </w:pPr>
            <w:r w:rsidRPr="00963C14">
              <w:rPr>
                <w:b/>
                <w:color w:val="FFFFFF" w:themeColor="background1"/>
              </w:rPr>
              <w:t>Үзүүлэлт</w:t>
            </w:r>
          </w:p>
        </w:tc>
        <w:tc>
          <w:tcPr>
            <w:tcW w:w="2063" w:type="dxa"/>
            <w:tcBorders>
              <w:bottom w:val="nil"/>
            </w:tcBorders>
            <w:shd w:val="clear" w:color="auto" w:fill="11A795"/>
          </w:tcPr>
          <w:p w14:paraId="26A55D1E" w14:textId="77777777" w:rsidR="00EE1D3A" w:rsidRPr="00963C14" w:rsidRDefault="00EE1D3A" w:rsidP="009E4190">
            <w:pPr>
              <w:snapToGrid w:val="0"/>
              <w:spacing w:afterLines="0" w:after="0"/>
              <w:jc w:val="center"/>
              <w:rPr>
                <w:b/>
                <w:color w:val="FFFFFF" w:themeColor="background1"/>
              </w:rPr>
            </w:pPr>
            <w:r w:rsidRPr="00963C14">
              <w:rPr>
                <w:b/>
                <w:color w:val="FFFFFF" w:themeColor="background1"/>
              </w:rPr>
              <w:t>2025</w:t>
            </w:r>
          </w:p>
          <w:p w14:paraId="30F203FE" w14:textId="77777777" w:rsidR="00EE1D3A" w:rsidRPr="00963C14" w:rsidRDefault="00EE1D3A" w:rsidP="009E4190">
            <w:pPr>
              <w:snapToGrid w:val="0"/>
              <w:spacing w:afterLines="0" w:after="0"/>
              <w:jc w:val="center"/>
              <w:rPr>
                <w:i/>
                <w:color w:val="FFFFFF" w:themeColor="background1"/>
              </w:rPr>
            </w:pPr>
            <w:r w:rsidRPr="00963C14">
              <w:rPr>
                <w:i/>
                <w:color w:val="FFFFFF" w:themeColor="background1"/>
              </w:rPr>
              <w:t>төсөөлөл</w:t>
            </w:r>
          </w:p>
        </w:tc>
        <w:tc>
          <w:tcPr>
            <w:tcW w:w="2063" w:type="dxa"/>
            <w:tcBorders>
              <w:bottom w:val="nil"/>
            </w:tcBorders>
            <w:shd w:val="clear" w:color="auto" w:fill="11A795"/>
          </w:tcPr>
          <w:p w14:paraId="4F8FF4AC" w14:textId="77777777" w:rsidR="00EE1D3A" w:rsidRPr="00963C14" w:rsidRDefault="00EE1D3A" w:rsidP="009E4190">
            <w:pPr>
              <w:snapToGrid w:val="0"/>
              <w:spacing w:afterLines="0" w:after="0"/>
              <w:jc w:val="center"/>
              <w:rPr>
                <w:b/>
                <w:color w:val="FFFFFF" w:themeColor="background1"/>
              </w:rPr>
            </w:pPr>
            <w:r w:rsidRPr="00963C14">
              <w:rPr>
                <w:b/>
                <w:color w:val="FFFFFF" w:themeColor="background1"/>
              </w:rPr>
              <w:t>2026</w:t>
            </w:r>
          </w:p>
          <w:p w14:paraId="60AA5CAC" w14:textId="77777777" w:rsidR="00EE1D3A" w:rsidRPr="00963C14" w:rsidRDefault="00EE1D3A" w:rsidP="009E4190">
            <w:pPr>
              <w:snapToGrid w:val="0"/>
              <w:spacing w:afterLines="0" w:after="0"/>
              <w:jc w:val="center"/>
              <w:rPr>
                <w:i/>
                <w:color w:val="FFFFFF" w:themeColor="background1"/>
              </w:rPr>
            </w:pPr>
            <w:r w:rsidRPr="00963C14">
              <w:rPr>
                <w:i/>
                <w:color w:val="FFFFFF" w:themeColor="background1"/>
              </w:rPr>
              <w:t>төсөөлөл</w:t>
            </w:r>
          </w:p>
        </w:tc>
        <w:tc>
          <w:tcPr>
            <w:tcW w:w="2063" w:type="dxa"/>
            <w:tcBorders>
              <w:bottom w:val="nil"/>
            </w:tcBorders>
            <w:shd w:val="clear" w:color="auto" w:fill="11A795"/>
          </w:tcPr>
          <w:p w14:paraId="02B22BCC" w14:textId="77777777" w:rsidR="00EE1D3A" w:rsidRPr="00963C14" w:rsidRDefault="00EE1D3A" w:rsidP="009E4190">
            <w:pPr>
              <w:snapToGrid w:val="0"/>
              <w:spacing w:afterLines="0" w:after="0"/>
              <w:jc w:val="center"/>
              <w:rPr>
                <w:b/>
                <w:color w:val="FFFFFF" w:themeColor="background1"/>
              </w:rPr>
            </w:pPr>
            <w:r w:rsidRPr="00963C14">
              <w:rPr>
                <w:b/>
                <w:color w:val="FFFFFF" w:themeColor="background1"/>
              </w:rPr>
              <w:t>2027</w:t>
            </w:r>
          </w:p>
          <w:p w14:paraId="0846E783" w14:textId="77777777" w:rsidR="00EE1D3A" w:rsidRPr="00963C14" w:rsidRDefault="00EE1D3A" w:rsidP="009E4190">
            <w:pPr>
              <w:snapToGrid w:val="0"/>
              <w:spacing w:afterLines="0" w:after="0"/>
              <w:jc w:val="center"/>
              <w:rPr>
                <w:i/>
                <w:color w:val="FFFFFF" w:themeColor="background1"/>
              </w:rPr>
            </w:pPr>
            <w:r w:rsidRPr="00963C14">
              <w:rPr>
                <w:i/>
                <w:color w:val="FFFFFF" w:themeColor="background1"/>
              </w:rPr>
              <w:t>төсөөлөл</w:t>
            </w:r>
          </w:p>
        </w:tc>
      </w:tr>
      <w:tr w:rsidR="00EE1D3A" w:rsidRPr="00963C14" w14:paraId="2671D524" w14:textId="77777777" w:rsidTr="00A16B26">
        <w:trPr>
          <w:trHeight w:val="413"/>
        </w:trPr>
        <w:tc>
          <w:tcPr>
            <w:tcW w:w="3632" w:type="dxa"/>
            <w:tcBorders>
              <w:bottom w:val="single" w:sz="4" w:space="0" w:color="auto"/>
            </w:tcBorders>
            <w:vAlign w:val="center"/>
          </w:tcPr>
          <w:p w14:paraId="72E4FD60" w14:textId="77777777" w:rsidR="00EE1D3A" w:rsidRPr="00963C14" w:rsidRDefault="00EE1D3A">
            <w:pPr>
              <w:spacing w:afterLines="0"/>
              <w:jc w:val="center"/>
            </w:pPr>
            <w:r w:rsidRPr="00963C14">
              <w:t>Нийт зарлагын дээд хэмжээ</w:t>
            </w:r>
          </w:p>
        </w:tc>
        <w:tc>
          <w:tcPr>
            <w:tcW w:w="2063" w:type="dxa"/>
            <w:tcBorders>
              <w:bottom w:val="single" w:sz="4" w:space="0" w:color="auto"/>
            </w:tcBorders>
            <w:shd w:val="clear" w:color="auto" w:fill="auto"/>
            <w:vAlign w:val="center"/>
          </w:tcPr>
          <w:p w14:paraId="55D936C2" w14:textId="03A0C9A0" w:rsidR="00EE1D3A" w:rsidRPr="00963C14" w:rsidRDefault="00EE1D3A">
            <w:pPr>
              <w:spacing w:afterLines="0"/>
              <w:jc w:val="center"/>
            </w:pPr>
            <w:r w:rsidRPr="00963C14">
              <w:t>31,</w:t>
            </w:r>
            <w:r w:rsidR="005A433C" w:rsidRPr="00963C14">
              <w:t>300</w:t>
            </w:r>
            <w:r w:rsidRPr="00963C14">
              <w:t>.</w:t>
            </w:r>
            <w:r w:rsidR="005A433C" w:rsidRPr="00963C14">
              <w:t>4</w:t>
            </w:r>
          </w:p>
        </w:tc>
        <w:tc>
          <w:tcPr>
            <w:tcW w:w="2063" w:type="dxa"/>
            <w:tcBorders>
              <w:bottom w:val="single" w:sz="4" w:space="0" w:color="auto"/>
            </w:tcBorders>
            <w:shd w:val="clear" w:color="auto" w:fill="auto"/>
            <w:vAlign w:val="center"/>
          </w:tcPr>
          <w:p w14:paraId="0916A1D9" w14:textId="5A1B4A2D" w:rsidR="00EE1D3A" w:rsidRPr="00963C14" w:rsidRDefault="00EE1D3A">
            <w:pPr>
              <w:spacing w:afterLines="0"/>
              <w:jc w:val="center"/>
            </w:pPr>
            <w:r w:rsidRPr="00963C14">
              <w:t>33,</w:t>
            </w:r>
            <w:r w:rsidR="005A433C" w:rsidRPr="00963C14">
              <w:t>521</w:t>
            </w:r>
            <w:r w:rsidRPr="00963C14">
              <w:t>.</w:t>
            </w:r>
            <w:r w:rsidR="005A433C" w:rsidRPr="00963C14">
              <w:t>8</w:t>
            </w:r>
          </w:p>
        </w:tc>
        <w:tc>
          <w:tcPr>
            <w:tcW w:w="2063" w:type="dxa"/>
            <w:tcBorders>
              <w:bottom w:val="single" w:sz="4" w:space="0" w:color="auto"/>
            </w:tcBorders>
            <w:shd w:val="clear" w:color="auto" w:fill="auto"/>
            <w:vAlign w:val="center"/>
          </w:tcPr>
          <w:p w14:paraId="444BAE7D" w14:textId="0227166F" w:rsidR="00EE1D3A" w:rsidRPr="00963C14" w:rsidRDefault="00EE1D3A">
            <w:pPr>
              <w:spacing w:afterLines="0"/>
              <w:jc w:val="center"/>
            </w:pPr>
            <w:r w:rsidRPr="00963C14">
              <w:t>35,</w:t>
            </w:r>
            <w:r w:rsidR="005A433C" w:rsidRPr="00963C14">
              <w:t>628</w:t>
            </w:r>
            <w:r w:rsidRPr="00963C14">
              <w:t>.0</w:t>
            </w:r>
          </w:p>
        </w:tc>
      </w:tr>
    </w:tbl>
    <w:p w14:paraId="780A96D9" w14:textId="77777777" w:rsidR="00EE1D3A" w:rsidRPr="00963C14" w:rsidRDefault="00EE1D3A" w:rsidP="00EE1D3A">
      <w:pPr>
        <w:spacing w:after="288"/>
      </w:pPr>
    </w:p>
    <w:p w14:paraId="4949FBB1" w14:textId="77777777" w:rsidR="00EE1D3A" w:rsidRPr="00963C14" w:rsidRDefault="00EE1D3A" w:rsidP="00EE1D3A">
      <w:pPr>
        <w:spacing w:after="288"/>
        <w:jc w:val="left"/>
      </w:pPr>
      <w:r w:rsidRPr="00963C14">
        <w:br w:type="page"/>
      </w:r>
    </w:p>
    <w:p w14:paraId="36498EB1" w14:textId="77777777" w:rsidR="00EE1D3A" w:rsidRPr="00963C14" w:rsidRDefault="00EE1D3A" w:rsidP="00EE1D3A">
      <w:pPr>
        <w:pStyle w:val="Heading2"/>
        <w:tabs>
          <w:tab w:val="right" w:leader="dot" w:pos="9354"/>
        </w:tabs>
        <w:spacing w:after="288"/>
        <w:rPr>
          <w:rFonts w:ascii="Arial" w:hAnsi="Arial" w:cs="Arial"/>
          <w:b/>
          <w:color w:val="055957"/>
          <w:sz w:val="20"/>
          <w:szCs w:val="20"/>
        </w:rPr>
      </w:pPr>
      <w:bookmarkStart w:id="79" w:name="_Toc163484931"/>
      <w:r w:rsidRPr="00963C14">
        <w:rPr>
          <w:rFonts w:ascii="Arial" w:hAnsi="Arial" w:cs="Arial"/>
          <w:b/>
          <w:color w:val="auto"/>
          <w:sz w:val="24"/>
          <w:szCs w:val="24"/>
        </w:rPr>
        <w:t xml:space="preserve">   </w:t>
      </w:r>
      <w:r w:rsidRPr="00963C14">
        <w:rPr>
          <w:rFonts w:ascii="Arial" w:hAnsi="Arial" w:cs="Arial"/>
          <w:b/>
          <w:color w:val="055957"/>
          <w:sz w:val="24"/>
          <w:szCs w:val="24"/>
        </w:rPr>
        <w:t xml:space="preserve"> </w:t>
      </w:r>
      <w:bookmarkStart w:id="80" w:name="_Toc163736666"/>
      <w:bookmarkStart w:id="81" w:name="_Toc163811096"/>
      <w:bookmarkStart w:id="82" w:name="_Toc165299393"/>
      <w:r w:rsidRPr="00963C14">
        <w:rPr>
          <w:rFonts w:ascii="Arial" w:hAnsi="Arial" w:cs="Arial"/>
          <w:b/>
          <w:color w:val="055957"/>
          <w:sz w:val="24"/>
          <w:szCs w:val="24"/>
        </w:rPr>
        <w:t>5.3.Төсвийн хөрөнгө оруулалт, бодлого зарчим, хүрэх үр дүн</w:t>
      </w:r>
      <w:bookmarkEnd w:id="79"/>
      <w:bookmarkEnd w:id="80"/>
      <w:bookmarkEnd w:id="81"/>
      <w:bookmarkEnd w:id="82"/>
    </w:p>
    <w:p w14:paraId="3EF3EA87" w14:textId="77777777" w:rsidR="00EE1D3A" w:rsidRPr="00963C14" w:rsidRDefault="00EE1D3A" w:rsidP="00EE1D3A">
      <w:pPr>
        <w:pStyle w:val="Heading3"/>
        <w:tabs>
          <w:tab w:val="right" w:leader="dot" w:pos="9354"/>
        </w:tabs>
        <w:spacing w:after="288"/>
        <w:rPr>
          <w:rFonts w:ascii="Arial" w:hAnsi="Arial" w:cs="Arial"/>
          <w:color w:val="auto"/>
        </w:rPr>
      </w:pPr>
      <w:bookmarkStart w:id="83" w:name="_Toc163484932"/>
      <w:bookmarkStart w:id="84" w:name="_Toc163736667"/>
      <w:bookmarkStart w:id="85" w:name="_Toc163811097"/>
      <w:bookmarkStart w:id="86" w:name="_Toc165299394"/>
      <w:r w:rsidRPr="00963C14">
        <w:rPr>
          <w:rFonts w:ascii="Arial" w:hAnsi="Arial" w:cs="Arial"/>
          <w:color w:val="auto"/>
        </w:rPr>
        <w:t>5.3.1. Төсвийн хөрөнгө оруулалт 2019-2024 он</w:t>
      </w:r>
      <w:bookmarkEnd w:id="83"/>
      <w:bookmarkEnd w:id="84"/>
      <w:bookmarkEnd w:id="85"/>
      <w:bookmarkEnd w:id="86"/>
      <w:r w:rsidRPr="00963C14">
        <w:rPr>
          <w:rFonts w:ascii="Arial" w:hAnsi="Arial" w:cs="Arial"/>
          <w:color w:val="auto"/>
        </w:rPr>
        <w:t xml:space="preserve"> </w:t>
      </w:r>
    </w:p>
    <w:p w14:paraId="2E7908CC" w14:textId="77777777" w:rsidR="00EE1D3A" w:rsidRPr="00963C14" w:rsidRDefault="00EE1D3A" w:rsidP="00754A9A">
      <w:pPr>
        <w:pStyle w:val="paragraph"/>
        <w:spacing w:before="0" w:beforeAutospacing="0" w:after="288" w:afterAutospacing="0"/>
        <w:jc w:val="both"/>
        <w:textAlignment w:val="baseline"/>
        <w:rPr>
          <w:rStyle w:val="eop"/>
          <w:rFonts w:ascii="Arial" w:eastAsiaTheme="majorEastAsia" w:hAnsi="Arial" w:cs="Arial"/>
        </w:rPr>
      </w:pPr>
      <w:r w:rsidRPr="00963C14">
        <w:rPr>
          <w:rStyle w:val="eop"/>
          <w:rFonts w:ascii="Arial" w:eastAsiaTheme="majorEastAsia" w:hAnsi="Arial" w:cs="Arial"/>
        </w:rPr>
        <w:t xml:space="preserve">Улсын төсвийн хөрөнгө </w:t>
      </w:r>
      <w:r w:rsidRPr="00963C14">
        <w:rPr>
          <w:rStyle w:val="eop"/>
          <w:rFonts w:ascii="Arial" w:eastAsiaTheme="majorEastAsia" w:hAnsi="Arial" w:cs="Arial"/>
          <w:color w:val="000000" w:themeColor="text1"/>
        </w:rPr>
        <w:t>оруулалтаар 2019-2023 онд 9.7 их</w:t>
      </w:r>
      <w:r w:rsidRPr="00963C14">
        <w:rPr>
          <w:rStyle w:val="eop"/>
          <w:rFonts w:ascii="Arial" w:eastAsiaTheme="majorEastAsia" w:hAnsi="Arial" w:cs="Arial"/>
        </w:rPr>
        <w:t xml:space="preserve"> наяд төгрөгийн санхүүжилт батлагдаж, 2019-2023 онд 9.0 их наяд төгрөгийн санхүүжилт хийгдсэн бол 2024 онд хамгийн өндөр төсвийн хөрөнгө оруулалт буюу 3.4 их наяд төгрөгийн санхүүжилт бүхий 1,300 төсөл, арга хэмжээ батлагдсан байна.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tblGrid>
      <w:tr w:rsidR="00A16B26" w:rsidRPr="00963C14" w14:paraId="11B00A0C" w14:textId="77777777" w:rsidTr="005E410A">
        <w:tc>
          <w:tcPr>
            <w:tcW w:w="6228" w:type="dxa"/>
            <w:tcBorders>
              <w:bottom w:val="single" w:sz="4" w:space="0" w:color="auto"/>
            </w:tcBorders>
          </w:tcPr>
          <w:p w14:paraId="4322309F" w14:textId="6B51D30B" w:rsidR="00A16B26" w:rsidRPr="00963C14" w:rsidRDefault="00A16B26" w:rsidP="005E410A">
            <w:pPr>
              <w:pStyle w:val="paragraph"/>
              <w:spacing w:before="0" w:beforeAutospacing="0" w:after="120" w:afterAutospacing="0"/>
              <w:jc w:val="both"/>
              <w:textAlignment w:val="baseline"/>
              <w:rPr>
                <w:rStyle w:val="eop"/>
                <w:rFonts w:ascii="Arial" w:eastAsiaTheme="majorEastAsia" w:hAnsi="Arial" w:cs="Arial"/>
                <w:i/>
                <w:color w:val="055957"/>
                <w:sz w:val="20"/>
                <w:szCs w:val="20"/>
              </w:rPr>
            </w:pPr>
            <w:r w:rsidRPr="00963C14">
              <w:rPr>
                <w:rStyle w:val="eop"/>
                <w:rFonts w:ascii="Arial" w:eastAsiaTheme="majorEastAsia" w:hAnsi="Arial" w:cs="Arial"/>
                <w:i/>
                <w:color w:val="055957"/>
                <w:sz w:val="20"/>
                <w:szCs w:val="20"/>
              </w:rPr>
              <w:t>Зураг 5.1. УТХО-ын төлөвлөгөө, гүйцэтгэл (их наяд төгрөг)</w:t>
            </w:r>
          </w:p>
        </w:tc>
      </w:tr>
      <w:tr w:rsidR="00A16B26" w:rsidRPr="00963C14" w14:paraId="69128753" w14:textId="77777777" w:rsidTr="005E410A">
        <w:tc>
          <w:tcPr>
            <w:tcW w:w="6228" w:type="dxa"/>
            <w:tcBorders>
              <w:top w:val="single" w:sz="4" w:space="0" w:color="auto"/>
            </w:tcBorders>
          </w:tcPr>
          <w:p w14:paraId="297E305F" w14:textId="70338189" w:rsidR="00A16B26" w:rsidRPr="00963C14" w:rsidRDefault="00A16B26" w:rsidP="00A16B26">
            <w:pPr>
              <w:pStyle w:val="paragraph"/>
              <w:spacing w:before="0" w:beforeAutospacing="0" w:after="288" w:afterAutospacing="0"/>
              <w:jc w:val="both"/>
              <w:textAlignment w:val="baseline"/>
              <w:rPr>
                <w:rStyle w:val="eop"/>
                <w:rFonts w:ascii="Arial" w:eastAsiaTheme="majorEastAsia" w:hAnsi="Arial" w:cs="Arial"/>
              </w:rPr>
            </w:pPr>
            <w:r w:rsidRPr="00963C14">
              <w:rPr>
                <w:rFonts w:ascii="Segoe UI" w:hAnsi="Segoe UI" w:cs="Segoe UI"/>
                <w:noProof/>
                <w:color w:val="1F3763"/>
                <w:sz w:val="18"/>
                <w:szCs w:val="18"/>
              </w:rPr>
              <w:drawing>
                <wp:inline distT="0" distB="0" distL="0" distR="0" wp14:anchorId="02FD5491" wp14:editId="0A32969A">
                  <wp:extent cx="3778370" cy="2242868"/>
                  <wp:effectExtent l="0" t="0" r="0" b="0"/>
                  <wp:docPr id="156702157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A16B26" w:rsidRPr="00963C14" w14:paraId="1B49DC1E" w14:textId="77777777" w:rsidTr="005E410A">
        <w:tc>
          <w:tcPr>
            <w:tcW w:w="6228" w:type="dxa"/>
            <w:tcBorders>
              <w:bottom w:val="single" w:sz="4" w:space="0" w:color="auto"/>
            </w:tcBorders>
          </w:tcPr>
          <w:p w14:paraId="06DE5AB1" w14:textId="6BFFC2F7" w:rsidR="00A16B26" w:rsidRPr="00963C14" w:rsidRDefault="005E410A" w:rsidP="005E410A">
            <w:pPr>
              <w:pStyle w:val="paragraph"/>
              <w:spacing w:before="0" w:beforeAutospacing="0" w:after="120" w:afterAutospacing="0"/>
              <w:jc w:val="right"/>
              <w:textAlignment w:val="baseline"/>
              <w:rPr>
                <w:rStyle w:val="eop"/>
                <w:rFonts w:ascii="Arial" w:eastAsiaTheme="majorEastAsia" w:hAnsi="Arial" w:cs="Arial"/>
                <w:i/>
                <w:iCs/>
                <w:sz w:val="18"/>
                <w:szCs w:val="20"/>
              </w:rPr>
            </w:pPr>
            <w:r w:rsidRPr="00963C14">
              <w:rPr>
                <w:rStyle w:val="eop"/>
                <w:rFonts w:ascii="Arial" w:eastAsiaTheme="majorEastAsia" w:hAnsi="Arial" w:cs="Arial"/>
                <w:i/>
                <w:iCs/>
                <w:sz w:val="18"/>
                <w:szCs w:val="20"/>
              </w:rPr>
              <w:t>Эх сурвалж:</w:t>
            </w:r>
            <w:r w:rsidR="00B65255" w:rsidRPr="00963C14">
              <w:rPr>
                <w:rStyle w:val="eop"/>
                <w:rFonts w:ascii="Arial" w:eastAsiaTheme="majorEastAsia" w:hAnsi="Arial" w:cs="Arial"/>
                <w:i/>
                <w:iCs/>
                <w:sz w:val="18"/>
                <w:szCs w:val="20"/>
              </w:rPr>
              <w:t xml:space="preserve"> </w:t>
            </w:r>
            <w:r w:rsidR="00E179D5" w:rsidRPr="00963C14">
              <w:rPr>
                <w:rStyle w:val="eop"/>
                <w:rFonts w:ascii="Arial" w:eastAsiaTheme="majorEastAsia" w:hAnsi="Arial" w:cs="Arial"/>
                <w:i/>
                <w:iCs/>
                <w:sz w:val="18"/>
                <w:szCs w:val="20"/>
              </w:rPr>
              <w:t>Сангийн яам</w:t>
            </w:r>
            <w:r w:rsidRPr="00963C14">
              <w:rPr>
                <w:rStyle w:val="eop"/>
                <w:rFonts w:ascii="Arial" w:eastAsiaTheme="majorEastAsia" w:hAnsi="Arial" w:cs="Arial"/>
                <w:i/>
                <w:iCs/>
                <w:sz w:val="18"/>
                <w:szCs w:val="20"/>
              </w:rPr>
              <w:t xml:space="preserve"> </w:t>
            </w:r>
          </w:p>
        </w:tc>
      </w:tr>
    </w:tbl>
    <w:p w14:paraId="1C63F02F" w14:textId="40C12FE1" w:rsidR="00EE1D3A" w:rsidRPr="00963C14" w:rsidRDefault="00EE1D3A" w:rsidP="00A16B26">
      <w:pPr>
        <w:pStyle w:val="paragraph"/>
        <w:spacing w:before="0" w:beforeAutospacing="0" w:after="288" w:afterAutospacing="0"/>
        <w:jc w:val="both"/>
        <w:textAlignment w:val="baseline"/>
        <w:rPr>
          <w:rStyle w:val="eop"/>
          <w:rFonts w:ascii="Arial" w:eastAsiaTheme="majorEastAsia" w:hAnsi="Arial" w:cs="Arial"/>
        </w:rPr>
      </w:pPr>
    </w:p>
    <w:p w14:paraId="60A657F8" w14:textId="77777777" w:rsidR="00EE1D3A" w:rsidRPr="00963C14" w:rsidRDefault="00EE1D3A" w:rsidP="00EE1D3A">
      <w:pPr>
        <w:spacing w:afterLines="0" w:after="0"/>
        <w:rPr>
          <w:i/>
          <w:strike/>
          <w:color w:val="055957"/>
          <w:sz w:val="20"/>
          <w:szCs w:val="18"/>
        </w:rPr>
      </w:pPr>
      <w:r w:rsidRPr="00963C14">
        <w:rPr>
          <w:i/>
          <w:color w:val="055957"/>
          <w:sz w:val="20"/>
          <w:szCs w:val="18"/>
        </w:rPr>
        <w:t>Хүснэгт 5.1. Улсын төсвийн хөрөнгө оруулалтын 2024 оны төлөвлөгөө</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1170"/>
        <w:gridCol w:w="1949"/>
        <w:gridCol w:w="1831"/>
        <w:gridCol w:w="2250"/>
      </w:tblGrid>
      <w:tr w:rsidR="00EE1D3A" w:rsidRPr="00963C14" w14:paraId="7517DD88" w14:textId="77777777" w:rsidTr="0050130B">
        <w:tc>
          <w:tcPr>
            <w:tcW w:w="2538" w:type="dxa"/>
            <w:shd w:val="clear" w:color="auto" w:fill="11A795"/>
            <w:vAlign w:val="center"/>
          </w:tcPr>
          <w:p w14:paraId="6889A1B4" w14:textId="77777777" w:rsidR="00EE1D3A" w:rsidRPr="00963C14" w:rsidRDefault="00EE1D3A">
            <w:pPr>
              <w:snapToGrid w:val="0"/>
              <w:spacing w:afterLines="0"/>
              <w:jc w:val="center"/>
              <w:rPr>
                <w:b/>
                <w:color w:val="FFFFFF" w:themeColor="background1"/>
                <w:sz w:val="20"/>
                <w:szCs w:val="20"/>
              </w:rPr>
            </w:pPr>
            <w:r w:rsidRPr="00963C14">
              <w:rPr>
                <w:b/>
                <w:color w:val="FFFFFF" w:themeColor="background1"/>
                <w:sz w:val="20"/>
                <w:szCs w:val="20"/>
              </w:rPr>
              <w:t>АНГИЛАЛ</w:t>
            </w:r>
          </w:p>
        </w:tc>
        <w:tc>
          <w:tcPr>
            <w:tcW w:w="1170" w:type="dxa"/>
            <w:shd w:val="clear" w:color="auto" w:fill="11A795"/>
            <w:vAlign w:val="center"/>
          </w:tcPr>
          <w:p w14:paraId="030D63B7" w14:textId="77777777" w:rsidR="00EE1D3A" w:rsidRPr="00963C14" w:rsidRDefault="00EE1D3A">
            <w:pPr>
              <w:snapToGrid w:val="0"/>
              <w:spacing w:afterLines="0"/>
              <w:jc w:val="center"/>
              <w:rPr>
                <w:b/>
                <w:color w:val="FFFFFF" w:themeColor="background1"/>
                <w:sz w:val="20"/>
                <w:szCs w:val="20"/>
              </w:rPr>
            </w:pPr>
            <w:r w:rsidRPr="00963C14">
              <w:rPr>
                <w:b/>
                <w:color w:val="FFFFFF" w:themeColor="background1"/>
                <w:sz w:val="20"/>
                <w:szCs w:val="20"/>
              </w:rPr>
              <w:t>Төслийн тоо</w:t>
            </w:r>
          </w:p>
        </w:tc>
        <w:tc>
          <w:tcPr>
            <w:tcW w:w="1949" w:type="dxa"/>
            <w:shd w:val="clear" w:color="auto" w:fill="11A795"/>
            <w:vAlign w:val="center"/>
          </w:tcPr>
          <w:p w14:paraId="33B7177B" w14:textId="77777777" w:rsidR="00EE1D3A" w:rsidRPr="00963C14" w:rsidRDefault="00EE1D3A">
            <w:pPr>
              <w:snapToGrid w:val="0"/>
              <w:spacing w:afterLines="0"/>
              <w:jc w:val="center"/>
              <w:rPr>
                <w:b/>
                <w:color w:val="FFFFFF" w:themeColor="background1"/>
                <w:sz w:val="20"/>
                <w:szCs w:val="20"/>
              </w:rPr>
            </w:pPr>
            <w:r w:rsidRPr="00963C14">
              <w:rPr>
                <w:b/>
                <w:color w:val="FFFFFF" w:themeColor="background1"/>
                <w:sz w:val="20"/>
                <w:szCs w:val="20"/>
              </w:rPr>
              <w:t xml:space="preserve">Үүнээс: </w:t>
            </w:r>
          </w:p>
          <w:p w14:paraId="120CA5C7" w14:textId="77777777" w:rsidR="00EE1D3A" w:rsidRPr="00963C14" w:rsidRDefault="00EE1D3A">
            <w:pPr>
              <w:snapToGrid w:val="0"/>
              <w:spacing w:afterLines="0"/>
              <w:jc w:val="center"/>
              <w:rPr>
                <w:b/>
                <w:color w:val="FFFFFF" w:themeColor="background1"/>
                <w:sz w:val="20"/>
                <w:szCs w:val="20"/>
              </w:rPr>
            </w:pPr>
            <w:r w:rsidRPr="00963C14">
              <w:rPr>
                <w:b/>
                <w:color w:val="FFFFFF" w:themeColor="background1"/>
                <w:sz w:val="20"/>
                <w:szCs w:val="20"/>
              </w:rPr>
              <w:t>2024 онд дуусах</w:t>
            </w:r>
          </w:p>
        </w:tc>
        <w:tc>
          <w:tcPr>
            <w:tcW w:w="1831" w:type="dxa"/>
            <w:shd w:val="clear" w:color="auto" w:fill="11A795"/>
            <w:vAlign w:val="center"/>
          </w:tcPr>
          <w:p w14:paraId="0A40707A" w14:textId="77777777" w:rsidR="00EE1D3A" w:rsidRPr="00963C14" w:rsidRDefault="00EE1D3A">
            <w:pPr>
              <w:snapToGrid w:val="0"/>
              <w:spacing w:afterLines="0"/>
              <w:jc w:val="center"/>
              <w:rPr>
                <w:b/>
                <w:color w:val="FFFFFF" w:themeColor="background1"/>
                <w:sz w:val="20"/>
                <w:szCs w:val="20"/>
              </w:rPr>
            </w:pPr>
            <w:r w:rsidRPr="00963C14">
              <w:rPr>
                <w:b/>
                <w:color w:val="FFFFFF" w:themeColor="background1"/>
                <w:sz w:val="20"/>
                <w:szCs w:val="20"/>
              </w:rPr>
              <w:t>Төсөвт өртөг</w:t>
            </w:r>
          </w:p>
          <w:p w14:paraId="6527C01A" w14:textId="77777777" w:rsidR="00EE1D3A" w:rsidRPr="00963C14" w:rsidRDefault="00EE1D3A">
            <w:pPr>
              <w:snapToGrid w:val="0"/>
              <w:spacing w:afterLines="0"/>
              <w:jc w:val="center"/>
              <w:rPr>
                <w:i/>
                <w:color w:val="FFFFFF" w:themeColor="background1"/>
                <w:sz w:val="20"/>
                <w:szCs w:val="20"/>
              </w:rPr>
            </w:pPr>
            <w:r w:rsidRPr="00963C14">
              <w:rPr>
                <w:i/>
                <w:color w:val="FFFFFF" w:themeColor="background1"/>
                <w:sz w:val="20"/>
                <w:szCs w:val="20"/>
              </w:rPr>
              <w:t>(тэрбум төг)</w:t>
            </w:r>
          </w:p>
        </w:tc>
        <w:tc>
          <w:tcPr>
            <w:tcW w:w="2250" w:type="dxa"/>
            <w:shd w:val="clear" w:color="auto" w:fill="11A795"/>
            <w:vAlign w:val="center"/>
          </w:tcPr>
          <w:p w14:paraId="41017FBC" w14:textId="77777777" w:rsidR="00EE1D3A" w:rsidRPr="00963C14" w:rsidRDefault="00EE1D3A">
            <w:pPr>
              <w:snapToGrid w:val="0"/>
              <w:spacing w:afterLines="0"/>
              <w:jc w:val="center"/>
              <w:rPr>
                <w:b/>
                <w:color w:val="FFFFFF" w:themeColor="background1"/>
                <w:sz w:val="20"/>
                <w:szCs w:val="20"/>
              </w:rPr>
            </w:pPr>
            <w:r w:rsidRPr="00963C14">
              <w:rPr>
                <w:b/>
                <w:color w:val="FFFFFF" w:themeColor="background1"/>
                <w:sz w:val="20"/>
                <w:szCs w:val="20"/>
              </w:rPr>
              <w:t>Санхүүжих дүн</w:t>
            </w:r>
          </w:p>
          <w:p w14:paraId="718E246A" w14:textId="77777777" w:rsidR="00EE1D3A" w:rsidRPr="00963C14" w:rsidRDefault="00EE1D3A">
            <w:pPr>
              <w:snapToGrid w:val="0"/>
              <w:spacing w:afterLines="0"/>
              <w:jc w:val="center"/>
              <w:rPr>
                <w:i/>
                <w:color w:val="FFFFFF" w:themeColor="background1"/>
                <w:sz w:val="20"/>
                <w:szCs w:val="20"/>
              </w:rPr>
            </w:pPr>
            <w:r w:rsidRPr="00963C14">
              <w:rPr>
                <w:i/>
                <w:color w:val="FFFFFF" w:themeColor="background1"/>
                <w:sz w:val="20"/>
                <w:szCs w:val="20"/>
              </w:rPr>
              <w:t>(тэрбум төг)</w:t>
            </w:r>
          </w:p>
        </w:tc>
      </w:tr>
      <w:tr w:rsidR="00EE1D3A" w:rsidRPr="00963C14" w14:paraId="0BF6E666" w14:textId="77777777" w:rsidTr="0050130B">
        <w:trPr>
          <w:trHeight w:val="242"/>
        </w:trPr>
        <w:tc>
          <w:tcPr>
            <w:tcW w:w="2538" w:type="dxa"/>
            <w:tcBorders>
              <w:bottom w:val="single" w:sz="4" w:space="0" w:color="auto"/>
            </w:tcBorders>
            <w:vAlign w:val="center"/>
          </w:tcPr>
          <w:p w14:paraId="2F9AA152" w14:textId="77777777" w:rsidR="00EE1D3A" w:rsidRPr="00963C14" w:rsidRDefault="00EE1D3A">
            <w:pPr>
              <w:spacing w:afterLines="0"/>
              <w:jc w:val="left"/>
            </w:pPr>
            <w:r w:rsidRPr="00963C14">
              <w:t>Улсын төсөв</w:t>
            </w:r>
          </w:p>
        </w:tc>
        <w:tc>
          <w:tcPr>
            <w:tcW w:w="1170" w:type="dxa"/>
            <w:tcBorders>
              <w:bottom w:val="single" w:sz="4" w:space="0" w:color="auto"/>
            </w:tcBorders>
            <w:vAlign w:val="center"/>
          </w:tcPr>
          <w:p w14:paraId="5A2B8474" w14:textId="77777777" w:rsidR="00EE1D3A" w:rsidRPr="00963C14" w:rsidRDefault="00EE1D3A">
            <w:pPr>
              <w:spacing w:afterLines="0"/>
              <w:jc w:val="center"/>
            </w:pPr>
            <w:r w:rsidRPr="00963C14">
              <w:t>1,299</w:t>
            </w:r>
          </w:p>
        </w:tc>
        <w:tc>
          <w:tcPr>
            <w:tcW w:w="1949" w:type="dxa"/>
            <w:tcBorders>
              <w:bottom w:val="single" w:sz="4" w:space="0" w:color="auto"/>
            </w:tcBorders>
            <w:vAlign w:val="center"/>
          </w:tcPr>
          <w:p w14:paraId="528542C9" w14:textId="77777777" w:rsidR="00EE1D3A" w:rsidRPr="00963C14" w:rsidRDefault="00EE1D3A">
            <w:pPr>
              <w:spacing w:afterLines="0"/>
              <w:jc w:val="center"/>
            </w:pPr>
            <w:r w:rsidRPr="00963C14">
              <w:t>719</w:t>
            </w:r>
          </w:p>
        </w:tc>
        <w:tc>
          <w:tcPr>
            <w:tcW w:w="1831" w:type="dxa"/>
            <w:tcBorders>
              <w:bottom w:val="single" w:sz="4" w:space="0" w:color="auto"/>
            </w:tcBorders>
            <w:vAlign w:val="center"/>
          </w:tcPr>
          <w:p w14:paraId="5D600165" w14:textId="77777777" w:rsidR="00EE1D3A" w:rsidRPr="00963C14" w:rsidRDefault="00EE1D3A">
            <w:pPr>
              <w:spacing w:afterLines="0"/>
              <w:jc w:val="right"/>
            </w:pPr>
            <w:r w:rsidRPr="00963C14">
              <w:t>10,552.12</w:t>
            </w:r>
          </w:p>
        </w:tc>
        <w:tc>
          <w:tcPr>
            <w:tcW w:w="2250" w:type="dxa"/>
            <w:tcBorders>
              <w:bottom w:val="single" w:sz="4" w:space="0" w:color="auto"/>
            </w:tcBorders>
            <w:vAlign w:val="center"/>
          </w:tcPr>
          <w:p w14:paraId="47225A81" w14:textId="77777777" w:rsidR="00EE1D3A" w:rsidRPr="00963C14" w:rsidRDefault="00EE1D3A">
            <w:pPr>
              <w:spacing w:afterLines="0"/>
              <w:jc w:val="right"/>
            </w:pPr>
            <w:r w:rsidRPr="00963C14">
              <w:t>3,359.35</w:t>
            </w:r>
          </w:p>
        </w:tc>
      </w:tr>
      <w:tr w:rsidR="00EE1D3A" w:rsidRPr="00963C14" w14:paraId="252E4591" w14:textId="77777777" w:rsidTr="0050130B">
        <w:tc>
          <w:tcPr>
            <w:tcW w:w="2538" w:type="dxa"/>
            <w:tcBorders>
              <w:top w:val="single" w:sz="4" w:space="0" w:color="auto"/>
              <w:bottom w:val="single" w:sz="4" w:space="0" w:color="auto"/>
            </w:tcBorders>
            <w:vAlign w:val="center"/>
          </w:tcPr>
          <w:p w14:paraId="19F1A13D" w14:textId="77777777" w:rsidR="00EE1D3A" w:rsidRPr="00963C14" w:rsidRDefault="00EE1D3A">
            <w:pPr>
              <w:spacing w:afterLines="0"/>
              <w:jc w:val="left"/>
            </w:pPr>
            <w:r w:rsidRPr="00963C14">
              <w:t>Концесс эргэн төлөлт</w:t>
            </w:r>
          </w:p>
        </w:tc>
        <w:tc>
          <w:tcPr>
            <w:tcW w:w="1170" w:type="dxa"/>
            <w:tcBorders>
              <w:top w:val="single" w:sz="4" w:space="0" w:color="auto"/>
              <w:bottom w:val="single" w:sz="4" w:space="0" w:color="auto"/>
            </w:tcBorders>
            <w:vAlign w:val="center"/>
          </w:tcPr>
          <w:p w14:paraId="65C34DE4" w14:textId="77777777" w:rsidR="00EE1D3A" w:rsidRPr="00963C14" w:rsidRDefault="00EE1D3A">
            <w:pPr>
              <w:spacing w:afterLines="0"/>
              <w:jc w:val="center"/>
            </w:pPr>
            <w:r w:rsidRPr="00963C14">
              <w:t>1</w:t>
            </w:r>
          </w:p>
        </w:tc>
        <w:tc>
          <w:tcPr>
            <w:tcW w:w="1949" w:type="dxa"/>
            <w:tcBorders>
              <w:top w:val="single" w:sz="4" w:space="0" w:color="auto"/>
              <w:bottom w:val="single" w:sz="4" w:space="0" w:color="auto"/>
            </w:tcBorders>
            <w:vAlign w:val="center"/>
          </w:tcPr>
          <w:p w14:paraId="10900E87" w14:textId="77777777" w:rsidR="00EE1D3A" w:rsidRPr="00963C14" w:rsidRDefault="00EE1D3A">
            <w:pPr>
              <w:spacing w:afterLines="0"/>
              <w:jc w:val="center"/>
            </w:pPr>
            <w:r w:rsidRPr="00963C14">
              <w:t>-</w:t>
            </w:r>
          </w:p>
        </w:tc>
        <w:tc>
          <w:tcPr>
            <w:tcW w:w="1831" w:type="dxa"/>
            <w:tcBorders>
              <w:top w:val="single" w:sz="4" w:space="0" w:color="auto"/>
              <w:bottom w:val="single" w:sz="4" w:space="0" w:color="auto"/>
            </w:tcBorders>
            <w:vAlign w:val="center"/>
          </w:tcPr>
          <w:p w14:paraId="018A1DB3" w14:textId="77777777" w:rsidR="00EE1D3A" w:rsidRPr="00963C14" w:rsidRDefault="00EE1D3A">
            <w:pPr>
              <w:spacing w:afterLines="0"/>
              <w:jc w:val="right"/>
            </w:pPr>
            <w:r w:rsidRPr="00963C14">
              <w:t>287.40</w:t>
            </w:r>
          </w:p>
        </w:tc>
        <w:tc>
          <w:tcPr>
            <w:tcW w:w="2250" w:type="dxa"/>
            <w:tcBorders>
              <w:top w:val="single" w:sz="4" w:space="0" w:color="auto"/>
              <w:bottom w:val="single" w:sz="4" w:space="0" w:color="auto"/>
            </w:tcBorders>
            <w:vAlign w:val="center"/>
          </w:tcPr>
          <w:p w14:paraId="2AA20889" w14:textId="77777777" w:rsidR="00EE1D3A" w:rsidRPr="00963C14" w:rsidRDefault="00EE1D3A">
            <w:pPr>
              <w:spacing w:afterLines="0"/>
              <w:jc w:val="right"/>
            </w:pPr>
            <w:r w:rsidRPr="00963C14">
              <w:t>25.00</w:t>
            </w:r>
          </w:p>
        </w:tc>
      </w:tr>
      <w:tr w:rsidR="00EE1D3A" w:rsidRPr="00963C14" w14:paraId="2F160695" w14:textId="77777777" w:rsidTr="00992412">
        <w:tc>
          <w:tcPr>
            <w:tcW w:w="2538" w:type="dxa"/>
            <w:tcBorders>
              <w:top w:val="single" w:sz="4" w:space="0" w:color="auto"/>
              <w:bottom w:val="single" w:sz="4" w:space="0" w:color="auto"/>
            </w:tcBorders>
            <w:vAlign w:val="center"/>
          </w:tcPr>
          <w:p w14:paraId="7B2F89D3" w14:textId="77777777" w:rsidR="00EE1D3A" w:rsidRPr="00963C14" w:rsidRDefault="00EE1D3A">
            <w:pPr>
              <w:spacing w:afterLines="0"/>
              <w:jc w:val="left"/>
            </w:pPr>
            <w:r w:rsidRPr="00963C14">
              <w:t>Нийт</w:t>
            </w:r>
          </w:p>
        </w:tc>
        <w:tc>
          <w:tcPr>
            <w:tcW w:w="1170" w:type="dxa"/>
            <w:tcBorders>
              <w:top w:val="single" w:sz="4" w:space="0" w:color="auto"/>
              <w:bottom w:val="single" w:sz="4" w:space="0" w:color="auto"/>
            </w:tcBorders>
            <w:vAlign w:val="center"/>
          </w:tcPr>
          <w:p w14:paraId="69C76A69" w14:textId="77777777" w:rsidR="00EE1D3A" w:rsidRPr="00963C14" w:rsidRDefault="00EE1D3A">
            <w:pPr>
              <w:spacing w:afterLines="0"/>
              <w:jc w:val="center"/>
            </w:pPr>
            <w:r w:rsidRPr="00963C14">
              <w:t>1,300</w:t>
            </w:r>
          </w:p>
        </w:tc>
        <w:tc>
          <w:tcPr>
            <w:tcW w:w="1949" w:type="dxa"/>
            <w:tcBorders>
              <w:top w:val="single" w:sz="4" w:space="0" w:color="auto"/>
              <w:bottom w:val="single" w:sz="4" w:space="0" w:color="auto"/>
            </w:tcBorders>
            <w:vAlign w:val="center"/>
          </w:tcPr>
          <w:p w14:paraId="224A1F07" w14:textId="77777777" w:rsidR="00EE1D3A" w:rsidRPr="00963C14" w:rsidRDefault="00EE1D3A">
            <w:pPr>
              <w:spacing w:afterLines="0"/>
              <w:jc w:val="center"/>
            </w:pPr>
            <w:r w:rsidRPr="00963C14">
              <w:t>719</w:t>
            </w:r>
          </w:p>
        </w:tc>
        <w:tc>
          <w:tcPr>
            <w:tcW w:w="1831" w:type="dxa"/>
            <w:tcBorders>
              <w:top w:val="single" w:sz="4" w:space="0" w:color="auto"/>
              <w:bottom w:val="single" w:sz="4" w:space="0" w:color="auto"/>
            </w:tcBorders>
            <w:vAlign w:val="center"/>
          </w:tcPr>
          <w:p w14:paraId="10952411" w14:textId="77777777" w:rsidR="00EE1D3A" w:rsidRPr="00963C14" w:rsidRDefault="00EE1D3A">
            <w:pPr>
              <w:spacing w:afterLines="0"/>
              <w:jc w:val="right"/>
            </w:pPr>
            <w:r w:rsidRPr="00963C14">
              <w:t>10,839.52</w:t>
            </w:r>
          </w:p>
        </w:tc>
        <w:tc>
          <w:tcPr>
            <w:tcW w:w="2250" w:type="dxa"/>
            <w:tcBorders>
              <w:top w:val="single" w:sz="4" w:space="0" w:color="auto"/>
              <w:bottom w:val="single" w:sz="4" w:space="0" w:color="auto"/>
            </w:tcBorders>
            <w:vAlign w:val="center"/>
          </w:tcPr>
          <w:p w14:paraId="44954F75" w14:textId="77777777" w:rsidR="00EE1D3A" w:rsidRPr="00963C14" w:rsidRDefault="00EE1D3A">
            <w:pPr>
              <w:spacing w:afterLines="0"/>
              <w:jc w:val="right"/>
            </w:pPr>
            <w:r w:rsidRPr="00963C14">
              <w:t>3,384.35</w:t>
            </w:r>
          </w:p>
        </w:tc>
      </w:tr>
    </w:tbl>
    <w:p w14:paraId="7B075C1D" w14:textId="77777777" w:rsidR="00EE1D3A" w:rsidRPr="00963C14" w:rsidRDefault="00EE1D3A" w:rsidP="00EE1D3A">
      <w:pPr>
        <w:spacing w:after="288"/>
      </w:pPr>
    </w:p>
    <w:p w14:paraId="4F98DAE7" w14:textId="0A0DDE11" w:rsidR="00EE1D3A" w:rsidRPr="00963C14" w:rsidRDefault="00EE1D3A" w:rsidP="00EE1D3A">
      <w:pPr>
        <w:pStyle w:val="Heading3"/>
        <w:tabs>
          <w:tab w:val="right" w:leader="dot" w:pos="9354"/>
        </w:tabs>
        <w:spacing w:after="288"/>
        <w:rPr>
          <w:rFonts w:ascii="Arial" w:hAnsi="Arial" w:cs="Arial"/>
          <w:color w:val="auto"/>
        </w:rPr>
      </w:pPr>
      <w:bookmarkStart w:id="87" w:name="_Toc163484934"/>
      <w:bookmarkStart w:id="88" w:name="_Toc163736669"/>
      <w:bookmarkStart w:id="89" w:name="_Toc163811099"/>
      <w:bookmarkStart w:id="90" w:name="_Toc165299395"/>
      <w:r w:rsidRPr="00963C14">
        <w:rPr>
          <w:rFonts w:ascii="Arial" w:hAnsi="Arial" w:cs="Arial"/>
          <w:color w:val="auto"/>
        </w:rPr>
        <w:t>5.3.</w:t>
      </w:r>
      <w:r w:rsidR="00EB4F07" w:rsidRPr="00963C14">
        <w:rPr>
          <w:rFonts w:ascii="Arial" w:hAnsi="Arial" w:cs="Arial"/>
          <w:color w:val="auto"/>
        </w:rPr>
        <w:t>2</w:t>
      </w:r>
      <w:r w:rsidRPr="00963C14">
        <w:rPr>
          <w:rFonts w:ascii="Arial" w:hAnsi="Arial" w:cs="Arial"/>
          <w:color w:val="auto"/>
        </w:rPr>
        <w:t>. 2025 онд баримтлах бодлого, шалгуур үзүүлэлт</w:t>
      </w:r>
      <w:bookmarkEnd w:id="87"/>
      <w:bookmarkEnd w:id="88"/>
      <w:bookmarkEnd w:id="89"/>
      <w:bookmarkEnd w:id="90"/>
      <w:r w:rsidRPr="00963C14">
        <w:rPr>
          <w:rFonts w:ascii="Arial" w:hAnsi="Arial" w:cs="Arial"/>
          <w:color w:val="auto"/>
        </w:rPr>
        <w:t xml:space="preserve"> </w:t>
      </w:r>
    </w:p>
    <w:p w14:paraId="3612BF7D" w14:textId="607EFD6B" w:rsidR="00EE1D3A" w:rsidRPr="00963C14" w:rsidRDefault="00EE1D3A" w:rsidP="00EE1D3A">
      <w:pPr>
        <w:spacing w:after="288"/>
      </w:pPr>
      <w:r w:rsidRPr="00963C14">
        <w:t>Улсын төсвийн хөрөнгө оруулалтыг оновчтой төлөвлөх нь эдийн засаг, нийгмийн урт хугацааны хөгжил, өсөлтийг дэмжихэд болон ард иргэдийн амьдралын чанарыг сайжруулж, амьдрах таатай орчныг бүрдүүлэхэд чухал үүрэгтэй</w:t>
      </w:r>
      <w:r w:rsidR="0016751F" w:rsidRPr="00963C14">
        <w:t xml:space="preserve"> байдаг тул урт, дунд, богино хугацааны хөгжлийн бодлог</w:t>
      </w:r>
      <w:r w:rsidR="00A8094C" w:rsidRPr="00963C14">
        <w:t>уудын</w:t>
      </w:r>
      <w:r w:rsidR="0016751F" w:rsidRPr="00963C14">
        <w:t xml:space="preserve"> хүрээнд</w:t>
      </w:r>
      <w:r w:rsidRPr="00963C14">
        <w:t xml:space="preserve"> нийгмийн ач холбогдолтой, эдийн засгийн үр ашигтай төсөл, арга хэмжээнүүдийг төсвийн хөрөнгө оруулалтад тусгахаар төлөвлөж, үр дүнтэй хэрэгжүүлэх </w:t>
      </w:r>
      <w:r w:rsidR="00CB6E63" w:rsidRPr="00963C14">
        <w:t>нь чухал юм</w:t>
      </w:r>
      <w:r w:rsidRPr="00963C14">
        <w:t xml:space="preserve">. </w:t>
      </w:r>
    </w:p>
    <w:p w14:paraId="0848E3A6" w14:textId="39EC81F9" w:rsidR="00EE1D3A" w:rsidRPr="00963C14" w:rsidRDefault="00EE1D3A" w:rsidP="00754A9A">
      <w:pPr>
        <w:spacing w:after="288"/>
        <w:rPr>
          <w:color w:val="000000" w:themeColor="text1"/>
        </w:rPr>
      </w:pPr>
      <w:r w:rsidRPr="00963C14">
        <w:rPr>
          <w:color w:val="000000" w:themeColor="text1"/>
        </w:rPr>
        <w:t>Улсын төсвийн хөрөнгө оруулалтын 2024 оны бодлог</w:t>
      </w:r>
      <w:r w:rsidR="536C3B66" w:rsidRPr="00963C14">
        <w:rPr>
          <w:color w:val="000000" w:themeColor="text1"/>
        </w:rPr>
        <w:t>од</w:t>
      </w:r>
      <w:r w:rsidRPr="00963C14">
        <w:rPr>
          <w:color w:val="000000" w:themeColor="text1"/>
        </w:rPr>
        <w:t xml:space="preserve"> хот, хөдөөгийн сэргэлтийг дэмжих, дэд бүтцийн салбарын хөрөнгө оруулалтыг нэмэгдүүлж эдийн засгийн өсөлтийг эрчимжүүлэх, дунд болон урт хугацааны бодлогын баримт бичигт тусгагдсан төсөл, арга хэмжээг хэрэгжүүлэх, он дамнасан дуусаагүй барилга байгууламжийг ашиглалтад оруулах зарчмыг баримтлан</w:t>
      </w:r>
      <w:r w:rsidR="4C26C002" w:rsidRPr="00963C14">
        <w:rPr>
          <w:color w:val="000000" w:themeColor="text1"/>
        </w:rPr>
        <w:t>,</w:t>
      </w:r>
      <w:r w:rsidRPr="00963C14">
        <w:rPr>
          <w:color w:val="000000" w:themeColor="text1"/>
        </w:rPr>
        <w:t xml:space="preserve"> иргэдийн оролцоонд суурилсан ил тод, хэмнэлттэй үр дүнтэй байх</w:t>
      </w:r>
      <w:r w:rsidR="78142EC0" w:rsidRPr="00963C14">
        <w:rPr>
          <w:color w:val="000000" w:themeColor="text1"/>
        </w:rPr>
        <w:t xml:space="preserve"> зарчмы</w:t>
      </w:r>
      <w:r w:rsidR="6E76FF6D" w:rsidRPr="00963C14">
        <w:rPr>
          <w:color w:val="000000" w:themeColor="text1"/>
        </w:rPr>
        <w:t>г</w:t>
      </w:r>
      <w:r w:rsidRPr="00963C14">
        <w:rPr>
          <w:color w:val="000000" w:themeColor="text1"/>
        </w:rPr>
        <w:t xml:space="preserve"> </w:t>
      </w:r>
      <w:r w:rsidR="78142EC0" w:rsidRPr="00963C14">
        <w:rPr>
          <w:color w:val="000000" w:themeColor="text1"/>
        </w:rPr>
        <w:t>бар</w:t>
      </w:r>
      <w:r w:rsidR="5CEC1477" w:rsidRPr="00963C14">
        <w:rPr>
          <w:color w:val="000000" w:themeColor="text1"/>
        </w:rPr>
        <w:t>имталсан</w:t>
      </w:r>
      <w:r w:rsidRPr="00963C14">
        <w:rPr>
          <w:color w:val="000000" w:themeColor="text1"/>
        </w:rPr>
        <w:t>.</w:t>
      </w:r>
    </w:p>
    <w:p w14:paraId="6F52047C" w14:textId="02CCD4EE" w:rsidR="00EE1D3A" w:rsidRPr="00963C14" w:rsidRDefault="00EE1D3A" w:rsidP="00EE1D3A">
      <w:pPr>
        <w:spacing w:after="288"/>
        <w:rPr>
          <w:color w:val="000000" w:themeColor="text1"/>
        </w:rPr>
      </w:pPr>
      <w:r w:rsidRPr="00963C14">
        <w:rPr>
          <w:color w:val="000000" w:themeColor="text1"/>
        </w:rPr>
        <w:t>Улсын төсвийн 2025 оны хөрөнгө оруулалтын хувьд дараах бодлого, шалгуур үзүүлэлтийг баримтална. Үүнд:</w:t>
      </w:r>
    </w:p>
    <w:p w14:paraId="49D246F3" w14:textId="578403AC" w:rsidR="00EE1D3A" w:rsidRPr="00963C14" w:rsidRDefault="25CA06BB" w:rsidP="00EE1D3A">
      <w:pPr>
        <w:pStyle w:val="ListParagraph"/>
        <w:numPr>
          <w:ilvl w:val="0"/>
          <w:numId w:val="19"/>
        </w:numPr>
        <w:spacing w:after="288"/>
        <w:rPr>
          <w:color w:val="000000" w:themeColor="text1"/>
        </w:rPr>
      </w:pPr>
      <w:r w:rsidRPr="00963C14">
        <w:rPr>
          <w:color w:val="000000" w:themeColor="text1"/>
        </w:rPr>
        <w:t>2025 онд</w:t>
      </w:r>
      <w:r w:rsidR="315E468E" w:rsidRPr="00963C14">
        <w:rPr>
          <w:color w:val="000000" w:themeColor="text1"/>
        </w:rPr>
        <w:t xml:space="preserve"> шилжих төслүүдийн </w:t>
      </w:r>
      <w:r w:rsidR="2CF6D58F" w:rsidRPr="00963C14">
        <w:rPr>
          <w:color w:val="000000" w:themeColor="text1"/>
        </w:rPr>
        <w:t xml:space="preserve">үлдэгдэл </w:t>
      </w:r>
      <w:r w:rsidR="315E468E" w:rsidRPr="00963C14">
        <w:rPr>
          <w:color w:val="000000" w:themeColor="text1"/>
        </w:rPr>
        <w:t xml:space="preserve">санхүүжилтийг бүрэн тусгана. </w:t>
      </w:r>
    </w:p>
    <w:p w14:paraId="3882F731" w14:textId="3F0C694A" w:rsidR="00EE1D3A" w:rsidRPr="00963C14" w:rsidRDefault="00EE1D3A" w:rsidP="00EE1D3A">
      <w:pPr>
        <w:pStyle w:val="ListParagraph"/>
        <w:numPr>
          <w:ilvl w:val="0"/>
          <w:numId w:val="19"/>
        </w:numPr>
        <w:spacing w:after="288"/>
        <w:rPr>
          <w:color w:val="000000" w:themeColor="text1"/>
        </w:rPr>
      </w:pPr>
      <w:r w:rsidRPr="00963C14">
        <w:rPr>
          <w:color w:val="000000" w:themeColor="text1"/>
        </w:rPr>
        <w:t xml:space="preserve">Монгол Улсын </w:t>
      </w:r>
      <w:r w:rsidR="315E468E" w:rsidRPr="00963C14">
        <w:rPr>
          <w:color w:val="000000" w:themeColor="text1"/>
        </w:rPr>
        <w:t>урт, дунд, богино хугацааны хөгжлийн бодлого төлөвлөлтийн баримт бичгүүд болон Б</w:t>
      </w:r>
      <w:r w:rsidRPr="00963C14">
        <w:rPr>
          <w:color w:val="000000" w:themeColor="text1"/>
        </w:rPr>
        <w:t>үсчилсэн хөгжлийн үзэл баримтлалд тулгуурлан нийгэм, эдийн засгийг хөгжүүлэх хөрөнгө оруулалтыг төлөвлөнө.</w:t>
      </w:r>
    </w:p>
    <w:p w14:paraId="0D357C6E" w14:textId="77777777" w:rsidR="00EE1D3A" w:rsidRPr="00963C14" w:rsidRDefault="00EE1D3A" w:rsidP="00EE1D3A">
      <w:pPr>
        <w:pStyle w:val="ListParagraph"/>
        <w:numPr>
          <w:ilvl w:val="0"/>
          <w:numId w:val="19"/>
        </w:numPr>
        <w:spacing w:after="288"/>
        <w:rPr>
          <w:color w:val="000000" w:themeColor="text1"/>
        </w:rPr>
      </w:pPr>
      <w:r w:rsidRPr="00963C14">
        <w:rPr>
          <w:color w:val="000000" w:themeColor="text1"/>
        </w:rPr>
        <w:t xml:space="preserve">Иргэдийн оролцоонд суурилсан ил тод, цахим, хэмнэлттэй бөгөөд үр дүнтэй төсвийн хөрөнгө оруулалтыг хэрэгжүүлнэ. </w:t>
      </w:r>
    </w:p>
    <w:p w14:paraId="15AD02DD" w14:textId="52868A18" w:rsidR="00EE1D3A" w:rsidRPr="00963C14" w:rsidRDefault="00EE1D3A" w:rsidP="00EE1D3A">
      <w:pPr>
        <w:pStyle w:val="Heading2"/>
        <w:tabs>
          <w:tab w:val="right" w:leader="dot" w:pos="9354"/>
        </w:tabs>
        <w:spacing w:after="288"/>
        <w:rPr>
          <w:rFonts w:ascii="Arial" w:hAnsi="Arial" w:cs="Arial"/>
          <w:b/>
          <w:color w:val="055957"/>
          <w:sz w:val="24"/>
          <w:szCs w:val="24"/>
        </w:rPr>
      </w:pPr>
      <w:bookmarkStart w:id="91" w:name="_Toc163484935"/>
      <w:r w:rsidRPr="00963C14">
        <w:rPr>
          <w:rFonts w:ascii="Arial" w:hAnsi="Arial" w:cs="Arial"/>
          <w:b/>
          <w:color w:val="055957"/>
          <w:sz w:val="24"/>
          <w:szCs w:val="24"/>
        </w:rPr>
        <w:t xml:space="preserve">    </w:t>
      </w:r>
      <w:bookmarkStart w:id="92" w:name="_Toc163736670"/>
      <w:bookmarkStart w:id="93" w:name="_Toc163811100"/>
      <w:bookmarkStart w:id="94" w:name="_Toc165299396"/>
      <w:r w:rsidRPr="00963C14">
        <w:rPr>
          <w:rFonts w:ascii="Arial" w:hAnsi="Arial" w:cs="Arial"/>
          <w:b/>
          <w:color w:val="055957"/>
          <w:sz w:val="24"/>
          <w:szCs w:val="24"/>
        </w:rPr>
        <w:t>5.4.Гадаад зээл, тусламжийн ашиглалт, баримтлах зарчмууд</w:t>
      </w:r>
      <w:bookmarkEnd w:id="91"/>
      <w:bookmarkEnd w:id="94"/>
      <w:r w:rsidRPr="00963C14">
        <w:rPr>
          <w:rFonts w:ascii="Arial" w:hAnsi="Arial" w:cs="Arial"/>
          <w:b/>
          <w:color w:val="055957"/>
          <w:sz w:val="24"/>
          <w:szCs w:val="24"/>
        </w:rPr>
        <w:t xml:space="preserve"> </w:t>
      </w:r>
      <w:bookmarkEnd w:id="92"/>
      <w:bookmarkEnd w:id="93"/>
    </w:p>
    <w:p w14:paraId="29539AF9" w14:textId="77777777" w:rsidR="00EE1D3A" w:rsidRPr="00963C14" w:rsidRDefault="00EE1D3A" w:rsidP="00EE1D3A">
      <w:pPr>
        <w:spacing w:after="288"/>
      </w:pPr>
      <w:r w:rsidRPr="00963C14">
        <w:t xml:space="preserve">Монгол Улсын дунд хугацааны гадаад зээл, тусламжийн ашиглалтын төсөөллийг Монгол Улсын хөгжлийн урт, дунд, богино хугацааны бодлого чиглэлтэй уялдуулан дараах зарчмыг үндэслэн төлөвлөлөө. Үүнд: </w:t>
      </w:r>
    </w:p>
    <w:p w14:paraId="076D0F43" w14:textId="77777777" w:rsidR="00EE1D3A" w:rsidRPr="00963C14" w:rsidRDefault="00EE1D3A" w:rsidP="00EE1D3A">
      <w:pPr>
        <w:spacing w:after="288"/>
      </w:pPr>
      <w:r w:rsidRPr="00963C14">
        <w:rPr>
          <w:b/>
        </w:rPr>
        <w:t>Нэг.</w:t>
      </w:r>
      <w:r w:rsidRPr="00963C14">
        <w:t xml:space="preserve"> Гадаад зээл, тусламжийн санхүүжилтээр шинээр эхлэх төсөл, арга хэмжээг Монгол Улсын хөгжлийн 2025 оны төлөвлөгөө, Шинэ сэргэлтийн бодлого, Бүсчилсэн хөгжлийн үзэл баримтлал, Хүнсний хангамж, аюулгүй байдлыг хангах талаар авах зарим арга хэмжээний төлөвлөгөө зэрэг бодлогын баримт бичгүүдтэй уялдуулна. Энэ хүрээнд арилжааны нөхцөлтэй гадаад зээллэгийн эх үүсвэрээр эргэн төлөгдөх чадвартай төсөл арга хэмжээг санхүүжүүлэх, гадаад, дотоодын хөрөнгө оруулалтаар санхүүжүүлэх боломжтой төсөл арга хэмжээг гадаад зээлийн эх үүсвэрээр санхүүжүүлэхгүй байх зэрэг Өрийн удирдлагын тухай хуульд заасан зарчмуудыг чанд баримтлан ажиллана. </w:t>
      </w:r>
    </w:p>
    <w:p w14:paraId="7DEF37C8" w14:textId="77777777" w:rsidR="00EE1D3A" w:rsidRPr="00963C14" w:rsidRDefault="00EE1D3A" w:rsidP="00EE1D3A">
      <w:pPr>
        <w:spacing w:after="288"/>
      </w:pPr>
      <w:r w:rsidRPr="00963C14">
        <w:t xml:space="preserve">Түүнчлэн төслүүдийг нэн тэргүүний ач холбогдол, бэлэн байдлаар нь эрэмбэлж, зайлшгүй шаардлагатай, бодит үр дүн гарах, нийгэм, эдийн засгийн ач холбогдол өндөртэй цөөн тооны томоохон төслүүдийг гадаад зээл, томоохон тусламжаар санхүүжүүлнэ. Тухайлбал нийслэл Улаанбаатар хотод дагуул хот хөгжүүлэх, Эмээлт аж үйлдвэрийн паркийн дэд бүтэц, хотын зам, гарц, нийтийн тээвэр, үер ус, далан сувгийн өргөтгөл, шугам сүлжээний шинэчлэлийн төслүүд, хөдөө орон нутагт бүс орон нутгийн авто зам барих зэрэг дэд бүтэц, хөрөнгө оруулалтын томоохон төслүүдийг хэрэгжүүлнэ. </w:t>
      </w:r>
    </w:p>
    <w:p w14:paraId="5D3BE792" w14:textId="54B50530" w:rsidR="00EE1D3A" w:rsidRPr="00963C14" w:rsidRDefault="00EE1D3A" w:rsidP="00EE1D3A">
      <w:pPr>
        <w:spacing w:after="288"/>
      </w:pPr>
      <w:r w:rsidRPr="00963C14">
        <w:t xml:space="preserve">Эрчим хүчний салбарын үнэ тарифыг либералчлах, эдийн засгийн бие даасан тогтолцоонд үе шаттайгаар шилжүүлж, салбарын төсөл, арга хэмжээг гадаадын зээлээр биш бие даан санхүүжүүлэх хэмжээнд хүргэх бодлого баримталж байна. Мөн хөдөө аж ахуйн салбарт төрийн оролцоог хязгаарлаж, татаасыг оновчтой болгох, гадаад зээл, тусламжийн хөрөнгийг хувийн хэвшилд дамжуулан зээлэх, Засгийн газрын татаас хэлбэрээр олгох зэрэг үйл ажиллагааг дэмжихгүй. </w:t>
      </w:r>
    </w:p>
    <w:p w14:paraId="5E2FA5E0" w14:textId="77777777" w:rsidR="00EE1D3A" w:rsidRPr="00963C14" w:rsidRDefault="00EE1D3A" w:rsidP="00EE1D3A">
      <w:pPr>
        <w:spacing w:after="288" w:line="257" w:lineRule="auto"/>
        <w:rPr>
          <w:rFonts w:eastAsia="Arial" w:cs="Arial"/>
          <w:color w:val="000000" w:themeColor="text1"/>
        </w:rPr>
      </w:pPr>
      <w:r w:rsidRPr="00963C14">
        <w:rPr>
          <w:rFonts w:eastAsia="Arial" w:cs="Arial"/>
          <w:b/>
          <w:color w:val="000000" w:themeColor="text1"/>
        </w:rPr>
        <w:t>Хоёр.</w:t>
      </w:r>
      <w:r w:rsidRPr="00963C14">
        <w:rPr>
          <w:rFonts w:eastAsia="Arial" w:cs="Arial"/>
          <w:color w:val="000000" w:themeColor="text1"/>
        </w:rPr>
        <w:t xml:space="preserve"> Зээл, тусламжийн хөрөнгөөр 2025 онд хэрэгжиж дуусах төслүүдийн хувьд санхүүжилтийг бүрэн олгож, төслийн хугацааг сунгахгүй байх, төслийн бүрэлдэхүүнд өөрчлөлт оруулахгүй байх замаар хугацаанд нь үр дүнтэй хэрэгжүүлж, дуусгах чиглэлийг баримтална.</w:t>
      </w:r>
    </w:p>
    <w:p w14:paraId="64FB7A68" w14:textId="77777777" w:rsidR="00EE1D3A" w:rsidRPr="00963C14" w:rsidRDefault="00EE1D3A" w:rsidP="00EE1D3A">
      <w:pPr>
        <w:spacing w:after="288" w:line="257" w:lineRule="auto"/>
        <w:rPr>
          <w:rFonts w:eastAsia="Arial" w:cs="Arial"/>
          <w:color w:val="000000" w:themeColor="text1"/>
          <w:szCs w:val="24"/>
        </w:rPr>
      </w:pPr>
      <w:r w:rsidRPr="00963C14">
        <w:rPr>
          <w:rFonts w:eastAsia="Arial" w:cs="Arial"/>
          <w:b/>
          <w:color w:val="000000" w:themeColor="text1"/>
          <w:szCs w:val="24"/>
        </w:rPr>
        <w:t>Гурав.</w:t>
      </w:r>
      <w:r w:rsidRPr="00963C14">
        <w:rPr>
          <w:rFonts w:eastAsia="Arial" w:cs="Arial"/>
          <w:color w:val="000000" w:themeColor="text1"/>
          <w:szCs w:val="24"/>
        </w:rPr>
        <w:t xml:space="preserve"> Хөгжлийн бодлогод туссан тэргүүлэх ач холбогдолтой шилжин хэрэгжиж буй төсөл, арга хэмжээний хэрэгжилтийг эрчимжүүлэхэд анхаарна. Эдийн засгийн бодит өсөлт, экспортын орлогыг нэмэгдүүлэхгүй төслүүд, төлбөрийн тэнцэлд сөргөөр нөлөөлөх төслүүд, хэрэгжилт хангалтгүйгээс хугацаагаа удаа дараа сунгаж байгаа төслүүд болон шаардлагагүй зөвлөх үйлчилгээг зогсоох, хэрэгжүүлэхгүй байх чиглэл баримтална.  </w:t>
      </w:r>
    </w:p>
    <w:p w14:paraId="1E93E789" w14:textId="77777777" w:rsidR="00EE1D3A" w:rsidRPr="00963C14" w:rsidRDefault="00EE1D3A" w:rsidP="00EE1D3A">
      <w:pPr>
        <w:pStyle w:val="Heading1"/>
        <w:numPr>
          <w:ilvl w:val="0"/>
          <w:numId w:val="3"/>
        </w:numPr>
        <w:tabs>
          <w:tab w:val="right" w:leader="dot" w:pos="9354"/>
        </w:tabs>
        <w:spacing w:after="288"/>
        <w:rPr>
          <w:rFonts w:ascii="Arial" w:hAnsi="Arial" w:cs="Arial"/>
          <w:b/>
          <w:color w:val="auto"/>
          <w:sz w:val="24"/>
          <w:szCs w:val="24"/>
        </w:rPr>
      </w:pPr>
      <w:r w:rsidRPr="00963C14">
        <w:rPr>
          <w:rFonts w:ascii="Arial" w:hAnsi="Arial" w:cs="Arial"/>
          <w:b/>
          <w:color w:val="auto"/>
          <w:sz w:val="22"/>
          <w:szCs w:val="22"/>
        </w:rPr>
        <w:t xml:space="preserve"> </w:t>
      </w:r>
      <w:bookmarkStart w:id="95" w:name="_Toc163484936"/>
      <w:bookmarkStart w:id="96" w:name="_Toc163736671"/>
      <w:bookmarkStart w:id="97" w:name="_Toc163811101"/>
      <w:bookmarkStart w:id="98" w:name="_Toc165299397"/>
      <w:r w:rsidRPr="00963C14">
        <w:rPr>
          <w:rFonts w:ascii="Arial" w:hAnsi="Arial" w:cs="Arial"/>
          <w:b/>
          <w:color w:val="auto"/>
          <w:sz w:val="24"/>
          <w:szCs w:val="24"/>
        </w:rPr>
        <w:t>ЗАСГИЙН ГАЗРЫН ӨРИЙН ТӨЛӨВ БАЙДАЛ, БАРИМТЛАХ СТРАТЕГИ</w:t>
      </w:r>
      <w:bookmarkEnd w:id="95"/>
      <w:bookmarkEnd w:id="96"/>
      <w:bookmarkEnd w:id="97"/>
      <w:bookmarkEnd w:id="98"/>
      <w:r w:rsidRPr="00963C14">
        <w:rPr>
          <w:rFonts w:ascii="Arial" w:hAnsi="Arial" w:cs="Arial"/>
          <w:b/>
          <w:color w:val="auto"/>
          <w:sz w:val="24"/>
          <w:szCs w:val="24"/>
        </w:rPr>
        <w:t xml:space="preserve"> </w:t>
      </w:r>
    </w:p>
    <w:p w14:paraId="2B2640FF" w14:textId="77777777" w:rsidR="00EE1D3A" w:rsidRPr="00963C14" w:rsidRDefault="00EE1D3A" w:rsidP="00EE1D3A">
      <w:pPr>
        <w:pStyle w:val="Heading2"/>
        <w:tabs>
          <w:tab w:val="right" w:leader="dot" w:pos="9354"/>
        </w:tabs>
        <w:spacing w:before="0" w:after="288"/>
        <w:ind w:firstLine="360"/>
        <w:rPr>
          <w:rFonts w:ascii="Arial" w:hAnsi="Arial" w:cs="Arial"/>
          <w:b/>
          <w:color w:val="055957"/>
          <w:sz w:val="24"/>
          <w:szCs w:val="24"/>
        </w:rPr>
      </w:pPr>
      <w:bookmarkStart w:id="99" w:name="_Toc163484937"/>
      <w:bookmarkStart w:id="100" w:name="_Toc163736672"/>
      <w:bookmarkStart w:id="101" w:name="_Toc163811102"/>
      <w:bookmarkStart w:id="102" w:name="_Toc165299398"/>
      <w:r w:rsidRPr="00963C14">
        <w:rPr>
          <w:rFonts w:ascii="Arial" w:hAnsi="Arial" w:cs="Arial"/>
          <w:b/>
          <w:color w:val="055957"/>
          <w:sz w:val="24"/>
          <w:szCs w:val="24"/>
        </w:rPr>
        <w:t>6.1. Засгийн газрын өр</w:t>
      </w:r>
      <w:bookmarkEnd w:id="99"/>
      <w:bookmarkEnd w:id="100"/>
      <w:bookmarkEnd w:id="101"/>
      <w:bookmarkEnd w:id="102"/>
      <w:r w:rsidRPr="00963C14">
        <w:rPr>
          <w:rFonts w:ascii="Arial" w:hAnsi="Arial" w:cs="Arial"/>
          <w:b/>
          <w:color w:val="055957"/>
          <w:sz w:val="24"/>
          <w:szCs w:val="24"/>
        </w:rPr>
        <w:t xml:space="preserve"> </w:t>
      </w:r>
    </w:p>
    <w:p w14:paraId="75984263" w14:textId="77777777" w:rsidR="00EE1D3A" w:rsidRPr="00963C14" w:rsidRDefault="00EE1D3A" w:rsidP="00811047">
      <w:pPr>
        <w:pStyle w:val="Heading3"/>
        <w:spacing w:after="288"/>
        <w:rPr>
          <w:rFonts w:ascii="Arial" w:hAnsi="Arial" w:cs="Arial"/>
          <w:color w:val="auto"/>
        </w:rPr>
      </w:pPr>
      <w:bookmarkStart w:id="103" w:name="_Toc163736673"/>
      <w:bookmarkStart w:id="104" w:name="_Toc163811103"/>
      <w:bookmarkStart w:id="105" w:name="_Toc165299399"/>
      <w:r w:rsidRPr="00963C14">
        <w:rPr>
          <w:rFonts w:ascii="Arial" w:hAnsi="Arial" w:cs="Arial"/>
          <w:color w:val="auto"/>
        </w:rPr>
        <w:t>6.1.1. Улсын нийт гадаад өр</w:t>
      </w:r>
      <w:bookmarkEnd w:id="103"/>
      <w:bookmarkEnd w:id="104"/>
      <w:bookmarkEnd w:id="105"/>
    </w:p>
    <w:p w14:paraId="6D37C24E" w14:textId="77777777" w:rsidR="00EE1D3A" w:rsidRPr="00963C14" w:rsidRDefault="00EE1D3A" w:rsidP="005B5ECB">
      <w:pPr>
        <w:pStyle w:val="a"/>
        <w:tabs>
          <w:tab w:val="left" w:pos="709"/>
          <w:tab w:val="left" w:pos="851"/>
          <w:tab w:val="num" w:pos="993"/>
        </w:tabs>
        <w:snapToGrid w:val="0"/>
        <w:spacing w:before="120" w:after="120" w:line="276" w:lineRule="auto"/>
        <w:ind w:firstLine="0"/>
        <w:rPr>
          <w:rFonts w:ascii="Arial" w:hAnsi="Arial" w:cs="Arial"/>
          <w:i w:val="0"/>
          <w:color w:val="auto"/>
          <w:sz w:val="24"/>
        </w:rPr>
      </w:pPr>
      <w:bookmarkStart w:id="106" w:name="_Hlk163731650"/>
      <w:r w:rsidRPr="00963C14">
        <w:rPr>
          <w:rFonts w:ascii="Arial" w:hAnsi="Arial" w:cs="Arial"/>
          <w:i w:val="0"/>
          <w:color w:val="auto"/>
          <w:sz w:val="24"/>
        </w:rPr>
        <w:t>Монгол Улсын нийт гадаад өрийн хэмжээ 2023 оны жилийн эцсийн урьдчилсан гүйцэтгэлээр 34.6 тэрбум ам.доллартой тэнцэж байгаагаас 23.1 тэрбум ам.долларыг аж ахуй нэгжүүдийн гадаад өр, 7.9 тэрбум ам.долларыг Засгийн газрын гадаад өр, 1.8 тэрбум ам.долларыг Төв банкны өр, үлдсэн 1.7 тэрбум ам.долларыг арилжааны банкнуудын өр тус тус эзэлж байна.</w:t>
      </w:r>
    </w:p>
    <w:p w14:paraId="0F260B5F" w14:textId="77777777" w:rsidR="00EE1D3A" w:rsidRPr="00963C14" w:rsidRDefault="00EE1D3A" w:rsidP="005B5ECB">
      <w:pPr>
        <w:pStyle w:val="a"/>
        <w:tabs>
          <w:tab w:val="left" w:pos="709"/>
          <w:tab w:val="left" w:pos="851"/>
          <w:tab w:val="num" w:pos="993"/>
        </w:tabs>
        <w:snapToGrid w:val="0"/>
        <w:spacing w:before="120" w:after="120" w:line="276" w:lineRule="auto"/>
        <w:ind w:firstLine="0"/>
        <w:rPr>
          <w:rFonts w:ascii="Arial" w:hAnsi="Arial" w:cs="Arial"/>
          <w:i w:val="0"/>
          <w:color w:val="auto"/>
          <w:sz w:val="24"/>
        </w:rPr>
      </w:pPr>
      <w:r w:rsidRPr="00963C14">
        <w:rPr>
          <w:rFonts w:ascii="Arial" w:hAnsi="Arial" w:cs="Arial"/>
          <w:i w:val="0"/>
          <w:color w:val="auto"/>
          <w:sz w:val="24"/>
        </w:rPr>
        <w:t>Улсын нийт гадаад өрийг зээлдүүлэгч тус бүрээр харуулбал Олон зээлдүүлэгч оролцсон зээллэгийн үлдэгдэл 12.1 тэрбум ам.доллар, Нидерланд улсын 12.0 тэрбум ам.доллар, БНХАУ-ын 3.3 тэрбум ам.доллар, Япон улсын 1.2 тэрбум ам.доллар, Сингапур улсын 1.3 тэрбум ам.доллар, бусад улсын 3.7 тэрбум ам.доллартой тэнцэж байна.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665"/>
      </w:tblGrid>
      <w:tr w:rsidR="00EE1D3A" w:rsidRPr="00963C14" w14:paraId="0D29F5D7" w14:textId="77777777" w:rsidTr="002C2A74">
        <w:trPr>
          <w:trHeight w:val="20"/>
        </w:trPr>
        <w:tc>
          <w:tcPr>
            <w:tcW w:w="5058" w:type="dxa"/>
            <w:tcBorders>
              <w:bottom w:val="single" w:sz="4" w:space="0" w:color="auto"/>
            </w:tcBorders>
          </w:tcPr>
          <w:p w14:paraId="418EF7AE" w14:textId="3755E9C7" w:rsidR="00EE1D3A" w:rsidRPr="00963C14" w:rsidRDefault="00EE1D3A">
            <w:pPr>
              <w:pStyle w:val="Caption"/>
              <w:spacing w:after="120"/>
              <w:jc w:val="left"/>
              <w:rPr>
                <w:rFonts w:ascii="Arial" w:hAnsi="Arial" w:cs="Arial"/>
              </w:rPr>
            </w:pPr>
            <w:r w:rsidRPr="00963C14">
              <w:rPr>
                <w:rFonts w:ascii="Arial" w:hAnsi="Arial" w:cs="Arial"/>
              </w:rPr>
              <w:t>Зураг 6.1. Улсын нийт гадаад өрийн статистик 2018-2023 (тэрбум доллар)</w:t>
            </w:r>
          </w:p>
        </w:tc>
        <w:tc>
          <w:tcPr>
            <w:tcW w:w="4846" w:type="dxa"/>
            <w:tcBorders>
              <w:bottom w:val="single" w:sz="4" w:space="0" w:color="auto"/>
            </w:tcBorders>
          </w:tcPr>
          <w:p w14:paraId="24C0A295" w14:textId="77777777" w:rsidR="00EE1D3A" w:rsidRPr="00963C14" w:rsidRDefault="00EE1D3A">
            <w:pPr>
              <w:pStyle w:val="Caption"/>
              <w:spacing w:after="120"/>
              <w:jc w:val="left"/>
              <w:rPr>
                <w:rFonts w:ascii="Arial" w:hAnsi="Arial" w:cs="Arial"/>
              </w:rPr>
            </w:pPr>
            <w:r w:rsidRPr="00963C14">
              <w:rPr>
                <w:rFonts w:ascii="Arial" w:hAnsi="Arial" w:cs="Arial"/>
              </w:rPr>
              <w:t>Зураг 6.2. Улсын нийт гадаад өр, зээлдүүлэгчээр /2023.12.31*/</w:t>
            </w:r>
          </w:p>
        </w:tc>
      </w:tr>
      <w:tr w:rsidR="00EE1D3A" w:rsidRPr="00963C14" w14:paraId="017D5261" w14:textId="77777777" w:rsidTr="002C2A74">
        <w:tc>
          <w:tcPr>
            <w:tcW w:w="5058" w:type="dxa"/>
            <w:tcBorders>
              <w:top w:val="single" w:sz="4" w:space="0" w:color="auto"/>
            </w:tcBorders>
          </w:tcPr>
          <w:p w14:paraId="1DC8E611" w14:textId="77777777" w:rsidR="00EE1D3A" w:rsidRPr="00963C14" w:rsidRDefault="00EE1D3A">
            <w:pPr>
              <w:pStyle w:val="a"/>
              <w:tabs>
                <w:tab w:val="left" w:pos="709"/>
                <w:tab w:val="left" w:pos="851"/>
                <w:tab w:val="num" w:pos="993"/>
              </w:tabs>
              <w:spacing w:after="288" w:line="276" w:lineRule="auto"/>
              <w:ind w:left="432" w:firstLine="562"/>
              <w:jc w:val="right"/>
              <w:rPr>
                <w:rFonts w:ascii="Arial" w:hAnsi="Arial" w:cs="Arial"/>
                <w:color w:val="auto"/>
                <w:sz w:val="21"/>
                <w:szCs w:val="21"/>
              </w:rPr>
            </w:pPr>
            <w:r w:rsidRPr="00963C14">
              <w:rPr>
                <w:rFonts w:ascii="Arial" w:eastAsiaTheme="majorEastAsia" w:hAnsi="Arial" w:cs="Arial"/>
                <w:noProof/>
                <w:sz w:val="16"/>
                <w:szCs w:val="22"/>
              </w:rPr>
              <w:drawing>
                <wp:anchor distT="0" distB="0" distL="114300" distR="114300" simplePos="0" relativeHeight="251658250" behindDoc="0" locked="0" layoutInCell="1" allowOverlap="1" wp14:anchorId="58F5A2C3" wp14:editId="4A642AA1">
                  <wp:simplePos x="0" y="0"/>
                  <wp:positionH relativeFrom="column">
                    <wp:posOffset>-1905</wp:posOffset>
                  </wp:positionH>
                  <wp:positionV relativeFrom="paragraph">
                    <wp:posOffset>102870</wp:posOffset>
                  </wp:positionV>
                  <wp:extent cx="2760345" cy="2303145"/>
                  <wp:effectExtent l="0" t="0" r="0" b="0"/>
                  <wp:wrapSquare wrapText="bothSides"/>
                  <wp:docPr id="2133557197" name="Chart 2133557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tc>
        <w:tc>
          <w:tcPr>
            <w:tcW w:w="4846" w:type="dxa"/>
            <w:tcBorders>
              <w:top w:val="single" w:sz="4" w:space="0" w:color="auto"/>
            </w:tcBorders>
          </w:tcPr>
          <w:p w14:paraId="3F2ECD0D" w14:textId="77777777" w:rsidR="00EE1D3A" w:rsidRPr="00963C14" w:rsidRDefault="00EE1D3A">
            <w:pPr>
              <w:pStyle w:val="a"/>
              <w:tabs>
                <w:tab w:val="left" w:pos="709"/>
                <w:tab w:val="left" w:pos="851"/>
                <w:tab w:val="num" w:pos="993"/>
              </w:tabs>
              <w:spacing w:after="288" w:line="276" w:lineRule="auto"/>
              <w:ind w:left="432" w:firstLine="562"/>
              <w:jc w:val="right"/>
              <w:rPr>
                <w:rFonts w:ascii="Arial" w:hAnsi="Arial" w:cs="Arial"/>
              </w:rPr>
            </w:pPr>
            <w:r w:rsidRPr="00963C14">
              <w:rPr>
                <w:rFonts w:ascii="Arial" w:hAnsi="Arial" w:cs="Arial"/>
                <w:noProof/>
              </w:rPr>
              <w:drawing>
                <wp:anchor distT="0" distB="0" distL="114300" distR="114300" simplePos="0" relativeHeight="251658251" behindDoc="1" locked="0" layoutInCell="1" allowOverlap="1" wp14:anchorId="4C2C2BDC" wp14:editId="5D6E6DD5">
                  <wp:simplePos x="0" y="0"/>
                  <wp:positionH relativeFrom="column">
                    <wp:posOffset>122807</wp:posOffset>
                  </wp:positionH>
                  <wp:positionV relativeFrom="paragraph">
                    <wp:posOffset>195757</wp:posOffset>
                  </wp:positionV>
                  <wp:extent cx="2561590" cy="2000885"/>
                  <wp:effectExtent l="0" t="0" r="0" b="0"/>
                  <wp:wrapTight wrapText="bothSides">
                    <wp:wrapPolygon edited="0">
                      <wp:start x="0" y="0"/>
                      <wp:lineTo x="0" y="21387"/>
                      <wp:lineTo x="21364" y="21387"/>
                      <wp:lineTo x="21364" y="0"/>
                      <wp:lineTo x="0" y="0"/>
                    </wp:wrapPolygon>
                  </wp:wrapTight>
                  <wp:docPr id="1413260862" name="Chart 1">
                    <a:extLst xmlns:a="http://schemas.openxmlformats.org/drawingml/2006/main">
                      <a:ext uri="{FF2B5EF4-FFF2-40B4-BE49-F238E27FC236}">
                        <a16:creationId xmlns:a16="http://schemas.microsoft.com/office/drawing/2014/main" id="{EBB3535F-21A1-CFCC-A03E-19240ED6D9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p>
        </w:tc>
      </w:tr>
      <w:tr w:rsidR="00EE1D3A" w:rsidRPr="00963C14" w14:paraId="05A1B58E" w14:textId="77777777" w:rsidTr="00914213">
        <w:tc>
          <w:tcPr>
            <w:tcW w:w="9904" w:type="dxa"/>
            <w:gridSpan w:val="2"/>
            <w:tcBorders>
              <w:bottom w:val="single" w:sz="4" w:space="0" w:color="auto"/>
            </w:tcBorders>
          </w:tcPr>
          <w:p w14:paraId="3FCE00DF" w14:textId="77777777" w:rsidR="00EE1D3A" w:rsidRPr="00963C14" w:rsidRDefault="00EE1D3A">
            <w:pPr>
              <w:pStyle w:val="a"/>
              <w:tabs>
                <w:tab w:val="left" w:pos="709"/>
                <w:tab w:val="left" w:pos="851"/>
                <w:tab w:val="num" w:pos="993"/>
              </w:tabs>
              <w:spacing w:line="276" w:lineRule="auto"/>
              <w:ind w:firstLine="0"/>
              <w:jc w:val="right"/>
              <w:rPr>
                <w:rFonts w:ascii="Arial" w:hAnsi="Arial" w:cs="Arial"/>
                <w:color w:val="auto"/>
                <w:sz w:val="16"/>
                <w:szCs w:val="16"/>
              </w:rPr>
            </w:pPr>
            <w:r w:rsidRPr="00963C14">
              <w:rPr>
                <w:rFonts w:ascii="Arial" w:hAnsi="Arial" w:cs="Arial"/>
                <w:color w:val="auto"/>
                <w:sz w:val="16"/>
                <w:szCs w:val="16"/>
              </w:rPr>
              <w:t>Эх сурвалж: Монголбанк</w:t>
            </w:r>
          </w:p>
          <w:p w14:paraId="5D04363D" w14:textId="55BDC5DC" w:rsidR="00EE1D3A" w:rsidRPr="00963C14" w:rsidRDefault="00EE1D3A">
            <w:pPr>
              <w:pStyle w:val="a"/>
              <w:tabs>
                <w:tab w:val="left" w:pos="709"/>
                <w:tab w:val="left" w:pos="851"/>
                <w:tab w:val="num" w:pos="993"/>
              </w:tabs>
              <w:spacing w:line="276" w:lineRule="auto"/>
              <w:ind w:firstLine="0"/>
              <w:jc w:val="right"/>
              <w:rPr>
                <w:rFonts w:ascii="Arial" w:hAnsi="Arial" w:cs="Arial"/>
                <w:color w:val="auto"/>
                <w:sz w:val="16"/>
                <w:szCs w:val="16"/>
              </w:rPr>
            </w:pPr>
            <w:r w:rsidRPr="00963C14">
              <w:rPr>
                <w:rFonts w:ascii="Arial" w:hAnsi="Arial" w:cs="Arial"/>
                <w:color w:val="auto"/>
                <w:sz w:val="16"/>
                <w:szCs w:val="16"/>
              </w:rPr>
              <w:t xml:space="preserve">Тэмдэглэл: </w:t>
            </w:r>
            <w:r w:rsidR="00EB408C" w:rsidRPr="00963C14">
              <w:rPr>
                <w:rFonts w:ascii="Arial" w:hAnsi="Arial" w:cs="Arial"/>
                <w:color w:val="auto"/>
                <w:sz w:val="16"/>
                <w:szCs w:val="16"/>
              </w:rPr>
              <w:t>*</w:t>
            </w:r>
            <w:r w:rsidRPr="00963C14">
              <w:rPr>
                <w:rFonts w:ascii="Arial" w:hAnsi="Arial" w:cs="Arial"/>
                <w:color w:val="auto"/>
                <w:sz w:val="16"/>
                <w:szCs w:val="16"/>
              </w:rPr>
              <w:t>2023</w:t>
            </w:r>
            <w:r w:rsidR="00EB408C" w:rsidRPr="00963C14">
              <w:rPr>
                <w:rFonts w:ascii="Arial" w:hAnsi="Arial" w:cs="Arial"/>
                <w:color w:val="auto"/>
                <w:sz w:val="16"/>
                <w:szCs w:val="16"/>
              </w:rPr>
              <w:t xml:space="preserve"> </w:t>
            </w:r>
            <w:r w:rsidRPr="00963C14">
              <w:rPr>
                <w:rFonts w:ascii="Arial" w:hAnsi="Arial" w:cs="Arial"/>
                <w:color w:val="auto"/>
                <w:sz w:val="16"/>
                <w:szCs w:val="16"/>
              </w:rPr>
              <w:t>оны урьдчилсан гүйцэтгэл</w:t>
            </w:r>
          </w:p>
        </w:tc>
      </w:tr>
    </w:tbl>
    <w:p w14:paraId="05FF38EB" w14:textId="77777777" w:rsidR="00EE1D3A" w:rsidRPr="00963C14" w:rsidRDefault="00EE1D3A" w:rsidP="00811047">
      <w:pPr>
        <w:pStyle w:val="Heading3"/>
        <w:spacing w:after="288"/>
        <w:rPr>
          <w:rFonts w:ascii="Arial" w:hAnsi="Arial" w:cs="Arial"/>
          <w:color w:val="auto"/>
        </w:rPr>
      </w:pPr>
      <w:bookmarkStart w:id="107" w:name="_Toc163736674"/>
      <w:bookmarkStart w:id="108" w:name="_Toc163811104"/>
      <w:bookmarkStart w:id="109" w:name="_Toc165299400"/>
      <w:bookmarkEnd w:id="106"/>
      <w:r w:rsidRPr="00963C14">
        <w:rPr>
          <w:rFonts w:ascii="Arial" w:hAnsi="Arial" w:cs="Arial"/>
          <w:color w:val="auto"/>
        </w:rPr>
        <w:t>6.1.2. Засгийн газрын өр</w:t>
      </w:r>
      <w:bookmarkStart w:id="110" w:name="_Toc163484938"/>
      <w:bookmarkEnd w:id="107"/>
      <w:bookmarkEnd w:id="108"/>
      <w:bookmarkEnd w:id="109"/>
    </w:p>
    <w:bookmarkEnd w:id="110"/>
    <w:p w14:paraId="2B375030" w14:textId="77777777" w:rsidR="00EE1D3A" w:rsidRPr="00963C14" w:rsidRDefault="00EE1D3A" w:rsidP="00EE1D3A">
      <w:pPr>
        <w:pStyle w:val="a"/>
        <w:tabs>
          <w:tab w:val="left" w:pos="709"/>
          <w:tab w:val="left" w:pos="851"/>
          <w:tab w:val="num" w:pos="993"/>
        </w:tabs>
        <w:spacing w:before="240" w:after="288" w:line="276" w:lineRule="auto"/>
        <w:ind w:firstLine="0"/>
        <w:rPr>
          <w:rFonts w:ascii="Arial" w:hAnsi="Arial" w:cs="Arial"/>
          <w:i w:val="0"/>
          <w:color w:val="auto"/>
          <w:sz w:val="24"/>
        </w:rPr>
      </w:pPr>
      <w:r w:rsidRPr="00963C14">
        <w:rPr>
          <w:rFonts w:ascii="Arial" w:hAnsi="Arial" w:cs="Arial"/>
          <w:i w:val="0"/>
          <w:color w:val="auto"/>
          <w:sz w:val="24"/>
        </w:rPr>
        <w:t>Засгийн газрын өрийн үлдэгдэл 2022 оны жилийн эцсийн байдлаар, нэрлэсэн дүнгээр 32.0 их наяд төгрөг, өнөөгийн үнэ цэнээр ДНБ-ний 52.4 хувийн гүйцэтгэлтэй байсан бол 2023 оны жилийн эцсийн урьдчилсан гүйцэтгэлээр 30.8 их наяд төгрөг, өнөөгийн үнэ цэнээр ДНБ-ний 38.6 хувьтай тэнцэж нэрлэсэн үлдэгдлээр 1.2 их наяд төгрөгөөр, өнөөгийн үнэ цэнээр илэрхийлэгдсэн үлдэгдлийн ДНБ-д эзлэх хэмжээ 13.8 хувиар буураад байна.</w:t>
      </w:r>
    </w:p>
    <w:p w14:paraId="040BF97D" w14:textId="0FB7DBEE" w:rsidR="00EE1D3A" w:rsidRPr="00963C14" w:rsidRDefault="00EE1D3A" w:rsidP="00EB0A03">
      <w:pPr>
        <w:pStyle w:val="a"/>
        <w:tabs>
          <w:tab w:val="left" w:pos="709"/>
          <w:tab w:val="left" w:pos="851"/>
          <w:tab w:val="num" w:pos="993"/>
        </w:tabs>
        <w:spacing w:before="240" w:line="276" w:lineRule="auto"/>
        <w:ind w:firstLine="0"/>
        <w:rPr>
          <w:rFonts w:ascii="Arial" w:hAnsi="Arial" w:cs="Arial"/>
          <w:color w:val="055957"/>
        </w:rPr>
      </w:pPr>
      <w:r w:rsidRPr="00963C14">
        <w:rPr>
          <w:rFonts w:ascii="Arial" w:hAnsi="Arial" w:cs="Arial"/>
          <w:color w:val="055957"/>
          <w:sz w:val="20"/>
          <w:szCs w:val="28"/>
        </w:rPr>
        <w:t>Хүснэгт 6.</w:t>
      </w:r>
      <w:r w:rsidRPr="00963C14">
        <w:rPr>
          <w:rFonts w:ascii="Arial" w:hAnsi="Arial" w:cs="Arial"/>
          <w:color w:val="055957"/>
          <w:sz w:val="20"/>
          <w:szCs w:val="28"/>
        </w:rPr>
        <w:fldChar w:fldCharType="begin"/>
      </w:r>
      <w:r w:rsidRPr="00963C14">
        <w:rPr>
          <w:rFonts w:ascii="Arial" w:hAnsi="Arial" w:cs="Arial"/>
          <w:color w:val="055957"/>
          <w:sz w:val="20"/>
          <w:szCs w:val="28"/>
        </w:rPr>
        <w:instrText xml:space="preserve"> SEQ Хүснэгт \* ARABIC </w:instrText>
      </w:r>
      <w:r w:rsidRPr="00963C14">
        <w:rPr>
          <w:rFonts w:ascii="Arial" w:hAnsi="Arial" w:cs="Arial"/>
          <w:color w:val="055957"/>
          <w:sz w:val="20"/>
          <w:szCs w:val="28"/>
        </w:rPr>
        <w:fldChar w:fldCharType="separate"/>
      </w:r>
      <w:r w:rsidRPr="00963C14">
        <w:rPr>
          <w:rFonts w:ascii="Arial" w:hAnsi="Arial" w:cs="Arial"/>
          <w:color w:val="055957"/>
          <w:sz w:val="20"/>
          <w:szCs w:val="28"/>
        </w:rPr>
        <w:t>1</w:t>
      </w:r>
      <w:r w:rsidRPr="00963C14">
        <w:rPr>
          <w:rFonts w:ascii="Arial" w:hAnsi="Arial" w:cs="Arial"/>
          <w:color w:val="055957"/>
          <w:sz w:val="20"/>
          <w:szCs w:val="28"/>
        </w:rPr>
        <w:fldChar w:fldCharType="end"/>
      </w:r>
      <w:r w:rsidRPr="00963C14">
        <w:rPr>
          <w:rFonts w:ascii="Arial" w:hAnsi="Arial" w:cs="Arial"/>
          <w:color w:val="055957"/>
          <w:sz w:val="20"/>
          <w:szCs w:val="28"/>
        </w:rPr>
        <w:t>. Засгийн газрын өрийн үлдэгдэл (тэрбум төгрөг)</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3888"/>
        <w:gridCol w:w="2384"/>
        <w:gridCol w:w="2384"/>
        <w:gridCol w:w="150"/>
      </w:tblGrid>
      <w:tr w:rsidR="00EE1D3A" w:rsidRPr="00963C14" w14:paraId="5434B93F" w14:textId="77777777" w:rsidTr="00BF3426">
        <w:trPr>
          <w:trHeight w:val="285"/>
        </w:trPr>
        <w:tc>
          <w:tcPr>
            <w:tcW w:w="4698" w:type="dxa"/>
            <w:gridSpan w:val="2"/>
            <w:shd w:val="clear" w:color="auto" w:fill="11A795"/>
          </w:tcPr>
          <w:p w14:paraId="5A6EDECA" w14:textId="77777777" w:rsidR="00EE1D3A" w:rsidRPr="00963C14" w:rsidRDefault="00EE1D3A">
            <w:pPr>
              <w:pStyle w:val="a"/>
              <w:tabs>
                <w:tab w:val="left" w:pos="709"/>
                <w:tab w:val="left" w:pos="851"/>
                <w:tab w:val="num" w:pos="993"/>
              </w:tabs>
              <w:spacing w:line="276" w:lineRule="auto"/>
              <w:ind w:firstLine="0"/>
              <w:jc w:val="left"/>
              <w:rPr>
                <w:rFonts w:ascii="Arial" w:hAnsi="Arial" w:cs="Arial"/>
                <w:b/>
                <w:i w:val="0"/>
                <w:color w:val="FFFFFF" w:themeColor="background1"/>
                <w:sz w:val="22"/>
                <w:szCs w:val="22"/>
              </w:rPr>
            </w:pPr>
            <w:r w:rsidRPr="00963C14">
              <w:rPr>
                <w:rFonts w:ascii="Arial" w:hAnsi="Arial" w:cs="Arial"/>
                <w:b/>
                <w:i w:val="0"/>
                <w:color w:val="FFFFFF" w:themeColor="background1"/>
                <w:sz w:val="22"/>
                <w:szCs w:val="22"/>
              </w:rPr>
              <w:t>Өрийн хэрэгсэл</w:t>
            </w:r>
          </w:p>
        </w:tc>
        <w:tc>
          <w:tcPr>
            <w:tcW w:w="2461" w:type="dxa"/>
            <w:shd w:val="clear" w:color="auto" w:fill="11A795"/>
          </w:tcPr>
          <w:p w14:paraId="6A65D5EE"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FFFFFF" w:themeColor="background1"/>
                <w:sz w:val="22"/>
                <w:szCs w:val="22"/>
              </w:rPr>
            </w:pPr>
            <w:r w:rsidRPr="00963C14">
              <w:rPr>
                <w:rFonts w:ascii="Arial" w:hAnsi="Arial" w:cs="Arial"/>
                <w:b/>
                <w:i w:val="0"/>
                <w:color w:val="FFFFFF" w:themeColor="background1"/>
                <w:sz w:val="22"/>
                <w:szCs w:val="22"/>
              </w:rPr>
              <w:t>2022</w:t>
            </w:r>
          </w:p>
        </w:tc>
        <w:tc>
          <w:tcPr>
            <w:tcW w:w="2461" w:type="dxa"/>
            <w:gridSpan w:val="2"/>
            <w:shd w:val="clear" w:color="auto" w:fill="11A795"/>
          </w:tcPr>
          <w:p w14:paraId="5FCCF08A"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FFFFFF" w:themeColor="background1"/>
                <w:sz w:val="22"/>
                <w:szCs w:val="22"/>
              </w:rPr>
            </w:pPr>
            <w:r w:rsidRPr="00963C14">
              <w:rPr>
                <w:rFonts w:ascii="Arial" w:hAnsi="Arial" w:cs="Arial"/>
                <w:b/>
                <w:i w:val="0"/>
                <w:color w:val="FFFFFF" w:themeColor="background1"/>
                <w:sz w:val="22"/>
                <w:szCs w:val="22"/>
              </w:rPr>
              <w:t>2023*</w:t>
            </w:r>
          </w:p>
        </w:tc>
      </w:tr>
      <w:tr w:rsidR="00EE1D3A" w:rsidRPr="00963C14" w14:paraId="59B1FD41" w14:textId="77777777" w:rsidTr="00BF3426">
        <w:trPr>
          <w:trHeight w:val="147"/>
        </w:trPr>
        <w:tc>
          <w:tcPr>
            <w:tcW w:w="4698" w:type="dxa"/>
            <w:gridSpan w:val="2"/>
            <w:tcBorders>
              <w:bottom w:val="single" w:sz="4" w:space="0" w:color="auto"/>
            </w:tcBorders>
          </w:tcPr>
          <w:p w14:paraId="05B37AEF" w14:textId="77777777" w:rsidR="00EE1D3A" w:rsidRPr="00963C14" w:rsidRDefault="00EE1D3A">
            <w:pPr>
              <w:pStyle w:val="a"/>
              <w:tabs>
                <w:tab w:val="left" w:pos="709"/>
                <w:tab w:val="left" w:pos="851"/>
                <w:tab w:val="num" w:pos="993"/>
              </w:tabs>
              <w:spacing w:line="276" w:lineRule="auto"/>
              <w:ind w:firstLine="0"/>
              <w:jc w:val="left"/>
              <w:rPr>
                <w:rFonts w:ascii="Arial" w:hAnsi="Arial" w:cs="Arial"/>
                <w:b/>
                <w:i w:val="0"/>
                <w:color w:val="11A795"/>
                <w:sz w:val="22"/>
                <w:szCs w:val="22"/>
              </w:rPr>
            </w:pPr>
            <w:r w:rsidRPr="00963C14">
              <w:rPr>
                <w:rFonts w:ascii="Arial" w:hAnsi="Arial" w:cs="Arial"/>
                <w:b/>
                <w:i w:val="0"/>
                <w:color w:val="000000"/>
                <w:sz w:val="22"/>
                <w:szCs w:val="22"/>
              </w:rPr>
              <w:t>I. Засгийн газрын дотоод өр</w:t>
            </w:r>
          </w:p>
        </w:tc>
        <w:tc>
          <w:tcPr>
            <w:tcW w:w="2461" w:type="dxa"/>
            <w:tcBorders>
              <w:bottom w:val="single" w:sz="4" w:space="0" w:color="auto"/>
            </w:tcBorders>
            <w:vAlign w:val="center"/>
          </w:tcPr>
          <w:p w14:paraId="517FDC85"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11A795"/>
                <w:sz w:val="22"/>
                <w:szCs w:val="22"/>
              </w:rPr>
            </w:pPr>
            <w:r w:rsidRPr="00963C14">
              <w:rPr>
                <w:rFonts w:ascii="Arial" w:hAnsi="Arial" w:cs="Arial"/>
                <w:b/>
                <w:i w:val="0"/>
                <w:color w:val="000000"/>
                <w:sz w:val="22"/>
                <w:szCs w:val="22"/>
              </w:rPr>
              <w:t>1,035.5</w:t>
            </w:r>
          </w:p>
        </w:tc>
        <w:tc>
          <w:tcPr>
            <w:tcW w:w="2461" w:type="dxa"/>
            <w:gridSpan w:val="2"/>
            <w:tcBorders>
              <w:bottom w:val="single" w:sz="4" w:space="0" w:color="auto"/>
            </w:tcBorders>
            <w:vAlign w:val="center"/>
          </w:tcPr>
          <w:p w14:paraId="313BAEE9"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11A795"/>
                <w:sz w:val="22"/>
                <w:szCs w:val="22"/>
              </w:rPr>
            </w:pPr>
            <w:r w:rsidRPr="00963C14">
              <w:rPr>
                <w:rFonts w:ascii="Arial" w:hAnsi="Arial" w:cs="Arial"/>
                <w:b/>
                <w:i w:val="0"/>
                <w:color w:val="000000"/>
                <w:sz w:val="22"/>
                <w:szCs w:val="22"/>
              </w:rPr>
              <w:t>234.1</w:t>
            </w:r>
          </w:p>
        </w:tc>
      </w:tr>
      <w:tr w:rsidR="00EE1D3A" w:rsidRPr="00963C14" w14:paraId="4E239557" w14:textId="77777777" w:rsidTr="00BF3426">
        <w:trPr>
          <w:trHeight w:val="285"/>
        </w:trPr>
        <w:tc>
          <w:tcPr>
            <w:tcW w:w="667" w:type="dxa"/>
            <w:tcBorders>
              <w:top w:val="single" w:sz="4" w:space="0" w:color="auto"/>
              <w:bottom w:val="single" w:sz="4" w:space="0" w:color="auto"/>
            </w:tcBorders>
          </w:tcPr>
          <w:p w14:paraId="1C4D93F0"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1.1</w:t>
            </w:r>
          </w:p>
        </w:tc>
        <w:tc>
          <w:tcPr>
            <w:tcW w:w="4030" w:type="dxa"/>
            <w:tcBorders>
              <w:top w:val="single" w:sz="4" w:space="0" w:color="auto"/>
              <w:bottom w:val="single" w:sz="4" w:space="0" w:color="auto"/>
            </w:tcBorders>
          </w:tcPr>
          <w:p w14:paraId="67311230"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Үнэт цаас</w:t>
            </w:r>
          </w:p>
        </w:tc>
        <w:tc>
          <w:tcPr>
            <w:tcW w:w="2461" w:type="dxa"/>
            <w:tcBorders>
              <w:top w:val="single" w:sz="4" w:space="0" w:color="auto"/>
              <w:bottom w:val="single" w:sz="4" w:space="0" w:color="auto"/>
            </w:tcBorders>
            <w:vAlign w:val="center"/>
          </w:tcPr>
          <w:p w14:paraId="60939786"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11A795"/>
                <w:sz w:val="22"/>
                <w:szCs w:val="22"/>
              </w:rPr>
            </w:pPr>
            <w:r w:rsidRPr="00963C14">
              <w:rPr>
                <w:rFonts w:ascii="Arial" w:hAnsi="Arial" w:cs="Arial"/>
                <w:i w:val="0"/>
                <w:color w:val="000000"/>
                <w:sz w:val="22"/>
                <w:szCs w:val="22"/>
              </w:rPr>
              <w:t>1,035.5</w:t>
            </w:r>
          </w:p>
        </w:tc>
        <w:tc>
          <w:tcPr>
            <w:tcW w:w="2461" w:type="dxa"/>
            <w:gridSpan w:val="2"/>
            <w:tcBorders>
              <w:top w:val="single" w:sz="4" w:space="0" w:color="auto"/>
              <w:bottom w:val="single" w:sz="4" w:space="0" w:color="auto"/>
            </w:tcBorders>
            <w:vAlign w:val="center"/>
          </w:tcPr>
          <w:p w14:paraId="1928D296"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11A795"/>
                <w:sz w:val="22"/>
                <w:szCs w:val="22"/>
              </w:rPr>
            </w:pPr>
            <w:r w:rsidRPr="00963C14">
              <w:rPr>
                <w:rFonts w:ascii="Arial" w:hAnsi="Arial" w:cs="Arial"/>
                <w:i w:val="0"/>
                <w:color w:val="000000"/>
                <w:sz w:val="22"/>
                <w:szCs w:val="22"/>
              </w:rPr>
              <w:t xml:space="preserve">234.1 </w:t>
            </w:r>
          </w:p>
        </w:tc>
      </w:tr>
      <w:tr w:rsidR="00EE1D3A" w:rsidRPr="00963C14" w14:paraId="11D7D0D1" w14:textId="77777777" w:rsidTr="00BF3426">
        <w:trPr>
          <w:trHeight w:val="263"/>
        </w:trPr>
        <w:tc>
          <w:tcPr>
            <w:tcW w:w="4698" w:type="dxa"/>
            <w:gridSpan w:val="2"/>
            <w:tcBorders>
              <w:top w:val="single" w:sz="4" w:space="0" w:color="auto"/>
              <w:bottom w:val="single" w:sz="4" w:space="0" w:color="auto"/>
            </w:tcBorders>
          </w:tcPr>
          <w:p w14:paraId="46250412" w14:textId="77777777" w:rsidR="00EE1D3A" w:rsidRPr="00963C14" w:rsidRDefault="00EE1D3A">
            <w:pPr>
              <w:pStyle w:val="a"/>
              <w:tabs>
                <w:tab w:val="left" w:pos="709"/>
                <w:tab w:val="left" w:pos="851"/>
                <w:tab w:val="num" w:pos="993"/>
              </w:tabs>
              <w:spacing w:line="276" w:lineRule="auto"/>
              <w:ind w:firstLine="0"/>
              <w:jc w:val="left"/>
              <w:rPr>
                <w:rFonts w:ascii="Arial" w:hAnsi="Arial" w:cs="Arial"/>
                <w:b/>
                <w:i w:val="0"/>
                <w:color w:val="11A795"/>
                <w:sz w:val="22"/>
                <w:szCs w:val="22"/>
              </w:rPr>
            </w:pPr>
            <w:r w:rsidRPr="00963C14">
              <w:rPr>
                <w:rFonts w:ascii="Arial" w:hAnsi="Arial" w:cs="Arial"/>
                <w:b/>
                <w:i w:val="0"/>
                <w:color w:val="000000"/>
                <w:sz w:val="22"/>
                <w:szCs w:val="22"/>
              </w:rPr>
              <w:t>II. Засгийн газрын гадаад өр</w:t>
            </w:r>
          </w:p>
        </w:tc>
        <w:tc>
          <w:tcPr>
            <w:tcW w:w="2461" w:type="dxa"/>
            <w:tcBorders>
              <w:top w:val="single" w:sz="4" w:space="0" w:color="auto"/>
              <w:bottom w:val="single" w:sz="4" w:space="0" w:color="auto"/>
            </w:tcBorders>
            <w:vAlign w:val="center"/>
          </w:tcPr>
          <w:p w14:paraId="1519FBBC"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11A795"/>
                <w:sz w:val="22"/>
                <w:szCs w:val="22"/>
              </w:rPr>
            </w:pPr>
            <w:r w:rsidRPr="00963C14">
              <w:rPr>
                <w:rFonts w:ascii="Arial" w:hAnsi="Arial" w:cs="Arial"/>
                <w:b/>
                <w:i w:val="0"/>
                <w:color w:val="000000"/>
                <w:sz w:val="22"/>
                <w:szCs w:val="22"/>
              </w:rPr>
              <w:t>29,641.6</w:t>
            </w:r>
          </w:p>
        </w:tc>
        <w:tc>
          <w:tcPr>
            <w:tcW w:w="2461" w:type="dxa"/>
            <w:gridSpan w:val="2"/>
            <w:tcBorders>
              <w:top w:val="single" w:sz="4" w:space="0" w:color="auto"/>
              <w:bottom w:val="single" w:sz="4" w:space="0" w:color="auto"/>
            </w:tcBorders>
            <w:vAlign w:val="center"/>
          </w:tcPr>
          <w:p w14:paraId="20DB22EE"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11A795"/>
                <w:sz w:val="22"/>
                <w:szCs w:val="22"/>
              </w:rPr>
            </w:pPr>
            <w:r w:rsidRPr="00963C14">
              <w:rPr>
                <w:rFonts w:ascii="Arial" w:hAnsi="Arial" w:cs="Arial"/>
                <w:b/>
                <w:i w:val="0"/>
                <w:color w:val="000000"/>
                <w:sz w:val="22"/>
                <w:szCs w:val="22"/>
              </w:rPr>
              <w:t xml:space="preserve">30,273.4 </w:t>
            </w:r>
          </w:p>
        </w:tc>
      </w:tr>
      <w:tr w:rsidR="00EE1D3A" w:rsidRPr="00963C14" w14:paraId="26E44322" w14:textId="77777777" w:rsidTr="00BF3426">
        <w:trPr>
          <w:trHeight w:val="263"/>
        </w:trPr>
        <w:tc>
          <w:tcPr>
            <w:tcW w:w="667" w:type="dxa"/>
            <w:tcBorders>
              <w:top w:val="single" w:sz="4" w:space="0" w:color="auto"/>
              <w:bottom w:val="single" w:sz="4" w:space="0" w:color="auto"/>
            </w:tcBorders>
          </w:tcPr>
          <w:p w14:paraId="1F7298ED"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2.1</w:t>
            </w:r>
          </w:p>
        </w:tc>
        <w:tc>
          <w:tcPr>
            <w:tcW w:w="4030" w:type="dxa"/>
            <w:tcBorders>
              <w:top w:val="single" w:sz="4" w:space="0" w:color="auto"/>
              <w:bottom w:val="single" w:sz="4" w:space="0" w:color="auto"/>
            </w:tcBorders>
          </w:tcPr>
          <w:p w14:paraId="0A617C04"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Үнэт цаас</w:t>
            </w:r>
          </w:p>
        </w:tc>
        <w:tc>
          <w:tcPr>
            <w:tcW w:w="2461" w:type="dxa"/>
            <w:tcBorders>
              <w:top w:val="single" w:sz="4" w:space="0" w:color="auto"/>
              <w:bottom w:val="single" w:sz="4" w:space="0" w:color="auto"/>
            </w:tcBorders>
            <w:vAlign w:val="center"/>
          </w:tcPr>
          <w:p w14:paraId="58DF569B"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000000" w:themeColor="text1"/>
                <w:sz w:val="22"/>
                <w:szCs w:val="22"/>
              </w:rPr>
            </w:pPr>
            <w:r w:rsidRPr="00963C14">
              <w:rPr>
                <w:rFonts w:ascii="Arial" w:hAnsi="Arial" w:cs="Arial"/>
                <w:i w:val="0"/>
                <w:color w:val="000000" w:themeColor="text1"/>
                <w:sz w:val="22"/>
                <w:szCs w:val="22"/>
              </w:rPr>
              <w:t>9,359.8</w:t>
            </w:r>
          </w:p>
        </w:tc>
        <w:tc>
          <w:tcPr>
            <w:tcW w:w="2461" w:type="dxa"/>
            <w:gridSpan w:val="2"/>
            <w:tcBorders>
              <w:top w:val="single" w:sz="4" w:space="0" w:color="auto"/>
              <w:bottom w:val="single" w:sz="4" w:space="0" w:color="auto"/>
            </w:tcBorders>
            <w:vAlign w:val="center"/>
          </w:tcPr>
          <w:p w14:paraId="0B0A5825"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000000" w:themeColor="text1"/>
                <w:sz w:val="22"/>
                <w:szCs w:val="22"/>
              </w:rPr>
            </w:pPr>
            <w:r w:rsidRPr="00963C14">
              <w:rPr>
                <w:rFonts w:ascii="Arial" w:hAnsi="Arial" w:cs="Arial"/>
                <w:i w:val="0"/>
                <w:color w:val="000000" w:themeColor="text1"/>
                <w:sz w:val="22"/>
                <w:szCs w:val="22"/>
              </w:rPr>
              <w:t xml:space="preserve">9,371.7 </w:t>
            </w:r>
          </w:p>
        </w:tc>
      </w:tr>
      <w:tr w:rsidR="00EE1D3A" w:rsidRPr="00963C14" w14:paraId="0ECDFA51" w14:textId="77777777" w:rsidTr="00BF3426">
        <w:trPr>
          <w:trHeight w:val="285"/>
        </w:trPr>
        <w:tc>
          <w:tcPr>
            <w:tcW w:w="667" w:type="dxa"/>
            <w:tcBorders>
              <w:top w:val="single" w:sz="4" w:space="0" w:color="auto"/>
              <w:bottom w:val="single" w:sz="4" w:space="0" w:color="auto"/>
            </w:tcBorders>
          </w:tcPr>
          <w:p w14:paraId="1DF031F7"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2.2</w:t>
            </w:r>
          </w:p>
        </w:tc>
        <w:tc>
          <w:tcPr>
            <w:tcW w:w="4030" w:type="dxa"/>
            <w:tcBorders>
              <w:top w:val="single" w:sz="4" w:space="0" w:color="auto"/>
              <w:bottom w:val="single" w:sz="4" w:space="0" w:color="auto"/>
            </w:tcBorders>
          </w:tcPr>
          <w:p w14:paraId="22B99691"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Зээл</w:t>
            </w:r>
          </w:p>
        </w:tc>
        <w:tc>
          <w:tcPr>
            <w:tcW w:w="2461" w:type="dxa"/>
            <w:tcBorders>
              <w:top w:val="single" w:sz="4" w:space="0" w:color="auto"/>
              <w:bottom w:val="single" w:sz="4" w:space="0" w:color="auto"/>
            </w:tcBorders>
            <w:vAlign w:val="center"/>
          </w:tcPr>
          <w:p w14:paraId="44D1F73E"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11A795"/>
                <w:sz w:val="22"/>
                <w:szCs w:val="22"/>
              </w:rPr>
            </w:pPr>
            <w:r w:rsidRPr="00963C14">
              <w:rPr>
                <w:rFonts w:ascii="Arial" w:hAnsi="Arial" w:cs="Arial"/>
                <w:i w:val="0"/>
                <w:color w:val="000000"/>
                <w:sz w:val="22"/>
                <w:szCs w:val="22"/>
              </w:rPr>
              <w:t>20,281.8</w:t>
            </w:r>
          </w:p>
        </w:tc>
        <w:tc>
          <w:tcPr>
            <w:tcW w:w="2461" w:type="dxa"/>
            <w:gridSpan w:val="2"/>
            <w:tcBorders>
              <w:top w:val="single" w:sz="4" w:space="0" w:color="auto"/>
              <w:bottom w:val="single" w:sz="4" w:space="0" w:color="auto"/>
            </w:tcBorders>
            <w:vAlign w:val="center"/>
          </w:tcPr>
          <w:p w14:paraId="4606D2B3"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11A795"/>
                <w:sz w:val="22"/>
                <w:szCs w:val="22"/>
              </w:rPr>
            </w:pPr>
            <w:r w:rsidRPr="00963C14">
              <w:rPr>
                <w:rFonts w:ascii="Arial" w:hAnsi="Arial" w:cs="Arial"/>
                <w:i w:val="0"/>
                <w:color w:val="000000"/>
                <w:sz w:val="22"/>
                <w:szCs w:val="22"/>
              </w:rPr>
              <w:t xml:space="preserve">20,901.6 </w:t>
            </w:r>
          </w:p>
        </w:tc>
      </w:tr>
      <w:tr w:rsidR="00EE1D3A" w:rsidRPr="00963C14" w14:paraId="6074DEEA" w14:textId="77777777" w:rsidTr="00BF3426">
        <w:trPr>
          <w:trHeight w:val="263"/>
        </w:trPr>
        <w:tc>
          <w:tcPr>
            <w:tcW w:w="4698" w:type="dxa"/>
            <w:gridSpan w:val="2"/>
            <w:tcBorders>
              <w:top w:val="single" w:sz="4" w:space="0" w:color="auto"/>
              <w:bottom w:val="single" w:sz="4" w:space="0" w:color="auto"/>
            </w:tcBorders>
            <w:vAlign w:val="center"/>
          </w:tcPr>
          <w:p w14:paraId="0F08AE60" w14:textId="77777777" w:rsidR="00EE1D3A" w:rsidRPr="00963C14" w:rsidRDefault="00EE1D3A">
            <w:pPr>
              <w:pStyle w:val="a"/>
              <w:tabs>
                <w:tab w:val="left" w:pos="709"/>
                <w:tab w:val="left" w:pos="851"/>
                <w:tab w:val="num" w:pos="993"/>
              </w:tabs>
              <w:spacing w:line="276" w:lineRule="auto"/>
              <w:ind w:firstLine="0"/>
              <w:jc w:val="left"/>
              <w:rPr>
                <w:rFonts w:ascii="Arial" w:hAnsi="Arial" w:cs="Arial"/>
                <w:b/>
                <w:i w:val="0"/>
                <w:color w:val="11A795"/>
                <w:sz w:val="22"/>
                <w:szCs w:val="22"/>
              </w:rPr>
            </w:pPr>
            <w:r w:rsidRPr="00963C14">
              <w:rPr>
                <w:rFonts w:ascii="Arial" w:hAnsi="Arial" w:cs="Arial"/>
                <w:b/>
                <w:i w:val="0"/>
                <w:color w:val="000000"/>
                <w:sz w:val="22"/>
                <w:szCs w:val="22"/>
              </w:rPr>
              <w:t>III. Засгийн газрын бусад өр</w:t>
            </w:r>
          </w:p>
        </w:tc>
        <w:tc>
          <w:tcPr>
            <w:tcW w:w="2461" w:type="dxa"/>
            <w:tcBorders>
              <w:top w:val="single" w:sz="4" w:space="0" w:color="auto"/>
              <w:bottom w:val="single" w:sz="4" w:space="0" w:color="auto"/>
            </w:tcBorders>
            <w:vAlign w:val="center"/>
          </w:tcPr>
          <w:p w14:paraId="5B164E26"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11A795"/>
                <w:sz w:val="22"/>
                <w:szCs w:val="22"/>
              </w:rPr>
            </w:pPr>
            <w:r w:rsidRPr="00963C14">
              <w:rPr>
                <w:rFonts w:ascii="Arial" w:hAnsi="Arial" w:cs="Arial"/>
                <w:b/>
                <w:i w:val="0"/>
                <w:color w:val="000000"/>
                <w:sz w:val="22"/>
                <w:szCs w:val="22"/>
              </w:rPr>
              <w:t>1,287.7</w:t>
            </w:r>
          </w:p>
        </w:tc>
        <w:tc>
          <w:tcPr>
            <w:tcW w:w="2461" w:type="dxa"/>
            <w:gridSpan w:val="2"/>
            <w:tcBorders>
              <w:top w:val="single" w:sz="4" w:space="0" w:color="auto"/>
              <w:bottom w:val="single" w:sz="4" w:space="0" w:color="auto"/>
            </w:tcBorders>
            <w:vAlign w:val="center"/>
          </w:tcPr>
          <w:p w14:paraId="01C0E744"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11A795"/>
                <w:sz w:val="22"/>
                <w:szCs w:val="22"/>
              </w:rPr>
            </w:pPr>
            <w:r w:rsidRPr="00963C14">
              <w:rPr>
                <w:rFonts w:ascii="Arial" w:hAnsi="Arial" w:cs="Arial"/>
                <w:b/>
                <w:i w:val="0"/>
                <w:color w:val="000000"/>
                <w:sz w:val="22"/>
                <w:szCs w:val="22"/>
              </w:rPr>
              <w:t xml:space="preserve">266.0 </w:t>
            </w:r>
          </w:p>
        </w:tc>
      </w:tr>
      <w:tr w:rsidR="00EE1D3A" w:rsidRPr="00963C14" w14:paraId="25DD6EFA" w14:textId="77777777" w:rsidTr="00BF3426">
        <w:trPr>
          <w:trHeight w:val="263"/>
        </w:trPr>
        <w:tc>
          <w:tcPr>
            <w:tcW w:w="667" w:type="dxa"/>
            <w:tcBorders>
              <w:top w:val="single" w:sz="4" w:space="0" w:color="auto"/>
              <w:bottom w:val="single" w:sz="4" w:space="0" w:color="auto"/>
            </w:tcBorders>
          </w:tcPr>
          <w:p w14:paraId="7E988E39"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3.1</w:t>
            </w:r>
          </w:p>
        </w:tc>
        <w:tc>
          <w:tcPr>
            <w:tcW w:w="4030" w:type="dxa"/>
            <w:tcBorders>
              <w:top w:val="single" w:sz="4" w:space="0" w:color="auto"/>
              <w:bottom w:val="single" w:sz="4" w:space="0" w:color="auto"/>
            </w:tcBorders>
          </w:tcPr>
          <w:p w14:paraId="3D952209"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Засгийн газрын өрийн баталгаа</w:t>
            </w:r>
          </w:p>
        </w:tc>
        <w:tc>
          <w:tcPr>
            <w:tcW w:w="2461" w:type="dxa"/>
            <w:tcBorders>
              <w:top w:val="single" w:sz="4" w:space="0" w:color="auto"/>
              <w:bottom w:val="single" w:sz="4" w:space="0" w:color="auto"/>
            </w:tcBorders>
            <w:vAlign w:val="center"/>
          </w:tcPr>
          <w:p w14:paraId="1D477A87"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11A795"/>
                <w:sz w:val="22"/>
                <w:szCs w:val="22"/>
              </w:rPr>
            </w:pPr>
            <w:r w:rsidRPr="00963C14">
              <w:rPr>
                <w:rFonts w:ascii="Arial" w:hAnsi="Arial" w:cs="Arial"/>
                <w:i w:val="0"/>
                <w:color w:val="000000"/>
                <w:sz w:val="22"/>
                <w:szCs w:val="22"/>
              </w:rPr>
              <w:t>811.8</w:t>
            </w:r>
          </w:p>
        </w:tc>
        <w:tc>
          <w:tcPr>
            <w:tcW w:w="2461" w:type="dxa"/>
            <w:gridSpan w:val="2"/>
            <w:tcBorders>
              <w:top w:val="single" w:sz="4" w:space="0" w:color="auto"/>
              <w:bottom w:val="single" w:sz="4" w:space="0" w:color="auto"/>
            </w:tcBorders>
            <w:vAlign w:val="center"/>
          </w:tcPr>
          <w:p w14:paraId="5A345CEA"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11A795"/>
                <w:sz w:val="22"/>
                <w:szCs w:val="22"/>
              </w:rPr>
            </w:pPr>
            <w:r w:rsidRPr="00963C14">
              <w:rPr>
                <w:rFonts w:ascii="Arial" w:hAnsi="Arial" w:cs="Arial"/>
                <w:i w:val="0"/>
                <w:color w:val="000000"/>
                <w:sz w:val="22"/>
                <w:szCs w:val="22"/>
              </w:rPr>
              <w:t xml:space="preserve">29.5 </w:t>
            </w:r>
          </w:p>
        </w:tc>
      </w:tr>
      <w:tr w:rsidR="00EE1D3A" w:rsidRPr="00963C14" w14:paraId="282ADFC6" w14:textId="77777777" w:rsidTr="00BF3426">
        <w:trPr>
          <w:trHeight w:val="550"/>
        </w:trPr>
        <w:tc>
          <w:tcPr>
            <w:tcW w:w="667" w:type="dxa"/>
            <w:tcBorders>
              <w:top w:val="single" w:sz="4" w:space="0" w:color="auto"/>
              <w:bottom w:val="single" w:sz="4" w:space="0" w:color="auto"/>
            </w:tcBorders>
          </w:tcPr>
          <w:p w14:paraId="3AF72ADD"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3.2</w:t>
            </w:r>
          </w:p>
        </w:tc>
        <w:tc>
          <w:tcPr>
            <w:tcW w:w="4030" w:type="dxa"/>
            <w:tcBorders>
              <w:top w:val="single" w:sz="4" w:space="0" w:color="auto"/>
              <w:bottom w:val="single" w:sz="4" w:space="0" w:color="auto"/>
            </w:tcBorders>
          </w:tcPr>
          <w:p w14:paraId="3734230C"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"Барих-шилжүүлэх" төрлийн концесс</w:t>
            </w:r>
          </w:p>
        </w:tc>
        <w:tc>
          <w:tcPr>
            <w:tcW w:w="2461" w:type="dxa"/>
            <w:tcBorders>
              <w:top w:val="single" w:sz="4" w:space="0" w:color="auto"/>
              <w:bottom w:val="single" w:sz="4" w:space="0" w:color="auto"/>
            </w:tcBorders>
            <w:vAlign w:val="center"/>
          </w:tcPr>
          <w:p w14:paraId="66315721"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11A795"/>
                <w:sz w:val="22"/>
                <w:szCs w:val="22"/>
              </w:rPr>
            </w:pPr>
            <w:r w:rsidRPr="00963C14">
              <w:rPr>
                <w:rFonts w:ascii="Arial" w:hAnsi="Arial" w:cs="Arial"/>
                <w:i w:val="0"/>
                <w:color w:val="000000"/>
                <w:sz w:val="22"/>
                <w:szCs w:val="22"/>
              </w:rPr>
              <w:t>463.5</w:t>
            </w:r>
          </w:p>
        </w:tc>
        <w:tc>
          <w:tcPr>
            <w:tcW w:w="2461" w:type="dxa"/>
            <w:gridSpan w:val="2"/>
            <w:tcBorders>
              <w:top w:val="single" w:sz="4" w:space="0" w:color="auto"/>
              <w:bottom w:val="single" w:sz="4" w:space="0" w:color="auto"/>
            </w:tcBorders>
            <w:vAlign w:val="center"/>
          </w:tcPr>
          <w:p w14:paraId="0DE869AE"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11A795"/>
                <w:sz w:val="22"/>
                <w:szCs w:val="22"/>
              </w:rPr>
            </w:pPr>
            <w:r w:rsidRPr="00963C14">
              <w:rPr>
                <w:rFonts w:ascii="Arial" w:hAnsi="Arial" w:cs="Arial"/>
                <w:i w:val="0"/>
                <w:color w:val="000000"/>
                <w:sz w:val="22"/>
                <w:szCs w:val="22"/>
              </w:rPr>
              <w:t xml:space="preserve">236.5 </w:t>
            </w:r>
          </w:p>
        </w:tc>
      </w:tr>
      <w:tr w:rsidR="00EE1D3A" w:rsidRPr="00963C14" w14:paraId="7C49D8D1" w14:textId="77777777" w:rsidTr="00BF3426">
        <w:trPr>
          <w:trHeight w:val="263"/>
        </w:trPr>
        <w:tc>
          <w:tcPr>
            <w:tcW w:w="667" w:type="dxa"/>
            <w:tcBorders>
              <w:top w:val="single" w:sz="4" w:space="0" w:color="auto"/>
              <w:bottom w:val="single" w:sz="4" w:space="0" w:color="auto"/>
            </w:tcBorders>
          </w:tcPr>
          <w:p w14:paraId="0FD7852D"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3.3</w:t>
            </w:r>
          </w:p>
        </w:tc>
        <w:tc>
          <w:tcPr>
            <w:tcW w:w="4030" w:type="dxa"/>
            <w:tcBorders>
              <w:top w:val="single" w:sz="4" w:space="0" w:color="auto"/>
              <w:bottom w:val="single" w:sz="4" w:space="0" w:color="auto"/>
            </w:tcBorders>
          </w:tcPr>
          <w:p w14:paraId="5A1CC572" w14:textId="77777777" w:rsidR="00EE1D3A" w:rsidRPr="00963C14" w:rsidRDefault="00EE1D3A">
            <w:pPr>
              <w:pStyle w:val="a"/>
              <w:tabs>
                <w:tab w:val="left" w:pos="709"/>
                <w:tab w:val="left" w:pos="851"/>
                <w:tab w:val="num" w:pos="993"/>
              </w:tabs>
              <w:spacing w:line="276" w:lineRule="auto"/>
              <w:ind w:firstLine="0"/>
              <w:jc w:val="left"/>
              <w:rPr>
                <w:rFonts w:ascii="Arial" w:hAnsi="Arial" w:cs="Arial"/>
                <w:i w:val="0"/>
                <w:color w:val="11A795"/>
                <w:sz w:val="22"/>
                <w:szCs w:val="22"/>
              </w:rPr>
            </w:pPr>
            <w:r w:rsidRPr="00963C14">
              <w:rPr>
                <w:rFonts w:ascii="Arial" w:hAnsi="Arial" w:cs="Arial"/>
                <w:i w:val="0"/>
                <w:color w:val="000000"/>
                <w:sz w:val="22"/>
                <w:szCs w:val="22"/>
              </w:rPr>
              <w:t>Орон нутгийн зээллэг</w:t>
            </w:r>
          </w:p>
        </w:tc>
        <w:tc>
          <w:tcPr>
            <w:tcW w:w="2461" w:type="dxa"/>
            <w:tcBorders>
              <w:top w:val="single" w:sz="4" w:space="0" w:color="auto"/>
              <w:bottom w:val="single" w:sz="4" w:space="0" w:color="auto"/>
            </w:tcBorders>
            <w:vAlign w:val="center"/>
          </w:tcPr>
          <w:p w14:paraId="1CCF85CD"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11A795"/>
                <w:sz w:val="22"/>
                <w:szCs w:val="22"/>
              </w:rPr>
            </w:pPr>
            <w:r w:rsidRPr="00963C14">
              <w:rPr>
                <w:rFonts w:ascii="Arial" w:hAnsi="Arial" w:cs="Arial"/>
                <w:i w:val="0"/>
                <w:color w:val="000000"/>
                <w:sz w:val="22"/>
                <w:szCs w:val="22"/>
              </w:rPr>
              <w:t>12.3</w:t>
            </w:r>
          </w:p>
        </w:tc>
        <w:tc>
          <w:tcPr>
            <w:tcW w:w="2461" w:type="dxa"/>
            <w:gridSpan w:val="2"/>
            <w:tcBorders>
              <w:top w:val="single" w:sz="4" w:space="0" w:color="auto"/>
              <w:bottom w:val="single" w:sz="4" w:space="0" w:color="auto"/>
            </w:tcBorders>
            <w:vAlign w:val="center"/>
          </w:tcPr>
          <w:p w14:paraId="604CC5B7" w14:textId="77777777" w:rsidR="00EE1D3A" w:rsidRPr="00963C14" w:rsidRDefault="00EE1D3A">
            <w:pPr>
              <w:pStyle w:val="a"/>
              <w:tabs>
                <w:tab w:val="left" w:pos="709"/>
                <w:tab w:val="left" w:pos="851"/>
                <w:tab w:val="num" w:pos="993"/>
              </w:tabs>
              <w:spacing w:line="276" w:lineRule="auto"/>
              <w:ind w:firstLine="0"/>
              <w:jc w:val="right"/>
              <w:rPr>
                <w:rFonts w:ascii="Arial" w:hAnsi="Arial" w:cs="Arial"/>
                <w:i w:val="0"/>
                <w:color w:val="11A795"/>
                <w:sz w:val="22"/>
                <w:szCs w:val="22"/>
              </w:rPr>
            </w:pPr>
            <w:r w:rsidRPr="00963C14">
              <w:rPr>
                <w:rFonts w:ascii="Arial" w:hAnsi="Arial" w:cs="Arial"/>
                <w:i w:val="0"/>
                <w:color w:val="000000"/>
                <w:sz w:val="22"/>
                <w:szCs w:val="22"/>
              </w:rPr>
              <w:t>0.0</w:t>
            </w:r>
          </w:p>
        </w:tc>
      </w:tr>
      <w:tr w:rsidR="00EE1D3A" w:rsidRPr="00963C14" w14:paraId="729CBDCD" w14:textId="77777777" w:rsidTr="00BF3426">
        <w:trPr>
          <w:trHeight w:val="285"/>
        </w:trPr>
        <w:tc>
          <w:tcPr>
            <w:tcW w:w="4698" w:type="dxa"/>
            <w:gridSpan w:val="2"/>
            <w:tcBorders>
              <w:top w:val="single" w:sz="4" w:space="0" w:color="auto"/>
              <w:bottom w:val="single" w:sz="4" w:space="0" w:color="auto"/>
            </w:tcBorders>
            <w:vAlign w:val="center"/>
          </w:tcPr>
          <w:p w14:paraId="380FB3E0" w14:textId="77777777" w:rsidR="00EE1D3A" w:rsidRPr="00963C14" w:rsidRDefault="00EE1D3A">
            <w:pPr>
              <w:pStyle w:val="a"/>
              <w:tabs>
                <w:tab w:val="left" w:pos="709"/>
                <w:tab w:val="left" w:pos="851"/>
                <w:tab w:val="num" w:pos="993"/>
              </w:tabs>
              <w:spacing w:line="276" w:lineRule="auto"/>
              <w:ind w:firstLine="0"/>
              <w:jc w:val="left"/>
              <w:rPr>
                <w:rFonts w:ascii="Arial" w:hAnsi="Arial" w:cs="Arial"/>
                <w:b/>
                <w:i w:val="0"/>
                <w:color w:val="auto"/>
                <w:sz w:val="22"/>
                <w:szCs w:val="22"/>
              </w:rPr>
            </w:pPr>
            <w:r w:rsidRPr="00963C14">
              <w:rPr>
                <w:rFonts w:ascii="Arial" w:hAnsi="Arial" w:cs="Arial"/>
                <w:b/>
                <w:i w:val="0"/>
                <w:color w:val="auto"/>
                <w:sz w:val="22"/>
                <w:szCs w:val="22"/>
              </w:rPr>
              <w:t>ЗАСГИЙН ГАЗРЫН НИЙТ ӨР (I+II+III)</w:t>
            </w:r>
          </w:p>
        </w:tc>
        <w:tc>
          <w:tcPr>
            <w:tcW w:w="2461" w:type="dxa"/>
            <w:tcBorders>
              <w:top w:val="single" w:sz="4" w:space="0" w:color="auto"/>
              <w:bottom w:val="single" w:sz="4" w:space="0" w:color="auto"/>
            </w:tcBorders>
            <w:vAlign w:val="center"/>
          </w:tcPr>
          <w:p w14:paraId="4D746C38"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auto"/>
                <w:sz w:val="22"/>
                <w:szCs w:val="22"/>
              </w:rPr>
            </w:pPr>
            <w:r w:rsidRPr="00963C14">
              <w:rPr>
                <w:rFonts w:ascii="Arial" w:hAnsi="Arial" w:cs="Arial"/>
                <w:b/>
                <w:i w:val="0"/>
                <w:color w:val="auto"/>
                <w:sz w:val="22"/>
                <w:szCs w:val="22"/>
              </w:rPr>
              <w:t>31,964.8</w:t>
            </w:r>
          </w:p>
        </w:tc>
        <w:tc>
          <w:tcPr>
            <w:tcW w:w="2461" w:type="dxa"/>
            <w:gridSpan w:val="2"/>
            <w:tcBorders>
              <w:top w:val="single" w:sz="4" w:space="0" w:color="auto"/>
              <w:bottom w:val="single" w:sz="4" w:space="0" w:color="auto"/>
            </w:tcBorders>
            <w:vAlign w:val="center"/>
          </w:tcPr>
          <w:p w14:paraId="06688401"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auto"/>
                <w:sz w:val="22"/>
                <w:szCs w:val="22"/>
              </w:rPr>
            </w:pPr>
            <w:r w:rsidRPr="00963C14">
              <w:rPr>
                <w:rFonts w:ascii="Arial" w:hAnsi="Arial" w:cs="Arial"/>
                <w:b/>
                <w:i w:val="0"/>
                <w:color w:val="auto"/>
                <w:sz w:val="22"/>
                <w:szCs w:val="22"/>
              </w:rPr>
              <w:t>30,773.5</w:t>
            </w:r>
          </w:p>
        </w:tc>
      </w:tr>
      <w:tr w:rsidR="00EE1D3A" w:rsidRPr="00963C14" w14:paraId="0D15EA44" w14:textId="77777777" w:rsidTr="00BF3426">
        <w:trPr>
          <w:trHeight w:val="263"/>
        </w:trPr>
        <w:tc>
          <w:tcPr>
            <w:tcW w:w="4698" w:type="dxa"/>
            <w:gridSpan w:val="2"/>
            <w:tcBorders>
              <w:top w:val="single" w:sz="4" w:space="0" w:color="auto"/>
              <w:bottom w:val="single" w:sz="4" w:space="0" w:color="auto"/>
            </w:tcBorders>
            <w:vAlign w:val="center"/>
          </w:tcPr>
          <w:p w14:paraId="022A5E75" w14:textId="77777777" w:rsidR="00EE1D3A" w:rsidRPr="00963C14" w:rsidRDefault="00EE1D3A">
            <w:pPr>
              <w:pStyle w:val="a"/>
              <w:tabs>
                <w:tab w:val="left" w:pos="709"/>
                <w:tab w:val="left" w:pos="851"/>
                <w:tab w:val="num" w:pos="993"/>
              </w:tabs>
              <w:spacing w:line="276" w:lineRule="auto"/>
              <w:ind w:firstLine="0"/>
              <w:jc w:val="left"/>
              <w:rPr>
                <w:rFonts w:ascii="Arial" w:hAnsi="Arial" w:cs="Arial"/>
                <w:b/>
                <w:i w:val="0"/>
                <w:color w:val="auto"/>
                <w:sz w:val="22"/>
                <w:szCs w:val="22"/>
              </w:rPr>
            </w:pPr>
            <w:r w:rsidRPr="00963C14">
              <w:rPr>
                <w:rFonts w:ascii="Arial" w:hAnsi="Arial" w:cs="Arial"/>
                <w:b/>
                <w:i w:val="0"/>
                <w:color w:val="auto"/>
                <w:sz w:val="22"/>
                <w:szCs w:val="22"/>
              </w:rPr>
              <w:t>Хуулиар тогтоосон өрийн хязгаар</w:t>
            </w:r>
          </w:p>
        </w:tc>
        <w:tc>
          <w:tcPr>
            <w:tcW w:w="2461" w:type="dxa"/>
            <w:tcBorders>
              <w:top w:val="single" w:sz="4" w:space="0" w:color="auto"/>
              <w:bottom w:val="single" w:sz="4" w:space="0" w:color="auto"/>
            </w:tcBorders>
            <w:vAlign w:val="center"/>
          </w:tcPr>
          <w:p w14:paraId="2E766115"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auto"/>
                <w:sz w:val="22"/>
                <w:szCs w:val="22"/>
              </w:rPr>
            </w:pPr>
            <w:r w:rsidRPr="00963C14">
              <w:rPr>
                <w:rFonts w:ascii="Arial" w:hAnsi="Arial" w:cs="Arial"/>
                <w:b/>
                <w:i w:val="0"/>
                <w:color w:val="auto"/>
                <w:sz w:val="22"/>
                <w:szCs w:val="22"/>
              </w:rPr>
              <w:t>70.0%</w:t>
            </w:r>
          </w:p>
        </w:tc>
        <w:tc>
          <w:tcPr>
            <w:tcW w:w="2461" w:type="dxa"/>
            <w:gridSpan w:val="2"/>
            <w:tcBorders>
              <w:top w:val="single" w:sz="4" w:space="0" w:color="auto"/>
              <w:bottom w:val="single" w:sz="4" w:space="0" w:color="auto"/>
            </w:tcBorders>
            <w:vAlign w:val="center"/>
          </w:tcPr>
          <w:p w14:paraId="0E772D6A"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auto"/>
                <w:sz w:val="22"/>
                <w:szCs w:val="22"/>
              </w:rPr>
            </w:pPr>
            <w:r w:rsidRPr="00963C14">
              <w:rPr>
                <w:rFonts w:ascii="Arial" w:hAnsi="Arial" w:cs="Arial"/>
                <w:b/>
                <w:i w:val="0"/>
                <w:color w:val="auto"/>
                <w:sz w:val="22"/>
                <w:szCs w:val="22"/>
              </w:rPr>
              <w:t>70.0%</w:t>
            </w:r>
          </w:p>
        </w:tc>
      </w:tr>
      <w:tr w:rsidR="00EE1D3A" w:rsidRPr="00963C14" w14:paraId="7E4ECE2F" w14:textId="77777777" w:rsidTr="002B5C1F">
        <w:trPr>
          <w:gridAfter w:val="1"/>
          <w:wAfter w:w="158" w:type="dxa"/>
          <w:trHeight w:val="263"/>
        </w:trPr>
        <w:tc>
          <w:tcPr>
            <w:tcW w:w="4698" w:type="dxa"/>
            <w:gridSpan w:val="2"/>
            <w:tcBorders>
              <w:top w:val="single" w:sz="4" w:space="0" w:color="auto"/>
              <w:bottom w:val="single" w:sz="4" w:space="0" w:color="auto"/>
            </w:tcBorders>
            <w:vAlign w:val="center"/>
          </w:tcPr>
          <w:p w14:paraId="1CC8F35E" w14:textId="77777777" w:rsidR="00EE1D3A" w:rsidRPr="00963C14" w:rsidRDefault="00EE1D3A">
            <w:pPr>
              <w:pStyle w:val="a"/>
              <w:tabs>
                <w:tab w:val="left" w:pos="709"/>
                <w:tab w:val="left" w:pos="851"/>
                <w:tab w:val="num" w:pos="993"/>
              </w:tabs>
              <w:spacing w:line="276" w:lineRule="auto"/>
              <w:ind w:firstLine="0"/>
              <w:jc w:val="left"/>
              <w:rPr>
                <w:rFonts w:ascii="Arial" w:hAnsi="Arial" w:cs="Arial"/>
                <w:b/>
                <w:i w:val="0"/>
                <w:color w:val="auto"/>
                <w:sz w:val="22"/>
                <w:szCs w:val="22"/>
              </w:rPr>
            </w:pPr>
            <w:r w:rsidRPr="00963C14">
              <w:rPr>
                <w:rFonts w:ascii="Arial" w:hAnsi="Arial" w:cs="Arial"/>
                <w:b/>
                <w:i w:val="0"/>
                <w:color w:val="auto"/>
                <w:sz w:val="22"/>
                <w:szCs w:val="22"/>
              </w:rPr>
              <w:t>Засгийн газрын өр (ӨҮЦ) / ДНБ</w:t>
            </w:r>
          </w:p>
        </w:tc>
        <w:tc>
          <w:tcPr>
            <w:tcW w:w="2461" w:type="dxa"/>
            <w:tcBorders>
              <w:top w:val="single" w:sz="4" w:space="0" w:color="auto"/>
              <w:bottom w:val="single" w:sz="4" w:space="0" w:color="auto"/>
            </w:tcBorders>
            <w:vAlign w:val="center"/>
          </w:tcPr>
          <w:p w14:paraId="642D2D9F"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auto"/>
                <w:sz w:val="22"/>
                <w:szCs w:val="22"/>
              </w:rPr>
            </w:pPr>
            <w:r w:rsidRPr="00963C14">
              <w:rPr>
                <w:rFonts w:ascii="Arial" w:hAnsi="Arial" w:cs="Arial"/>
                <w:b/>
                <w:i w:val="0"/>
                <w:color w:val="auto"/>
                <w:sz w:val="22"/>
                <w:szCs w:val="22"/>
              </w:rPr>
              <w:t>52.4%</w:t>
            </w:r>
          </w:p>
        </w:tc>
        <w:tc>
          <w:tcPr>
            <w:tcW w:w="2461" w:type="dxa"/>
            <w:tcBorders>
              <w:top w:val="single" w:sz="4" w:space="0" w:color="auto"/>
              <w:bottom w:val="single" w:sz="4" w:space="0" w:color="auto"/>
            </w:tcBorders>
            <w:vAlign w:val="center"/>
          </w:tcPr>
          <w:p w14:paraId="343C09C0" w14:textId="77777777" w:rsidR="00EE1D3A" w:rsidRPr="00963C14" w:rsidRDefault="00EE1D3A">
            <w:pPr>
              <w:pStyle w:val="a"/>
              <w:tabs>
                <w:tab w:val="left" w:pos="709"/>
                <w:tab w:val="left" w:pos="851"/>
                <w:tab w:val="num" w:pos="993"/>
              </w:tabs>
              <w:spacing w:line="276" w:lineRule="auto"/>
              <w:ind w:firstLine="0"/>
              <w:jc w:val="right"/>
              <w:rPr>
                <w:rFonts w:ascii="Arial" w:hAnsi="Arial" w:cs="Arial"/>
                <w:b/>
                <w:i w:val="0"/>
                <w:color w:val="auto"/>
                <w:sz w:val="22"/>
                <w:szCs w:val="22"/>
              </w:rPr>
            </w:pPr>
            <w:r w:rsidRPr="00963C14">
              <w:rPr>
                <w:rFonts w:ascii="Arial" w:hAnsi="Arial" w:cs="Arial"/>
                <w:b/>
                <w:i w:val="0"/>
                <w:color w:val="auto"/>
                <w:sz w:val="22"/>
                <w:szCs w:val="22"/>
              </w:rPr>
              <w:t>38.6%</w:t>
            </w:r>
          </w:p>
        </w:tc>
      </w:tr>
    </w:tbl>
    <w:p w14:paraId="3048CD32" w14:textId="403325AA" w:rsidR="00EE1D3A" w:rsidRPr="00963C14" w:rsidRDefault="00EE1D3A" w:rsidP="00180C57">
      <w:pPr>
        <w:spacing w:after="288"/>
        <w:ind w:right="360"/>
        <w:jc w:val="left"/>
        <w:rPr>
          <w:rStyle w:val="normaltextrun"/>
          <w:rFonts w:cs="Arial"/>
          <w:i/>
          <w:sz w:val="14"/>
          <w:szCs w:val="14"/>
          <w:shd w:val="clear" w:color="auto" w:fill="FFFFFF"/>
        </w:rPr>
      </w:pPr>
      <w:r w:rsidRPr="00963C14">
        <w:rPr>
          <w:rStyle w:val="normaltextrun"/>
          <w:rFonts w:cs="Arial"/>
          <w:i/>
          <w:color w:val="002060"/>
          <w:sz w:val="14"/>
          <w:szCs w:val="14"/>
          <w:shd w:val="clear" w:color="auto" w:fill="FFFFFF"/>
        </w:rPr>
        <w:t xml:space="preserve"> </w:t>
      </w:r>
      <w:r w:rsidR="007E04D2" w:rsidRPr="00963C14">
        <w:rPr>
          <w:rStyle w:val="normaltextrun"/>
          <w:rFonts w:cs="Arial"/>
          <w:i/>
          <w:sz w:val="14"/>
          <w:szCs w:val="14"/>
          <w:shd w:val="clear" w:color="auto" w:fill="FFFFFF"/>
        </w:rPr>
        <w:t xml:space="preserve">Тэмдэглэл: </w:t>
      </w:r>
      <w:r w:rsidR="00180C57" w:rsidRPr="00963C14">
        <w:rPr>
          <w:rStyle w:val="normaltextrun"/>
          <w:rFonts w:cs="Arial"/>
          <w:i/>
          <w:sz w:val="14"/>
          <w:szCs w:val="14"/>
          <w:shd w:val="clear" w:color="auto" w:fill="FFFFFF"/>
        </w:rPr>
        <w:t>2023</w:t>
      </w:r>
      <w:r w:rsidRPr="00963C14">
        <w:rPr>
          <w:rStyle w:val="normaltextrun"/>
          <w:rFonts w:cs="Arial"/>
          <w:i/>
          <w:sz w:val="14"/>
          <w:szCs w:val="14"/>
          <w:shd w:val="clear" w:color="auto" w:fill="FFFFFF"/>
        </w:rPr>
        <w:t>*</w:t>
      </w:r>
      <w:r w:rsidR="00180C57" w:rsidRPr="00963C14">
        <w:rPr>
          <w:rStyle w:val="normaltextrun"/>
          <w:rFonts w:cs="Arial"/>
          <w:i/>
          <w:sz w:val="14"/>
          <w:szCs w:val="14"/>
          <w:shd w:val="clear" w:color="auto" w:fill="FFFFFF"/>
        </w:rPr>
        <w:t xml:space="preserve"> оны у</w:t>
      </w:r>
      <w:r w:rsidRPr="00963C14">
        <w:rPr>
          <w:rStyle w:val="normaltextrun"/>
          <w:rFonts w:cs="Arial"/>
          <w:i/>
          <w:sz w:val="14"/>
          <w:szCs w:val="14"/>
          <w:shd w:val="clear" w:color="auto" w:fill="FFFFFF"/>
        </w:rPr>
        <w:t>рьдчилсан гүйцэтгэлээр</w:t>
      </w:r>
    </w:p>
    <w:p w14:paraId="73F4D532" w14:textId="77777777" w:rsidR="00EE1D3A" w:rsidRPr="00963C14" w:rsidRDefault="00EE1D3A" w:rsidP="00EE1D3A">
      <w:pPr>
        <w:pStyle w:val="ListParagraph"/>
        <w:snapToGrid w:val="0"/>
        <w:spacing w:before="120" w:afterLines="0"/>
        <w:ind w:left="0" w:right="80"/>
        <w:contextualSpacing w:val="0"/>
        <w:rPr>
          <w:rStyle w:val="normaltextrun"/>
          <w:rFonts w:cs="Arial"/>
          <w:color w:val="000000" w:themeColor="text1"/>
          <w:szCs w:val="24"/>
          <w:shd w:val="clear" w:color="auto" w:fill="FFFFFF"/>
        </w:rPr>
      </w:pPr>
      <w:r w:rsidRPr="00963C14">
        <w:rPr>
          <w:rStyle w:val="normaltextrun"/>
          <w:rFonts w:cs="Arial"/>
          <w:color w:val="000000" w:themeColor="text1"/>
          <w:szCs w:val="24"/>
          <w:shd w:val="clear" w:color="auto" w:fill="FFFFFF"/>
        </w:rPr>
        <w:t xml:space="preserve">Засгийн газрын өрийн буурсан голлох шалтгаан нь МУХБ-ны Япон Улсын санхүүгийн зах зээлд Засгийн газрын өрийн баталгаатайгаар гаргасан “Самурай” бонд банкны өөрийн эх үүсвэрээс бүрэн төлөгдсөн бөгөөд Монгол Улсын нэгдсэн төсвийн тэнцвэржүүлсэн тэнцэл 2023 оны урьдчилсан гүйцэтгэлээр 763.4 тэрбум төгрөгийн ашигтай гарсантай холбоотой байна. </w:t>
      </w:r>
    </w:p>
    <w:p w14:paraId="500F6A6D" w14:textId="6C02C929" w:rsidR="008359FA" w:rsidRPr="00963C14" w:rsidRDefault="008359FA" w:rsidP="00BF6F8E">
      <w:pPr>
        <w:pStyle w:val="Heading3"/>
        <w:spacing w:after="288"/>
        <w:rPr>
          <w:rFonts w:ascii="Arial" w:hAnsi="Arial" w:cs="Arial"/>
          <w:color w:val="auto"/>
        </w:rPr>
      </w:pPr>
      <w:bookmarkStart w:id="111" w:name="_Toc165299401"/>
      <w:r w:rsidRPr="00963C14">
        <w:rPr>
          <w:rFonts w:ascii="Arial" w:hAnsi="Arial" w:cs="Arial"/>
          <w:color w:val="auto"/>
        </w:rPr>
        <w:t>6.1.3. Засгийн газрын гадаад зээл</w:t>
      </w:r>
      <w:bookmarkEnd w:id="111"/>
    </w:p>
    <w:p w14:paraId="363E3FAF" w14:textId="77777777" w:rsidR="00D12C17" w:rsidRPr="00963C14" w:rsidRDefault="00D12C17" w:rsidP="00103969">
      <w:pPr>
        <w:spacing w:after="288"/>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Монгол Улсын Засгийн газрын зүгээс 1991 оноос 2023 оны хооронд нийт 8,706.3 сая ам.доллартой тэнцэх хэмжээний зээлийн хөрөнгийг 22 зээлдүүлэгчээс 340 төсөл хөтөлбөрт зарцуулсан байдаг. Үүнээс 2023 оны жилийн эцсийн урьдчилсан гүйцэтгэлээр нийтдээ 2,163.9 сая ам.долларыг эргэн төлж 6,128.3 сая ам.доллартой тэнцэх үлдэгдэлтэй байна.</w:t>
      </w:r>
    </w:p>
    <w:p w14:paraId="071A39D4" w14:textId="60B1A101" w:rsidR="006934C8" w:rsidRPr="00963C14" w:rsidRDefault="00103969" w:rsidP="00F2115F">
      <w:pPr>
        <w:spacing w:after="288"/>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1991 оноос хойш авч ашигласан гадаад зээлийн хөрөнгийг төслийн зээлийн хүрээнд нийт 6,203.0 сая ам.доллар, хөтөлбөрийн зээлийн хүрээнд 2,559.4 сая ам.доллартой тэнцэх хэмжээний хөрөнгийг авч ашигласан бөгөөд гадаад төслийн зээлийн ашиглалтын 39.5 хувийг барилгын ажил, 26.2 хувийг тоног төхөөрөмж, 14.4 хувийг үйл ажиллагааны зардал, 12.7 хувийг зөвлөх үйлчилгээний зардалд, 5.1 хувийг магадалшгүй зардалд, үлдсэн 2.1 хувийг санхүүгийн шимтгэлд зарцуулсан байна.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180C57" w:rsidRPr="00963C14" w14:paraId="5EAEDC9D" w14:textId="77777777" w:rsidTr="00CD4138">
        <w:tc>
          <w:tcPr>
            <w:tcW w:w="9570" w:type="dxa"/>
            <w:tcBorders>
              <w:bottom w:val="single" w:sz="4" w:space="0" w:color="auto"/>
            </w:tcBorders>
          </w:tcPr>
          <w:p w14:paraId="16629305" w14:textId="23BA623B" w:rsidR="00180C57" w:rsidRPr="00963C14" w:rsidRDefault="00180C57" w:rsidP="00180C57">
            <w:pPr>
              <w:snapToGrid w:val="0"/>
              <w:spacing w:afterLines="0" w:after="0"/>
              <w:rPr>
                <w:rStyle w:val="normaltextrun"/>
                <w:rFonts w:eastAsia="Times New Roman"/>
                <w:i/>
                <w:color w:val="055957"/>
                <w:kern w:val="0"/>
                <w:sz w:val="20"/>
                <w:szCs w:val="28"/>
              </w:rPr>
            </w:pPr>
            <w:r w:rsidRPr="00963C14">
              <w:rPr>
                <w:rFonts w:eastAsia="Times New Roman" w:cs="Arial"/>
                <w:i/>
                <w:color w:val="055957"/>
                <w:kern w:val="0"/>
                <w:sz w:val="20"/>
                <w:szCs w:val="28"/>
              </w:rPr>
              <w:t>Зураг 6.3. Гадаад зээлийн ашиглалтыг салбар болон зориулалтаар, (2023.12.31-УГ)</w:t>
            </w:r>
          </w:p>
        </w:tc>
      </w:tr>
      <w:tr w:rsidR="00180C57" w:rsidRPr="00963C14" w14:paraId="73C3235E" w14:textId="77777777" w:rsidTr="00CD4138">
        <w:tc>
          <w:tcPr>
            <w:tcW w:w="9570" w:type="dxa"/>
            <w:tcBorders>
              <w:top w:val="single" w:sz="4" w:space="0" w:color="auto"/>
            </w:tcBorders>
          </w:tcPr>
          <w:p w14:paraId="75525CE8" w14:textId="0CB78414" w:rsidR="00180C57" w:rsidRPr="00963C14" w:rsidRDefault="00180C57" w:rsidP="00F2115F">
            <w:pPr>
              <w:spacing w:after="288"/>
              <w:rPr>
                <w:rStyle w:val="normaltextrun"/>
                <w:rFonts w:cs="Arial"/>
                <w:color w:val="000000" w:themeColor="text1"/>
                <w:shd w:val="clear" w:color="auto" w:fill="FFFFFF"/>
              </w:rPr>
            </w:pPr>
            <w:r w:rsidRPr="00963C14">
              <w:rPr>
                <w:noProof/>
              </w:rPr>
              <w:drawing>
                <wp:inline distT="0" distB="0" distL="0" distR="0" wp14:anchorId="7752B20D" wp14:editId="0DB9D1ED">
                  <wp:extent cx="6143625" cy="2452254"/>
                  <wp:effectExtent l="0" t="0" r="0" b="0"/>
                  <wp:docPr id="484024140" name="Chart 484024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180C57" w:rsidRPr="00963C14" w14:paraId="0B42C772" w14:textId="77777777" w:rsidTr="00CD4138">
        <w:trPr>
          <w:trHeight w:val="20"/>
        </w:trPr>
        <w:tc>
          <w:tcPr>
            <w:tcW w:w="9570" w:type="dxa"/>
            <w:tcBorders>
              <w:bottom w:val="single" w:sz="4" w:space="0" w:color="auto"/>
            </w:tcBorders>
          </w:tcPr>
          <w:p w14:paraId="2030CD5A" w14:textId="194DC6A5" w:rsidR="00180C57" w:rsidRPr="00963C14" w:rsidRDefault="00180C57" w:rsidP="00180C57">
            <w:pPr>
              <w:pStyle w:val="a"/>
              <w:tabs>
                <w:tab w:val="left" w:pos="709"/>
                <w:tab w:val="left" w:pos="851"/>
                <w:tab w:val="num" w:pos="993"/>
              </w:tabs>
              <w:spacing w:line="276" w:lineRule="auto"/>
              <w:ind w:firstLine="0"/>
              <w:jc w:val="right"/>
              <w:rPr>
                <w:rStyle w:val="normaltextrun"/>
                <w:rFonts w:ascii="Arial" w:hAnsi="Arial" w:cs="Arial"/>
                <w:color w:val="auto"/>
                <w:sz w:val="14"/>
                <w:szCs w:val="14"/>
              </w:rPr>
            </w:pPr>
            <w:r w:rsidRPr="00963C14">
              <w:rPr>
                <w:rFonts w:ascii="Arial" w:hAnsi="Arial" w:cs="Arial"/>
                <w:color w:val="auto"/>
                <w:sz w:val="14"/>
                <w:szCs w:val="14"/>
              </w:rPr>
              <w:t>Эх сурвалж: Сангийн яам</w:t>
            </w:r>
          </w:p>
        </w:tc>
      </w:tr>
    </w:tbl>
    <w:p w14:paraId="0EEE0A4D" w14:textId="77777777" w:rsidR="00682B51" w:rsidRPr="00963C14" w:rsidRDefault="00682B51" w:rsidP="00682B51">
      <w:pPr>
        <w:pStyle w:val="a"/>
        <w:tabs>
          <w:tab w:val="left" w:pos="709"/>
          <w:tab w:val="left" w:pos="851"/>
          <w:tab w:val="num" w:pos="993"/>
        </w:tabs>
        <w:spacing w:line="276" w:lineRule="auto"/>
        <w:ind w:firstLine="0"/>
        <w:jc w:val="right"/>
        <w:rPr>
          <w:rFonts w:ascii="Arial" w:hAnsi="Arial" w:cs="Arial"/>
          <w:color w:val="auto"/>
          <w:sz w:val="16"/>
          <w:szCs w:val="16"/>
        </w:rPr>
      </w:pPr>
    </w:p>
    <w:p w14:paraId="1F0025E5" w14:textId="77777777" w:rsidR="00244C61" w:rsidRPr="00963C14" w:rsidRDefault="00244C61" w:rsidP="00244C61">
      <w:pPr>
        <w:spacing w:before="120" w:afterLines="0"/>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 xml:space="preserve">Засгийн газрын гадаад төслийн зээлийн ашиглалтын 46.6 хувийг дэд бүтцэд, 29.2 хувийг эргэлтийн хөрөнгөд, үлдсэн 24.1 хувийг нийгмийн чанартай төсөл хөтөлбөрүүдэд зарцуулжээ. Дэд бүтцийн салбарын 86.8 хувийг зам, тээврийн салбар, үлдсэн 13.2 хувийг уул уурхай, эрчим хүчний салбарууд тус тус эзэлж байна. </w:t>
      </w:r>
    </w:p>
    <w:p w14:paraId="63BA8972" w14:textId="77777777" w:rsidR="00244C61" w:rsidRPr="00963C14" w:rsidRDefault="00244C61" w:rsidP="00244C61">
      <w:pPr>
        <w:spacing w:before="120" w:afterLines="0"/>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Засгийн газрын гадаад зээлийн үлдэгдэл нийт 20.4 их наяд төгрөг буюу Засгийн газрын өрийн 67.9 хувийг эзэлж байгаа хамгийн том өрийн хэрэгсэл боловч үүнээс гадна ашиглагдаагүй үлдэгдэл болон хэлэлцээрт байгаа төслийн зээлийн хэмжээ 20.5 их наяд төгрөгтэй тэнцэж байна.</w:t>
      </w:r>
    </w:p>
    <w:p w14:paraId="0637D0A8" w14:textId="77777777" w:rsidR="00244C61" w:rsidRPr="00963C14" w:rsidRDefault="00244C61" w:rsidP="00244C61">
      <w:pPr>
        <w:spacing w:before="120" w:afterLines="0"/>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Энэхүү ашиглагдаагүй үлдэгдэлд жил бүр хөрөнгө нөөцлөн баталгаажуулсны төлбөр төлдөг бөгөөд гэрээ байгуулсан төслүүдэд нийт 29 тэрбум төгрөгийг төлөхөөр байна. Түүнчлэн, хэлэлцээрт байгаа төслүүдийг авч ашигласнаар улсын төсвийн зарлагад эзлэх гадаад зээлийн ашиглалтын хэмжээний хязгаартай байдлаас шалтгаалж төслийн хэрэгжилт удаашрах эрсдэлт өндөр байна.</w:t>
      </w:r>
    </w:p>
    <w:p w14:paraId="6D80D00B" w14:textId="2C85C7BC" w:rsidR="006C2C65" w:rsidRPr="00963C14" w:rsidRDefault="006C2C65" w:rsidP="00811047">
      <w:pPr>
        <w:pStyle w:val="Heading3"/>
        <w:spacing w:after="288"/>
        <w:rPr>
          <w:rFonts w:ascii="Arial" w:hAnsi="Arial" w:cs="Arial"/>
          <w:color w:val="auto"/>
        </w:rPr>
      </w:pPr>
      <w:bookmarkStart w:id="112" w:name="_Toc165299402"/>
      <w:r w:rsidRPr="00963C14">
        <w:rPr>
          <w:rFonts w:ascii="Arial" w:hAnsi="Arial" w:cs="Arial"/>
          <w:color w:val="auto"/>
        </w:rPr>
        <w:t>6.1.4. Засгийн газрын гадаад үнэт цаас</w:t>
      </w:r>
      <w:bookmarkEnd w:id="112"/>
    </w:p>
    <w:p w14:paraId="6324B221" w14:textId="5B35CD78" w:rsidR="000008D6" w:rsidRPr="00963C14" w:rsidRDefault="000008D6" w:rsidP="00F96F21">
      <w:pPr>
        <w:spacing w:before="120" w:afterLines="0"/>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Засгийн газраас олон улсын зах зээлд арилжаалсан гадаад үнэт цаасны үлдэгдэл 2023 оны жилийн эцсийн урьдчилсан гүйцэтгэлээр 9,371.7 тэрбум төгрөг буюу 2,747.8 сая ам.доллартой тэнцэж байна</w:t>
      </w:r>
      <w:r w:rsidR="00494110" w:rsidRPr="00963C14">
        <w:rPr>
          <w:rStyle w:val="normaltextrun"/>
          <w:rFonts w:cs="Arial"/>
          <w:color w:val="000000" w:themeColor="text1"/>
          <w:shd w:val="clear" w:color="auto" w:fill="FFFFFF"/>
        </w:rPr>
        <w:t>.</w:t>
      </w:r>
      <w:r w:rsidRPr="00963C14">
        <w:rPr>
          <w:rStyle w:val="normaltextrun"/>
          <w:rFonts w:cs="Arial"/>
          <w:color w:val="000000" w:themeColor="text1"/>
          <w:shd w:val="clear" w:color="auto" w:fill="FFFFFF"/>
        </w:rPr>
        <w:t xml:space="preserve"> </w:t>
      </w:r>
    </w:p>
    <w:p w14:paraId="2C15ED49" w14:textId="739C5465" w:rsidR="00190A7E" w:rsidRPr="00963C14" w:rsidRDefault="00190A7E" w:rsidP="00190A7E">
      <w:pPr>
        <w:pStyle w:val="a"/>
        <w:tabs>
          <w:tab w:val="left" w:pos="709"/>
          <w:tab w:val="left" w:pos="851"/>
          <w:tab w:val="num" w:pos="993"/>
        </w:tabs>
        <w:spacing w:before="240" w:line="276" w:lineRule="auto"/>
        <w:ind w:firstLine="0"/>
        <w:jc w:val="left"/>
        <w:rPr>
          <w:rFonts w:ascii="Arial" w:hAnsi="Arial" w:cs="Arial"/>
          <w:color w:val="11A795"/>
        </w:rPr>
      </w:pPr>
      <w:r w:rsidRPr="00963C14">
        <w:rPr>
          <w:rFonts w:ascii="Arial" w:hAnsi="Arial" w:cs="Arial"/>
          <w:color w:val="055957"/>
          <w:sz w:val="20"/>
          <w:szCs w:val="28"/>
        </w:rPr>
        <w:t xml:space="preserve">Хүснэгт 6.2. Гадаад үнэт цаас, 2023.12.31-УГ </w:t>
      </w:r>
      <w:r w:rsidRPr="00963C14">
        <w:rPr>
          <w:rFonts w:ascii="Arial" w:hAnsi="Arial" w:cs="Arial"/>
          <w:color w:val="11A795"/>
          <w:sz w:val="20"/>
          <w:szCs w:val="28"/>
        </w:rPr>
        <w:t>(</w:t>
      </w:r>
      <w:r w:rsidRPr="00963C14">
        <w:rPr>
          <w:rFonts w:ascii="Arial" w:hAnsi="Arial" w:cs="Arial"/>
          <w:color w:val="055957"/>
          <w:sz w:val="20"/>
          <w:szCs w:val="28"/>
        </w:rPr>
        <w:t>тэрбум төгрөг</w:t>
      </w:r>
      <w:r w:rsidRPr="00963C14">
        <w:rPr>
          <w:rFonts w:ascii="Arial" w:hAnsi="Arial" w:cs="Arial"/>
          <w:color w:val="11A795"/>
          <w:sz w:val="20"/>
          <w:szCs w:val="28"/>
        </w:rPr>
        <w:t>)</w:t>
      </w:r>
    </w:p>
    <w:tbl>
      <w:tblPr>
        <w:tblStyle w:val="TableGrid"/>
        <w:tblW w:w="9285"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2833"/>
        <w:gridCol w:w="1811"/>
        <w:gridCol w:w="1867"/>
        <w:gridCol w:w="2004"/>
      </w:tblGrid>
      <w:tr w:rsidR="00756563" w:rsidRPr="00963C14" w14:paraId="6A7C4654" w14:textId="77777777" w:rsidTr="002E3787">
        <w:trPr>
          <w:trHeight w:val="156"/>
        </w:trPr>
        <w:tc>
          <w:tcPr>
            <w:tcW w:w="770" w:type="dxa"/>
            <w:shd w:val="clear" w:color="auto" w:fill="11A795"/>
            <w:noWrap/>
            <w:vAlign w:val="center"/>
            <w:hideMark/>
          </w:tcPr>
          <w:p w14:paraId="04163EC1" w14:textId="77777777" w:rsidR="00756563" w:rsidRPr="00963C14" w:rsidRDefault="00756563" w:rsidP="00756563">
            <w:pPr>
              <w:snapToGrid w:val="0"/>
              <w:spacing w:afterLines="0" w:after="0"/>
              <w:jc w:val="center"/>
              <w:rPr>
                <w:b/>
                <w:color w:val="FFFFFF" w:themeColor="background1"/>
              </w:rPr>
            </w:pPr>
            <w:r w:rsidRPr="00963C14">
              <w:rPr>
                <w:b/>
                <w:color w:val="FFFFFF" w:themeColor="background1"/>
              </w:rPr>
              <w:t>№</w:t>
            </w:r>
          </w:p>
        </w:tc>
        <w:tc>
          <w:tcPr>
            <w:tcW w:w="2833" w:type="dxa"/>
            <w:shd w:val="clear" w:color="auto" w:fill="11A795"/>
            <w:noWrap/>
            <w:vAlign w:val="center"/>
            <w:hideMark/>
          </w:tcPr>
          <w:p w14:paraId="64722A88" w14:textId="77777777" w:rsidR="00756563" w:rsidRPr="00963C14" w:rsidRDefault="00756563" w:rsidP="00756563">
            <w:pPr>
              <w:snapToGrid w:val="0"/>
              <w:spacing w:afterLines="0" w:after="0"/>
              <w:jc w:val="center"/>
              <w:rPr>
                <w:b/>
                <w:color w:val="FFFFFF" w:themeColor="background1"/>
              </w:rPr>
            </w:pPr>
            <w:r w:rsidRPr="00963C14">
              <w:rPr>
                <w:b/>
                <w:color w:val="FFFFFF" w:themeColor="background1"/>
              </w:rPr>
              <w:t>Гадаад үнэт цаас</w:t>
            </w:r>
          </w:p>
        </w:tc>
        <w:tc>
          <w:tcPr>
            <w:tcW w:w="1811" w:type="dxa"/>
            <w:shd w:val="clear" w:color="auto" w:fill="11A795"/>
            <w:noWrap/>
            <w:vAlign w:val="center"/>
            <w:hideMark/>
          </w:tcPr>
          <w:p w14:paraId="0AD69AFF" w14:textId="77777777" w:rsidR="00756563" w:rsidRPr="00963C14" w:rsidRDefault="00756563" w:rsidP="00756563">
            <w:pPr>
              <w:snapToGrid w:val="0"/>
              <w:spacing w:afterLines="0" w:after="0"/>
              <w:jc w:val="center"/>
              <w:rPr>
                <w:b/>
                <w:color w:val="FFFFFF" w:themeColor="background1"/>
              </w:rPr>
            </w:pPr>
            <w:r w:rsidRPr="00963C14">
              <w:rPr>
                <w:b/>
                <w:color w:val="FFFFFF" w:themeColor="background1"/>
              </w:rPr>
              <w:t>Хүү</w:t>
            </w:r>
          </w:p>
        </w:tc>
        <w:tc>
          <w:tcPr>
            <w:tcW w:w="1865" w:type="dxa"/>
            <w:shd w:val="clear" w:color="auto" w:fill="11A795"/>
            <w:noWrap/>
            <w:vAlign w:val="center"/>
            <w:hideMark/>
          </w:tcPr>
          <w:p w14:paraId="6604D837" w14:textId="77777777" w:rsidR="00756563" w:rsidRPr="00963C14" w:rsidRDefault="00756563" w:rsidP="00756563">
            <w:pPr>
              <w:snapToGrid w:val="0"/>
              <w:spacing w:afterLines="0" w:after="0"/>
              <w:jc w:val="center"/>
              <w:rPr>
                <w:b/>
                <w:color w:val="FFFFFF" w:themeColor="background1"/>
              </w:rPr>
            </w:pPr>
            <w:r w:rsidRPr="00963C14">
              <w:rPr>
                <w:b/>
                <w:color w:val="FFFFFF" w:themeColor="background1"/>
              </w:rPr>
              <w:t>Хугацаа</w:t>
            </w:r>
          </w:p>
        </w:tc>
        <w:tc>
          <w:tcPr>
            <w:tcW w:w="2004" w:type="dxa"/>
            <w:shd w:val="clear" w:color="auto" w:fill="11A795"/>
            <w:noWrap/>
            <w:vAlign w:val="center"/>
            <w:hideMark/>
          </w:tcPr>
          <w:p w14:paraId="62E79CEE" w14:textId="77777777" w:rsidR="00756563" w:rsidRPr="00963C14" w:rsidRDefault="00756563" w:rsidP="00756563">
            <w:pPr>
              <w:snapToGrid w:val="0"/>
              <w:spacing w:afterLines="0" w:after="0"/>
              <w:jc w:val="center"/>
              <w:rPr>
                <w:b/>
                <w:color w:val="FFFFFF" w:themeColor="background1"/>
              </w:rPr>
            </w:pPr>
            <w:r w:rsidRPr="00963C14">
              <w:rPr>
                <w:b/>
                <w:color w:val="FFFFFF" w:themeColor="background1"/>
              </w:rPr>
              <w:t>Үлдэгдэл</w:t>
            </w:r>
          </w:p>
        </w:tc>
      </w:tr>
      <w:tr w:rsidR="00756563" w:rsidRPr="00963C14" w14:paraId="4707FD2D" w14:textId="77777777" w:rsidTr="002E3787">
        <w:trPr>
          <w:trHeight w:val="161"/>
        </w:trPr>
        <w:tc>
          <w:tcPr>
            <w:tcW w:w="770" w:type="dxa"/>
            <w:noWrap/>
            <w:vAlign w:val="center"/>
          </w:tcPr>
          <w:p w14:paraId="3CA2E5A0" w14:textId="77777777" w:rsidR="00756563" w:rsidRPr="00963C14" w:rsidRDefault="00756563" w:rsidP="00756563">
            <w:pPr>
              <w:spacing w:afterLines="0" w:after="0"/>
              <w:jc w:val="center"/>
              <w:rPr>
                <w:color w:val="000000"/>
              </w:rPr>
            </w:pPr>
            <w:r w:rsidRPr="00963C14">
              <w:rPr>
                <w:color w:val="000000"/>
              </w:rPr>
              <w:t>1</w:t>
            </w:r>
          </w:p>
        </w:tc>
        <w:tc>
          <w:tcPr>
            <w:tcW w:w="2833" w:type="dxa"/>
            <w:noWrap/>
            <w:vAlign w:val="center"/>
            <w:hideMark/>
          </w:tcPr>
          <w:p w14:paraId="504FEE2F" w14:textId="77777777" w:rsidR="00756563" w:rsidRPr="00963C14" w:rsidRDefault="00756563" w:rsidP="00756563">
            <w:pPr>
              <w:spacing w:afterLines="0" w:after="0"/>
              <w:jc w:val="center"/>
              <w:rPr>
                <w:color w:val="000000"/>
              </w:rPr>
            </w:pPr>
            <w:r w:rsidRPr="00963C14">
              <w:rPr>
                <w:color w:val="000000"/>
              </w:rPr>
              <w:t>Хуралдай</w:t>
            </w:r>
          </w:p>
        </w:tc>
        <w:tc>
          <w:tcPr>
            <w:tcW w:w="1811" w:type="dxa"/>
            <w:noWrap/>
            <w:vAlign w:val="center"/>
            <w:hideMark/>
          </w:tcPr>
          <w:p w14:paraId="257170B8" w14:textId="77777777" w:rsidR="00756563" w:rsidRPr="00963C14" w:rsidRDefault="00756563" w:rsidP="00482A7B">
            <w:pPr>
              <w:spacing w:afterLines="0" w:after="0"/>
              <w:jc w:val="right"/>
              <w:rPr>
                <w:color w:val="000000"/>
              </w:rPr>
            </w:pPr>
            <w:r w:rsidRPr="00963C14">
              <w:rPr>
                <w:color w:val="000000"/>
              </w:rPr>
              <w:t>8.750%</w:t>
            </w:r>
          </w:p>
        </w:tc>
        <w:tc>
          <w:tcPr>
            <w:tcW w:w="1865" w:type="dxa"/>
            <w:noWrap/>
            <w:vAlign w:val="center"/>
            <w:hideMark/>
          </w:tcPr>
          <w:p w14:paraId="0BFE0F0D" w14:textId="77777777" w:rsidR="00756563" w:rsidRPr="00963C14" w:rsidRDefault="00756563" w:rsidP="00482A7B">
            <w:pPr>
              <w:spacing w:afterLines="0" w:after="0"/>
              <w:ind w:right="286"/>
              <w:jc w:val="right"/>
              <w:rPr>
                <w:color w:val="000000"/>
              </w:rPr>
            </w:pPr>
            <w:r w:rsidRPr="00963C14">
              <w:rPr>
                <w:color w:val="000000"/>
              </w:rPr>
              <w:t>7 жил</w:t>
            </w:r>
          </w:p>
        </w:tc>
        <w:tc>
          <w:tcPr>
            <w:tcW w:w="2004" w:type="dxa"/>
            <w:noWrap/>
            <w:vAlign w:val="bottom"/>
            <w:hideMark/>
          </w:tcPr>
          <w:p w14:paraId="2C940EC9" w14:textId="77777777" w:rsidR="00756563" w:rsidRPr="00963C14" w:rsidRDefault="00756563" w:rsidP="00482A7B">
            <w:pPr>
              <w:spacing w:afterLines="0" w:after="0"/>
              <w:jc w:val="right"/>
              <w:rPr>
                <w:color w:val="000000"/>
              </w:rPr>
            </w:pPr>
            <w:r w:rsidRPr="00963C14">
              <w:rPr>
                <w:color w:val="000000"/>
              </w:rPr>
              <w:t>579.0</w:t>
            </w:r>
          </w:p>
        </w:tc>
      </w:tr>
      <w:tr w:rsidR="00756563" w:rsidRPr="00963C14" w14:paraId="38DA1747" w14:textId="77777777" w:rsidTr="002E3787">
        <w:trPr>
          <w:trHeight w:val="161"/>
        </w:trPr>
        <w:tc>
          <w:tcPr>
            <w:tcW w:w="770" w:type="dxa"/>
            <w:noWrap/>
            <w:vAlign w:val="center"/>
          </w:tcPr>
          <w:p w14:paraId="18887E1E" w14:textId="77777777" w:rsidR="00756563" w:rsidRPr="00963C14" w:rsidRDefault="00756563" w:rsidP="00482A7B">
            <w:pPr>
              <w:spacing w:afterLines="0" w:after="0"/>
              <w:jc w:val="center"/>
              <w:rPr>
                <w:color w:val="000000"/>
              </w:rPr>
            </w:pPr>
            <w:r w:rsidRPr="00963C14">
              <w:rPr>
                <w:color w:val="000000"/>
              </w:rPr>
              <w:t>2</w:t>
            </w:r>
          </w:p>
        </w:tc>
        <w:tc>
          <w:tcPr>
            <w:tcW w:w="2833" w:type="dxa"/>
            <w:noWrap/>
            <w:vAlign w:val="center"/>
          </w:tcPr>
          <w:p w14:paraId="475B0569" w14:textId="77777777" w:rsidR="00756563" w:rsidRPr="00963C14" w:rsidRDefault="00756563" w:rsidP="00482A7B">
            <w:pPr>
              <w:spacing w:afterLines="0" w:after="0"/>
              <w:jc w:val="center"/>
              <w:rPr>
                <w:color w:val="000000"/>
              </w:rPr>
            </w:pPr>
            <w:r w:rsidRPr="00963C14">
              <w:rPr>
                <w:color w:val="000000"/>
              </w:rPr>
              <w:t>Номад</w:t>
            </w:r>
          </w:p>
        </w:tc>
        <w:tc>
          <w:tcPr>
            <w:tcW w:w="1811" w:type="dxa"/>
            <w:noWrap/>
            <w:vAlign w:val="center"/>
          </w:tcPr>
          <w:p w14:paraId="09EB760C" w14:textId="77777777" w:rsidR="00756563" w:rsidRPr="00963C14" w:rsidRDefault="00756563" w:rsidP="00482A7B">
            <w:pPr>
              <w:spacing w:afterLines="0" w:after="0"/>
              <w:jc w:val="right"/>
              <w:rPr>
                <w:color w:val="000000"/>
              </w:rPr>
            </w:pPr>
            <w:r w:rsidRPr="00963C14">
              <w:rPr>
                <w:color w:val="000000"/>
              </w:rPr>
              <w:t>5.125%</w:t>
            </w:r>
          </w:p>
        </w:tc>
        <w:tc>
          <w:tcPr>
            <w:tcW w:w="1865" w:type="dxa"/>
            <w:noWrap/>
            <w:vAlign w:val="center"/>
          </w:tcPr>
          <w:p w14:paraId="291C693A" w14:textId="77777777" w:rsidR="00756563" w:rsidRPr="00963C14" w:rsidRDefault="00756563" w:rsidP="00482A7B">
            <w:pPr>
              <w:spacing w:afterLines="0" w:after="0"/>
              <w:ind w:right="286"/>
              <w:jc w:val="right"/>
              <w:rPr>
                <w:color w:val="000000"/>
              </w:rPr>
            </w:pPr>
            <w:r w:rsidRPr="00963C14">
              <w:rPr>
                <w:color w:val="000000"/>
              </w:rPr>
              <w:t>5.5 жил</w:t>
            </w:r>
          </w:p>
        </w:tc>
        <w:tc>
          <w:tcPr>
            <w:tcW w:w="2004" w:type="dxa"/>
            <w:noWrap/>
            <w:vAlign w:val="bottom"/>
          </w:tcPr>
          <w:p w14:paraId="41FD98C2" w14:textId="77777777" w:rsidR="00756563" w:rsidRPr="00963C14" w:rsidRDefault="00756563" w:rsidP="00482A7B">
            <w:pPr>
              <w:spacing w:afterLines="0" w:after="0"/>
              <w:jc w:val="right"/>
              <w:rPr>
                <w:color w:val="000000"/>
              </w:rPr>
            </w:pPr>
            <w:r w:rsidRPr="00963C14">
              <w:rPr>
                <w:color w:val="000000"/>
              </w:rPr>
              <w:t>1,971.4</w:t>
            </w:r>
          </w:p>
        </w:tc>
      </w:tr>
      <w:tr w:rsidR="00756563" w:rsidRPr="00963C14" w14:paraId="389CC948" w14:textId="77777777" w:rsidTr="002E3787">
        <w:trPr>
          <w:trHeight w:val="161"/>
        </w:trPr>
        <w:tc>
          <w:tcPr>
            <w:tcW w:w="770" w:type="dxa"/>
            <w:noWrap/>
            <w:vAlign w:val="center"/>
          </w:tcPr>
          <w:p w14:paraId="21BBDF9A" w14:textId="77777777" w:rsidR="00756563" w:rsidRPr="00963C14" w:rsidRDefault="00756563" w:rsidP="00482A7B">
            <w:pPr>
              <w:spacing w:afterLines="0" w:after="0"/>
              <w:jc w:val="center"/>
              <w:rPr>
                <w:color w:val="000000"/>
              </w:rPr>
            </w:pPr>
            <w:r w:rsidRPr="00963C14">
              <w:rPr>
                <w:color w:val="000000"/>
              </w:rPr>
              <w:t>3</w:t>
            </w:r>
          </w:p>
        </w:tc>
        <w:tc>
          <w:tcPr>
            <w:tcW w:w="2833" w:type="dxa"/>
            <w:noWrap/>
            <w:vAlign w:val="center"/>
          </w:tcPr>
          <w:p w14:paraId="3F7DE47F" w14:textId="77777777" w:rsidR="00756563" w:rsidRPr="00963C14" w:rsidRDefault="00756563" w:rsidP="00482A7B">
            <w:pPr>
              <w:spacing w:afterLines="0" w:after="0"/>
              <w:jc w:val="center"/>
              <w:rPr>
                <w:color w:val="000000"/>
              </w:rPr>
            </w:pPr>
            <w:r w:rsidRPr="00963C14">
              <w:rPr>
                <w:color w:val="000000"/>
              </w:rPr>
              <w:t>Сенчири-2027</w:t>
            </w:r>
          </w:p>
        </w:tc>
        <w:tc>
          <w:tcPr>
            <w:tcW w:w="1811" w:type="dxa"/>
            <w:noWrap/>
            <w:vAlign w:val="center"/>
          </w:tcPr>
          <w:p w14:paraId="5BB3B5E6" w14:textId="77777777" w:rsidR="00756563" w:rsidRPr="00963C14" w:rsidRDefault="00756563" w:rsidP="00482A7B">
            <w:pPr>
              <w:spacing w:afterLines="0" w:after="0"/>
              <w:jc w:val="right"/>
              <w:rPr>
                <w:color w:val="000000"/>
              </w:rPr>
            </w:pPr>
            <w:r w:rsidRPr="00963C14">
              <w:rPr>
                <w:color w:val="000000"/>
              </w:rPr>
              <w:t>3.500%</w:t>
            </w:r>
          </w:p>
        </w:tc>
        <w:tc>
          <w:tcPr>
            <w:tcW w:w="1865" w:type="dxa"/>
            <w:noWrap/>
            <w:vAlign w:val="center"/>
          </w:tcPr>
          <w:p w14:paraId="185629A0" w14:textId="77777777" w:rsidR="00756563" w:rsidRPr="00963C14" w:rsidRDefault="00756563" w:rsidP="00482A7B">
            <w:pPr>
              <w:spacing w:afterLines="0" w:after="0"/>
              <w:ind w:right="286"/>
              <w:jc w:val="right"/>
              <w:rPr>
                <w:color w:val="000000"/>
              </w:rPr>
            </w:pPr>
            <w:r w:rsidRPr="00963C14">
              <w:rPr>
                <w:color w:val="000000"/>
              </w:rPr>
              <w:t>6 жил</w:t>
            </w:r>
          </w:p>
        </w:tc>
        <w:tc>
          <w:tcPr>
            <w:tcW w:w="2004" w:type="dxa"/>
            <w:noWrap/>
            <w:vAlign w:val="bottom"/>
          </w:tcPr>
          <w:p w14:paraId="3C879646" w14:textId="77777777" w:rsidR="00756563" w:rsidRPr="00963C14" w:rsidRDefault="00756563" w:rsidP="00482A7B">
            <w:pPr>
              <w:spacing w:afterLines="0" w:after="0"/>
              <w:jc w:val="right"/>
              <w:rPr>
                <w:color w:val="000000"/>
              </w:rPr>
            </w:pPr>
            <w:r w:rsidRPr="00963C14">
              <w:rPr>
                <w:color w:val="000000"/>
              </w:rPr>
              <w:t>1,705.4</w:t>
            </w:r>
          </w:p>
        </w:tc>
      </w:tr>
      <w:tr w:rsidR="00756563" w:rsidRPr="00963C14" w14:paraId="7F992378" w14:textId="77777777" w:rsidTr="002E3787">
        <w:trPr>
          <w:trHeight w:val="161"/>
        </w:trPr>
        <w:tc>
          <w:tcPr>
            <w:tcW w:w="770" w:type="dxa"/>
            <w:noWrap/>
            <w:vAlign w:val="center"/>
          </w:tcPr>
          <w:p w14:paraId="71E29E6D" w14:textId="77777777" w:rsidR="00756563" w:rsidRPr="00963C14" w:rsidRDefault="00756563" w:rsidP="00482A7B">
            <w:pPr>
              <w:spacing w:afterLines="0" w:after="0"/>
              <w:jc w:val="center"/>
              <w:rPr>
                <w:color w:val="000000"/>
              </w:rPr>
            </w:pPr>
            <w:r w:rsidRPr="00963C14">
              <w:rPr>
                <w:color w:val="000000"/>
              </w:rPr>
              <w:t>4</w:t>
            </w:r>
          </w:p>
        </w:tc>
        <w:tc>
          <w:tcPr>
            <w:tcW w:w="2833" w:type="dxa"/>
            <w:noWrap/>
            <w:vAlign w:val="center"/>
          </w:tcPr>
          <w:p w14:paraId="1DE4C28C" w14:textId="77777777" w:rsidR="00756563" w:rsidRPr="00963C14" w:rsidRDefault="00756563" w:rsidP="00482A7B">
            <w:pPr>
              <w:spacing w:afterLines="0" w:after="0"/>
              <w:jc w:val="center"/>
              <w:rPr>
                <w:color w:val="000000"/>
              </w:rPr>
            </w:pPr>
            <w:r w:rsidRPr="00963C14">
              <w:rPr>
                <w:color w:val="000000"/>
              </w:rPr>
              <w:t>Сенчири-2028</w:t>
            </w:r>
          </w:p>
        </w:tc>
        <w:tc>
          <w:tcPr>
            <w:tcW w:w="1811" w:type="dxa"/>
            <w:noWrap/>
            <w:vAlign w:val="center"/>
          </w:tcPr>
          <w:p w14:paraId="6C082D94" w14:textId="77777777" w:rsidR="00756563" w:rsidRPr="00963C14" w:rsidRDefault="00756563" w:rsidP="00482A7B">
            <w:pPr>
              <w:spacing w:afterLines="0" w:after="0"/>
              <w:jc w:val="right"/>
              <w:rPr>
                <w:color w:val="000000"/>
              </w:rPr>
            </w:pPr>
            <w:r w:rsidRPr="00963C14">
              <w:rPr>
                <w:color w:val="000000"/>
              </w:rPr>
              <w:t>8.650%</w:t>
            </w:r>
          </w:p>
        </w:tc>
        <w:tc>
          <w:tcPr>
            <w:tcW w:w="1865" w:type="dxa"/>
            <w:noWrap/>
            <w:vAlign w:val="center"/>
          </w:tcPr>
          <w:p w14:paraId="10C973DD" w14:textId="77777777" w:rsidR="00756563" w:rsidRPr="00963C14" w:rsidRDefault="00756563" w:rsidP="00482A7B">
            <w:pPr>
              <w:spacing w:afterLines="0" w:after="0"/>
              <w:ind w:right="286"/>
              <w:jc w:val="right"/>
              <w:rPr>
                <w:color w:val="000000"/>
              </w:rPr>
            </w:pPr>
            <w:r w:rsidRPr="00963C14">
              <w:rPr>
                <w:color w:val="000000"/>
              </w:rPr>
              <w:t>5 жил</w:t>
            </w:r>
          </w:p>
        </w:tc>
        <w:tc>
          <w:tcPr>
            <w:tcW w:w="2004" w:type="dxa"/>
            <w:noWrap/>
            <w:vAlign w:val="bottom"/>
          </w:tcPr>
          <w:p w14:paraId="1B6EAABF" w14:textId="77777777" w:rsidR="00756563" w:rsidRPr="00963C14" w:rsidRDefault="00756563" w:rsidP="00482A7B">
            <w:pPr>
              <w:spacing w:afterLines="0" w:after="0"/>
              <w:jc w:val="right"/>
              <w:rPr>
                <w:color w:val="000000"/>
              </w:rPr>
            </w:pPr>
            <w:r w:rsidRPr="00963C14">
              <w:rPr>
                <w:color w:val="000000"/>
              </w:rPr>
              <w:t>2,216.9</w:t>
            </w:r>
          </w:p>
        </w:tc>
      </w:tr>
      <w:tr w:rsidR="00756563" w:rsidRPr="00963C14" w14:paraId="3CFCB730" w14:textId="77777777" w:rsidTr="002E3787">
        <w:trPr>
          <w:trHeight w:val="161"/>
        </w:trPr>
        <w:tc>
          <w:tcPr>
            <w:tcW w:w="770" w:type="dxa"/>
            <w:noWrap/>
            <w:vAlign w:val="center"/>
          </w:tcPr>
          <w:p w14:paraId="30F2BABD" w14:textId="77777777" w:rsidR="00756563" w:rsidRPr="00963C14" w:rsidRDefault="00756563" w:rsidP="00482A7B">
            <w:pPr>
              <w:spacing w:afterLines="0" w:after="0"/>
              <w:jc w:val="center"/>
              <w:rPr>
                <w:color w:val="000000"/>
              </w:rPr>
            </w:pPr>
            <w:r w:rsidRPr="00963C14">
              <w:rPr>
                <w:color w:val="000000"/>
              </w:rPr>
              <w:t>5</w:t>
            </w:r>
          </w:p>
        </w:tc>
        <w:tc>
          <w:tcPr>
            <w:tcW w:w="2833" w:type="dxa"/>
            <w:noWrap/>
            <w:vAlign w:val="center"/>
          </w:tcPr>
          <w:p w14:paraId="6AF2C025" w14:textId="77777777" w:rsidR="00756563" w:rsidRPr="00963C14" w:rsidRDefault="00756563" w:rsidP="00482A7B">
            <w:pPr>
              <w:spacing w:afterLines="0" w:after="0"/>
              <w:jc w:val="center"/>
              <w:rPr>
                <w:color w:val="000000"/>
              </w:rPr>
            </w:pPr>
            <w:r w:rsidRPr="00963C14">
              <w:rPr>
                <w:color w:val="000000"/>
              </w:rPr>
              <w:t>Сенчири-2029</w:t>
            </w:r>
          </w:p>
        </w:tc>
        <w:tc>
          <w:tcPr>
            <w:tcW w:w="1811" w:type="dxa"/>
            <w:noWrap/>
            <w:vAlign w:val="center"/>
          </w:tcPr>
          <w:p w14:paraId="7DC24353" w14:textId="77777777" w:rsidR="00756563" w:rsidRPr="00963C14" w:rsidRDefault="00756563" w:rsidP="00482A7B">
            <w:pPr>
              <w:spacing w:afterLines="0" w:after="0"/>
              <w:jc w:val="right"/>
              <w:rPr>
                <w:color w:val="000000"/>
              </w:rPr>
            </w:pPr>
            <w:r w:rsidRPr="00963C14">
              <w:rPr>
                <w:color w:val="000000"/>
              </w:rPr>
              <w:t>7.875%</w:t>
            </w:r>
          </w:p>
        </w:tc>
        <w:tc>
          <w:tcPr>
            <w:tcW w:w="1865" w:type="dxa"/>
            <w:noWrap/>
            <w:vAlign w:val="center"/>
          </w:tcPr>
          <w:p w14:paraId="209DB8F8" w14:textId="77777777" w:rsidR="00756563" w:rsidRPr="00963C14" w:rsidRDefault="00756563" w:rsidP="00482A7B">
            <w:pPr>
              <w:spacing w:afterLines="0" w:after="0"/>
              <w:ind w:right="286"/>
              <w:jc w:val="right"/>
              <w:rPr>
                <w:color w:val="000000"/>
              </w:rPr>
            </w:pPr>
            <w:r w:rsidRPr="00963C14">
              <w:rPr>
                <w:color w:val="000000"/>
              </w:rPr>
              <w:t>5.5 жил</w:t>
            </w:r>
          </w:p>
        </w:tc>
        <w:tc>
          <w:tcPr>
            <w:tcW w:w="2004" w:type="dxa"/>
            <w:noWrap/>
            <w:vAlign w:val="bottom"/>
          </w:tcPr>
          <w:p w14:paraId="5DCDD8A2" w14:textId="77777777" w:rsidR="00756563" w:rsidRPr="00963C14" w:rsidRDefault="00756563" w:rsidP="00482A7B">
            <w:pPr>
              <w:spacing w:afterLines="0" w:after="0"/>
              <w:jc w:val="right"/>
              <w:rPr>
                <w:color w:val="000000"/>
              </w:rPr>
            </w:pPr>
            <w:r w:rsidRPr="00963C14">
              <w:rPr>
                <w:color w:val="000000"/>
              </w:rPr>
              <w:t>1,193.7</w:t>
            </w:r>
          </w:p>
        </w:tc>
      </w:tr>
      <w:tr w:rsidR="00756563" w:rsidRPr="00963C14" w14:paraId="6A804064" w14:textId="77777777" w:rsidTr="002E3787">
        <w:trPr>
          <w:trHeight w:val="161"/>
        </w:trPr>
        <w:tc>
          <w:tcPr>
            <w:tcW w:w="770" w:type="dxa"/>
            <w:tcBorders>
              <w:bottom w:val="single" w:sz="4" w:space="0" w:color="auto"/>
            </w:tcBorders>
            <w:noWrap/>
            <w:vAlign w:val="center"/>
          </w:tcPr>
          <w:p w14:paraId="460C7B56" w14:textId="77777777" w:rsidR="00756563" w:rsidRPr="00963C14" w:rsidRDefault="00756563" w:rsidP="00482A7B">
            <w:pPr>
              <w:spacing w:afterLines="0" w:after="0"/>
              <w:jc w:val="center"/>
              <w:rPr>
                <w:color w:val="000000"/>
              </w:rPr>
            </w:pPr>
            <w:r w:rsidRPr="00963C14">
              <w:rPr>
                <w:color w:val="000000"/>
              </w:rPr>
              <w:t>6</w:t>
            </w:r>
          </w:p>
        </w:tc>
        <w:tc>
          <w:tcPr>
            <w:tcW w:w="2833" w:type="dxa"/>
            <w:tcBorders>
              <w:bottom w:val="single" w:sz="4" w:space="0" w:color="auto"/>
            </w:tcBorders>
            <w:noWrap/>
            <w:vAlign w:val="center"/>
          </w:tcPr>
          <w:p w14:paraId="67E47658" w14:textId="77777777" w:rsidR="00756563" w:rsidRPr="00963C14" w:rsidRDefault="00756563" w:rsidP="00482A7B">
            <w:pPr>
              <w:spacing w:afterLines="0" w:after="0"/>
              <w:jc w:val="center"/>
              <w:rPr>
                <w:color w:val="000000"/>
              </w:rPr>
            </w:pPr>
            <w:r w:rsidRPr="00963C14">
              <w:rPr>
                <w:color w:val="000000"/>
              </w:rPr>
              <w:t>Сенчири-2031</w:t>
            </w:r>
          </w:p>
        </w:tc>
        <w:tc>
          <w:tcPr>
            <w:tcW w:w="1811" w:type="dxa"/>
            <w:tcBorders>
              <w:bottom w:val="single" w:sz="4" w:space="0" w:color="auto"/>
            </w:tcBorders>
            <w:noWrap/>
            <w:vAlign w:val="center"/>
          </w:tcPr>
          <w:p w14:paraId="429D0195" w14:textId="77777777" w:rsidR="00756563" w:rsidRPr="00963C14" w:rsidRDefault="00756563" w:rsidP="00482A7B">
            <w:pPr>
              <w:spacing w:afterLines="0" w:after="0"/>
              <w:jc w:val="right"/>
              <w:rPr>
                <w:color w:val="000000"/>
              </w:rPr>
            </w:pPr>
            <w:r w:rsidRPr="00963C14">
              <w:rPr>
                <w:color w:val="000000"/>
              </w:rPr>
              <w:t>4.450%</w:t>
            </w:r>
          </w:p>
        </w:tc>
        <w:tc>
          <w:tcPr>
            <w:tcW w:w="1865" w:type="dxa"/>
            <w:tcBorders>
              <w:bottom w:val="single" w:sz="4" w:space="0" w:color="auto"/>
            </w:tcBorders>
            <w:noWrap/>
            <w:vAlign w:val="center"/>
          </w:tcPr>
          <w:p w14:paraId="1C529563" w14:textId="77777777" w:rsidR="00756563" w:rsidRPr="00963C14" w:rsidRDefault="00756563" w:rsidP="00482A7B">
            <w:pPr>
              <w:spacing w:afterLines="0" w:after="0"/>
              <w:ind w:right="286"/>
              <w:jc w:val="right"/>
              <w:rPr>
                <w:color w:val="000000"/>
              </w:rPr>
            </w:pPr>
            <w:r w:rsidRPr="00963C14">
              <w:rPr>
                <w:color w:val="000000"/>
              </w:rPr>
              <w:t>10 жил</w:t>
            </w:r>
          </w:p>
        </w:tc>
        <w:tc>
          <w:tcPr>
            <w:tcW w:w="2004" w:type="dxa"/>
            <w:tcBorders>
              <w:bottom w:val="single" w:sz="4" w:space="0" w:color="auto"/>
            </w:tcBorders>
            <w:noWrap/>
            <w:vAlign w:val="bottom"/>
          </w:tcPr>
          <w:p w14:paraId="2739ABCB" w14:textId="77777777" w:rsidR="00756563" w:rsidRPr="00963C14" w:rsidRDefault="00756563" w:rsidP="00482A7B">
            <w:pPr>
              <w:spacing w:afterLines="0" w:after="0"/>
              <w:jc w:val="right"/>
              <w:rPr>
                <w:color w:val="000000"/>
              </w:rPr>
            </w:pPr>
            <w:r w:rsidRPr="00963C14">
              <w:rPr>
                <w:color w:val="000000"/>
              </w:rPr>
              <w:t>1,705.4</w:t>
            </w:r>
          </w:p>
        </w:tc>
      </w:tr>
      <w:tr w:rsidR="00756563" w:rsidRPr="00963C14" w14:paraId="6FEB1097" w14:textId="77777777" w:rsidTr="002E3787">
        <w:trPr>
          <w:trHeight w:val="55"/>
        </w:trPr>
        <w:tc>
          <w:tcPr>
            <w:tcW w:w="7281" w:type="dxa"/>
            <w:gridSpan w:val="4"/>
            <w:tcBorders>
              <w:top w:val="single" w:sz="4" w:space="0" w:color="auto"/>
              <w:bottom w:val="single" w:sz="4" w:space="0" w:color="auto"/>
            </w:tcBorders>
            <w:noWrap/>
            <w:vAlign w:val="center"/>
            <w:hideMark/>
          </w:tcPr>
          <w:p w14:paraId="55333EA1" w14:textId="77777777" w:rsidR="00756563" w:rsidRPr="00963C14" w:rsidRDefault="00756563" w:rsidP="00482A7B">
            <w:pPr>
              <w:spacing w:afterLines="0" w:after="0"/>
              <w:jc w:val="left"/>
              <w:rPr>
                <w:b/>
                <w:color w:val="000000"/>
              </w:rPr>
            </w:pPr>
            <w:r w:rsidRPr="00963C14">
              <w:rPr>
                <w:b/>
                <w:color w:val="000000"/>
              </w:rPr>
              <w:t>НИЙТ</w:t>
            </w:r>
          </w:p>
        </w:tc>
        <w:tc>
          <w:tcPr>
            <w:tcW w:w="2004" w:type="dxa"/>
            <w:tcBorders>
              <w:top w:val="single" w:sz="4" w:space="0" w:color="auto"/>
              <w:bottom w:val="single" w:sz="4" w:space="0" w:color="auto"/>
            </w:tcBorders>
            <w:noWrap/>
            <w:vAlign w:val="center"/>
            <w:hideMark/>
          </w:tcPr>
          <w:p w14:paraId="29F67B75" w14:textId="77777777" w:rsidR="00756563" w:rsidRPr="00963C14" w:rsidRDefault="00756563" w:rsidP="00482A7B">
            <w:pPr>
              <w:spacing w:afterLines="0" w:after="0"/>
              <w:jc w:val="center"/>
              <w:rPr>
                <w:b/>
                <w:color w:val="000000"/>
              </w:rPr>
            </w:pPr>
            <w:r w:rsidRPr="00963C14">
              <w:rPr>
                <w:b/>
                <w:color w:val="000000"/>
              </w:rPr>
              <w:t>9,371.7</w:t>
            </w:r>
          </w:p>
        </w:tc>
      </w:tr>
    </w:tbl>
    <w:p w14:paraId="25376E4F" w14:textId="40F6B087" w:rsidR="00F96F21" w:rsidRPr="00963C14" w:rsidRDefault="00756563" w:rsidP="001A0AE3">
      <w:pPr>
        <w:spacing w:before="120" w:afterLines="0"/>
        <w:jc w:val="right"/>
        <w:rPr>
          <w:rStyle w:val="normaltextrun"/>
          <w:rFonts w:cs="Arial"/>
          <w:i/>
          <w:color w:val="000000" w:themeColor="text1"/>
          <w:sz w:val="20"/>
          <w:szCs w:val="18"/>
          <w:shd w:val="clear" w:color="auto" w:fill="FFFFFF"/>
        </w:rPr>
      </w:pPr>
      <w:r w:rsidRPr="00963C14">
        <w:rPr>
          <w:rStyle w:val="normaltextrun"/>
          <w:rFonts w:cs="Arial"/>
          <w:color w:val="000000" w:themeColor="text1"/>
          <w:shd w:val="clear" w:color="auto" w:fill="FFFFFF"/>
        </w:rPr>
        <w:tab/>
      </w:r>
      <w:r w:rsidRPr="00963C14">
        <w:rPr>
          <w:rStyle w:val="normaltextrun"/>
          <w:rFonts w:cs="Arial"/>
          <w:color w:val="000000" w:themeColor="text1"/>
          <w:shd w:val="clear" w:color="auto" w:fill="FFFFFF"/>
        </w:rPr>
        <w:tab/>
      </w:r>
      <w:r w:rsidRPr="00963C14">
        <w:rPr>
          <w:rStyle w:val="normaltextrun"/>
          <w:rFonts w:cs="Arial"/>
          <w:color w:val="000000" w:themeColor="text1"/>
          <w:shd w:val="clear" w:color="auto" w:fill="FFFFFF"/>
        </w:rPr>
        <w:tab/>
      </w:r>
      <w:r w:rsidRPr="00963C14">
        <w:rPr>
          <w:rStyle w:val="normaltextrun"/>
          <w:rFonts w:cs="Arial"/>
          <w:color w:val="000000" w:themeColor="text1"/>
          <w:shd w:val="clear" w:color="auto" w:fill="FFFFFF"/>
        </w:rPr>
        <w:tab/>
      </w:r>
      <w:r w:rsidRPr="00963C14">
        <w:rPr>
          <w:rStyle w:val="normaltextrun"/>
          <w:rFonts w:cs="Arial"/>
          <w:color w:val="000000" w:themeColor="text1"/>
          <w:shd w:val="clear" w:color="auto" w:fill="FFFFFF"/>
        </w:rPr>
        <w:tab/>
      </w:r>
      <w:r w:rsidRPr="00963C14">
        <w:rPr>
          <w:rStyle w:val="normaltextrun"/>
          <w:rFonts w:cs="Arial"/>
          <w:color w:val="000000" w:themeColor="text1"/>
          <w:shd w:val="clear" w:color="auto" w:fill="FFFFFF"/>
        </w:rPr>
        <w:tab/>
      </w:r>
      <w:r w:rsidRPr="00963C14">
        <w:rPr>
          <w:rStyle w:val="normaltextrun"/>
          <w:rFonts w:cs="Arial"/>
          <w:color w:val="000000" w:themeColor="text1"/>
          <w:shd w:val="clear" w:color="auto" w:fill="FFFFFF"/>
        </w:rPr>
        <w:tab/>
      </w:r>
      <w:r w:rsidRPr="00963C14">
        <w:rPr>
          <w:rStyle w:val="normaltextrun"/>
          <w:rFonts w:cs="Arial"/>
          <w:color w:val="000000" w:themeColor="text1"/>
          <w:shd w:val="clear" w:color="auto" w:fill="FFFFFF"/>
        </w:rPr>
        <w:tab/>
      </w:r>
      <w:r w:rsidRPr="00963C14">
        <w:rPr>
          <w:rStyle w:val="normaltextrun"/>
          <w:rFonts w:cs="Arial"/>
          <w:color w:val="000000" w:themeColor="text1"/>
          <w:shd w:val="clear" w:color="auto" w:fill="FFFFFF"/>
        </w:rPr>
        <w:tab/>
      </w:r>
      <w:r w:rsidRPr="00963C14">
        <w:rPr>
          <w:rStyle w:val="normaltextrun"/>
          <w:rFonts w:cs="Arial"/>
          <w:i/>
          <w:iCs/>
          <w:color w:val="000000" w:themeColor="text1"/>
          <w:sz w:val="16"/>
          <w:szCs w:val="14"/>
          <w:shd w:val="clear" w:color="auto" w:fill="FFFFFF"/>
        </w:rPr>
        <w:t>Эх сурвалж: Сангийн яам</w:t>
      </w:r>
    </w:p>
    <w:p w14:paraId="2F4DAC40" w14:textId="77777777" w:rsidR="00F96F21" w:rsidRPr="00963C14" w:rsidRDefault="00F96F21" w:rsidP="00F96F21">
      <w:pPr>
        <w:spacing w:before="120" w:afterLines="0"/>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Засгийн газар 2023 онд нийт 2 удаагийн өрийн зохицуулалтын арга хэмжээг авч хэрэгжүүлэн 2023-2024 онд хүлээгдэж байсан “Гэрэгэ” бондын 517.2 сая ам.доллар, “Хуралдай” бондын 600 сая ам.долларын төлбөрийг төлж барагдуулсан. Тухайлбал, 01 дүгээр сард 650 сая ам.доллартой тэнцэх “Сенчири-2” өрийн зохицуулалтын арга хэмжээний хүрээнд “Гэрэгэ” бондын 435.2 сая ам.доллар, “Хуралдай” бондын 207.5 сая ам.долларыг, 12 дугаар сард 350 сая ам.доллартой тэнцэх “Сенчири-3” өрийн зохицуулалтын арга хэмжээний хүрээнд “Хуралдай” бондын 340 сая ам.долларын төлбөрийг тус тус шийдвэрлэсэн.</w:t>
      </w:r>
    </w:p>
    <w:p w14:paraId="51D5E11A" w14:textId="77777777" w:rsidR="00F96F21" w:rsidRPr="00963C14" w:rsidRDefault="00F96F21" w:rsidP="00F96F21">
      <w:pPr>
        <w:spacing w:before="120" w:afterLines="0"/>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Түүнчлэн, Засгийн газрын өрийн удирдлагын 2023-2025 оны стратегийн баримт бичгийн хүрээнд төсөв, төлбөрийн тэнцэлд дарамт учруулахгүй хэмжээгээр гадаад үнэт цаасны төлбөрийг төрийн сангийн мөнгөн хөрөнгөөс төлж барагдуулж байна. Тухайлбал, 2023 оны 05 дугаар сард “Гэрэгэ” бондын 82 сая ам.доллартой тэнцэх хэсгийг, 2024 оны 03 дугаар сард “Хуралдай” бондын 53 сая ам.доллартой тэнцэх хэсгийг тус тус төлж, гадаад үнэт цаасны үлдэгдлийг бууруулсан болно.</w:t>
      </w:r>
    </w:p>
    <w:p w14:paraId="152971B9" w14:textId="77777777" w:rsidR="00F96F21" w:rsidRPr="00963C14" w:rsidRDefault="00F96F21" w:rsidP="00F96F21">
      <w:pPr>
        <w:spacing w:before="120" w:afterLines="0"/>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 xml:space="preserve">Засгийн газар нь дунд хугацаанд онд өрийн удирдлагын 2023-2025 оны стратегийн баримт бичигт заасны дагуу гадаад үнэт цаасны өрийн зохицуулалтын арга хэмжээг үргэлжлүүлэн хэрэгжүүлэх бөгөөд олон улсын зах зээлийн нөхцөл байдал, хөрөнгө оруулагчдын байр сууриас шалтгаалан шинээр хийх өрийн зохицуулалтын арга хэмжээний хугацаа, зардлын түвшин тодорхойлогдоно. </w:t>
      </w:r>
    </w:p>
    <w:p w14:paraId="40FF4802" w14:textId="1C7A5E87" w:rsidR="0051241C" w:rsidRPr="00963C14" w:rsidRDefault="0051241C" w:rsidP="00F96F21">
      <w:pPr>
        <w:spacing w:before="120" w:afterLines="0"/>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Олон улсын зах зээл гаргасан манай улсын гадаад үнэт цаасны хоёрдогч зах зээл дээрх өгөөжийг доорх графикт харуулав.</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523BFE" w:rsidRPr="00963C14" w14:paraId="4332D33A" w14:textId="77777777" w:rsidTr="000B0E73">
        <w:tc>
          <w:tcPr>
            <w:tcW w:w="9573" w:type="dxa"/>
            <w:tcBorders>
              <w:bottom w:val="single" w:sz="4" w:space="0" w:color="auto"/>
            </w:tcBorders>
          </w:tcPr>
          <w:p w14:paraId="4F5D23CA" w14:textId="413CD3AD" w:rsidR="00523BFE" w:rsidRPr="00963C14" w:rsidRDefault="00523BFE" w:rsidP="00F96F21">
            <w:pPr>
              <w:spacing w:before="120" w:afterLines="0"/>
              <w:rPr>
                <w:rStyle w:val="normaltextrun"/>
                <w:rFonts w:cs="Arial"/>
                <w:color w:val="055957"/>
                <w:shd w:val="clear" w:color="auto" w:fill="FFFFFF"/>
              </w:rPr>
            </w:pPr>
            <w:r w:rsidRPr="00963C14">
              <w:rPr>
                <w:rFonts w:eastAsia="Times New Roman" w:cs="Arial"/>
                <w:i/>
                <w:color w:val="055957"/>
                <w:kern w:val="0"/>
                <w:sz w:val="20"/>
                <w:szCs w:val="28"/>
              </w:rPr>
              <w:t>Зураг 6.4. Гадаад үнэт цаас олон улсын зах зээл дээрх өгөөж 2023.01.01-2023.12.31</w:t>
            </w:r>
          </w:p>
        </w:tc>
      </w:tr>
      <w:tr w:rsidR="00523BFE" w:rsidRPr="00963C14" w14:paraId="576D4900" w14:textId="77777777" w:rsidTr="000B0E73">
        <w:tc>
          <w:tcPr>
            <w:tcW w:w="9573" w:type="dxa"/>
            <w:tcBorders>
              <w:top w:val="single" w:sz="4" w:space="0" w:color="auto"/>
            </w:tcBorders>
          </w:tcPr>
          <w:p w14:paraId="0FDE1F8E" w14:textId="6DABAF20" w:rsidR="00523BFE" w:rsidRPr="00963C14" w:rsidRDefault="00523BFE" w:rsidP="00F96F21">
            <w:pPr>
              <w:spacing w:before="120" w:afterLines="0"/>
              <w:rPr>
                <w:rStyle w:val="normaltextrun"/>
                <w:rFonts w:cs="Arial"/>
                <w:color w:val="000000" w:themeColor="text1"/>
                <w:shd w:val="clear" w:color="auto" w:fill="FFFFFF"/>
              </w:rPr>
            </w:pPr>
            <w:r w:rsidRPr="00963C14">
              <w:rPr>
                <w:i/>
                <w:noProof/>
              </w:rPr>
              <w:drawing>
                <wp:inline distT="0" distB="0" distL="0" distR="0" wp14:anchorId="6E6A529D" wp14:editId="005B0002">
                  <wp:extent cx="6025335" cy="2534856"/>
                  <wp:effectExtent l="0" t="0" r="0" b="0"/>
                  <wp:docPr id="586085072" name="Picture 1"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5072" name="Picture 1" descr="A graph with lines and numbers&#10;&#10;Description automatically generated"/>
                          <pic:cNvPicPr/>
                        </pic:nvPicPr>
                        <pic:blipFill rotWithShape="1">
                          <a:blip r:embed="rId44">
                            <a:extLst>
                              <a:ext uri="{28A0092B-C50C-407E-A947-70E740481C1C}">
                                <a14:useLocalDpi xmlns:a14="http://schemas.microsoft.com/office/drawing/2010/main" val="0"/>
                              </a:ext>
                            </a:extLst>
                          </a:blip>
                          <a:srcRect l="2032" t="2583" r="1744" b="2893"/>
                          <a:stretch/>
                        </pic:blipFill>
                        <pic:spPr bwMode="auto">
                          <a:xfrm>
                            <a:off x="0" y="0"/>
                            <a:ext cx="6029712" cy="2536697"/>
                          </a:xfrm>
                          <a:prstGeom prst="rect">
                            <a:avLst/>
                          </a:prstGeom>
                          <a:ln>
                            <a:noFill/>
                          </a:ln>
                          <a:extLst>
                            <a:ext uri="{53640926-AAD7-44D8-BBD7-CCE9431645EC}">
                              <a14:shadowObscured xmlns:a14="http://schemas.microsoft.com/office/drawing/2010/main"/>
                            </a:ext>
                          </a:extLst>
                        </pic:spPr>
                      </pic:pic>
                    </a:graphicData>
                  </a:graphic>
                </wp:inline>
              </w:drawing>
            </w:r>
          </w:p>
        </w:tc>
      </w:tr>
      <w:tr w:rsidR="00523BFE" w:rsidRPr="00963C14" w14:paraId="23847B7A" w14:textId="77777777" w:rsidTr="000B0E73">
        <w:tc>
          <w:tcPr>
            <w:tcW w:w="9573" w:type="dxa"/>
            <w:tcBorders>
              <w:bottom w:val="single" w:sz="4" w:space="0" w:color="auto"/>
            </w:tcBorders>
          </w:tcPr>
          <w:p w14:paraId="16966A9B" w14:textId="5A5354CF" w:rsidR="00523BFE" w:rsidRPr="00963C14" w:rsidRDefault="00523BFE" w:rsidP="00523BFE">
            <w:pPr>
              <w:snapToGrid w:val="0"/>
              <w:spacing w:afterLines="0" w:after="0"/>
              <w:jc w:val="right"/>
              <w:rPr>
                <w:rStyle w:val="normaltextrun"/>
                <w:rFonts w:cs="Arial"/>
                <w:i/>
                <w:iCs/>
                <w:color w:val="000000" w:themeColor="text1"/>
                <w:sz w:val="16"/>
                <w:szCs w:val="14"/>
                <w:shd w:val="clear" w:color="auto" w:fill="FFFFFF"/>
              </w:rPr>
            </w:pPr>
            <w:r w:rsidRPr="00963C14">
              <w:rPr>
                <w:rStyle w:val="normaltextrun"/>
                <w:rFonts w:cs="Arial"/>
                <w:i/>
                <w:iCs/>
                <w:color w:val="000000" w:themeColor="text1"/>
                <w:sz w:val="16"/>
                <w:szCs w:val="14"/>
                <w:shd w:val="clear" w:color="auto" w:fill="FFFFFF"/>
              </w:rPr>
              <w:t>Эх сурвалж. Блүүмбэр</w:t>
            </w:r>
            <w:r w:rsidR="004810DB" w:rsidRPr="00963C14">
              <w:rPr>
                <w:rStyle w:val="normaltextrun"/>
                <w:rFonts w:cs="Arial"/>
                <w:i/>
                <w:iCs/>
                <w:color w:val="000000" w:themeColor="text1"/>
                <w:sz w:val="16"/>
                <w:szCs w:val="14"/>
                <w:shd w:val="clear" w:color="auto" w:fill="FFFFFF"/>
              </w:rPr>
              <w:t>г</w:t>
            </w:r>
            <w:r w:rsidRPr="00963C14">
              <w:rPr>
                <w:rStyle w:val="normaltextrun"/>
                <w:rFonts w:cs="Arial"/>
                <w:i/>
                <w:iCs/>
                <w:color w:val="000000" w:themeColor="text1"/>
                <w:sz w:val="16"/>
                <w:szCs w:val="14"/>
                <w:shd w:val="clear" w:color="auto" w:fill="FFFFFF"/>
              </w:rPr>
              <w:t xml:space="preserve"> терминал</w:t>
            </w:r>
          </w:p>
        </w:tc>
      </w:tr>
    </w:tbl>
    <w:p w14:paraId="1A9220B2" w14:textId="77777777" w:rsidR="00FD191A" w:rsidRPr="00963C14" w:rsidRDefault="00FD191A" w:rsidP="00FD191A">
      <w:pPr>
        <w:spacing w:before="240" w:afterLines="0"/>
        <w:rPr>
          <w:rStyle w:val="normaltextrun"/>
          <w:rFonts w:cs="Arial"/>
          <w:color w:val="000000" w:themeColor="text1"/>
          <w:shd w:val="clear" w:color="auto" w:fill="FFFFFF"/>
        </w:rPr>
      </w:pPr>
      <w:r w:rsidRPr="00963C14">
        <w:rPr>
          <w:rStyle w:val="normaltextrun"/>
          <w:rFonts w:cs="Arial"/>
          <w:color w:val="000000" w:themeColor="text1"/>
          <w:shd w:val="clear" w:color="auto" w:fill="FFFFFF"/>
        </w:rPr>
        <w:t>Дээрх өрийн зохицуулалтын арга хэмжээг авч хэрэгжүүлснээр 2026 онд хүртэлх гадаад төлбөрийн дарамтыг бүрэн шийдвэрлэж байгаа бөгөөд 2026 онд Номад бондын 578 сая ам.доллар, 2027 онд “Сенчири” бондын 500 сая ам.долларын төлбөр хүлээгдэж байна. Тус төлбөрүүдийг Засгийн газрын өрийн удирдлагын дунд хугацааны стратегийн баримт бичгийн зорилтыг үргэлжлүүлж өрийн зохицуулалт хийх төлөвлөгөөтэй байгаа бөгөөд гадаад валютын албан нөөц, төлбөрийн тэнцэлтэй уялдуулан төсвийн мөнгөн хөрөнгөөс төлж барагдуулах хэмжээг ихэсгэх төлөвлөгөөтэй байна.</w:t>
      </w:r>
    </w:p>
    <w:p w14:paraId="0C643A5B" w14:textId="17290BE3" w:rsidR="00E81886" w:rsidRPr="00963C14" w:rsidRDefault="00FD191A" w:rsidP="00811047">
      <w:pPr>
        <w:pStyle w:val="Heading3"/>
        <w:spacing w:after="288"/>
        <w:rPr>
          <w:rFonts w:ascii="Arial" w:hAnsi="Arial" w:cs="Arial"/>
          <w:color w:val="auto"/>
        </w:rPr>
      </w:pPr>
      <w:bookmarkStart w:id="113" w:name="_Toc165299403"/>
      <w:r w:rsidRPr="00963C14">
        <w:rPr>
          <w:rFonts w:ascii="Arial" w:hAnsi="Arial" w:cs="Arial"/>
          <w:color w:val="auto"/>
        </w:rPr>
        <w:t>6.1.5. Засгийн газрын дотоод өр</w:t>
      </w:r>
      <w:bookmarkEnd w:id="113"/>
    </w:p>
    <w:p w14:paraId="5625CD1E" w14:textId="77777777" w:rsidR="00644C96" w:rsidRPr="00963C14" w:rsidRDefault="00FD191A" w:rsidP="00644C96">
      <w:pPr>
        <w:spacing w:after="288"/>
      </w:pPr>
      <w:r w:rsidRPr="00963C14">
        <w:rPr>
          <w:b/>
          <w:i/>
          <w:color w:val="055957"/>
        </w:rPr>
        <w:t>Засгийн газрын дотоод үнэт цаас:</w:t>
      </w:r>
      <w:r w:rsidRPr="00963C14">
        <w:rPr>
          <w:i/>
          <w:iCs/>
          <w:color w:val="11A795"/>
        </w:rPr>
        <w:t xml:space="preserve"> </w:t>
      </w:r>
      <w:r w:rsidR="00644C96" w:rsidRPr="00963C14">
        <w:t xml:space="preserve">Сангийн яамны зүгээс Засгийн газрын үнэт цаасыг 2012 оны 12 дугаар сараас эхлэн Монголбанкаар дамжуулан, 2014 оны 11 дүгээр сараас эхлэн Монголын хөрөнгийн биржээр дамжуулан тус тус нээлттэй хэлбэрээр арилжаалж эхэлсэн. </w:t>
      </w:r>
    </w:p>
    <w:p w14:paraId="1D3B9B40" w14:textId="3F28A84A" w:rsidR="00FD191A" w:rsidRPr="00963C14" w:rsidRDefault="00644C96" w:rsidP="00644C96">
      <w:pPr>
        <w:spacing w:after="288"/>
      </w:pPr>
      <w:r w:rsidRPr="00963C14">
        <w:t>Засгийн газар 2012-2017 онуудын хооронд 15.9 их наяд төгрөгтэй тэнцэх хэмжээний үнэт цаасыг арилжаалсан бөгөөд үүний 70 хувь буюу 11.1 их наяд төгрөгтэй тэнцэх үнэт цаасыг Монголбанкаар, 10 хувь буюу 1.6 их наяд төгрөгтэй тэнцэх үнэт цаасыг Монголын Хөрөнгийн Биржээр, үлдсэн 20 хувь буюу 3.2 их наяд төгрөгтэй тэнцэх үнэт цаасыг хаалттай</w:t>
      </w:r>
      <w:r w:rsidR="0012077F" w:rsidRPr="00963C14">
        <w:t xml:space="preserve"> хэлбэрээр арилжаалсан байна. Түүнчлэн 2013 онд арилжаалсан үнэт цаасны дундаж хүү 9.6 хувьтай тэнцэж байсан бол үнэт цаас гаргалтын хэмжээ, Төв банкны бодлогын</w:t>
      </w:r>
      <w:r w:rsidR="00F15EC2" w:rsidRPr="00963C14">
        <w:t xml:space="preserve"> хүү зэргээс хамаарч 2016 оны 16.9 хувь, 2017 онд 13.3 хувьд хүрч өсөж байжээ.</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C523C4" w:rsidRPr="00963C14" w14:paraId="61826C76" w14:textId="77777777" w:rsidTr="000B0E73">
        <w:tc>
          <w:tcPr>
            <w:tcW w:w="9573" w:type="dxa"/>
            <w:tcBorders>
              <w:bottom w:val="single" w:sz="4" w:space="0" w:color="auto"/>
            </w:tcBorders>
          </w:tcPr>
          <w:p w14:paraId="0891EECA" w14:textId="7ADCB933" w:rsidR="00C523C4" w:rsidRPr="00963C14" w:rsidRDefault="00C523C4" w:rsidP="00C523C4">
            <w:pPr>
              <w:spacing w:before="120" w:afterLines="0" w:after="0"/>
              <w:rPr>
                <w:rFonts w:eastAsia="Times New Roman" w:cs="Arial"/>
                <w:i/>
                <w:color w:val="055957"/>
                <w:kern w:val="0"/>
                <w:sz w:val="20"/>
                <w:szCs w:val="28"/>
              </w:rPr>
            </w:pPr>
            <w:r w:rsidRPr="00963C14">
              <w:rPr>
                <w:rFonts w:eastAsia="Times New Roman" w:cs="Arial"/>
                <w:i/>
                <w:color w:val="055957"/>
                <w:kern w:val="0"/>
                <w:sz w:val="20"/>
                <w:szCs w:val="28"/>
              </w:rPr>
              <w:t>Зураг 6.5. Засгийн газрын дотоод үнэт цаасны арилжааны хэлбэр (2012-2017)</w:t>
            </w:r>
          </w:p>
        </w:tc>
      </w:tr>
      <w:tr w:rsidR="00C523C4" w:rsidRPr="00963C14" w14:paraId="6A6CC71B" w14:textId="77777777" w:rsidTr="000B0E73">
        <w:tc>
          <w:tcPr>
            <w:tcW w:w="9573" w:type="dxa"/>
            <w:tcBorders>
              <w:top w:val="single" w:sz="4" w:space="0" w:color="auto"/>
            </w:tcBorders>
          </w:tcPr>
          <w:p w14:paraId="6387C3BB" w14:textId="4A9BC00C" w:rsidR="00C523C4" w:rsidRPr="00963C14" w:rsidRDefault="00C523C4" w:rsidP="00644C96">
            <w:pPr>
              <w:spacing w:after="288"/>
              <w:rPr>
                <w:sz w:val="16"/>
                <w:szCs w:val="16"/>
              </w:rPr>
            </w:pPr>
            <w:r w:rsidRPr="00963C14">
              <w:rPr>
                <w:bCs/>
                <w:noProof/>
                <w:color w:val="002060"/>
                <w:sz w:val="16"/>
                <w:szCs w:val="16"/>
              </w:rPr>
              <w:drawing>
                <wp:inline distT="0" distB="0" distL="0" distR="0" wp14:anchorId="54237B1A" wp14:editId="748BCF12">
                  <wp:extent cx="6048375" cy="2638425"/>
                  <wp:effectExtent l="0" t="0" r="0" b="0"/>
                  <wp:docPr id="14" name="Chart 14">
                    <a:extLst xmlns:a="http://schemas.openxmlformats.org/drawingml/2006/main">
                      <a:ext uri="{FF2B5EF4-FFF2-40B4-BE49-F238E27FC236}">
                        <a16:creationId xmlns:a16="http://schemas.microsoft.com/office/drawing/2014/main" id="{CEB34475-F9E3-2CC7-44B6-40D90BFF2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r w:rsidR="00C523C4" w:rsidRPr="00963C14" w14:paraId="4BD06880" w14:textId="77777777" w:rsidTr="000B0E73">
        <w:tc>
          <w:tcPr>
            <w:tcW w:w="9573" w:type="dxa"/>
            <w:tcBorders>
              <w:bottom w:val="single" w:sz="4" w:space="0" w:color="auto"/>
            </w:tcBorders>
          </w:tcPr>
          <w:p w14:paraId="6A1F3F68" w14:textId="56DE7F36" w:rsidR="00C523C4" w:rsidRPr="00963C14" w:rsidRDefault="00C523C4" w:rsidP="00C523C4">
            <w:pPr>
              <w:spacing w:afterLines="0" w:after="0"/>
              <w:jc w:val="right"/>
              <w:rPr>
                <w:i/>
                <w:sz w:val="16"/>
                <w:szCs w:val="14"/>
              </w:rPr>
            </w:pPr>
            <w:r w:rsidRPr="00963C14">
              <w:rPr>
                <w:i/>
                <w:sz w:val="16"/>
                <w:szCs w:val="14"/>
              </w:rPr>
              <w:t>Эх сурвалж: Сангийн яам</w:t>
            </w:r>
          </w:p>
        </w:tc>
      </w:tr>
    </w:tbl>
    <w:p w14:paraId="5B99231F" w14:textId="77777777" w:rsidR="008A7A80" w:rsidRPr="00963C14" w:rsidRDefault="008A7A80" w:rsidP="008A7A80">
      <w:pPr>
        <w:pStyle w:val="Caption"/>
        <w:spacing w:before="240" w:after="288" w:line="276" w:lineRule="auto"/>
        <w:rPr>
          <w:rFonts w:ascii="Arial" w:eastAsia="MS Mincho" w:hAnsi="Arial"/>
          <w:i w:val="0"/>
          <w:iCs w:val="0"/>
          <w:color w:val="auto"/>
          <w:kern w:val="2"/>
          <w:sz w:val="24"/>
          <w:szCs w:val="22"/>
        </w:rPr>
      </w:pPr>
      <w:r w:rsidRPr="00963C14">
        <w:rPr>
          <w:rFonts w:ascii="Arial" w:eastAsia="MS Mincho" w:hAnsi="Arial"/>
          <w:i w:val="0"/>
          <w:iCs w:val="0"/>
          <w:color w:val="auto"/>
          <w:kern w:val="2"/>
          <w:sz w:val="24"/>
          <w:szCs w:val="22"/>
        </w:rPr>
        <w:t>Засгийн газрын дотоод үнэт цаасны үлдэгдэл 2023 оны жилийн эцсийн урьдчилсан гүйцэтгэлээр 234.1 тэрбум төгрөгтэй тэнцэж байна.</w:t>
      </w:r>
    </w:p>
    <w:p w14:paraId="724A7AC6" w14:textId="6B0E2461" w:rsidR="00390347" w:rsidRPr="00963C14" w:rsidRDefault="00390347" w:rsidP="00390347">
      <w:pPr>
        <w:spacing w:after="288"/>
      </w:pPr>
      <w:r w:rsidRPr="00963C14">
        <w:t xml:space="preserve">Сангийн сайдын 2022 оны 07 дугаар сарын 06-ны өдрийн 145 дугаар тушаалын дагуу Засгийн газрын өрийн оновчтой багцын бүтцийг бий болгох, Засгийн газрын санхүүжилтийн хэрэгцээг бага зардлаар, боломжит эрсдэлийн түвшинд хангах зорилгоор 300.0 тэрбум төгрөгтэй тэнцэх Засгийн газрын дотоод үнэт цаасыг 2022 оны 7 дугаар сард “Хадгаламжийн даатгалын </w:t>
      </w:r>
      <w:r w:rsidR="00E333F1" w:rsidRPr="00963C14">
        <w:t>корпорац</w:t>
      </w:r>
      <w:r w:rsidRPr="00963C14">
        <w:t xml:space="preserve"> сан”-д, 2022 оны 11 дүгээр сарын 29-ний өдрийн  235 тоот тушаалын дагуу “Монгол Улсын Хөгжлийн банк”-нд 383.9 тэрбум төгрөгтэй тэнцэх үнэт цаасыг арилжаалсан.</w:t>
      </w:r>
    </w:p>
    <w:p w14:paraId="42499F51" w14:textId="2E55034E" w:rsidR="00EE22CE" w:rsidRPr="00963C14" w:rsidRDefault="00390347" w:rsidP="00390347">
      <w:pPr>
        <w:spacing w:after="288"/>
      </w:pPr>
      <w:r w:rsidRPr="00963C14">
        <w:t>Засгийн газрын өрийн удирдлагын 2023-2025 оны стратегийн баримт бичгийн хүрээнд дотоод үнэт цаасны зах зээлийг дэмжих, арилжааг тогтмолжуулах, жишиг хүүг тогтоох зорилт тавьсны дагуу 2023 онд Монголын Хөрөнгийн Бирж дээр Засгийн газрын үнэт цаас гаргах системийг боловсруулсан бөгөөд 2023 онд төсвийн гүйцэтгэл ашигтай гарсантай холбоотойгоор үнэт цаас гаргах шаардлага үүсээгүй байна.</w:t>
      </w:r>
    </w:p>
    <w:p w14:paraId="0C6BA064" w14:textId="77777777" w:rsidR="00CB3D3A" w:rsidRPr="00963C14" w:rsidRDefault="00925690" w:rsidP="00CB3D3A">
      <w:pPr>
        <w:spacing w:after="288"/>
      </w:pPr>
      <w:r w:rsidRPr="00963C14">
        <w:rPr>
          <w:b/>
          <w:i/>
          <w:color w:val="055957"/>
        </w:rPr>
        <w:t>Барих-шилжүүлэх төрлийн концесс:</w:t>
      </w:r>
      <w:r w:rsidR="00CB3D3A" w:rsidRPr="00963C14">
        <w:rPr>
          <w:b/>
          <w:i/>
          <w:color w:val="11A795"/>
        </w:rPr>
        <w:t xml:space="preserve"> </w:t>
      </w:r>
      <w:r w:rsidR="00CB3D3A" w:rsidRPr="00963C14">
        <w:t>Улсын төсвөөс эргэн төлөгдөх нөхцөлтэй 10 концессын гэрээний үлдэгдэл 2022 онд 463.5 тэрбум төгрөгтэй тэнцэж байгаа бол орон нутгийн төсвөөс эргэн төлөгдөх нөхцөлтэй 3 концессын гэрээний хүрээнд 0.7 тэрбум төгрөгтэй тэнцэж байна. Энэхүү үлдэгдэл 2023 оны жилийн эцсийн урьдчилсан гүйцэтгэлээр 236.5 тэрбум төгрөгтэй тэнцэж байна.</w:t>
      </w:r>
    </w:p>
    <w:p w14:paraId="1A657F22" w14:textId="77777777" w:rsidR="008E2EA0" w:rsidRPr="00963C14" w:rsidRDefault="00CB3D3A" w:rsidP="00CB3D3A">
      <w:pPr>
        <w:spacing w:after="288"/>
      </w:pPr>
      <w:r w:rsidRPr="00963C14">
        <w:t>Төр, хувийн хэвшлийн түншлэлийн тухай хууль батлагдсантай холбоотойгоор Өрийн удирдлагын хуульд мөн өөрчлөлт орж Засгийн газрын өрд концессын үлдэгдлийг оруулахаа больсон тул 2024 оноос эхлэн барих-шилжүүлэх төрлийн концессын үлдэгдлийг Засгийн газрын өрийн үлдэгдэлд оруулж тооцохоо больсон болно.</w:t>
      </w:r>
      <w:r w:rsidR="008E2EA0" w:rsidRPr="00963C14">
        <w:t xml:space="preserve"> </w:t>
      </w:r>
    </w:p>
    <w:p w14:paraId="38E978A8" w14:textId="664BA7D7" w:rsidR="00AE33FD" w:rsidRPr="00963C14" w:rsidRDefault="00AE33FD" w:rsidP="00AE33FD">
      <w:pPr>
        <w:pStyle w:val="Heading2"/>
        <w:tabs>
          <w:tab w:val="right" w:leader="dot" w:pos="9354"/>
        </w:tabs>
        <w:spacing w:before="0" w:after="288"/>
        <w:ind w:firstLine="360"/>
        <w:rPr>
          <w:rFonts w:ascii="Arial" w:hAnsi="Arial" w:cs="Arial"/>
          <w:b/>
          <w:color w:val="055957"/>
          <w:sz w:val="24"/>
          <w:szCs w:val="24"/>
        </w:rPr>
      </w:pPr>
      <w:bookmarkStart w:id="114" w:name="_Toc165299404"/>
      <w:r w:rsidRPr="00963C14">
        <w:rPr>
          <w:rFonts w:ascii="Arial" w:hAnsi="Arial" w:cs="Arial"/>
          <w:b/>
          <w:color w:val="055957"/>
          <w:sz w:val="24"/>
          <w:szCs w:val="24"/>
        </w:rPr>
        <w:t>6.2. Засгийн газрын болзошгүй өр төлбөр</w:t>
      </w:r>
      <w:bookmarkEnd w:id="114"/>
    </w:p>
    <w:p w14:paraId="3A700092" w14:textId="77777777" w:rsidR="003F03F3" w:rsidRPr="00963C14" w:rsidRDefault="003F03F3" w:rsidP="003F03F3">
      <w:pPr>
        <w:spacing w:after="288"/>
      </w:pPr>
      <w:r w:rsidRPr="00963C14">
        <w:t xml:space="preserve">“Засгийн газрын өрийн баталгаа” нь баталгаа гаргуулагч зээллэгийн төлбөрийн үүргээ гүйцэтгэж чадахгүй болсон тохиолдолд төлбөрийг баталгаа гаргуулагчийн өмнөөс төлж барагдуулахаар Засгийн газрын хүлээсэн үүрэг бөгөөд улсын төсөвт учирч болзошгүй өр төлбөрт хамаарна. Засгийн газрын өрийн баталгаатай зээллэгийн төлбөрийг “Эрдэнэс Монгол” ХХК нь эргэн төлөлтийн хуваарийн дагуу хэвийн гүйцэтгэж байна. </w:t>
      </w:r>
    </w:p>
    <w:p w14:paraId="75D2A3A6" w14:textId="608B6C19" w:rsidR="003F03F3" w:rsidRPr="00963C14" w:rsidRDefault="003F03F3" w:rsidP="00A353A1">
      <w:pPr>
        <w:spacing w:after="288"/>
        <w:rPr>
          <w:i/>
          <w:iCs/>
        </w:rPr>
      </w:pPr>
      <w:r w:rsidRPr="00963C14">
        <w:rPr>
          <w:i/>
          <w:iCs/>
        </w:rPr>
        <w:t>“Эрдэнэс монгол” ХХК-д гаргасан Засгийн газрын баталгаа 2031 онд бүрэн төлөгдөх хуваарьтай байна.</w:t>
      </w:r>
    </w:p>
    <w:p w14:paraId="2CDD0381" w14:textId="77777777" w:rsidR="003F03F3" w:rsidRPr="00963C14" w:rsidRDefault="003F03F3" w:rsidP="003F03F3">
      <w:pPr>
        <w:spacing w:after="288"/>
      </w:pPr>
      <w:r w:rsidRPr="00963C14">
        <w:t>Азийн хөгжлийн банкнаас авч буй хөнгөлөлттэй техник туслалцааны зээл “Эрдэнэс Монгол” ХХК 2016 оны 4 дүгээр сарын 1-ний өдөр 35.0 сая ам.долларын ЛИБОР (6 сар) +0.6 хувийн хүүтэй, 15 жилийн хугацаатай зээлийг Азийн хөгжлийн банкнаас авсан бөгөөд Засгийн газрын 2016 оны 138 дугаар тогтоолоор Засгийн газрын баталгаа гаргасан. Зээлийн үлдэгдэл 2023 оны жилийн эцсийн урьдчилсан гүйцэтгэлээр 8.6 сая ам.доллар байгаа бөгөөд 2031 онд зээл төлөгдөж дуусна.</w:t>
      </w:r>
    </w:p>
    <w:p w14:paraId="35DC2A6E" w14:textId="77777777" w:rsidR="003F03F3" w:rsidRPr="00963C14" w:rsidRDefault="003F03F3" w:rsidP="003F03F3">
      <w:pPr>
        <w:spacing w:after="288"/>
      </w:pPr>
      <w:r w:rsidRPr="00963C14">
        <w:t>Түүнчлэн, Засгийн газар болон Монгол Улсын Хөгжлийн банкны зүгээс хамтран өрийн оновчтой бодлогыг хэрэгжүүлж өөрийн эх үүсвэрээс хугацаа тулаад байсан “Евробонд” болон Засгийн газрын өрийн баталгаатай “Самурай” бондуудыг амжилттай төлж барагдуулснаар Засгийн газрын болзошгүй өр төлбөрийн эрсдэл мэдэгдэхүйц хэмжээгээр буурсан бөгөөд 2022 онд 812 тэрбум төгрөгийн үлдэгдэлтэй байсан  Засгийн газрын өрийн баталгааны хэмжээ 2023 оны жилийн эцсийн урьдчилсан гүйцэтгэлээр 29.5 тэрбум төгрөгтэй тэнцэж байна.</w:t>
      </w:r>
    </w:p>
    <w:p w14:paraId="2FE765E2" w14:textId="5A548B23" w:rsidR="00AE33FD" w:rsidRPr="00963C14" w:rsidRDefault="003F03F3" w:rsidP="003F03F3">
      <w:pPr>
        <w:spacing w:after="288"/>
      </w:pPr>
      <w:r w:rsidRPr="00963C14">
        <w:t>Улсын Их Хурлын 2023 оны “Засгийн газрын өрийн баталгаа гаргах зөвшөөрөл олгох тухай” 90 дүгээр тогтоолыг баталсан. Үүний дагуу Засгийн газраас 2024 онд МУХБ-ны дамжуулан зээлийн хөрөнгөөр хэрэгжүүлж буй “Чойбалсан ДЦС-ын суурилагдсан хүчин чадлыг 50 МВт-аар өргөтгөх төсөл”-д өрийн баталгаа гаргах төлөвлөгөөтэй байна.</w:t>
      </w:r>
    </w:p>
    <w:p w14:paraId="4D9ABEBD" w14:textId="0C9B7DC0" w:rsidR="00306827" w:rsidRPr="00963C14" w:rsidRDefault="00306827" w:rsidP="00306827">
      <w:pPr>
        <w:pStyle w:val="Heading2"/>
        <w:tabs>
          <w:tab w:val="right" w:leader="dot" w:pos="9354"/>
        </w:tabs>
        <w:spacing w:before="0" w:after="288"/>
        <w:ind w:firstLine="360"/>
        <w:rPr>
          <w:rFonts w:ascii="Arial" w:hAnsi="Arial" w:cs="Arial"/>
          <w:b/>
          <w:color w:val="055957"/>
          <w:sz w:val="24"/>
          <w:szCs w:val="24"/>
        </w:rPr>
      </w:pPr>
      <w:bookmarkStart w:id="115" w:name="_Toc165299405"/>
      <w:r w:rsidRPr="00963C14">
        <w:rPr>
          <w:rFonts w:ascii="Arial" w:hAnsi="Arial" w:cs="Arial"/>
          <w:b/>
          <w:color w:val="055957"/>
          <w:sz w:val="24"/>
          <w:szCs w:val="24"/>
        </w:rPr>
        <w:t>6.3. Засгийн газрын өрийн тусгай шаардлага</w:t>
      </w:r>
      <w:bookmarkEnd w:id="115"/>
    </w:p>
    <w:p w14:paraId="2A1AAE30" w14:textId="77777777" w:rsidR="00483D01" w:rsidRPr="00963C14" w:rsidRDefault="00483D01" w:rsidP="00483D01">
      <w:pPr>
        <w:spacing w:after="288"/>
      </w:pPr>
      <w:r w:rsidRPr="00963C14">
        <w:t xml:space="preserve">Төсвийн тогтвортой байдлын тухай хуульд Засгийн газрын өрийн өнөөгийн үнэ цэнээр илэрхийлэгдсэн үлдэгдлийн дотоодын нийт бүтээгдэхүүнд эзлэх хувийг 2024 онд 60 хувиас хэтрэхгүй байхаар заасан байдаг. Засгийн газрын өрийн харьцаа үзүүлэлт дунд хугацаанд хийсэн суурь төсөөллөөр 2024 онд 39.6 хувь, 2025 онд 37.3 хувь, 2026 онд 37.8 хувь, 2027 онд 38.2  хувьтай тус тус тэнцэж байгаа бөгөөд энэ нь нэрлэсэн дүнгээр харгалзан 45.1 хувь, 42.0 хувь, 42.3 хувь, 42.4 хувьтай тус тус тэнцэж төсвийн тогтвортой байдлын тухай хуулиар заасан Засгийн газрын өрийн тусгай шаардлагад бүрэн нийцэхээр байна. </w:t>
      </w:r>
    </w:p>
    <w:p w14:paraId="4A1D1016" w14:textId="29AB105B" w:rsidR="00EE4D6C" w:rsidRPr="00963C14" w:rsidRDefault="007D254D" w:rsidP="00483D01">
      <w:pPr>
        <w:spacing w:after="288"/>
      </w:pPr>
      <w:r w:rsidRPr="00963C14">
        <w:t xml:space="preserve">Иймд Засгийн газрын өрийн </w:t>
      </w:r>
      <w:r w:rsidR="00A4115B" w:rsidRPr="00963C14">
        <w:t>өнөөгийн үнэ цэнээр илэрхийлэгдсэн үлдэгдлийн дотоодын нийт бүтээгдэхүүнд эзлэх хувийг 2025</w:t>
      </w:r>
      <w:r w:rsidR="00DB07BA" w:rsidRPr="00963C14">
        <w:t xml:space="preserve"> онд 50 хувь, 2026 онд 4</w:t>
      </w:r>
      <w:r w:rsidR="008E1F71" w:rsidRPr="00963C14">
        <w:t>5</w:t>
      </w:r>
      <w:r w:rsidR="00DB07BA" w:rsidRPr="00963C14">
        <w:t xml:space="preserve"> хувь</w:t>
      </w:r>
      <w:r w:rsidR="00AE5AC6" w:rsidRPr="00963C14">
        <w:t>, 2027 онд</w:t>
      </w:r>
      <w:r w:rsidR="00D02A14" w:rsidRPr="00963C14">
        <w:t xml:space="preserve"> </w:t>
      </w:r>
      <w:r w:rsidR="00A4115B" w:rsidRPr="00963C14">
        <w:t>40.0 хувь бай</w:t>
      </w:r>
      <w:r w:rsidR="00D02A14" w:rsidRPr="00963C14">
        <w:t>хаар тооцлоо</w:t>
      </w:r>
      <w:r w:rsidR="00F602B1" w:rsidRPr="00963C14">
        <w:t>.</w:t>
      </w:r>
    </w:p>
    <w:p w14:paraId="67E2820F" w14:textId="4F46BBD0" w:rsidR="00483D01" w:rsidRPr="00963C14" w:rsidRDefault="00483D01" w:rsidP="00483D01">
      <w:pPr>
        <w:pStyle w:val="Heading2"/>
        <w:tabs>
          <w:tab w:val="right" w:leader="dot" w:pos="9354"/>
        </w:tabs>
        <w:spacing w:before="0" w:after="288"/>
        <w:ind w:firstLine="360"/>
        <w:rPr>
          <w:rFonts w:ascii="Arial" w:hAnsi="Arial" w:cs="Arial"/>
          <w:b/>
          <w:color w:val="055957"/>
          <w:sz w:val="24"/>
          <w:szCs w:val="24"/>
        </w:rPr>
      </w:pPr>
      <w:bookmarkStart w:id="116" w:name="_Toc165299406"/>
      <w:r w:rsidRPr="00963C14">
        <w:rPr>
          <w:rFonts w:ascii="Arial" w:hAnsi="Arial" w:cs="Arial"/>
          <w:b/>
          <w:color w:val="055957"/>
          <w:sz w:val="24"/>
          <w:szCs w:val="24"/>
        </w:rPr>
        <w:t>6.4. Засгийн газрын 2023-2025 оны өрийн удирдлагын стратегийн баримт бичиг</w:t>
      </w:r>
      <w:bookmarkEnd w:id="116"/>
    </w:p>
    <w:p w14:paraId="3E3090B7" w14:textId="52B0FFEE" w:rsidR="00546B96" w:rsidRPr="00963C14" w:rsidRDefault="001A5777" w:rsidP="00546B96">
      <w:pPr>
        <w:spacing w:after="288"/>
      </w:pPr>
      <w:r w:rsidRPr="00963C14">
        <w:t>Засгийн газрын зүгээс “Засгийн газрын өрийн удирдлагын 2023-2025 оны стратегийн баримт бичиг”-ийг боловсруулж үндсэн 6 зорилтыг дэвшүүлсэн.</w:t>
      </w:r>
    </w:p>
    <w:p w14:paraId="0B68B12E" w14:textId="6A4068B3" w:rsidR="001A5777" w:rsidRPr="00963C14" w:rsidRDefault="001A5777" w:rsidP="00546B96">
      <w:pPr>
        <w:spacing w:after="288"/>
        <w:rPr>
          <w:b/>
          <w:i/>
          <w:color w:val="055957"/>
        </w:rPr>
      </w:pPr>
      <w:r w:rsidRPr="00963C14">
        <w:rPr>
          <w:b/>
          <w:i/>
          <w:color w:val="055957"/>
        </w:rPr>
        <w:t>Зорилт 1</w:t>
      </w:r>
      <w:r w:rsidR="008B26B2" w:rsidRPr="00963C14">
        <w:rPr>
          <w:b/>
          <w:i/>
          <w:color w:val="055957"/>
        </w:rPr>
        <w:t>.</w:t>
      </w:r>
      <w:r w:rsidR="00B866C0" w:rsidRPr="00963C14">
        <w:rPr>
          <w:b/>
          <w:i/>
          <w:color w:val="055957"/>
        </w:rPr>
        <w:t xml:space="preserve"> Засгийн газрын гадаад зээлийн хөрөнгөөр хэрэгжих төслүүдийн үр ашгийг нэмэгдүүлэх, гадаад зээлийн өрийн үйлчилгээний төсөвт үзүүлэх төлбөрийн дарамтыг бууруулна.</w:t>
      </w:r>
    </w:p>
    <w:p w14:paraId="5BCCBE98" w14:textId="1EC9A84A" w:rsidR="000D195D" w:rsidRPr="00963C14" w:rsidRDefault="000D195D" w:rsidP="000D195D">
      <w:pPr>
        <w:spacing w:after="288" w:line="276" w:lineRule="auto"/>
        <w:rPr>
          <w:i/>
          <w:color w:val="055957"/>
        </w:rPr>
      </w:pPr>
      <w:r w:rsidRPr="00963C14">
        <w:rPr>
          <w:i/>
          <w:color w:val="055957"/>
        </w:rPr>
        <w:t>1.1 Эдийн засгийн бодит өсөлт болон экспортын орлогыг нэмэгдүүлэхгүй, гадаад улс орны худалдан авалтыг дэмжих замаар импортыг өсгөж, төлбөрийн тэнцэлд дарамт учруулах нөлөө бүхий Засгийн газрын гадаад зээлийн эх үүсвэрийг авч ашиглахаас татгалзах;</w:t>
      </w:r>
    </w:p>
    <w:p w14:paraId="58B8A303" w14:textId="77777777" w:rsidR="000D195D" w:rsidRPr="00963C14" w:rsidRDefault="000D195D" w:rsidP="000D195D">
      <w:pPr>
        <w:spacing w:after="288" w:line="276" w:lineRule="auto"/>
        <w:rPr>
          <w:rFonts w:eastAsiaTheme="majorEastAsia"/>
          <w:color w:val="000000" w:themeColor="text1"/>
          <w:szCs w:val="24"/>
          <w:u w:color="FF0000"/>
        </w:rPr>
      </w:pPr>
      <w:r w:rsidRPr="00963C14">
        <w:rPr>
          <w:rFonts w:eastAsiaTheme="majorEastAsia"/>
          <w:color w:val="000000" w:themeColor="text1"/>
          <w:szCs w:val="24"/>
          <w:u w:color="FF0000"/>
        </w:rPr>
        <w:t>Засгийн газар</w:t>
      </w:r>
      <w:r w:rsidRPr="00963C14">
        <w:rPr>
          <w:rFonts w:eastAsiaTheme="majorEastAsia"/>
        </w:rPr>
        <w:t xml:space="preserve"> </w:t>
      </w:r>
      <w:r w:rsidRPr="00963C14">
        <w:rPr>
          <w:rFonts w:eastAsiaTheme="majorEastAsia"/>
          <w:color w:val="000000" w:themeColor="text1"/>
          <w:szCs w:val="24"/>
          <w:u w:color="FF0000"/>
        </w:rPr>
        <w:t>хөгжлийн түншүүдтэй хөгжлийн хамтын ажиллагааны дунд хугацааны стратегийг тохиролцон Засгийн газрын шугамаар гадаад улс, олон улсын банк, санхүүгийн байгууллагаас зээл авахдаа зээлийн ерөнхий хэлэлцээр байгуулагдсан, тусгайлсан зээлийн хэлэлцээрээр эх үүсвэр баталгаажсан, эдийн засгийн үр ашигтай төсөл, арга хэмжээ байх шаардлагыг тавьж, үргэлжилж буй төслүүдийн хувьд тухайн жилд дуусгавар болох төсөл, арга хэмжээний санхүүжилтийг бүрэн тусгах, тэргүүлэх ач холбогдолтой, амжилттай хэрэгжиж буй төсөл, арга хэмжээг дэмжих зарчмыг баримтлан ажиллаж байна.</w:t>
      </w:r>
    </w:p>
    <w:p w14:paraId="7E7C748D" w14:textId="77777777" w:rsidR="000D195D" w:rsidRPr="00963C14" w:rsidRDefault="000D195D" w:rsidP="000D195D">
      <w:pPr>
        <w:tabs>
          <w:tab w:val="left" w:pos="540"/>
        </w:tabs>
        <w:spacing w:before="240" w:after="288" w:line="276" w:lineRule="auto"/>
        <w:rPr>
          <w:rFonts w:eastAsiaTheme="majorEastAsia"/>
          <w:color w:val="000000" w:themeColor="text1"/>
          <w:szCs w:val="24"/>
          <w:u w:color="FF0000"/>
        </w:rPr>
      </w:pPr>
      <w:r w:rsidRPr="00963C14">
        <w:rPr>
          <w:rFonts w:eastAsiaTheme="majorEastAsia"/>
          <w:color w:val="000000" w:themeColor="text1"/>
          <w:szCs w:val="24"/>
          <w:u w:color="FF0000"/>
        </w:rPr>
        <w:t xml:space="preserve">Энэ хүрээнд Засгийн газрын гадаад зээлийн хөрөнгөөр хэрэгжих төслүүдийн үр ашгийг сайжруулах, төсөвт үзүүлэх төлбөрийн дарамтыг бууруулах арга хэмжээний хүрээнд Бүгд Найрамдах Энэтхэг Улсын Экспорт-Импорт банктай 6 сарын турш хэлцэл хийж 2023 оны 8 дугаар сарын 17-ны өдөр “Газрын тос боловсруулах үйлдвэр байгуулах төсөл”-ийн 1.0 тэрбум ам.долларын зээлийн ерөнхий хэлэлцээрийн хүрээнд дэд гэрээнүүдэд гарын үсэг зурсан. </w:t>
      </w:r>
    </w:p>
    <w:p w14:paraId="45BE4D2B" w14:textId="77777777" w:rsidR="000D195D" w:rsidRPr="00963C14" w:rsidRDefault="000D195D" w:rsidP="000D195D">
      <w:pPr>
        <w:tabs>
          <w:tab w:val="left" w:pos="540"/>
        </w:tabs>
        <w:spacing w:before="240" w:after="288" w:line="276" w:lineRule="auto"/>
        <w:rPr>
          <w:rFonts w:eastAsiaTheme="majorEastAsia"/>
          <w:color w:val="000000" w:themeColor="text1"/>
          <w:szCs w:val="24"/>
          <w:u w:color="FF0000"/>
        </w:rPr>
      </w:pPr>
      <w:r w:rsidRPr="00963C14">
        <w:rPr>
          <w:rFonts w:eastAsiaTheme="majorEastAsia"/>
          <w:color w:val="000000" w:themeColor="text1"/>
          <w:szCs w:val="24"/>
          <w:u w:color="FF0000"/>
        </w:rPr>
        <w:t xml:space="preserve">Дэд зээлийн гэрээнүүдийг байгуулснаар EPC-02, EPC-03 багц ажлын зээлийн эргэн төлөлт болох 789 сая ам.долларын үндсэн төлбөрөөс чөлөөлөгдөх хугацааг дахин 7 жилээр хойшлуулж, 2023 оноос эхлэн зээлийн үндсэн төлбөрт 64.5 сая ам.доллар төлж эхлэх байсныг 13.1 сая ам.доллар болгон бууруулж, төсвийн дарамтыг багасгасан. Мөн 2018 оноос хойш хийгдэхгүй гацаанд ороод байсан EPC-02, EPC-03 багц ажлын  санхүүжилт авах боломжийг бүрдүүлж төслийн бүтээн байгуулалтыг эрчимжүүлээд байна.  </w:t>
      </w:r>
    </w:p>
    <w:p w14:paraId="028ED428" w14:textId="09EF5328" w:rsidR="000D195D" w:rsidRPr="00963C14" w:rsidRDefault="000D195D" w:rsidP="000D195D">
      <w:pPr>
        <w:tabs>
          <w:tab w:val="left" w:pos="540"/>
        </w:tabs>
        <w:spacing w:before="240" w:after="288" w:line="276" w:lineRule="auto"/>
        <w:rPr>
          <w:rFonts w:eastAsiaTheme="majorEastAsia"/>
          <w:color w:val="000000" w:themeColor="text1"/>
          <w:szCs w:val="24"/>
          <w:u w:color="FF0000"/>
        </w:rPr>
      </w:pPr>
      <w:r w:rsidRPr="00963C14">
        <w:rPr>
          <w:rFonts w:eastAsiaTheme="majorEastAsia"/>
          <w:color w:val="000000" w:themeColor="text1"/>
          <w:szCs w:val="24"/>
          <w:u w:color="FF0000"/>
        </w:rPr>
        <w:t>Түүнчлэн, Засгийн газрын гадаад зээлийн хөрөнгөөр хэрэгжүүлэхээр төлөвлөж байсан боловч бэлтгэл ажил хангагдаагүй, импортыг нэмэгдүүлж экспортыг дэмжихгүй төслүүдээс татгалзах зарчмыг баримтлан ажиллаж байна. Тухайлбал, Азийн Хөгжлийн банкны санхүүжилтээр хэрэгжүүлэхээр төлөвлөж байсан “Тогтвортой аялал жуулчлалыг хөгжүүлэх-2 төсөл”, “Уур амьсгалын өөрчлөлтөд тэсвэртэй, тогтвортой мал аж ахуйг хөгжүүлэх төсөл”, Бүгд Найрамдах Польш улсын “Хүнсний ногооны үйлдвэрлэл, нэмүү өртгийн сүлжээг хөгжүүлэх төсөл” болон Бүгд Найрамдах Беларусь улсын “Улаанбаатар хотын нийтийн зориулалттай орон сууцны цахилгаан шатыг шинэчлэх” зэрэг төслүүдээс татгалзаад байна.</w:t>
      </w:r>
    </w:p>
    <w:p w14:paraId="5BC132D7" w14:textId="63C79709" w:rsidR="00AC7FD6" w:rsidRPr="00963C14" w:rsidRDefault="00AC7FD6" w:rsidP="00AC7FD6">
      <w:pPr>
        <w:spacing w:after="288"/>
        <w:rPr>
          <w:b/>
          <w:i/>
          <w:color w:val="055957"/>
        </w:rPr>
      </w:pPr>
      <w:r w:rsidRPr="00963C14">
        <w:rPr>
          <w:b/>
          <w:i/>
          <w:color w:val="055957"/>
        </w:rPr>
        <w:t xml:space="preserve">Зорилт </w:t>
      </w:r>
      <w:r w:rsidR="00BA17C4" w:rsidRPr="00963C14">
        <w:rPr>
          <w:b/>
          <w:i/>
          <w:color w:val="055957"/>
        </w:rPr>
        <w:t>2</w:t>
      </w:r>
      <w:r w:rsidR="008B26B2" w:rsidRPr="00963C14">
        <w:rPr>
          <w:b/>
          <w:i/>
          <w:color w:val="055957"/>
        </w:rPr>
        <w:t>.</w:t>
      </w:r>
      <w:r w:rsidRPr="00963C14">
        <w:rPr>
          <w:b/>
          <w:i/>
          <w:color w:val="055957"/>
        </w:rPr>
        <w:t xml:space="preserve"> </w:t>
      </w:r>
      <w:r w:rsidR="001844BE" w:rsidRPr="00963C14">
        <w:rPr>
          <w:b/>
          <w:i/>
          <w:color w:val="055957"/>
        </w:rPr>
        <w:t>Засгийн газрын гадаад үнэт цаасны төлбөрүүдийг эдийн засаг, төсөвт дарамт учруулахгүйгээр төлж, дахин санхүүжилтийн эрсдэлийг бууруулна.</w:t>
      </w:r>
    </w:p>
    <w:p w14:paraId="1DC83774" w14:textId="574A0436" w:rsidR="00AC7FD6" w:rsidRPr="00963C14" w:rsidRDefault="00360BDA" w:rsidP="00AC7FD6">
      <w:pPr>
        <w:spacing w:after="288" w:line="276" w:lineRule="auto"/>
        <w:rPr>
          <w:i/>
          <w:color w:val="055957"/>
        </w:rPr>
      </w:pPr>
      <w:r w:rsidRPr="00963C14">
        <w:rPr>
          <w:i/>
          <w:color w:val="055957"/>
        </w:rPr>
        <w:t>2.1, 2.2. Засгийн газрын гадаад үнэт цаасны төлбөрийг мөнгөн хөрөнгийн хуримтлалаас боломжит хэмжээгээр төлөх, өрийн зохицуулалтын арга хэмжээ, хугацаанаас нь өмнө худалдан авах, дахин санхүүжүүлэх зэрэг арга хэмжээг авч хэрэгжүүлэх</w:t>
      </w:r>
      <w:r w:rsidR="00AC7FD6" w:rsidRPr="00963C14">
        <w:rPr>
          <w:i/>
          <w:color w:val="055957"/>
        </w:rPr>
        <w:t>;</w:t>
      </w:r>
    </w:p>
    <w:p w14:paraId="43B72111" w14:textId="77777777" w:rsidR="00676EE1" w:rsidRPr="00963C14" w:rsidRDefault="00676EE1" w:rsidP="00676EE1">
      <w:pPr>
        <w:tabs>
          <w:tab w:val="left" w:pos="810"/>
          <w:tab w:val="left" w:pos="900"/>
          <w:tab w:val="left" w:pos="1980"/>
        </w:tabs>
        <w:snapToGrid w:val="0"/>
        <w:spacing w:before="120" w:afterLines="0" w:line="276" w:lineRule="auto"/>
        <w:rPr>
          <w:rFonts w:eastAsiaTheme="majorEastAsia"/>
          <w:szCs w:val="24"/>
        </w:rPr>
      </w:pPr>
      <w:r w:rsidRPr="00963C14">
        <w:rPr>
          <w:rFonts w:eastAsiaTheme="majorEastAsia"/>
          <w:szCs w:val="24"/>
        </w:rPr>
        <w:t>Дахин санхүүжилтийн арга хэмжээний хүрээнд Засгийн газар 2023 онд нийт 2 удаагийн өрийн зохицуулалтын арга хэмжээг авч хэрэгжүүлэн 2023-2024 онд хүлээгдэж байсан “Гэрэгэ” бондын 517.2 сая ам.доллар, “Хуралдай” бондын 600 сая ам.долларын төлбөрийг төлж барагдуулсан. Тухайлбал, 01 дүгээр сард 650 сая ам.доллартой тэнцэх “Сенчири-2” өрийн зохицуулалтын арга хэмжээний хүрээнд “Гэрэгэ” бондын 435.2 сая ам.доллар, “Хуралдай” бондын 207.5 сая ам.долларыг, 12 дугаар сард 350 сая ам.доллартой тэнцэх “Сенчири-3” өрийн зохицуулалтын арга хэмжээний хүрээнд “Хуралдай” бондын 340 сая ам.долларын төлбөрийг тус тус шийдвэрлэсэн.</w:t>
      </w:r>
    </w:p>
    <w:p w14:paraId="5CA46A70" w14:textId="2AEC3B99" w:rsidR="00676EE1" w:rsidRPr="00963C14" w:rsidRDefault="00676EE1" w:rsidP="00676EE1">
      <w:pPr>
        <w:tabs>
          <w:tab w:val="left" w:pos="810"/>
          <w:tab w:val="left" w:pos="900"/>
          <w:tab w:val="left" w:pos="1980"/>
        </w:tabs>
        <w:snapToGrid w:val="0"/>
        <w:spacing w:before="120" w:afterLines="0" w:line="276" w:lineRule="auto"/>
        <w:rPr>
          <w:szCs w:val="24"/>
        </w:rPr>
      </w:pPr>
      <w:r w:rsidRPr="00963C14">
        <w:rPr>
          <w:szCs w:val="24"/>
        </w:rPr>
        <w:t>Гадаад</w:t>
      </w:r>
      <w:r w:rsidRPr="00963C14">
        <w:rPr>
          <w:rFonts w:eastAsiaTheme="majorEastAsia"/>
          <w:szCs w:val="24"/>
        </w:rPr>
        <w:t xml:space="preserve"> үнэт цаасны </w:t>
      </w:r>
      <w:r w:rsidRPr="00963C14">
        <w:rPr>
          <w:szCs w:val="24"/>
        </w:rPr>
        <w:t>төлбөрийг мөнгөн хөрөнгийн хуримтлалаас боломжит хэмжээгээр төлөх арга хэмжээний хүрээнд 2022 оны 12 дугаар сарын 5-ны өдөр эргэн төлөгдөх хуваарьтай Чингис бондын үлдэгдэл 136.8 сая ам.долларыг 2022 оны 12 дугаар сарын 5-ны өдөр , Гэрэгэ бондын үлдэгдэл төлбөр болох 82.0 сая ам.долларыг 2023 оны 04 дүгээр сарын 28 -ны өдөр гадаад валютын албан нөөцөд дарамт учруулахгүйгээр тус тус улсын төсвөөс төлж дуусгах үйл ажиллагааг амжилттай хэрэгжүүлсэн.</w:t>
      </w:r>
    </w:p>
    <w:p w14:paraId="14F30B0C" w14:textId="77777777" w:rsidR="00676EE1" w:rsidRPr="00963C14" w:rsidRDefault="00676EE1" w:rsidP="00676EE1">
      <w:pPr>
        <w:tabs>
          <w:tab w:val="left" w:pos="810"/>
          <w:tab w:val="left" w:pos="900"/>
          <w:tab w:val="left" w:pos="1980"/>
        </w:tabs>
        <w:snapToGrid w:val="0"/>
        <w:spacing w:before="120" w:afterLines="0" w:line="276" w:lineRule="auto"/>
        <w:rPr>
          <w:szCs w:val="24"/>
        </w:rPr>
      </w:pPr>
      <w:r w:rsidRPr="00963C14">
        <w:rPr>
          <w:szCs w:val="24"/>
        </w:rPr>
        <w:t>Дээрх өрийн дахин санхүүжилтийн арга хэмжээг авч хэрэгжүүлснээр 2026 онд хүртэлх гадаад төлбөрийн дарамтыг бүрэн шийдвэрлэж байгаа бөгөөд 2026 онд Номад бондын 578 сая ам.доллар, 2027 онд “Сенчири” бондын 500 сая ам.долларын төлбөр хүлээгдэж байна.</w:t>
      </w:r>
    </w:p>
    <w:p w14:paraId="26F8CC48" w14:textId="6EC87D20" w:rsidR="00BB4935" w:rsidRPr="00963C14" w:rsidRDefault="005C2A85" w:rsidP="00BB4935">
      <w:pPr>
        <w:spacing w:after="288" w:line="276" w:lineRule="auto"/>
        <w:rPr>
          <w:i/>
          <w:color w:val="055957"/>
        </w:rPr>
      </w:pPr>
      <w:r w:rsidRPr="00963C14">
        <w:rPr>
          <w:i/>
          <w:color w:val="055957"/>
        </w:rPr>
        <w:t>2.3. Улсын зээлжих зэрэглэлийг сайжруулах үүднээс зэрэглэл тогтоогч байгууллага, хөрөнгө оруулагчдыг мэдээллээр тогтмол ханган хамтарч ажиллах</w:t>
      </w:r>
      <w:r w:rsidR="00BB4935" w:rsidRPr="00963C14">
        <w:rPr>
          <w:i/>
          <w:color w:val="055957"/>
        </w:rPr>
        <w:t>;</w:t>
      </w:r>
    </w:p>
    <w:p w14:paraId="4FE03450" w14:textId="77777777" w:rsidR="00FF3FFB" w:rsidRPr="00963C14" w:rsidRDefault="00FF3FFB" w:rsidP="00FF3FFB">
      <w:pPr>
        <w:tabs>
          <w:tab w:val="left" w:pos="810"/>
          <w:tab w:val="left" w:pos="900"/>
          <w:tab w:val="left" w:pos="1980"/>
        </w:tabs>
        <w:snapToGrid w:val="0"/>
        <w:spacing w:before="120" w:afterLines="0" w:line="276" w:lineRule="auto"/>
        <w:rPr>
          <w:szCs w:val="24"/>
        </w:rPr>
      </w:pPr>
      <w:r w:rsidRPr="00963C14">
        <w:rPr>
          <w:szCs w:val="24"/>
        </w:rPr>
        <w:t xml:space="preserve">Засгийн газрын зүгээс 2023 оны 06 дугаар сард олон улсын хөрөнгө оруулагчидтай роудшоу уулзалт (non deal roadshow) зохион байгуулсан. Энэхүү уулзалтын гол зорилго нь Монгол Улсын эдийн засгийн нөхцөл байдал, Монгол Улсын Хөгжлийн банкны үнэт цаасны эргэн төлөлт болон Хуралдай бондын эргэн төлөлтийн талаар мэдээллийг хүргэсэн бөгөөд хөрөнгө оруулагчдын саналыг сонсох байсан. </w:t>
      </w:r>
    </w:p>
    <w:p w14:paraId="6743AFCF" w14:textId="77777777" w:rsidR="00FF3FFB" w:rsidRPr="00963C14" w:rsidRDefault="00FF3FFB" w:rsidP="00FF3FFB">
      <w:pPr>
        <w:tabs>
          <w:tab w:val="left" w:pos="810"/>
          <w:tab w:val="left" w:pos="900"/>
          <w:tab w:val="left" w:pos="1980"/>
        </w:tabs>
        <w:snapToGrid w:val="0"/>
        <w:spacing w:before="120" w:afterLines="0" w:line="276" w:lineRule="auto"/>
        <w:rPr>
          <w:szCs w:val="24"/>
        </w:rPr>
      </w:pPr>
      <w:r w:rsidRPr="00963C14">
        <w:rPr>
          <w:szCs w:val="24"/>
        </w:rPr>
        <w:t>Түүнчлэн, 2023 оны 05 дугаар сард олон улсын зээлжих зэрэглэл тогтоогч Фитч агентлагийн төлөөлөлтэй, 07 дугаар сард Эс энд Пи агентлагийн төлөөлөлтэй тус тус уулзалтыг зохион байгуулж, зээлжих зэрэглэл тогтоолгосон бөгөөд Монгол Улсын 2023 оны зээлжих зэрэглэлийг В тогтвортой түвшинд хэвээр хадгалаад байна. Мөн цаашид зээлжих зэрэглэлээ нэмэгдүүлэхэд дараах нөхцөлийг тавьсан болохыг мэдэгдсэн. Үүнд:</w:t>
      </w:r>
    </w:p>
    <w:p w14:paraId="2ABC94BB" w14:textId="1AC92065" w:rsidR="00FF3FFB" w:rsidRPr="00963C14" w:rsidRDefault="00FF3FFB" w:rsidP="00FF3FFB">
      <w:pPr>
        <w:pStyle w:val="ListParagraph"/>
        <w:numPr>
          <w:ilvl w:val="0"/>
          <w:numId w:val="28"/>
        </w:numPr>
        <w:tabs>
          <w:tab w:val="left" w:pos="810"/>
          <w:tab w:val="left" w:pos="900"/>
          <w:tab w:val="left" w:pos="1980"/>
        </w:tabs>
        <w:snapToGrid w:val="0"/>
        <w:spacing w:before="120" w:afterLines="0" w:after="288" w:line="276" w:lineRule="auto"/>
        <w:rPr>
          <w:szCs w:val="24"/>
        </w:rPr>
      </w:pPr>
      <w:r w:rsidRPr="00963C14">
        <w:rPr>
          <w:szCs w:val="24"/>
        </w:rPr>
        <w:t>ГВАН-ийг их хэмжээгээр нэмэгдүүлж, Засгийн газрын гадаад өрийн удирдлагын стратегийг хэрэгжүүлж, гадаад санхүүжилтийн хэрэгцээг бууруулж тогтвортой байдлыг хадгалах;</w:t>
      </w:r>
    </w:p>
    <w:p w14:paraId="1FA29F6E" w14:textId="28D3E158" w:rsidR="00FF3FFB" w:rsidRPr="00963C14" w:rsidRDefault="00FF3FFB" w:rsidP="00FF3FFB">
      <w:pPr>
        <w:pStyle w:val="ListParagraph"/>
        <w:numPr>
          <w:ilvl w:val="0"/>
          <w:numId w:val="28"/>
        </w:numPr>
        <w:tabs>
          <w:tab w:val="left" w:pos="810"/>
          <w:tab w:val="left" w:pos="900"/>
          <w:tab w:val="left" w:pos="1980"/>
        </w:tabs>
        <w:snapToGrid w:val="0"/>
        <w:spacing w:before="120" w:afterLines="0" w:after="288" w:line="276" w:lineRule="auto"/>
        <w:rPr>
          <w:szCs w:val="24"/>
        </w:rPr>
      </w:pPr>
      <w:r w:rsidRPr="00963C14">
        <w:rPr>
          <w:szCs w:val="24"/>
        </w:rPr>
        <w:t>Макро эдийн засгийн зөв, зохистой бодлогыг үргэлжлүүлэн хэрэгжүүлж, түүхий эдийн үнийн болон олон улсын эдийн засгийн савлагаанд хэт мэдрэг байдлыг бууруулж, гадаадын шууд хөрөнгө оруулалт орж ирэхэд таатай бизнесийн орчныг бүрдүүлэх;</w:t>
      </w:r>
    </w:p>
    <w:p w14:paraId="3CCAFC1A" w14:textId="779658CD" w:rsidR="00FF3FFB" w:rsidRPr="00963C14" w:rsidRDefault="00FF3FFB" w:rsidP="00FF3FFB">
      <w:pPr>
        <w:pStyle w:val="ListParagraph"/>
        <w:numPr>
          <w:ilvl w:val="0"/>
          <w:numId w:val="28"/>
        </w:numPr>
        <w:tabs>
          <w:tab w:val="left" w:pos="810"/>
          <w:tab w:val="left" w:pos="900"/>
          <w:tab w:val="left" w:pos="1980"/>
        </w:tabs>
        <w:snapToGrid w:val="0"/>
        <w:spacing w:before="120" w:afterLines="0" w:after="288" w:line="276" w:lineRule="auto"/>
        <w:rPr>
          <w:szCs w:val="24"/>
        </w:rPr>
      </w:pPr>
      <w:r w:rsidRPr="00963C14">
        <w:rPr>
          <w:szCs w:val="24"/>
        </w:rPr>
        <w:t>Засгийн газрын өрийн ДНБ-тэй харьцах харьцааг тогтмол бууруулах;</w:t>
      </w:r>
    </w:p>
    <w:p w14:paraId="523653AD" w14:textId="120C984C" w:rsidR="00FF3FFB" w:rsidRPr="00963C14" w:rsidRDefault="00FF3FFB" w:rsidP="00FF3FFB">
      <w:pPr>
        <w:pStyle w:val="ListParagraph"/>
        <w:numPr>
          <w:ilvl w:val="0"/>
          <w:numId w:val="28"/>
        </w:numPr>
        <w:tabs>
          <w:tab w:val="left" w:pos="810"/>
          <w:tab w:val="left" w:pos="900"/>
          <w:tab w:val="left" w:pos="1980"/>
        </w:tabs>
        <w:snapToGrid w:val="0"/>
        <w:spacing w:before="120" w:afterLines="0" w:after="288" w:line="276" w:lineRule="auto"/>
        <w:rPr>
          <w:szCs w:val="24"/>
        </w:rPr>
      </w:pPr>
      <w:r w:rsidRPr="00963C14">
        <w:rPr>
          <w:szCs w:val="24"/>
        </w:rPr>
        <w:t>Монгол Улсын эдийн засаг таамаглаж байгаагаас илүү буюу ижил орлоготой улс орнуудтай харьцуулахад сайжрах;</w:t>
      </w:r>
    </w:p>
    <w:p w14:paraId="1F7B2239" w14:textId="1DE0480B" w:rsidR="00FF3FFB" w:rsidRPr="00963C14" w:rsidRDefault="00FF3FFB" w:rsidP="00FF3FFB">
      <w:pPr>
        <w:pStyle w:val="ListParagraph"/>
        <w:numPr>
          <w:ilvl w:val="0"/>
          <w:numId w:val="28"/>
        </w:numPr>
        <w:tabs>
          <w:tab w:val="left" w:pos="810"/>
          <w:tab w:val="left" w:pos="900"/>
          <w:tab w:val="left" w:pos="1980"/>
        </w:tabs>
        <w:snapToGrid w:val="0"/>
        <w:spacing w:before="120" w:afterLines="0" w:after="288" w:line="276" w:lineRule="auto"/>
        <w:rPr>
          <w:szCs w:val="24"/>
        </w:rPr>
      </w:pPr>
      <w:r w:rsidRPr="00963C14">
        <w:rPr>
          <w:szCs w:val="24"/>
        </w:rPr>
        <w:t>Эдийн засгийн өсөлт хүлээлтээс давж өссөн тохиолдолд энэ нь төсөв, өр, гадаад зах зээлийн үзүүлэлтийг хурдан сайжруулах;</w:t>
      </w:r>
    </w:p>
    <w:p w14:paraId="35A3C83F" w14:textId="0549008F" w:rsidR="000668CC" w:rsidRPr="00963C14" w:rsidRDefault="000668CC" w:rsidP="00FF3FFB">
      <w:pPr>
        <w:pStyle w:val="ListParagraph"/>
        <w:numPr>
          <w:ilvl w:val="0"/>
          <w:numId w:val="28"/>
        </w:numPr>
        <w:tabs>
          <w:tab w:val="left" w:pos="810"/>
          <w:tab w:val="left" w:pos="900"/>
          <w:tab w:val="left" w:pos="1980"/>
        </w:tabs>
        <w:snapToGrid w:val="0"/>
        <w:spacing w:before="120" w:afterLines="0" w:after="288" w:line="276" w:lineRule="auto"/>
        <w:rPr>
          <w:szCs w:val="24"/>
        </w:rPr>
      </w:pPr>
      <w:r w:rsidRPr="00963C14">
        <w:rPr>
          <w:color w:val="000000" w:themeColor="text1"/>
          <w:szCs w:val="24"/>
        </w:rPr>
        <w:t>Монгол Улсын тогтолцооны шинэчлэл, сайжруулалт хийх, ялангуяа бодлого боловсруулахдаа бодит ахиц дэвшил гаргах зэрэг болно.</w:t>
      </w:r>
    </w:p>
    <w:p w14:paraId="777D7A75" w14:textId="7853C4EA" w:rsidR="00D654D9" w:rsidRPr="00963C14" w:rsidRDefault="00D654D9" w:rsidP="00D654D9">
      <w:pPr>
        <w:spacing w:after="288"/>
        <w:rPr>
          <w:b/>
          <w:i/>
          <w:color w:val="055957"/>
        </w:rPr>
      </w:pPr>
      <w:r w:rsidRPr="00963C14">
        <w:rPr>
          <w:b/>
          <w:i/>
          <w:color w:val="055957"/>
        </w:rPr>
        <w:t>Зорилт 3</w:t>
      </w:r>
      <w:r w:rsidR="008B26B2" w:rsidRPr="00963C14">
        <w:rPr>
          <w:b/>
          <w:i/>
          <w:color w:val="055957"/>
        </w:rPr>
        <w:t>.</w:t>
      </w:r>
      <w:r w:rsidRPr="00963C14">
        <w:rPr>
          <w:b/>
          <w:i/>
          <w:color w:val="055957"/>
        </w:rPr>
        <w:t xml:space="preserve"> </w:t>
      </w:r>
      <w:r w:rsidR="001E71FD" w:rsidRPr="00963C14">
        <w:rPr>
          <w:b/>
          <w:i/>
          <w:color w:val="055957"/>
        </w:rPr>
        <w:t>Засгийн газрын өрийн удирдлагын тогтолцоог сайжруулж, орчин үеийн чиг хандлагад нийцүүлэх, Засгийн газрын өрийн багц дахь зах зээлийн эрсдэлээс сэргийлэх зорилгоор үүсмэл арга хэрэгслийг өрийн зохицуулалтын үйл ажиллагаанд нэвтрүүлнэ</w:t>
      </w:r>
      <w:r w:rsidRPr="00963C14">
        <w:rPr>
          <w:b/>
          <w:i/>
          <w:color w:val="055957"/>
        </w:rPr>
        <w:t>.</w:t>
      </w:r>
    </w:p>
    <w:p w14:paraId="23CFD071" w14:textId="2E781939" w:rsidR="00D654D9" w:rsidRPr="00963C14" w:rsidRDefault="009F5A84" w:rsidP="00D654D9">
      <w:pPr>
        <w:spacing w:after="288" w:line="276" w:lineRule="auto"/>
        <w:rPr>
          <w:i/>
          <w:color w:val="055957"/>
        </w:rPr>
      </w:pPr>
      <w:r w:rsidRPr="00963C14">
        <w:rPr>
          <w:i/>
          <w:color w:val="055957"/>
        </w:rPr>
        <w:t>3.1</w:t>
      </w:r>
      <w:r w:rsidR="00C93B8B" w:rsidRPr="00963C14">
        <w:rPr>
          <w:i/>
          <w:color w:val="055957"/>
        </w:rPr>
        <w:t>.</w:t>
      </w:r>
      <w:r w:rsidRPr="00963C14">
        <w:rPr>
          <w:i/>
          <w:color w:val="055957"/>
        </w:rPr>
        <w:t>Дэлхий нийтэд тулгараад байгаа нь инфляцын өсөлтөөс шалтгаалан гадаад зах зээлд бий болоод байгаа хүүгийн өсөлтөөс хамааран урт, дунд хугацаанд Засгийн газрын гадаад зээлийн хөвөгч хүү өсөх тохиолдолд тогтмол хүүтэй зээл авах нөхцөлийг зээлдүүлэгч талд тавьж ажиллах</w:t>
      </w:r>
      <w:r w:rsidR="00D654D9" w:rsidRPr="00963C14">
        <w:rPr>
          <w:i/>
          <w:color w:val="055957"/>
        </w:rPr>
        <w:t>;</w:t>
      </w:r>
    </w:p>
    <w:p w14:paraId="1CA9776D" w14:textId="27D0CB99" w:rsidR="0074688A" w:rsidRPr="00963C14" w:rsidRDefault="0074688A" w:rsidP="00D654D9">
      <w:pPr>
        <w:spacing w:after="288" w:line="276" w:lineRule="auto"/>
      </w:pPr>
      <w:r w:rsidRPr="00963C14">
        <w:t>Засгийн газрын гадаад зээлийг авахдаа зээлийн хөнгөлөлтийн түвшнийг харгалзан үзэж Засгийн газраас гадаад зээл шинээр авах үйл ажиллагааг хэрэгжүүлэхдээ зээлдэгч байгууллагатай зээлийн хэлэлцээрт 2023 оны байдлаар 5 хувьтай тэнцэж байгаа хөвөгч хүүг багасгах бодлогыг баримталж ажиллаж байна. Тухайлбал, 2023 оны 07 дугаар сарын 07-ны өдөр Улсын Их Хурлаар батлагдсан “Аймаг, сумын бүсчилсэн ногоон хөгжлийн хөрөнгө оруулалтын хөтөлбөр”-ийн 560.0 сая ам.доллартой тэнцэх хэмжээний зээлийн хөрөнгийн 420.0 сая ам.доллартой тэнцэх хэмжээний зээлийг тогтмол хүүтэй, үлдсэн 140 сая ам.долларыг хөвөгч хүүтэй нөхцөлтэйгөөр авч ашиглах болгож зээлийн нөхцөлийг сайжруулаад байна.</w:t>
      </w:r>
    </w:p>
    <w:p w14:paraId="7026E319" w14:textId="38AB5C1F" w:rsidR="006A65CF" w:rsidRPr="00963C14" w:rsidRDefault="006A65CF" w:rsidP="006A65CF">
      <w:pPr>
        <w:spacing w:after="288" w:line="276" w:lineRule="auto"/>
        <w:rPr>
          <w:i/>
          <w:color w:val="055957"/>
        </w:rPr>
      </w:pPr>
      <w:r w:rsidRPr="00963C14">
        <w:rPr>
          <w:i/>
          <w:color w:val="055957"/>
        </w:rPr>
        <w:t>3</w:t>
      </w:r>
      <w:r w:rsidR="00C93B8B" w:rsidRPr="00963C14">
        <w:rPr>
          <w:i/>
          <w:color w:val="055957"/>
        </w:rPr>
        <w:t>.2.Орон нутгийн засаг захиргааны өрийн удирдлагын чадавхыг бэхжүүлж, болзошгүй өр төлбөрийн эрсдэлээс сэргийлэх, Засгийн газрын өрийн мэдээллийн нэгдсэн санг хөтлөх талаар хамтран ажиллах</w:t>
      </w:r>
      <w:r w:rsidRPr="00963C14">
        <w:rPr>
          <w:i/>
          <w:color w:val="055957"/>
        </w:rPr>
        <w:t>;</w:t>
      </w:r>
    </w:p>
    <w:p w14:paraId="1EE33011" w14:textId="0C2988DA" w:rsidR="006A65CF" w:rsidRPr="00963C14" w:rsidRDefault="00910B6A" w:rsidP="006A65CF">
      <w:pPr>
        <w:spacing w:after="288" w:line="276" w:lineRule="auto"/>
      </w:pPr>
      <w:r w:rsidRPr="00963C14">
        <w:t>Өрийн удирдлагын тухай хуулийн 281 дүгээр зүйлийн 281.7 дахь хэсэгт “аймаг, нийслэлийн Засаг даргын үнэт цаас гаргах, арилжаалах, мэдээлэхтэй холбогдсон журмыг санхүү, төсвийн асуудал эрхэлсэн төрийн захиргааны төв байгууллага боловсруулан, Засгийн газарт баталж мөрдүүлнэ” гэж заасны дагуу Засгийн газрын 2023 оны 05 дугаар сарын 24-ний өдрийн 199 дүгээр “Журам батлах тухай” тогтоолын хавсралтаар “Нийслэлийн үнэт цаас гаргах, арилжаалах, мэдээлэх журам”-ыг баталж Нийслэлийн Засаг даргын Тамгын газар дотоодын</w:t>
      </w:r>
      <w:r w:rsidR="00CC6585" w:rsidRPr="00963C14">
        <w:t xml:space="preserve"> зах зээлд үнэт цаас гаргах эрх зүйн орчныг бүрдүүлж өгсөн болно</w:t>
      </w:r>
      <w:r w:rsidR="006A65CF" w:rsidRPr="00963C14">
        <w:t>.</w:t>
      </w:r>
    </w:p>
    <w:p w14:paraId="1A68EEC6" w14:textId="52D2E587" w:rsidR="00CC6585" w:rsidRPr="00963C14" w:rsidRDefault="00CC6585" w:rsidP="00CC6585">
      <w:pPr>
        <w:spacing w:after="288"/>
        <w:rPr>
          <w:b/>
          <w:i/>
          <w:color w:val="055957"/>
        </w:rPr>
      </w:pPr>
      <w:r w:rsidRPr="00963C14">
        <w:rPr>
          <w:b/>
          <w:i/>
          <w:color w:val="055957"/>
        </w:rPr>
        <w:t>Зорилт 4</w:t>
      </w:r>
      <w:r w:rsidR="008B26B2" w:rsidRPr="00963C14">
        <w:rPr>
          <w:b/>
          <w:i/>
          <w:color w:val="055957"/>
        </w:rPr>
        <w:t>.</w:t>
      </w:r>
      <w:r w:rsidRPr="00963C14">
        <w:rPr>
          <w:b/>
          <w:i/>
          <w:color w:val="055957"/>
        </w:rPr>
        <w:t xml:space="preserve"> </w:t>
      </w:r>
      <w:r w:rsidR="0018209F" w:rsidRPr="00963C14">
        <w:rPr>
          <w:b/>
          <w:i/>
          <w:color w:val="055957"/>
        </w:rPr>
        <w:t>Засгийн газрын дотоод үнэт цаасны зах зээлийн хөгжлийг дэмжих, үнэт цаасны арилжааг тогтмолжуулна</w:t>
      </w:r>
      <w:r w:rsidRPr="00963C14">
        <w:rPr>
          <w:b/>
          <w:i/>
          <w:color w:val="055957"/>
        </w:rPr>
        <w:t>.</w:t>
      </w:r>
    </w:p>
    <w:p w14:paraId="5882392E" w14:textId="140614E3" w:rsidR="005D4236" w:rsidRPr="00963C14" w:rsidRDefault="008B4C14" w:rsidP="005D4236">
      <w:pPr>
        <w:spacing w:after="288" w:line="276" w:lineRule="auto"/>
        <w:rPr>
          <w:i/>
          <w:color w:val="055957"/>
        </w:rPr>
      </w:pPr>
      <w:r w:rsidRPr="00963C14">
        <w:rPr>
          <w:i/>
          <w:color w:val="055957"/>
        </w:rPr>
        <w:t>4.1</w:t>
      </w:r>
      <w:r w:rsidR="009A1643" w:rsidRPr="00963C14">
        <w:rPr>
          <w:i/>
          <w:color w:val="055957"/>
        </w:rPr>
        <w:t>.</w:t>
      </w:r>
      <w:r w:rsidRPr="00963C14">
        <w:rPr>
          <w:i/>
          <w:color w:val="055957"/>
        </w:rPr>
        <w:t>Засгийн газрын дотоод үнэт цаасны арилжаанд орчин үеийн дэвшилтэт технологийг ашигласан арилжааны систем нэвтрүүлэх</w:t>
      </w:r>
      <w:r w:rsidR="005D4236" w:rsidRPr="00963C14">
        <w:rPr>
          <w:i/>
          <w:color w:val="055957"/>
        </w:rPr>
        <w:t>;</w:t>
      </w:r>
    </w:p>
    <w:p w14:paraId="16D8866F" w14:textId="09D13FBC" w:rsidR="005D4236" w:rsidRPr="00963C14" w:rsidRDefault="00B64A94" w:rsidP="005D4236">
      <w:pPr>
        <w:spacing w:after="288" w:line="276" w:lineRule="auto"/>
      </w:pPr>
      <w:r w:rsidRPr="00963C14">
        <w:t>Нэгдсэн төсвийн гүйцэтгэл ашигтай, төрийн сангийн мөнгөн хөрөнгийн үлдэгдэл харьцангуй сайн байгаа зэргээс шалтгаалан 2023 онд Засгийн газрын дотоод үнэт цаас арилжаалах шаардлага үүсээгүй болно. Засгийн газрын зүгээс төсвийн алдагдал болон төрийн сангийн мөнгөн хөрөнгийн дутагдлыг нөхөх зорилгоор 2024 онд Засгийн газрын дотоод үнэт цаасыг зохистой хэмжээгээр олон нийтэд нээлттэй, нэгдсэн зах зээл дээр арилжаалах төлөвлөгөөтэй ажиллаж байна.</w:t>
      </w:r>
    </w:p>
    <w:p w14:paraId="7A6AE8E7" w14:textId="78BDC358" w:rsidR="00B64A94" w:rsidRPr="00963C14" w:rsidRDefault="00B64A94" w:rsidP="00B64A94">
      <w:pPr>
        <w:spacing w:after="288"/>
        <w:rPr>
          <w:b/>
          <w:i/>
          <w:color w:val="055957"/>
        </w:rPr>
      </w:pPr>
      <w:r w:rsidRPr="00963C14">
        <w:rPr>
          <w:b/>
          <w:i/>
          <w:color w:val="055957"/>
        </w:rPr>
        <w:t>Зорилт 5</w:t>
      </w:r>
      <w:r w:rsidR="008B26B2" w:rsidRPr="00963C14">
        <w:rPr>
          <w:b/>
          <w:i/>
          <w:color w:val="055957"/>
        </w:rPr>
        <w:t>.</w:t>
      </w:r>
      <w:r w:rsidRPr="00963C14">
        <w:rPr>
          <w:b/>
          <w:i/>
          <w:color w:val="055957"/>
        </w:rPr>
        <w:t xml:space="preserve"> </w:t>
      </w:r>
      <w:r w:rsidR="00AB18D7" w:rsidRPr="00963C14">
        <w:rPr>
          <w:b/>
          <w:i/>
          <w:color w:val="055957"/>
        </w:rPr>
        <w:t>Улсын стратегийн томоохон төслүүдэд Засгийн газрын өрийн баталгаа гаргах, хувийн хэвшлийн компаниудад дэмжлэг үзүүлэх байдлаар Монгол Улсын эдийн засгийн урт хугацааны зорилтыг хангаж, болзошгүй өр төлбөрийн эрсдэлийг хязгаарлана</w:t>
      </w:r>
      <w:r w:rsidRPr="00963C14">
        <w:rPr>
          <w:b/>
          <w:i/>
          <w:color w:val="055957"/>
        </w:rPr>
        <w:t>.</w:t>
      </w:r>
    </w:p>
    <w:p w14:paraId="7275D57C" w14:textId="0ADD49BC" w:rsidR="00B64A94" w:rsidRPr="00963C14" w:rsidRDefault="009A1643" w:rsidP="00B64A94">
      <w:pPr>
        <w:spacing w:after="288" w:line="276" w:lineRule="auto"/>
        <w:rPr>
          <w:i/>
          <w:color w:val="055957"/>
        </w:rPr>
      </w:pPr>
      <w:r w:rsidRPr="00963C14">
        <w:rPr>
          <w:i/>
          <w:color w:val="055957"/>
        </w:rPr>
        <w:t>5.1.Эдийн засаг болон нийгмийн үр өгөөж өндөртэй төслийг хэрэгжүүлэх бэлтгэл ажил хангагдсан, "Шинэ сэргэлтийн бодлого"-д нийцсэн төслүүдийн санхүүжилтийн эх үүсвэрт Засгийн газрын өрийн баталгаа гаргах замаар дэмжлэг үзүүлэх</w:t>
      </w:r>
      <w:r w:rsidR="00B64A94" w:rsidRPr="00963C14">
        <w:rPr>
          <w:i/>
          <w:color w:val="055957"/>
        </w:rPr>
        <w:t>;</w:t>
      </w:r>
    </w:p>
    <w:p w14:paraId="17999C08" w14:textId="17B88988" w:rsidR="005D4236" w:rsidRPr="00963C14" w:rsidRDefault="00232D65" w:rsidP="005D4236">
      <w:pPr>
        <w:spacing w:after="288" w:line="276" w:lineRule="auto"/>
      </w:pPr>
      <w:r w:rsidRPr="00963C14">
        <w:t xml:space="preserve">“Шинэ сэргэлтийн бодлого”-д туссан стратегийн чухал ач холбогдол бүхий төсөл болох “Чойбалсан Дулааны Цахилгаан Станцын суурилагдсан хүчин чадлыг 50 МВт-аар нэмэгдүүлж, өргөтгөх төсөл”-ийн санхүүжилтийг шийдвэрлэх зорилгоор Улсын Их Хурлын 2023 оны 90 дүгээр тогтоолоор тус төслийн хүрээнд 2024 онд Засгийн газрын өрийн баталгаа гаргахаар шийдвэрлэсэн. Уг төсөл амжилттай хэрэгжсэнээр Дорнод, Сүхбаатар аймгийн 36 сум, багийн 25,139 айл өрх, 3,133 аж ахуйн нэгж, албан байгууллага, уул уурхайн 13 ордын олборлох үйлдвэрүүд тасралтгүй, найдвартай эрчим хүчээр хангагдаж, БНХАУ-аас импортоор авдаг эрчим хүчний хэмжээг жилд 438 сая кВт.цагаар бууруулах ач холбогдолтой юм.  </w:t>
      </w:r>
    </w:p>
    <w:p w14:paraId="76386760" w14:textId="3D601D21" w:rsidR="00232D65" w:rsidRPr="00963C14" w:rsidRDefault="00232D65" w:rsidP="00232D65">
      <w:pPr>
        <w:spacing w:after="288" w:line="276" w:lineRule="auto"/>
        <w:rPr>
          <w:i/>
          <w:color w:val="055957"/>
        </w:rPr>
      </w:pPr>
      <w:r w:rsidRPr="00963C14">
        <w:rPr>
          <w:i/>
          <w:color w:val="055957"/>
        </w:rPr>
        <w:t>5.2.</w:t>
      </w:r>
      <w:r w:rsidR="00027266" w:rsidRPr="00963C14">
        <w:rPr>
          <w:color w:val="055957"/>
        </w:rPr>
        <w:t xml:space="preserve"> </w:t>
      </w:r>
      <w:r w:rsidR="00027266" w:rsidRPr="00963C14">
        <w:rPr>
          <w:i/>
          <w:color w:val="055957"/>
        </w:rPr>
        <w:t>Засгийн газрын өрийн баталгаа гаргасан төслүүдийн эргэн төлөлт, байгууллагын санхүүгийн үйл ажиллагааны хяналтыг сайжруулж, болзошгүй өр төлбөрийн эрсдэлийг бууруулах</w:t>
      </w:r>
      <w:r w:rsidRPr="00963C14">
        <w:rPr>
          <w:i/>
          <w:color w:val="055957"/>
        </w:rPr>
        <w:t>;</w:t>
      </w:r>
    </w:p>
    <w:p w14:paraId="6CE2B7BF" w14:textId="7FAB7117" w:rsidR="00232D65" w:rsidRPr="00963C14" w:rsidRDefault="00C9257F" w:rsidP="00232D65">
      <w:pPr>
        <w:spacing w:after="288" w:line="276" w:lineRule="auto"/>
      </w:pPr>
      <w:r w:rsidRPr="00963C14">
        <w:t>Засгийн газрын өрийн баталгаа гаргасан байгууллагууд болох “Эрдэнэс Монгол” болон Монгол Улсын Хөгжлийн банкны 2022 оны жилийн эцсийн санхүүгийн байдлын тайлангийн үзүүлэлтэд эрсдэлийн үнэлгээг хийсэн бөгөөд Засгийн газрын санхүүгийн нэгтгэсэн тайлангийн Төрийн аудитын үйл ажиллагаагаар 2023 оны 06 сард хянуулж ажилласан</w:t>
      </w:r>
      <w:r w:rsidR="00232D65" w:rsidRPr="00963C14">
        <w:t xml:space="preserve">.  </w:t>
      </w:r>
    </w:p>
    <w:p w14:paraId="4BF2D263" w14:textId="7AEF39A6" w:rsidR="00FF1D01" w:rsidRPr="00963C14" w:rsidRDefault="00FF1D01" w:rsidP="00FF1D01">
      <w:pPr>
        <w:spacing w:after="288" w:line="276" w:lineRule="auto"/>
        <w:rPr>
          <w:i/>
          <w:color w:val="055957"/>
        </w:rPr>
      </w:pPr>
      <w:r w:rsidRPr="00963C14">
        <w:rPr>
          <w:i/>
          <w:color w:val="055957"/>
        </w:rPr>
        <w:t>5.</w:t>
      </w:r>
      <w:r w:rsidR="0043307A" w:rsidRPr="00963C14">
        <w:rPr>
          <w:i/>
          <w:color w:val="055957"/>
        </w:rPr>
        <w:t>3.Төсвөөс шууд төлөгдөх нөхцөлтэй Барих-Шилжүүлэх төрлийн концессын гэрээ байгуулахгүй, өрийн бичиг /вексель/ шинээр гаргахгүй байх</w:t>
      </w:r>
      <w:r w:rsidRPr="00963C14">
        <w:rPr>
          <w:i/>
          <w:color w:val="055957"/>
        </w:rPr>
        <w:t>;</w:t>
      </w:r>
    </w:p>
    <w:p w14:paraId="2CE00D21" w14:textId="77777777" w:rsidR="00614B45" w:rsidRPr="00963C14" w:rsidRDefault="00124E35" w:rsidP="00FF1D01">
      <w:pPr>
        <w:spacing w:after="288" w:line="276" w:lineRule="auto"/>
      </w:pPr>
      <w:r w:rsidRPr="00963C14">
        <w:t>Засгийн газраас шинээр Барих-Шилжүүлэх нөхцөлтэй концессын төрлийн гэрээ болон өрийн бичиг нэмж байгуулаагүй бөгөөд цаашид стратегийн баримт бичигт заасан арга хэмжээг баримталж ажиллана. Төр, хувийн хэвшлийн түншлэлийн тухай хууль батлагдсантай холбоотойгоор Өрийн удирдлагын хуулийн дээрх заалтад өөрчлөлт орж Засгийн газрын өрд тооцож бүртгэх шаардлагагүй болсон тул 2024 оноос эхлэн барих-шилжүүлэх төрлийн концессын үлдэгдлийг Засгийн газрын өрийн үлдэгдэлд оруулж тайлагнахгүй байхаар зохицуулагдсан.</w:t>
      </w:r>
    </w:p>
    <w:p w14:paraId="46F1D501" w14:textId="7E6D5434" w:rsidR="00614B45" w:rsidRPr="00963C14" w:rsidRDefault="00614B45" w:rsidP="00614B45">
      <w:pPr>
        <w:spacing w:after="288"/>
        <w:rPr>
          <w:rFonts w:eastAsiaTheme="majorEastAsia"/>
          <w:b/>
          <w:bCs/>
          <w:szCs w:val="24"/>
          <w:u w:color="FF0000"/>
        </w:rPr>
      </w:pPr>
      <w:r w:rsidRPr="00963C14">
        <w:rPr>
          <w:b/>
          <w:i/>
          <w:color w:val="055957"/>
        </w:rPr>
        <w:t>Зорилт 6</w:t>
      </w:r>
      <w:r w:rsidR="008B26B2" w:rsidRPr="00963C14">
        <w:rPr>
          <w:b/>
          <w:i/>
          <w:color w:val="055957"/>
        </w:rPr>
        <w:t>.</w:t>
      </w:r>
      <w:r w:rsidRPr="00963C14">
        <w:rPr>
          <w:b/>
          <w:i/>
          <w:color w:val="055957"/>
        </w:rPr>
        <w:t xml:space="preserve"> </w:t>
      </w:r>
      <w:r w:rsidR="00A3309E" w:rsidRPr="00963C14">
        <w:rPr>
          <w:b/>
          <w:i/>
          <w:color w:val="055957"/>
        </w:rPr>
        <w:t>Засгийн газрын өрийн удирдлагын ил тод байдлыг сайжруулна</w:t>
      </w:r>
      <w:r w:rsidRPr="00963C14">
        <w:rPr>
          <w:b/>
          <w:i/>
          <w:color w:val="055957"/>
        </w:rPr>
        <w:t>.</w:t>
      </w:r>
    </w:p>
    <w:p w14:paraId="00D1F568" w14:textId="1992D572" w:rsidR="00A3309E" w:rsidRPr="00963C14" w:rsidRDefault="006573CF" w:rsidP="00A3309E">
      <w:pPr>
        <w:spacing w:after="288" w:line="276" w:lineRule="auto"/>
        <w:rPr>
          <w:bCs/>
          <w:i/>
          <w:color w:val="055957"/>
        </w:rPr>
      </w:pPr>
      <w:r w:rsidRPr="00963C14">
        <w:rPr>
          <w:bCs/>
          <w:i/>
          <w:color w:val="055957"/>
        </w:rPr>
        <w:t>6.1</w:t>
      </w:r>
      <w:r w:rsidR="00EC462C" w:rsidRPr="00963C14">
        <w:rPr>
          <w:bCs/>
          <w:i/>
          <w:color w:val="055957"/>
        </w:rPr>
        <w:t>.</w:t>
      </w:r>
      <w:r w:rsidRPr="00963C14">
        <w:rPr>
          <w:bCs/>
          <w:i/>
          <w:color w:val="055957"/>
        </w:rPr>
        <w:t>Улирал бүр Засгийн газрын өрийн товхимлыг олон нийтэд ил тод мэдээлэх</w:t>
      </w:r>
      <w:r w:rsidR="00A3309E" w:rsidRPr="00963C14">
        <w:rPr>
          <w:bCs/>
          <w:i/>
          <w:color w:val="055957"/>
        </w:rPr>
        <w:t>;</w:t>
      </w:r>
    </w:p>
    <w:p w14:paraId="11C03EDF" w14:textId="113C34CE" w:rsidR="00A3309E" w:rsidRPr="00963C14" w:rsidRDefault="00375FCB" w:rsidP="00A3309E">
      <w:pPr>
        <w:spacing w:after="288" w:line="276" w:lineRule="auto"/>
      </w:pPr>
      <w:r w:rsidRPr="00963C14">
        <w:t>Засгийн газрын өрийн статистикийн товхимлыг улирал бүр бэлтгэн Санхүү төсвийн асуудал эрхэлсэн төрийн захиргааны төв байгууллагын цахим хуудсанд олон нийтэд ил тод байдлаар байршуулж байна</w:t>
      </w:r>
      <w:r w:rsidR="00A3309E" w:rsidRPr="00963C14">
        <w:t xml:space="preserve">.  </w:t>
      </w:r>
    </w:p>
    <w:p w14:paraId="5F534EDB" w14:textId="49266B63" w:rsidR="00EC462C" w:rsidRPr="00963C14" w:rsidRDefault="00EC462C" w:rsidP="00EC462C">
      <w:pPr>
        <w:spacing w:after="288" w:line="276" w:lineRule="auto"/>
        <w:rPr>
          <w:bCs/>
          <w:i/>
          <w:color w:val="055957"/>
        </w:rPr>
      </w:pPr>
      <w:r w:rsidRPr="00963C14">
        <w:rPr>
          <w:bCs/>
          <w:i/>
          <w:color w:val="055957"/>
        </w:rPr>
        <w:t>6.2.Улсын секторын өрийн мэдээллийг олон улсын байгууллагаас тогтоосон нэгдсэн стандартын дагуу бэлтгэж, мэдээлэх;</w:t>
      </w:r>
    </w:p>
    <w:p w14:paraId="3926D134" w14:textId="0F3DE568" w:rsidR="00443A11" w:rsidRPr="00963C14" w:rsidRDefault="00EC462C" w:rsidP="00EC462C">
      <w:pPr>
        <w:spacing w:after="288" w:line="276" w:lineRule="auto"/>
      </w:pPr>
      <w:r w:rsidRPr="00963C14">
        <w:t>Улсын секторын өрийн мэдээллийг Төрийн болон орон нутгийн өмч давамгайлсан 98 хуулийн этгээдүүдээс цуглуулж нэгтгэн хагас жил бүр Санхүү, төсвийн асуудал эрхэлсэн төрийн захиргааны төв байгууллагын Сангийн яамны цахим хуудсанд олон улсын байгууллагаас тогтоосон стандартын дагуу нийтэд ил тод байдлаар тайлагнаж байна. Түүнчлэн мэдээллийг нэгтгэсэн санг сайжруулах ажлыг зохион байгуулж Е-balance санхүүгийн тайлангийн системд тогтсон загварыг үүсгэн байгууллагуудаас мэдээлэл цуглуулах үйл ажиллагааг боловсронгуй болгосон.</w:t>
      </w:r>
    </w:p>
    <w:p w14:paraId="761B81BC" w14:textId="77777777" w:rsidR="00E333F1" w:rsidRPr="00963C14" w:rsidRDefault="00E333F1">
      <w:pPr>
        <w:spacing w:afterLines="0" w:after="160" w:line="278" w:lineRule="auto"/>
        <w:jc w:val="left"/>
      </w:pPr>
      <w:r w:rsidRPr="00963C14">
        <w:br w:type="page"/>
      </w:r>
    </w:p>
    <w:p w14:paraId="74EA3864" w14:textId="7ABE9F74" w:rsidR="005D4236" w:rsidRPr="00963C14" w:rsidRDefault="005F1522" w:rsidP="00CC6585">
      <w:pPr>
        <w:spacing w:after="288"/>
        <w:rPr>
          <w:rFonts w:eastAsiaTheme="majorEastAsia"/>
          <w:b/>
          <w:bCs/>
          <w:szCs w:val="24"/>
          <w:u w:color="FF0000"/>
        </w:rPr>
      </w:pPr>
      <w:r w:rsidRPr="00963C14">
        <w:rPr>
          <w:noProof/>
          <w:szCs w:val="24"/>
        </w:rPr>
        <w:pict w14:anchorId="70AFA5A3">
          <v:shapetype id="_x0000_t202" coordsize="21600,21600" o:spt="202" path="m,l,21600r21600,l21600,xe">
            <v:stroke joinstyle="miter"/>
            <v:path gradientshapeok="t" o:connecttype="rect"/>
          </v:shapetype>
          <v:shape id="_x0000_s2050" type="#_x0000_t202" style="position:absolute;left:0;text-align:left;margin-left:-.35pt;margin-top:-7.8pt;width:484.9pt;height:634pt;z-index:251658243" fillcolor="#e5e2df" stroked="f">
            <v:textbox style="mso-next-textbox:#_x0000_s2050">
              <w:txbxContent>
                <w:p w14:paraId="1101AC28" w14:textId="77777777" w:rsidR="00443A11" w:rsidRDefault="00443A11" w:rsidP="00443A11">
                  <w:pPr>
                    <w:spacing w:after="288"/>
                    <w:jc w:val="center"/>
                    <w:rPr>
                      <w:b/>
                      <w:bCs/>
                    </w:rPr>
                  </w:pPr>
                  <w:r w:rsidRPr="000F43BF">
                    <w:rPr>
                      <w:b/>
                      <w:bCs/>
                    </w:rPr>
                    <w:t>Засгийн газрын өрд нөлөөлөгч хүчин зүйлс</w:t>
                  </w:r>
                </w:p>
                <w:p w14:paraId="43AA3C8D" w14:textId="792389C1" w:rsidR="00052CA6" w:rsidRDefault="00CF6CE8" w:rsidP="00D75BC4">
                  <w:pPr>
                    <w:spacing w:after="288"/>
                    <w:rPr>
                      <w:b/>
                      <w:bCs/>
                    </w:rPr>
                  </w:pPr>
                  <w:r w:rsidRPr="00330D27">
                    <w:rPr>
                      <w:rFonts w:eastAsiaTheme="majorEastAsia"/>
                      <w:color w:val="000000" w:themeColor="text1"/>
                      <w:szCs w:val="24"/>
                      <w:u w:color="FF0000"/>
                    </w:rPr>
                    <w:t>Монгол Улсын Засгийн газрын өр, ДНБ-ний харьцаа 2017-2019 онуудад буурсан нь ДНБ-ний өсөлт болон бодит хүүгийн түвшнээс хамаарсан байна. Цаашид ч бодит ДНБ-ний өсөлтийг дэмжиж, төсвийн үндсэн тэнцлийг бууруулах нь өрийн тогтвортой байдлыг хангах суурь үндэс болохоор байна. 2020 оны хувьд цар тахлаас шалтгаалж төсвийн тэнцэл алдагдалтай, ханш суларсан бодит эдийн засгийн өсөлт сөрөг гарсан тул өрийн хэмжээ нэмэгдсэн байна. 2022 онд валютын ханш огцом суларсан ч эдийн засгийн бодит өсөлт, инфляцын түвшин өндөр байгаагаас шалтгаалж ДНБ-ний хэмжээ өссөн нь ДНБ-д эзлэх өрийн хэмжээг буурахад нөлөө үзүүлсэн байна. Засгийн газрын өр болон ДНБ-ний харьцаа эдийн засгийн өсөлтөөс шалтгаалж буурах төлөвтэй байна.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7"/>
                  </w:tblGrid>
                  <w:tr w:rsidR="00EA2457" w14:paraId="50E2E8F3" w14:textId="77777777" w:rsidTr="00487E03">
                    <w:tc>
                      <w:tcPr>
                        <w:tcW w:w="9387" w:type="dxa"/>
                        <w:tcBorders>
                          <w:bottom w:val="single" w:sz="4" w:space="0" w:color="auto"/>
                        </w:tcBorders>
                      </w:tcPr>
                      <w:p w14:paraId="02FA217A" w14:textId="21537628" w:rsidR="00EA2457" w:rsidRPr="00487E03" w:rsidRDefault="00487E03" w:rsidP="00487E03">
                        <w:pPr>
                          <w:spacing w:afterLines="0" w:after="0"/>
                          <w:jc w:val="left"/>
                          <w:rPr>
                            <w:i/>
                            <w:iCs/>
                            <w:color w:val="055957"/>
                          </w:rPr>
                        </w:pPr>
                        <w:r w:rsidRPr="00487E03">
                          <w:rPr>
                            <w:i/>
                            <w:iCs/>
                            <w:color w:val="055957"/>
                            <w:sz w:val="20"/>
                            <w:szCs w:val="20"/>
                          </w:rPr>
                          <w:t>Зураг 6.6. Засгийн газрын өрд нөлөөлөгч хүчин зүйлс</w:t>
                        </w:r>
                      </w:p>
                    </w:tc>
                  </w:tr>
                  <w:tr w:rsidR="00EA2457" w14:paraId="6AC01C22" w14:textId="77777777" w:rsidTr="00487E03">
                    <w:tc>
                      <w:tcPr>
                        <w:tcW w:w="9387" w:type="dxa"/>
                        <w:tcBorders>
                          <w:top w:val="single" w:sz="4" w:space="0" w:color="auto"/>
                        </w:tcBorders>
                      </w:tcPr>
                      <w:p w14:paraId="2C0F8723" w14:textId="67A4D733" w:rsidR="00EA2457" w:rsidRDefault="00487E03" w:rsidP="00443A11">
                        <w:pPr>
                          <w:spacing w:after="288"/>
                          <w:jc w:val="center"/>
                          <w:rPr>
                            <w:b/>
                            <w:bCs/>
                          </w:rPr>
                        </w:pPr>
                        <w:r w:rsidRPr="0022340D">
                          <w:rPr>
                            <w:noProof/>
                          </w:rPr>
                          <w:drawing>
                            <wp:inline distT="0" distB="0" distL="0" distR="0" wp14:anchorId="39E0B205" wp14:editId="47D518D7">
                              <wp:extent cx="5500048" cy="2591435"/>
                              <wp:effectExtent l="0" t="0" r="0" b="0"/>
                              <wp:docPr id="1480665541" name="Chart 1">
                                <a:extLst xmlns:a="http://schemas.openxmlformats.org/drawingml/2006/main">
                                  <a:ext uri="{FF2B5EF4-FFF2-40B4-BE49-F238E27FC236}">
                                    <a16:creationId xmlns:a16="http://schemas.microsoft.com/office/drawing/2014/main" id="{00000000-0008-0000-0600-00005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EA2457" w14:paraId="28A75A31" w14:textId="77777777" w:rsidTr="00487E03">
                    <w:tc>
                      <w:tcPr>
                        <w:tcW w:w="9387" w:type="dxa"/>
                        <w:tcBorders>
                          <w:bottom w:val="single" w:sz="4" w:space="0" w:color="auto"/>
                        </w:tcBorders>
                      </w:tcPr>
                      <w:p w14:paraId="67043D0F" w14:textId="5A2EE6C0" w:rsidR="00EA2457" w:rsidRPr="00487E03" w:rsidRDefault="00487E03" w:rsidP="00487E03">
                        <w:pPr>
                          <w:spacing w:afterLines="0" w:after="0"/>
                          <w:jc w:val="right"/>
                          <w:rPr>
                            <w:i/>
                            <w:iCs/>
                          </w:rPr>
                        </w:pPr>
                        <w:r w:rsidRPr="00487E03">
                          <w:rPr>
                            <w:i/>
                            <w:iCs/>
                            <w:sz w:val="14"/>
                            <w:szCs w:val="14"/>
                          </w:rPr>
                          <w:t xml:space="preserve">Эх сурвалж: Сангийн </w:t>
                        </w:r>
                        <w:r w:rsidR="000246BE">
                          <w:rPr>
                            <w:i/>
                            <w:iCs/>
                            <w:sz w:val="14"/>
                            <w:szCs w:val="14"/>
                          </w:rPr>
                          <w:t>я</w:t>
                        </w:r>
                        <w:r w:rsidRPr="00487E03">
                          <w:rPr>
                            <w:i/>
                            <w:iCs/>
                            <w:sz w:val="14"/>
                            <w:szCs w:val="14"/>
                          </w:rPr>
                          <w:t>амны тооцоолол</w:t>
                        </w:r>
                      </w:p>
                    </w:tc>
                  </w:tr>
                </w:tbl>
                <w:p w14:paraId="08364324" w14:textId="77777777" w:rsidR="00C92E77" w:rsidRPr="0022340D" w:rsidRDefault="00C92E77" w:rsidP="00487E03">
                  <w:pPr>
                    <w:spacing w:after="288" w:line="276" w:lineRule="auto"/>
                    <w:rPr>
                      <w:rFonts w:eastAsiaTheme="majorEastAsia"/>
                      <w:color w:val="000000" w:themeColor="text1"/>
                      <w:szCs w:val="24"/>
                      <w:u w:color="FF0000"/>
                    </w:rPr>
                  </w:pPr>
                  <w:r w:rsidRPr="0022340D">
                    <w:rPr>
                      <w:rFonts w:eastAsiaTheme="majorEastAsia"/>
                      <w:color w:val="000000" w:themeColor="text1"/>
                      <w:szCs w:val="24"/>
                      <w:u w:color="FF0000"/>
                    </w:rPr>
                    <w:t xml:space="preserve">2024 оноос эхлэн Засгийн газрын өрийн хэмжээ өсөхөөр байгаа нь Засгийн газрын өрийн баталгааны үлдэгдлийн өөрчлөлтөөс шалтгаалж байгаа ч энэ нь 2024 оны төсвийн тухай хууль болон Засгийн газрын өрийн баталгаа гаргах боломжтой төслийг оруулснаар тооцоолсон. Гэсэн хэдий ч тус баталгааг гаргаагүй үед тухайн хэмжээгээр  Засгийн газрын өрийн ДНБ-д эзлэх хэмжээ буурахаар байгаа юм. </w:t>
                  </w:r>
                </w:p>
                <w:p w14:paraId="24BA6FEE" w14:textId="77777777" w:rsidR="00C92E77" w:rsidRPr="0022340D" w:rsidRDefault="00C92E77" w:rsidP="00487E03">
                  <w:pPr>
                    <w:spacing w:after="288" w:line="276" w:lineRule="auto"/>
                    <w:rPr>
                      <w:rFonts w:eastAsiaTheme="majorEastAsia"/>
                      <w:color w:val="000000" w:themeColor="text1"/>
                      <w:szCs w:val="24"/>
                      <w:u w:color="FF0000"/>
                    </w:rPr>
                  </w:pPr>
                  <w:r w:rsidRPr="0022340D">
                    <w:rPr>
                      <w:rFonts w:eastAsiaTheme="majorEastAsia"/>
                      <w:color w:val="000000" w:themeColor="text1"/>
                      <w:szCs w:val="24"/>
                      <w:u w:color="FF0000"/>
                    </w:rPr>
                    <w:t>Ингэснээр 2023-2027 оны хооронд Засгийн газрын өрийн ДНБ-д эзлэх хэмжээ 1.5 хувиар буурахаар байгаагаас бодит ДНБ-ний өсөлтөөс шалтгаалж 9.4 хувиар,   бодит хүүгийн түвшнээс шалтгаалж 4.5 хувиар тус тус буурахаар байгаа бол, төсвийн тэнцлээс шалтгаалж 2.9 хувиар, ханшийн өөрчлөлтөөс шалтгаалж 1.9 хувиар, Засгийн газрын өрийн баталгаанаас шалтгаалж 7.6 хувиар тус тус буурах төсөөлөлтэй байна.</w:t>
                  </w:r>
                </w:p>
                <w:p w14:paraId="1F64CB9D" w14:textId="77777777" w:rsidR="00443A11" w:rsidRPr="000F43BF" w:rsidRDefault="00443A11" w:rsidP="00443A11">
                  <w:pPr>
                    <w:spacing w:after="288"/>
                    <w:jc w:val="center"/>
                    <w:rPr>
                      <w:b/>
                      <w:bCs/>
                    </w:rPr>
                  </w:pPr>
                </w:p>
              </w:txbxContent>
            </v:textbox>
          </v:shape>
        </w:pict>
      </w:r>
    </w:p>
    <w:p w14:paraId="47ABA7E4" w14:textId="77777777" w:rsidR="006A65CF" w:rsidRPr="00963C14" w:rsidRDefault="006A65CF" w:rsidP="00D654D9">
      <w:pPr>
        <w:spacing w:after="288" w:line="276" w:lineRule="auto"/>
      </w:pPr>
    </w:p>
    <w:p w14:paraId="20B5B496" w14:textId="5E76B247" w:rsidR="00B866C0" w:rsidRPr="00963C14" w:rsidRDefault="00B866C0" w:rsidP="00FF3FFB">
      <w:pPr>
        <w:tabs>
          <w:tab w:val="left" w:pos="810"/>
          <w:tab w:val="left" w:pos="900"/>
          <w:tab w:val="left" w:pos="1980"/>
        </w:tabs>
        <w:snapToGrid w:val="0"/>
        <w:spacing w:before="120" w:afterLines="0" w:line="276" w:lineRule="auto"/>
        <w:rPr>
          <w:szCs w:val="24"/>
        </w:rPr>
      </w:pPr>
    </w:p>
    <w:p w14:paraId="5DBB2AF6" w14:textId="77777777" w:rsidR="00443A11" w:rsidRPr="00963C14" w:rsidRDefault="00443A11" w:rsidP="00FF3FFB">
      <w:pPr>
        <w:tabs>
          <w:tab w:val="left" w:pos="810"/>
          <w:tab w:val="left" w:pos="900"/>
          <w:tab w:val="left" w:pos="1980"/>
        </w:tabs>
        <w:snapToGrid w:val="0"/>
        <w:spacing w:before="120" w:afterLines="0" w:line="276" w:lineRule="auto"/>
        <w:rPr>
          <w:szCs w:val="24"/>
        </w:rPr>
      </w:pPr>
    </w:p>
    <w:p w14:paraId="7D2C8AEB" w14:textId="77777777" w:rsidR="00443A11" w:rsidRPr="00963C14" w:rsidRDefault="00443A11" w:rsidP="00FF3FFB">
      <w:pPr>
        <w:tabs>
          <w:tab w:val="left" w:pos="810"/>
          <w:tab w:val="left" w:pos="900"/>
          <w:tab w:val="left" w:pos="1980"/>
        </w:tabs>
        <w:snapToGrid w:val="0"/>
        <w:spacing w:before="120" w:afterLines="0" w:line="276" w:lineRule="auto"/>
        <w:rPr>
          <w:szCs w:val="24"/>
        </w:rPr>
      </w:pPr>
    </w:p>
    <w:p w14:paraId="416C4804" w14:textId="2C34A585" w:rsidR="00443A11" w:rsidRPr="00963C14" w:rsidRDefault="00443A11" w:rsidP="00FF3FFB">
      <w:pPr>
        <w:tabs>
          <w:tab w:val="left" w:pos="810"/>
          <w:tab w:val="left" w:pos="900"/>
          <w:tab w:val="left" w:pos="1980"/>
        </w:tabs>
        <w:snapToGrid w:val="0"/>
        <w:spacing w:before="120" w:afterLines="0" w:line="276" w:lineRule="auto"/>
        <w:rPr>
          <w:szCs w:val="24"/>
        </w:rPr>
      </w:pPr>
    </w:p>
    <w:p w14:paraId="733C94CE" w14:textId="7AD529A3" w:rsidR="00443A11" w:rsidRPr="00963C14" w:rsidRDefault="00443A11" w:rsidP="00FF3FFB">
      <w:pPr>
        <w:tabs>
          <w:tab w:val="left" w:pos="810"/>
          <w:tab w:val="left" w:pos="900"/>
          <w:tab w:val="left" w:pos="1980"/>
        </w:tabs>
        <w:snapToGrid w:val="0"/>
        <w:spacing w:before="120" w:afterLines="0" w:line="276" w:lineRule="auto"/>
        <w:rPr>
          <w:szCs w:val="24"/>
        </w:rPr>
      </w:pPr>
    </w:p>
    <w:p w14:paraId="1CF24820" w14:textId="4D4983C7" w:rsidR="00B02D1F" w:rsidRPr="00963C14" w:rsidRDefault="00B02D1F" w:rsidP="00FF3FFB">
      <w:pPr>
        <w:tabs>
          <w:tab w:val="left" w:pos="810"/>
          <w:tab w:val="left" w:pos="900"/>
          <w:tab w:val="left" w:pos="1980"/>
        </w:tabs>
        <w:snapToGrid w:val="0"/>
        <w:spacing w:before="120" w:afterLines="0" w:line="276" w:lineRule="auto"/>
        <w:rPr>
          <w:szCs w:val="24"/>
        </w:rPr>
      </w:pPr>
    </w:p>
    <w:p w14:paraId="18514A8D" w14:textId="77777777" w:rsidR="00B02D1F" w:rsidRPr="00963C14" w:rsidRDefault="00B02D1F">
      <w:pPr>
        <w:spacing w:afterLines="0" w:after="160" w:line="278" w:lineRule="auto"/>
        <w:jc w:val="left"/>
        <w:rPr>
          <w:szCs w:val="24"/>
        </w:rPr>
      </w:pPr>
      <w:r w:rsidRPr="00963C14">
        <w:rPr>
          <w:szCs w:val="24"/>
        </w:rPr>
        <w:br w:type="page"/>
      </w:r>
    </w:p>
    <w:p w14:paraId="0632694A" w14:textId="27D932DB" w:rsidR="000C0CA2" w:rsidRPr="00963C14" w:rsidRDefault="005F1522">
      <w:pPr>
        <w:spacing w:afterLines="0" w:after="160" w:line="278" w:lineRule="auto"/>
        <w:jc w:val="left"/>
        <w:rPr>
          <w:szCs w:val="24"/>
        </w:rPr>
      </w:pPr>
      <w:r w:rsidRPr="00963C14">
        <w:rPr>
          <w:noProof/>
          <w:szCs w:val="24"/>
        </w:rPr>
        <w:pict w14:anchorId="38B170F4">
          <v:shape id="_x0000_s2052" type="#_x0000_t202" style="position:absolute;margin-left:.1pt;margin-top:-7.05pt;width:483pt;height:676.25pt;z-index:251658245" fillcolor="#e5e2df" stroked="f">
            <v:textbox style="mso-next-textbox:#_x0000_s2052">
              <w:txbxContent>
                <w:p w14:paraId="090E9FA8" w14:textId="77777777" w:rsidR="00AD3E8E" w:rsidRPr="00D62042" w:rsidRDefault="00AD3E8E" w:rsidP="00AD3E8E">
                  <w:pPr>
                    <w:spacing w:after="288"/>
                    <w:jc w:val="center"/>
                    <w:rPr>
                      <w:b/>
                      <w:color w:val="000000" w:themeColor="text1"/>
                      <w:szCs w:val="24"/>
                      <w:u w:color="FF0000"/>
                    </w:rPr>
                  </w:pPr>
                  <w:r w:rsidRPr="00F95C78">
                    <w:rPr>
                      <w:b/>
                      <w:u w:color="FF0000"/>
                    </w:rPr>
                    <w:t>Өрийн эрсдэлийн шинжилгээ</w:t>
                  </w:r>
                </w:p>
                <w:p w14:paraId="3D2B6F5F" w14:textId="77777777" w:rsidR="001E541F" w:rsidRPr="00410793" w:rsidRDefault="001E541F" w:rsidP="001E541F">
                  <w:pPr>
                    <w:spacing w:afterLines="0" w:after="288"/>
                    <w:jc w:val="left"/>
                    <w:rPr>
                      <w:rFonts w:eastAsiaTheme="majorEastAsia"/>
                      <w:i/>
                      <w:color w:val="11A795"/>
                      <w:szCs w:val="24"/>
                      <w:u w:color="FF0000"/>
                    </w:rPr>
                  </w:pPr>
                  <w:r w:rsidRPr="00410793">
                    <w:rPr>
                      <w:rFonts w:eastAsiaTheme="majorEastAsia"/>
                      <w:i/>
                      <w:color w:val="11A795"/>
                      <w:szCs w:val="24"/>
                      <w:u w:color="FF0000"/>
                    </w:rPr>
                    <w:t>Богино хугацаа</w:t>
                  </w:r>
                </w:p>
                <w:p w14:paraId="4B78DEE7" w14:textId="77777777" w:rsidR="006876A0" w:rsidRPr="00330D27" w:rsidRDefault="006876A0" w:rsidP="00F34873">
                  <w:pPr>
                    <w:spacing w:after="288" w:line="276" w:lineRule="auto"/>
                    <w:rPr>
                      <w:rFonts w:eastAsiaTheme="majorEastAsia"/>
                      <w:color w:val="000000" w:themeColor="text1"/>
                      <w:szCs w:val="24"/>
                      <w:u w:color="FF0000"/>
                    </w:rPr>
                  </w:pPr>
                  <w:r w:rsidRPr="00330D27">
                    <w:rPr>
                      <w:rFonts w:eastAsiaTheme="majorEastAsia"/>
                      <w:color w:val="000000" w:themeColor="text1"/>
                      <w:szCs w:val="24"/>
                      <w:u w:color="FF0000"/>
                    </w:rPr>
                    <w:t>Монгол Улсын</w:t>
                  </w:r>
                  <w:r w:rsidR="008923B6">
                    <w:rPr>
                      <w:rFonts w:eastAsiaTheme="majorEastAsia"/>
                      <w:color w:val="000000" w:themeColor="text1"/>
                      <w:szCs w:val="24"/>
                      <w:u w:color="FF0000"/>
                    </w:rPr>
                    <w:t xml:space="preserve"> Засгийн газрын өрийг Стрессийн ложит загвараар тооцсон бөгөөд тус </w:t>
                  </w:r>
                  <w:r w:rsidR="00851913">
                    <w:rPr>
                      <w:rFonts w:eastAsiaTheme="majorEastAsia"/>
                      <w:color w:val="000000" w:themeColor="text1"/>
                      <w:szCs w:val="24"/>
                      <w:u w:color="FF0000"/>
                    </w:rPr>
                    <w:t>загварт</w:t>
                  </w:r>
                  <w:r w:rsidRPr="00330D27">
                    <w:rPr>
                      <w:rFonts w:eastAsiaTheme="majorEastAsia"/>
                      <w:color w:val="000000" w:themeColor="text1"/>
                      <w:szCs w:val="24"/>
                      <w:u w:color="FF0000"/>
                    </w:rPr>
                    <w:t xml:space="preserve"> өгөгдлийг оруулж тооцоход 2022 онд стресс болох магадлал 44 хувьтай тэнцүү буюу эрсдэл өндөр байсан бол 2023 онд стресс тохиох магадлал 13 хувь буюу хэвийн эрсдэлтэй гэж үнэлэгдэж байна.</w:t>
                  </w:r>
                </w:p>
                <w:p w14:paraId="465C538C" w14:textId="57B4E4D5" w:rsidR="00F34873" w:rsidRPr="007D55E1" w:rsidRDefault="0052707E" w:rsidP="007D55E1">
                  <w:pPr>
                    <w:spacing w:afterLines="0" w:after="0"/>
                    <w:jc w:val="left"/>
                    <w:rPr>
                      <w:i/>
                      <w:color w:val="055957"/>
                      <w:sz w:val="20"/>
                      <w:szCs w:val="20"/>
                    </w:rPr>
                  </w:pPr>
                  <w:r w:rsidRPr="007D55E1">
                    <w:rPr>
                      <w:i/>
                      <w:color w:val="055957"/>
                      <w:sz w:val="20"/>
                      <w:szCs w:val="20"/>
                    </w:rPr>
                    <w:t>Хүснэгт</w:t>
                  </w:r>
                  <w:r w:rsidR="000246BE" w:rsidRPr="007D55E1">
                    <w:rPr>
                      <w:i/>
                      <w:color w:val="055957"/>
                      <w:sz w:val="20"/>
                      <w:szCs w:val="20"/>
                    </w:rPr>
                    <w:t xml:space="preserve"> 6</w:t>
                  </w:r>
                  <w:r w:rsidR="00F34873" w:rsidRPr="007D55E1">
                    <w:rPr>
                      <w:i/>
                      <w:color w:val="055957"/>
                      <w:sz w:val="20"/>
                      <w:szCs w:val="20"/>
                    </w:rPr>
                    <w:t>.</w:t>
                  </w:r>
                  <w:r w:rsidR="007D55E1" w:rsidRPr="007D55E1">
                    <w:rPr>
                      <w:i/>
                      <w:iCs/>
                      <w:color w:val="055957"/>
                      <w:sz w:val="20"/>
                      <w:szCs w:val="20"/>
                    </w:rPr>
                    <w:t>3</w:t>
                  </w:r>
                  <w:r w:rsidR="000246BE" w:rsidRPr="007D55E1">
                    <w:rPr>
                      <w:i/>
                      <w:color w:val="055957"/>
                      <w:sz w:val="20"/>
                      <w:szCs w:val="20"/>
                    </w:rPr>
                    <w:t>.</w:t>
                  </w:r>
                  <w:r w:rsidR="00F34873" w:rsidRPr="007D55E1">
                    <w:rPr>
                      <w:i/>
                      <w:color w:val="055957"/>
                      <w:sz w:val="20"/>
                      <w:szCs w:val="20"/>
                    </w:rPr>
                    <w:t xml:space="preserve"> Богино хугацааны загварын өөрчлөлтийн шалтгаан</w:t>
                  </w:r>
                </w:p>
                <w:tbl>
                  <w:tblPr>
                    <w:tblW w:w="8437" w:type="dxa"/>
                    <w:tblInd w:w="581" w:type="dxa"/>
                    <w:tblLook w:val="04A0" w:firstRow="1" w:lastRow="0" w:firstColumn="1" w:lastColumn="0" w:noHBand="0" w:noVBand="1"/>
                  </w:tblPr>
                  <w:tblGrid>
                    <w:gridCol w:w="1297"/>
                    <w:gridCol w:w="369"/>
                    <w:gridCol w:w="742"/>
                    <w:gridCol w:w="390"/>
                    <w:gridCol w:w="525"/>
                    <w:gridCol w:w="1334"/>
                    <w:gridCol w:w="1440"/>
                    <w:gridCol w:w="1170"/>
                    <w:gridCol w:w="1170"/>
                  </w:tblGrid>
                  <w:tr w:rsidR="00AE6727" w:rsidRPr="00F60A94" w14:paraId="6CA5B165" w14:textId="77777777" w:rsidTr="00DB4245">
                    <w:trPr>
                      <w:trHeight w:val="95"/>
                    </w:trPr>
                    <w:tc>
                      <w:tcPr>
                        <w:tcW w:w="1297" w:type="dxa"/>
                        <w:tcBorders>
                          <w:left w:val="nil"/>
                          <w:bottom w:val="single" w:sz="4" w:space="0" w:color="auto"/>
                          <w:right w:val="nil"/>
                        </w:tcBorders>
                        <w:shd w:val="clear" w:color="auto" w:fill="11A795"/>
                        <w:noWrap/>
                        <w:vAlign w:val="center"/>
                        <w:hideMark/>
                      </w:tcPr>
                      <w:p w14:paraId="50790C79" w14:textId="77777777" w:rsidR="00AE6727" w:rsidRPr="00AE6727" w:rsidRDefault="00AE6727" w:rsidP="00DB4245">
                        <w:pPr>
                          <w:snapToGrid w:val="0"/>
                          <w:spacing w:afterLines="0" w:after="0"/>
                          <w:jc w:val="left"/>
                          <w:rPr>
                            <w:rFonts w:cs="Arial"/>
                            <w:color w:val="FFFFFF" w:themeColor="background1"/>
                            <w:sz w:val="18"/>
                            <w:szCs w:val="18"/>
                          </w:rPr>
                        </w:pPr>
                        <w:r w:rsidRPr="00AE6727">
                          <w:rPr>
                            <w:rFonts w:cs="Arial"/>
                            <w:color w:val="FFFFFF" w:themeColor="background1"/>
                            <w:sz w:val="18"/>
                            <w:szCs w:val="18"/>
                          </w:rPr>
                          <w:t xml:space="preserve">Огноо </w:t>
                        </w:r>
                      </w:p>
                    </w:tc>
                    <w:tc>
                      <w:tcPr>
                        <w:tcW w:w="1111" w:type="dxa"/>
                        <w:gridSpan w:val="2"/>
                        <w:tcBorders>
                          <w:left w:val="nil"/>
                          <w:bottom w:val="single" w:sz="4" w:space="0" w:color="auto"/>
                          <w:right w:val="nil"/>
                        </w:tcBorders>
                        <w:shd w:val="clear" w:color="auto" w:fill="11A795"/>
                        <w:noWrap/>
                        <w:vAlign w:val="center"/>
                        <w:hideMark/>
                      </w:tcPr>
                      <w:p w14:paraId="4EE0576C" w14:textId="77777777" w:rsidR="00AE6727" w:rsidRPr="00AE6727" w:rsidRDefault="00AE6727" w:rsidP="00DB4245">
                        <w:pPr>
                          <w:snapToGrid w:val="0"/>
                          <w:spacing w:afterLines="0" w:after="0"/>
                          <w:jc w:val="left"/>
                          <w:rPr>
                            <w:rFonts w:cs="Arial"/>
                            <w:color w:val="FFFFFF" w:themeColor="background1"/>
                            <w:sz w:val="18"/>
                            <w:szCs w:val="18"/>
                          </w:rPr>
                        </w:pPr>
                        <w:r w:rsidRPr="00AE6727">
                          <w:rPr>
                            <w:rFonts w:cs="Arial"/>
                            <w:color w:val="FFFFFF" w:themeColor="background1"/>
                            <w:sz w:val="18"/>
                            <w:szCs w:val="18"/>
                          </w:rPr>
                          <w:t> </w:t>
                        </w:r>
                      </w:p>
                    </w:tc>
                    <w:tc>
                      <w:tcPr>
                        <w:tcW w:w="915" w:type="dxa"/>
                        <w:gridSpan w:val="2"/>
                        <w:tcBorders>
                          <w:left w:val="nil"/>
                          <w:bottom w:val="single" w:sz="4" w:space="0" w:color="auto"/>
                          <w:right w:val="nil"/>
                        </w:tcBorders>
                        <w:shd w:val="clear" w:color="auto" w:fill="11A795"/>
                        <w:noWrap/>
                        <w:vAlign w:val="center"/>
                        <w:hideMark/>
                      </w:tcPr>
                      <w:p w14:paraId="0F869F6E" w14:textId="77777777" w:rsidR="00AE6727" w:rsidRPr="00AE6727" w:rsidRDefault="00AE6727" w:rsidP="00DB4245">
                        <w:pPr>
                          <w:snapToGrid w:val="0"/>
                          <w:spacing w:afterLines="0" w:after="0"/>
                          <w:jc w:val="left"/>
                          <w:rPr>
                            <w:rFonts w:cs="Arial"/>
                            <w:color w:val="FFFFFF" w:themeColor="background1"/>
                            <w:sz w:val="18"/>
                            <w:szCs w:val="18"/>
                          </w:rPr>
                        </w:pPr>
                        <w:r w:rsidRPr="00AE6727">
                          <w:rPr>
                            <w:rFonts w:cs="Arial"/>
                            <w:color w:val="FFFFFF" w:themeColor="background1"/>
                            <w:sz w:val="18"/>
                            <w:szCs w:val="18"/>
                          </w:rPr>
                          <w:t> </w:t>
                        </w:r>
                      </w:p>
                    </w:tc>
                    <w:tc>
                      <w:tcPr>
                        <w:tcW w:w="1334" w:type="dxa"/>
                        <w:tcBorders>
                          <w:left w:val="nil"/>
                          <w:bottom w:val="single" w:sz="4" w:space="0" w:color="auto"/>
                          <w:right w:val="nil"/>
                        </w:tcBorders>
                        <w:shd w:val="clear" w:color="auto" w:fill="11A795"/>
                        <w:noWrap/>
                        <w:vAlign w:val="center"/>
                        <w:hideMark/>
                      </w:tcPr>
                      <w:p w14:paraId="3A9F0698" w14:textId="77777777" w:rsidR="00AE6727" w:rsidRPr="00AE6727" w:rsidRDefault="00AE6727" w:rsidP="00DB4245">
                        <w:pPr>
                          <w:snapToGrid w:val="0"/>
                          <w:spacing w:afterLines="0" w:after="0"/>
                          <w:jc w:val="right"/>
                          <w:rPr>
                            <w:rFonts w:cs="Arial"/>
                            <w:b/>
                            <w:color w:val="FFFFFF" w:themeColor="background1"/>
                            <w:sz w:val="18"/>
                            <w:szCs w:val="18"/>
                          </w:rPr>
                        </w:pPr>
                        <w:r w:rsidRPr="00AE6727">
                          <w:rPr>
                            <w:rFonts w:cs="Arial"/>
                            <w:b/>
                            <w:color w:val="FFFFFF" w:themeColor="background1"/>
                            <w:sz w:val="18"/>
                            <w:szCs w:val="18"/>
                          </w:rPr>
                          <w:t>2020</w:t>
                        </w:r>
                      </w:p>
                    </w:tc>
                    <w:tc>
                      <w:tcPr>
                        <w:tcW w:w="1440" w:type="dxa"/>
                        <w:tcBorders>
                          <w:left w:val="nil"/>
                          <w:bottom w:val="single" w:sz="4" w:space="0" w:color="auto"/>
                          <w:right w:val="nil"/>
                        </w:tcBorders>
                        <w:shd w:val="clear" w:color="auto" w:fill="11A795"/>
                        <w:noWrap/>
                        <w:vAlign w:val="center"/>
                        <w:hideMark/>
                      </w:tcPr>
                      <w:p w14:paraId="01CCC193" w14:textId="77777777" w:rsidR="00AE6727" w:rsidRPr="00AE6727" w:rsidRDefault="00AE6727" w:rsidP="00DB4245">
                        <w:pPr>
                          <w:snapToGrid w:val="0"/>
                          <w:spacing w:afterLines="0" w:after="0"/>
                          <w:jc w:val="right"/>
                          <w:rPr>
                            <w:rFonts w:cs="Arial"/>
                            <w:b/>
                            <w:color w:val="FFFFFF" w:themeColor="background1"/>
                            <w:sz w:val="18"/>
                            <w:szCs w:val="18"/>
                          </w:rPr>
                        </w:pPr>
                        <w:r w:rsidRPr="00AE6727">
                          <w:rPr>
                            <w:rFonts w:cs="Arial"/>
                            <w:b/>
                            <w:color w:val="FFFFFF" w:themeColor="background1"/>
                            <w:sz w:val="18"/>
                            <w:szCs w:val="18"/>
                          </w:rPr>
                          <w:t>2021</w:t>
                        </w:r>
                      </w:p>
                    </w:tc>
                    <w:tc>
                      <w:tcPr>
                        <w:tcW w:w="1170" w:type="dxa"/>
                        <w:tcBorders>
                          <w:left w:val="nil"/>
                          <w:bottom w:val="single" w:sz="4" w:space="0" w:color="auto"/>
                          <w:right w:val="nil"/>
                        </w:tcBorders>
                        <w:shd w:val="clear" w:color="auto" w:fill="11A795"/>
                        <w:noWrap/>
                        <w:vAlign w:val="center"/>
                        <w:hideMark/>
                      </w:tcPr>
                      <w:p w14:paraId="272ADB67" w14:textId="77777777" w:rsidR="00AE6727" w:rsidRPr="00AE6727" w:rsidRDefault="00AE6727" w:rsidP="00DB4245">
                        <w:pPr>
                          <w:snapToGrid w:val="0"/>
                          <w:spacing w:afterLines="0" w:after="0"/>
                          <w:jc w:val="right"/>
                          <w:rPr>
                            <w:rFonts w:cs="Arial"/>
                            <w:b/>
                            <w:color w:val="FFFFFF" w:themeColor="background1"/>
                            <w:sz w:val="18"/>
                            <w:szCs w:val="18"/>
                          </w:rPr>
                        </w:pPr>
                        <w:r w:rsidRPr="00AE6727">
                          <w:rPr>
                            <w:rFonts w:cs="Arial"/>
                            <w:b/>
                            <w:color w:val="FFFFFF" w:themeColor="background1"/>
                            <w:sz w:val="18"/>
                            <w:szCs w:val="18"/>
                          </w:rPr>
                          <w:t>2022</w:t>
                        </w:r>
                      </w:p>
                    </w:tc>
                    <w:tc>
                      <w:tcPr>
                        <w:tcW w:w="1170" w:type="dxa"/>
                        <w:tcBorders>
                          <w:left w:val="nil"/>
                          <w:bottom w:val="single" w:sz="4" w:space="0" w:color="auto"/>
                          <w:right w:val="nil"/>
                        </w:tcBorders>
                        <w:shd w:val="clear" w:color="auto" w:fill="11A795"/>
                        <w:noWrap/>
                        <w:vAlign w:val="center"/>
                        <w:hideMark/>
                      </w:tcPr>
                      <w:p w14:paraId="322FBE56" w14:textId="77777777" w:rsidR="00AE6727" w:rsidRPr="00AE6727" w:rsidRDefault="00AE6727" w:rsidP="00DB4245">
                        <w:pPr>
                          <w:snapToGrid w:val="0"/>
                          <w:spacing w:afterLines="0" w:after="0"/>
                          <w:jc w:val="right"/>
                          <w:rPr>
                            <w:rFonts w:cs="Arial"/>
                            <w:b/>
                            <w:color w:val="FFFFFF" w:themeColor="background1"/>
                            <w:sz w:val="18"/>
                            <w:szCs w:val="18"/>
                          </w:rPr>
                        </w:pPr>
                        <w:r w:rsidRPr="00AE6727">
                          <w:rPr>
                            <w:rFonts w:cs="Arial"/>
                            <w:b/>
                            <w:color w:val="FFFFFF" w:themeColor="background1"/>
                            <w:sz w:val="18"/>
                            <w:szCs w:val="18"/>
                          </w:rPr>
                          <w:t>2023</w:t>
                        </w:r>
                      </w:p>
                    </w:tc>
                  </w:tr>
                  <w:tr w:rsidR="00AE6727" w:rsidRPr="00F60A94" w14:paraId="228DAF96" w14:textId="77777777" w:rsidTr="008A3A86">
                    <w:trPr>
                      <w:trHeight w:val="151"/>
                    </w:trPr>
                    <w:tc>
                      <w:tcPr>
                        <w:tcW w:w="2408" w:type="dxa"/>
                        <w:gridSpan w:val="3"/>
                        <w:tcBorders>
                          <w:top w:val="single" w:sz="4" w:space="0" w:color="auto"/>
                          <w:left w:val="nil"/>
                          <w:bottom w:val="single" w:sz="4" w:space="0" w:color="auto"/>
                          <w:right w:val="nil"/>
                        </w:tcBorders>
                        <w:shd w:val="clear" w:color="auto" w:fill="auto"/>
                        <w:noWrap/>
                        <w:vAlign w:val="center"/>
                        <w:hideMark/>
                      </w:tcPr>
                      <w:p w14:paraId="2B936CD3" w14:textId="77777777" w:rsidR="00AE6727" w:rsidRPr="00F60A94" w:rsidRDefault="00AE6727" w:rsidP="00DB4245">
                        <w:pPr>
                          <w:snapToGrid w:val="0"/>
                          <w:spacing w:afterLines="0" w:after="0"/>
                          <w:jc w:val="left"/>
                          <w:rPr>
                            <w:rFonts w:cs="Arial"/>
                            <w:i/>
                            <w:color w:val="000000"/>
                            <w:sz w:val="18"/>
                            <w:szCs w:val="18"/>
                          </w:rPr>
                        </w:pPr>
                        <w:r w:rsidRPr="00F60A94">
                          <w:rPr>
                            <w:rFonts w:cs="Arial"/>
                            <w:i/>
                            <w:color w:val="000000"/>
                            <w:sz w:val="18"/>
                            <w:szCs w:val="18"/>
                          </w:rPr>
                          <w:t>Стресс таамаглах</w:t>
                        </w:r>
                      </w:p>
                    </w:tc>
                    <w:tc>
                      <w:tcPr>
                        <w:tcW w:w="2249" w:type="dxa"/>
                        <w:gridSpan w:val="3"/>
                        <w:tcBorders>
                          <w:top w:val="single" w:sz="4" w:space="0" w:color="auto"/>
                          <w:left w:val="nil"/>
                          <w:bottom w:val="single" w:sz="4" w:space="0" w:color="auto"/>
                          <w:right w:val="nil"/>
                        </w:tcBorders>
                        <w:shd w:val="clear" w:color="auto" w:fill="auto"/>
                        <w:noWrap/>
                        <w:vAlign w:val="center"/>
                        <w:hideMark/>
                      </w:tcPr>
                      <w:p w14:paraId="51C29B51" w14:textId="77777777" w:rsidR="00AE6727" w:rsidRPr="00F60A94" w:rsidRDefault="00AE6727" w:rsidP="00DB4245">
                        <w:pPr>
                          <w:snapToGrid w:val="0"/>
                          <w:spacing w:afterLines="0" w:after="0"/>
                          <w:jc w:val="right"/>
                          <w:rPr>
                            <w:rFonts w:cs="Arial"/>
                            <w:i/>
                            <w:color w:val="000000"/>
                            <w:sz w:val="18"/>
                            <w:szCs w:val="18"/>
                          </w:rPr>
                        </w:pPr>
                        <w:r w:rsidRPr="00F60A94">
                          <w:rPr>
                            <w:rFonts w:cs="Arial"/>
                            <w:i/>
                            <w:color w:val="000000"/>
                            <w:sz w:val="18"/>
                            <w:szCs w:val="18"/>
                          </w:rPr>
                          <w:t>2021-22</w:t>
                        </w:r>
                      </w:p>
                    </w:tc>
                    <w:tc>
                      <w:tcPr>
                        <w:tcW w:w="1440" w:type="dxa"/>
                        <w:tcBorders>
                          <w:top w:val="single" w:sz="4" w:space="0" w:color="auto"/>
                          <w:left w:val="nil"/>
                          <w:bottom w:val="single" w:sz="4" w:space="0" w:color="auto"/>
                          <w:right w:val="nil"/>
                        </w:tcBorders>
                        <w:shd w:val="clear" w:color="auto" w:fill="auto"/>
                        <w:noWrap/>
                        <w:vAlign w:val="center"/>
                        <w:hideMark/>
                      </w:tcPr>
                      <w:p w14:paraId="31CD42E6" w14:textId="77777777" w:rsidR="00AE6727" w:rsidRPr="00F60A94" w:rsidRDefault="00AE6727" w:rsidP="00DB4245">
                        <w:pPr>
                          <w:snapToGrid w:val="0"/>
                          <w:spacing w:afterLines="0" w:after="0"/>
                          <w:jc w:val="right"/>
                          <w:rPr>
                            <w:rFonts w:cs="Arial"/>
                            <w:i/>
                            <w:color w:val="000000"/>
                            <w:sz w:val="18"/>
                            <w:szCs w:val="18"/>
                          </w:rPr>
                        </w:pPr>
                        <w:r w:rsidRPr="00F60A94">
                          <w:rPr>
                            <w:rFonts w:cs="Arial"/>
                            <w:i/>
                            <w:color w:val="000000"/>
                            <w:sz w:val="18"/>
                            <w:szCs w:val="18"/>
                          </w:rPr>
                          <w:t>2022-23</w:t>
                        </w:r>
                      </w:p>
                    </w:tc>
                    <w:tc>
                      <w:tcPr>
                        <w:tcW w:w="1170" w:type="dxa"/>
                        <w:tcBorders>
                          <w:top w:val="single" w:sz="4" w:space="0" w:color="auto"/>
                          <w:left w:val="nil"/>
                          <w:bottom w:val="single" w:sz="4" w:space="0" w:color="auto"/>
                          <w:right w:val="nil"/>
                        </w:tcBorders>
                        <w:shd w:val="clear" w:color="auto" w:fill="auto"/>
                        <w:noWrap/>
                        <w:vAlign w:val="center"/>
                        <w:hideMark/>
                      </w:tcPr>
                      <w:p w14:paraId="2A8C4E8B" w14:textId="77777777" w:rsidR="00AE6727" w:rsidRPr="00F60A94" w:rsidRDefault="00AE6727" w:rsidP="00DB4245">
                        <w:pPr>
                          <w:snapToGrid w:val="0"/>
                          <w:spacing w:afterLines="0" w:after="0"/>
                          <w:jc w:val="right"/>
                          <w:rPr>
                            <w:rFonts w:cs="Arial"/>
                            <w:i/>
                            <w:color w:val="000000"/>
                            <w:sz w:val="18"/>
                            <w:szCs w:val="18"/>
                          </w:rPr>
                        </w:pPr>
                        <w:r w:rsidRPr="00F60A94">
                          <w:rPr>
                            <w:rFonts w:cs="Arial"/>
                            <w:i/>
                            <w:color w:val="000000"/>
                            <w:sz w:val="18"/>
                            <w:szCs w:val="18"/>
                          </w:rPr>
                          <w:t>2023-24</w:t>
                        </w:r>
                      </w:p>
                    </w:tc>
                    <w:tc>
                      <w:tcPr>
                        <w:tcW w:w="1170" w:type="dxa"/>
                        <w:tcBorders>
                          <w:top w:val="single" w:sz="4" w:space="0" w:color="auto"/>
                          <w:left w:val="nil"/>
                          <w:bottom w:val="single" w:sz="4" w:space="0" w:color="auto"/>
                          <w:right w:val="nil"/>
                        </w:tcBorders>
                        <w:shd w:val="clear" w:color="auto" w:fill="auto"/>
                        <w:noWrap/>
                        <w:vAlign w:val="center"/>
                        <w:hideMark/>
                      </w:tcPr>
                      <w:p w14:paraId="63ADEDEE" w14:textId="77777777" w:rsidR="00AE6727" w:rsidRPr="00F60A94" w:rsidRDefault="00AE6727" w:rsidP="00DB4245">
                        <w:pPr>
                          <w:snapToGrid w:val="0"/>
                          <w:spacing w:afterLines="0" w:after="0"/>
                          <w:jc w:val="right"/>
                          <w:rPr>
                            <w:rFonts w:cs="Arial"/>
                            <w:i/>
                            <w:color w:val="000000"/>
                            <w:sz w:val="18"/>
                            <w:szCs w:val="18"/>
                          </w:rPr>
                        </w:pPr>
                        <w:r w:rsidRPr="00F60A94">
                          <w:rPr>
                            <w:rFonts w:cs="Arial"/>
                            <w:i/>
                            <w:color w:val="000000"/>
                            <w:sz w:val="18"/>
                            <w:szCs w:val="18"/>
                          </w:rPr>
                          <w:t>2024-25</w:t>
                        </w:r>
                      </w:p>
                    </w:tc>
                  </w:tr>
                  <w:tr w:rsidR="00AE6727" w:rsidRPr="00F60A94" w14:paraId="003E1A75" w14:textId="77777777" w:rsidTr="008A3A86">
                    <w:trPr>
                      <w:trHeight w:val="274"/>
                    </w:trPr>
                    <w:tc>
                      <w:tcPr>
                        <w:tcW w:w="2408" w:type="dxa"/>
                        <w:gridSpan w:val="3"/>
                        <w:tcBorders>
                          <w:top w:val="single" w:sz="4" w:space="0" w:color="auto"/>
                          <w:left w:val="nil"/>
                          <w:bottom w:val="single" w:sz="4" w:space="0" w:color="auto"/>
                          <w:right w:val="nil"/>
                        </w:tcBorders>
                        <w:shd w:val="clear" w:color="auto" w:fill="auto"/>
                        <w:noWrap/>
                        <w:vAlign w:val="center"/>
                        <w:hideMark/>
                      </w:tcPr>
                      <w:p w14:paraId="3095C517" w14:textId="6C987721"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xml:space="preserve">Ложит стрессийн </w:t>
                        </w:r>
                        <w:r w:rsidR="00D93831" w:rsidRPr="00F60A94">
                          <w:rPr>
                            <w:rFonts w:cs="Arial"/>
                            <w:color w:val="000000"/>
                            <w:sz w:val="18"/>
                            <w:szCs w:val="18"/>
                          </w:rPr>
                          <w:t>магадлал</w:t>
                        </w:r>
                        <w:r w:rsidRPr="00F60A94">
                          <w:rPr>
                            <w:rFonts w:cs="Arial"/>
                            <w:color w:val="000000"/>
                            <w:sz w:val="18"/>
                            <w:szCs w:val="18"/>
                          </w:rPr>
                          <w:t>Ложит стрессийн агадлал</w:t>
                        </w:r>
                      </w:p>
                    </w:tc>
                    <w:tc>
                      <w:tcPr>
                        <w:tcW w:w="2249" w:type="dxa"/>
                        <w:gridSpan w:val="3"/>
                        <w:tcBorders>
                          <w:top w:val="single" w:sz="4" w:space="0" w:color="auto"/>
                          <w:left w:val="nil"/>
                          <w:bottom w:val="single" w:sz="4" w:space="0" w:color="auto"/>
                          <w:right w:val="nil"/>
                        </w:tcBorders>
                        <w:shd w:val="clear" w:color="auto" w:fill="auto"/>
                        <w:noWrap/>
                        <w:vAlign w:val="center"/>
                        <w:hideMark/>
                      </w:tcPr>
                      <w:p w14:paraId="7CB6D4A6"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0.653</w:t>
                        </w:r>
                      </w:p>
                    </w:tc>
                    <w:tc>
                      <w:tcPr>
                        <w:tcW w:w="1440" w:type="dxa"/>
                        <w:tcBorders>
                          <w:top w:val="single" w:sz="4" w:space="0" w:color="auto"/>
                          <w:left w:val="nil"/>
                          <w:bottom w:val="single" w:sz="4" w:space="0" w:color="auto"/>
                          <w:right w:val="nil"/>
                        </w:tcBorders>
                        <w:shd w:val="clear" w:color="auto" w:fill="auto"/>
                        <w:noWrap/>
                        <w:vAlign w:val="center"/>
                        <w:hideMark/>
                      </w:tcPr>
                      <w:p w14:paraId="0D08E795"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0.144</w:t>
                        </w:r>
                      </w:p>
                    </w:tc>
                    <w:tc>
                      <w:tcPr>
                        <w:tcW w:w="1170" w:type="dxa"/>
                        <w:tcBorders>
                          <w:top w:val="single" w:sz="4" w:space="0" w:color="auto"/>
                          <w:left w:val="nil"/>
                          <w:bottom w:val="single" w:sz="4" w:space="0" w:color="auto"/>
                          <w:right w:val="nil"/>
                        </w:tcBorders>
                        <w:shd w:val="clear" w:color="auto" w:fill="auto"/>
                        <w:noWrap/>
                        <w:vAlign w:val="center"/>
                        <w:hideMark/>
                      </w:tcPr>
                      <w:p w14:paraId="29A8FB99"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0.437</w:t>
                        </w:r>
                      </w:p>
                    </w:tc>
                    <w:tc>
                      <w:tcPr>
                        <w:tcW w:w="1170" w:type="dxa"/>
                        <w:tcBorders>
                          <w:top w:val="single" w:sz="4" w:space="0" w:color="auto"/>
                          <w:left w:val="nil"/>
                          <w:bottom w:val="single" w:sz="4" w:space="0" w:color="auto"/>
                          <w:right w:val="nil"/>
                        </w:tcBorders>
                        <w:shd w:val="clear" w:color="auto" w:fill="auto"/>
                        <w:noWrap/>
                        <w:vAlign w:val="center"/>
                        <w:hideMark/>
                      </w:tcPr>
                      <w:p w14:paraId="52C8E676"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0.130</w:t>
                        </w:r>
                      </w:p>
                    </w:tc>
                  </w:tr>
                  <w:tr w:rsidR="00AE6727" w:rsidRPr="00F60A94" w14:paraId="2FA8FE94" w14:textId="77777777" w:rsidTr="00285026">
                    <w:trPr>
                      <w:trHeight w:val="256"/>
                    </w:trPr>
                    <w:tc>
                      <w:tcPr>
                        <w:tcW w:w="2408" w:type="dxa"/>
                        <w:gridSpan w:val="3"/>
                        <w:tcBorders>
                          <w:top w:val="single" w:sz="4" w:space="0" w:color="auto"/>
                          <w:left w:val="nil"/>
                          <w:bottom w:val="single" w:sz="4" w:space="0" w:color="auto"/>
                          <w:right w:val="nil"/>
                        </w:tcBorders>
                        <w:shd w:val="clear" w:color="auto" w:fill="auto"/>
                        <w:noWrap/>
                        <w:vAlign w:val="center"/>
                        <w:hideMark/>
                      </w:tcPr>
                      <w:p w14:paraId="6989A8F5"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Магадлалын өөрчлөлт</w:t>
                        </w:r>
                      </w:p>
                    </w:tc>
                    <w:tc>
                      <w:tcPr>
                        <w:tcW w:w="2249" w:type="dxa"/>
                        <w:gridSpan w:val="3"/>
                        <w:tcBorders>
                          <w:top w:val="single" w:sz="4" w:space="0" w:color="auto"/>
                          <w:left w:val="nil"/>
                          <w:bottom w:val="single" w:sz="4" w:space="0" w:color="auto"/>
                          <w:right w:val="nil"/>
                        </w:tcBorders>
                        <w:shd w:val="clear" w:color="auto" w:fill="auto"/>
                        <w:noWrap/>
                        <w:vAlign w:val="center"/>
                        <w:hideMark/>
                      </w:tcPr>
                      <w:p w14:paraId="6123B085"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0.476</w:t>
                        </w:r>
                      </w:p>
                    </w:tc>
                    <w:tc>
                      <w:tcPr>
                        <w:tcW w:w="1440" w:type="dxa"/>
                        <w:tcBorders>
                          <w:top w:val="single" w:sz="4" w:space="0" w:color="auto"/>
                          <w:left w:val="nil"/>
                          <w:bottom w:val="single" w:sz="4" w:space="0" w:color="auto"/>
                          <w:right w:val="nil"/>
                        </w:tcBorders>
                        <w:shd w:val="clear" w:color="auto" w:fill="auto"/>
                        <w:noWrap/>
                        <w:vAlign w:val="center"/>
                        <w:hideMark/>
                      </w:tcPr>
                      <w:p w14:paraId="3137CDA9"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-0.509</w:t>
                        </w:r>
                      </w:p>
                    </w:tc>
                    <w:tc>
                      <w:tcPr>
                        <w:tcW w:w="1170" w:type="dxa"/>
                        <w:tcBorders>
                          <w:top w:val="single" w:sz="4" w:space="0" w:color="auto"/>
                          <w:left w:val="nil"/>
                          <w:bottom w:val="single" w:sz="4" w:space="0" w:color="auto"/>
                          <w:right w:val="nil"/>
                        </w:tcBorders>
                        <w:shd w:val="clear" w:color="auto" w:fill="auto"/>
                        <w:noWrap/>
                        <w:vAlign w:val="center"/>
                        <w:hideMark/>
                      </w:tcPr>
                      <w:p w14:paraId="44D9A316"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0.293</w:t>
                        </w:r>
                      </w:p>
                    </w:tc>
                    <w:tc>
                      <w:tcPr>
                        <w:tcW w:w="1170" w:type="dxa"/>
                        <w:tcBorders>
                          <w:top w:val="single" w:sz="4" w:space="0" w:color="auto"/>
                          <w:left w:val="nil"/>
                          <w:bottom w:val="single" w:sz="4" w:space="0" w:color="auto"/>
                          <w:right w:val="nil"/>
                        </w:tcBorders>
                        <w:shd w:val="clear" w:color="auto" w:fill="auto"/>
                        <w:noWrap/>
                        <w:vAlign w:val="center"/>
                        <w:hideMark/>
                      </w:tcPr>
                      <w:p w14:paraId="6C5262E6"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-0.307</w:t>
                        </w:r>
                      </w:p>
                    </w:tc>
                  </w:tr>
                  <w:tr w:rsidR="00AE6727" w:rsidRPr="00F60A94" w14:paraId="1EBB992F" w14:textId="77777777" w:rsidTr="008A3A86">
                    <w:trPr>
                      <w:trHeight w:val="184"/>
                    </w:trPr>
                    <w:tc>
                      <w:tcPr>
                        <w:tcW w:w="1297" w:type="dxa"/>
                        <w:tcBorders>
                          <w:top w:val="single" w:sz="4" w:space="0" w:color="auto"/>
                          <w:left w:val="nil"/>
                          <w:bottom w:val="single" w:sz="4" w:space="0" w:color="auto"/>
                          <w:right w:val="nil"/>
                        </w:tcBorders>
                        <w:shd w:val="clear" w:color="auto" w:fill="auto"/>
                        <w:noWrap/>
                        <w:vAlign w:val="center"/>
                        <w:hideMark/>
                      </w:tcPr>
                      <w:p w14:paraId="013B3256"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Үүнээс:</w:t>
                        </w:r>
                      </w:p>
                    </w:tc>
                    <w:tc>
                      <w:tcPr>
                        <w:tcW w:w="1111" w:type="dxa"/>
                        <w:gridSpan w:val="2"/>
                        <w:tcBorders>
                          <w:top w:val="single" w:sz="4" w:space="0" w:color="auto"/>
                          <w:left w:val="nil"/>
                          <w:bottom w:val="single" w:sz="4" w:space="0" w:color="auto"/>
                          <w:right w:val="nil"/>
                        </w:tcBorders>
                        <w:shd w:val="clear" w:color="auto" w:fill="auto"/>
                        <w:noWrap/>
                        <w:vAlign w:val="center"/>
                        <w:hideMark/>
                      </w:tcPr>
                      <w:p w14:paraId="5706B40E"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w:t>
                        </w:r>
                      </w:p>
                    </w:tc>
                    <w:tc>
                      <w:tcPr>
                        <w:tcW w:w="390" w:type="dxa"/>
                        <w:tcBorders>
                          <w:top w:val="single" w:sz="4" w:space="0" w:color="auto"/>
                          <w:left w:val="nil"/>
                          <w:bottom w:val="single" w:sz="4" w:space="0" w:color="auto"/>
                          <w:right w:val="nil"/>
                        </w:tcBorders>
                        <w:shd w:val="clear" w:color="auto" w:fill="auto"/>
                        <w:noWrap/>
                        <w:vAlign w:val="center"/>
                        <w:hideMark/>
                      </w:tcPr>
                      <w:p w14:paraId="37365A60"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w:t>
                        </w:r>
                      </w:p>
                    </w:tc>
                    <w:tc>
                      <w:tcPr>
                        <w:tcW w:w="525" w:type="dxa"/>
                        <w:tcBorders>
                          <w:top w:val="single" w:sz="4" w:space="0" w:color="auto"/>
                          <w:left w:val="nil"/>
                          <w:bottom w:val="single" w:sz="4" w:space="0" w:color="auto"/>
                          <w:right w:val="nil"/>
                        </w:tcBorders>
                        <w:shd w:val="clear" w:color="auto" w:fill="auto"/>
                        <w:noWrap/>
                        <w:vAlign w:val="center"/>
                        <w:hideMark/>
                      </w:tcPr>
                      <w:p w14:paraId="3B35D949"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w:t>
                        </w:r>
                      </w:p>
                    </w:tc>
                    <w:tc>
                      <w:tcPr>
                        <w:tcW w:w="1334" w:type="dxa"/>
                        <w:tcBorders>
                          <w:top w:val="single" w:sz="4" w:space="0" w:color="auto"/>
                          <w:left w:val="nil"/>
                          <w:bottom w:val="single" w:sz="4" w:space="0" w:color="auto"/>
                          <w:right w:val="nil"/>
                        </w:tcBorders>
                        <w:shd w:val="clear" w:color="auto" w:fill="auto"/>
                        <w:vAlign w:val="center"/>
                      </w:tcPr>
                      <w:p w14:paraId="1BDD9924" w14:textId="77777777" w:rsidR="00AE6727" w:rsidRPr="00F60A94" w:rsidRDefault="00AE6727" w:rsidP="00DB4245">
                        <w:pPr>
                          <w:snapToGrid w:val="0"/>
                          <w:spacing w:afterLines="0" w:after="0"/>
                          <w:jc w:val="left"/>
                          <w:rPr>
                            <w:rFonts w:cs="Arial"/>
                            <w:color w:val="000000"/>
                            <w:sz w:val="18"/>
                            <w:szCs w:val="18"/>
                          </w:rPr>
                        </w:pPr>
                      </w:p>
                    </w:tc>
                    <w:tc>
                      <w:tcPr>
                        <w:tcW w:w="1440" w:type="dxa"/>
                        <w:tcBorders>
                          <w:top w:val="single" w:sz="4" w:space="0" w:color="auto"/>
                          <w:left w:val="nil"/>
                          <w:bottom w:val="single" w:sz="4" w:space="0" w:color="auto"/>
                          <w:right w:val="nil"/>
                        </w:tcBorders>
                        <w:shd w:val="clear" w:color="auto" w:fill="auto"/>
                        <w:noWrap/>
                        <w:vAlign w:val="center"/>
                        <w:hideMark/>
                      </w:tcPr>
                      <w:p w14:paraId="1F48C8D5"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w:t>
                        </w:r>
                      </w:p>
                    </w:tc>
                    <w:tc>
                      <w:tcPr>
                        <w:tcW w:w="1170" w:type="dxa"/>
                        <w:tcBorders>
                          <w:top w:val="single" w:sz="4" w:space="0" w:color="auto"/>
                          <w:left w:val="nil"/>
                          <w:bottom w:val="single" w:sz="4" w:space="0" w:color="auto"/>
                          <w:right w:val="nil"/>
                        </w:tcBorders>
                        <w:shd w:val="clear" w:color="auto" w:fill="auto"/>
                        <w:noWrap/>
                        <w:vAlign w:val="center"/>
                        <w:hideMark/>
                      </w:tcPr>
                      <w:p w14:paraId="464D432F"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w:t>
                        </w:r>
                      </w:p>
                    </w:tc>
                    <w:tc>
                      <w:tcPr>
                        <w:tcW w:w="1170" w:type="dxa"/>
                        <w:tcBorders>
                          <w:top w:val="single" w:sz="4" w:space="0" w:color="auto"/>
                          <w:left w:val="nil"/>
                          <w:bottom w:val="single" w:sz="4" w:space="0" w:color="auto"/>
                          <w:right w:val="nil"/>
                        </w:tcBorders>
                        <w:shd w:val="clear" w:color="auto" w:fill="auto"/>
                        <w:noWrap/>
                        <w:vAlign w:val="center"/>
                        <w:hideMark/>
                      </w:tcPr>
                      <w:p w14:paraId="1D173792"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w:t>
                        </w:r>
                      </w:p>
                    </w:tc>
                  </w:tr>
                  <w:tr w:rsidR="00AE6727" w:rsidRPr="00F60A94" w14:paraId="55C8200F" w14:textId="77777777" w:rsidTr="008A3A86">
                    <w:trPr>
                      <w:trHeight w:val="56"/>
                    </w:trPr>
                    <w:tc>
                      <w:tcPr>
                        <w:tcW w:w="3323" w:type="dxa"/>
                        <w:gridSpan w:val="5"/>
                        <w:tcBorders>
                          <w:top w:val="single" w:sz="4" w:space="0" w:color="auto"/>
                          <w:left w:val="nil"/>
                          <w:bottom w:val="single" w:sz="4" w:space="0" w:color="auto"/>
                          <w:right w:val="nil"/>
                        </w:tcBorders>
                        <w:shd w:val="clear" w:color="auto" w:fill="auto"/>
                        <w:noWrap/>
                        <w:vAlign w:val="center"/>
                        <w:hideMark/>
                      </w:tcPr>
                      <w:p w14:paraId="1DF05BF2"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Институцын чанар</w:t>
                        </w:r>
                      </w:p>
                    </w:tc>
                    <w:tc>
                      <w:tcPr>
                        <w:tcW w:w="1334" w:type="dxa"/>
                        <w:tcBorders>
                          <w:top w:val="single" w:sz="4" w:space="0" w:color="auto"/>
                          <w:left w:val="nil"/>
                          <w:bottom w:val="single" w:sz="4" w:space="0" w:color="auto"/>
                          <w:right w:val="nil"/>
                        </w:tcBorders>
                        <w:shd w:val="clear" w:color="auto" w:fill="auto"/>
                        <w:noWrap/>
                        <w:vAlign w:val="center"/>
                        <w:hideMark/>
                      </w:tcPr>
                      <w:p w14:paraId="29040B69"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0.032</w:t>
                        </w:r>
                      </w:p>
                    </w:tc>
                    <w:tc>
                      <w:tcPr>
                        <w:tcW w:w="1440" w:type="dxa"/>
                        <w:tcBorders>
                          <w:top w:val="single" w:sz="4" w:space="0" w:color="auto"/>
                          <w:left w:val="nil"/>
                          <w:bottom w:val="single" w:sz="4" w:space="0" w:color="auto"/>
                          <w:right w:val="nil"/>
                        </w:tcBorders>
                        <w:shd w:val="clear" w:color="auto" w:fill="auto"/>
                        <w:noWrap/>
                        <w:vAlign w:val="center"/>
                        <w:hideMark/>
                      </w:tcPr>
                      <w:p w14:paraId="1B369356"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0.028</w:t>
                        </w:r>
                      </w:p>
                    </w:tc>
                    <w:tc>
                      <w:tcPr>
                        <w:tcW w:w="1170" w:type="dxa"/>
                        <w:tcBorders>
                          <w:top w:val="single" w:sz="4" w:space="0" w:color="auto"/>
                          <w:left w:val="nil"/>
                          <w:bottom w:val="single" w:sz="4" w:space="0" w:color="auto"/>
                          <w:right w:val="nil"/>
                        </w:tcBorders>
                        <w:shd w:val="clear" w:color="auto" w:fill="auto"/>
                        <w:noWrap/>
                        <w:vAlign w:val="center"/>
                        <w:hideMark/>
                      </w:tcPr>
                      <w:p w14:paraId="17BF1C11"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0.000</w:t>
                        </w:r>
                      </w:p>
                    </w:tc>
                    <w:tc>
                      <w:tcPr>
                        <w:tcW w:w="1170" w:type="dxa"/>
                        <w:tcBorders>
                          <w:top w:val="single" w:sz="4" w:space="0" w:color="auto"/>
                          <w:left w:val="nil"/>
                          <w:bottom w:val="single" w:sz="4" w:space="0" w:color="auto"/>
                          <w:right w:val="nil"/>
                        </w:tcBorders>
                        <w:shd w:val="clear" w:color="auto" w:fill="auto"/>
                        <w:noWrap/>
                        <w:vAlign w:val="center"/>
                        <w:hideMark/>
                      </w:tcPr>
                      <w:p w14:paraId="19A47924"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0.000</w:t>
                        </w:r>
                      </w:p>
                    </w:tc>
                  </w:tr>
                  <w:tr w:rsidR="00AE6727" w:rsidRPr="00F60A94" w14:paraId="0B2B2144" w14:textId="77777777" w:rsidTr="00285026">
                    <w:trPr>
                      <w:trHeight w:val="166"/>
                    </w:trPr>
                    <w:tc>
                      <w:tcPr>
                        <w:tcW w:w="3323" w:type="dxa"/>
                        <w:gridSpan w:val="5"/>
                        <w:tcBorders>
                          <w:top w:val="single" w:sz="4" w:space="0" w:color="auto"/>
                          <w:left w:val="nil"/>
                          <w:bottom w:val="single" w:sz="4" w:space="0" w:color="auto"/>
                          <w:right w:val="nil"/>
                        </w:tcBorders>
                        <w:shd w:val="clear" w:color="auto" w:fill="auto"/>
                        <w:noWrap/>
                        <w:vAlign w:val="center"/>
                        <w:hideMark/>
                      </w:tcPr>
                      <w:p w14:paraId="7982D250"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Стрессийн түүх</w:t>
                        </w:r>
                      </w:p>
                    </w:tc>
                    <w:tc>
                      <w:tcPr>
                        <w:tcW w:w="1334" w:type="dxa"/>
                        <w:tcBorders>
                          <w:top w:val="single" w:sz="4" w:space="0" w:color="auto"/>
                          <w:left w:val="nil"/>
                          <w:bottom w:val="single" w:sz="4" w:space="0" w:color="auto"/>
                          <w:right w:val="nil"/>
                        </w:tcBorders>
                        <w:shd w:val="clear" w:color="auto" w:fill="auto"/>
                        <w:noWrap/>
                        <w:vAlign w:val="center"/>
                        <w:hideMark/>
                      </w:tcPr>
                      <w:p w14:paraId="2ACB325D"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0.000</w:t>
                        </w:r>
                      </w:p>
                    </w:tc>
                    <w:tc>
                      <w:tcPr>
                        <w:tcW w:w="1440" w:type="dxa"/>
                        <w:tcBorders>
                          <w:top w:val="single" w:sz="4" w:space="0" w:color="auto"/>
                          <w:left w:val="nil"/>
                          <w:bottom w:val="single" w:sz="4" w:space="0" w:color="auto"/>
                          <w:right w:val="nil"/>
                        </w:tcBorders>
                        <w:shd w:val="clear" w:color="auto" w:fill="auto"/>
                        <w:noWrap/>
                        <w:vAlign w:val="center"/>
                        <w:hideMark/>
                      </w:tcPr>
                      <w:p w14:paraId="5057D175"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-0.012</w:t>
                        </w:r>
                      </w:p>
                    </w:tc>
                    <w:tc>
                      <w:tcPr>
                        <w:tcW w:w="1170" w:type="dxa"/>
                        <w:tcBorders>
                          <w:top w:val="single" w:sz="4" w:space="0" w:color="auto"/>
                          <w:left w:val="nil"/>
                          <w:bottom w:val="single" w:sz="4" w:space="0" w:color="auto"/>
                          <w:right w:val="nil"/>
                        </w:tcBorders>
                        <w:shd w:val="clear" w:color="auto" w:fill="auto"/>
                        <w:noWrap/>
                        <w:vAlign w:val="center"/>
                        <w:hideMark/>
                      </w:tcPr>
                      <w:p w14:paraId="540B4DC5"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-0.009</w:t>
                        </w:r>
                      </w:p>
                    </w:tc>
                    <w:tc>
                      <w:tcPr>
                        <w:tcW w:w="1170" w:type="dxa"/>
                        <w:tcBorders>
                          <w:top w:val="single" w:sz="4" w:space="0" w:color="auto"/>
                          <w:left w:val="nil"/>
                          <w:bottom w:val="single" w:sz="4" w:space="0" w:color="auto"/>
                          <w:right w:val="nil"/>
                        </w:tcBorders>
                        <w:shd w:val="clear" w:color="auto" w:fill="auto"/>
                        <w:noWrap/>
                        <w:vAlign w:val="center"/>
                        <w:hideMark/>
                      </w:tcPr>
                      <w:p w14:paraId="50B3575B"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-0.008</w:t>
                        </w:r>
                      </w:p>
                    </w:tc>
                  </w:tr>
                  <w:tr w:rsidR="00AE6727" w:rsidRPr="00F60A94" w14:paraId="00808CAA" w14:textId="77777777" w:rsidTr="00285026">
                    <w:trPr>
                      <w:trHeight w:val="202"/>
                    </w:trPr>
                    <w:tc>
                      <w:tcPr>
                        <w:tcW w:w="1666" w:type="dxa"/>
                        <w:gridSpan w:val="2"/>
                        <w:tcBorders>
                          <w:top w:val="single" w:sz="4" w:space="0" w:color="auto"/>
                          <w:left w:val="nil"/>
                          <w:bottom w:val="single" w:sz="4" w:space="0" w:color="auto"/>
                          <w:right w:val="nil"/>
                        </w:tcBorders>
                        <w:shd w:val="clear" w:color="auto" w:fill="auto"/>
                        <w:noWrap/>
                        <w:vAlign w:val="center"/>
                        <w:hideMark/>
                      </w:tcPr>
                      <w:p w14:paraId="10A7F410"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Мөчлөг</w:t>
                        </w:r>
                      </w:p>
                    </w:tc>
                    <w:tc>
                      <w:tcPr>
                        <w:tcW w:w="1657" w:type="dxa"/>
                        <w:gridSpan w:val="3"/>
                        <w:tcBorders>
                          <w:top w:val="single" w:sz="4" w:space="0" w:color="auto"/>
                          <w:left w:val="nil"/>
                          <w:bottom w:val="single" w:sz="4" w:space="0" w:color="auto"/>
                          <w:right w:val="nil"/>
                        </w:tcBorders>
                        <w:shd w:val="clear" w:color="auto" w:fill="auto"/>
                        <w:noWrap/>
                        <w:vAlign w:val="center"/>
                        <w:hideMark/>
                      </w:tcPr>
                      <w:p w14:paraId="164AD2CC"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w:t>
                        </w:r>
                      </w:p>
                    </w:tc>
                    <w:tc>
                      <w:tcPr>
                        <w:tcW w:w="1334" w:type="dxa"/>
                        <w:tcBorders>
                          <w:top w:val="single" w:sz="4" w:space="0" w:color="auto"/>
                          <w:left w:val="nil"/>
                          <w:bottom w:val="single" w:sz="4" w:space="0" w:color="auto"/>
                          <w:right w:val="nil"/>
                        </w:tcBorders>
                        <w:shd w:val="clear" w:color="auto" w:fill="auto"/>
                        <w:noWrap/>
                        <w:vAlign w:val="center"/>
                        <w:hideMark/>
                      </w:tcPr>
                      <w:p w14:paraId="4F858C70"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 -0.052</w:t>
                        </w:r>
                      </w:p>
                    </w:tc>
                    <w:tc>
                      <w:tcPr>
                        <w:tcW w:w="1440" w:type="dxa"/>
                        <w:tcBorders>
                          <w:top w:val="single" w:sz="4" w:space="0" w:color="auto"/>
                          <w:left w:val="nil"/>
                          <w:bottom w:val="single" w:sz="4" w:space="0" w:color="auto"/>
                          <w:right w:val="nil"/>
                        </w:tcBorders>
                        <w:shd w:val="clear" w:color="auto" w:fill="auto"/>
                        <w:noWrap/>
                        <w:vAlign w:val="center"/>
                        <w:hideMark/>
                      </w:tcPr>
                      <w:p w14:paraId="51698498"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0.048</w:t>
                        </w:r>
                      </w:p>
                    </w:tc>
                    <w:tc>
                      <w:tcPr>
                        <w:tcW w:w="1170" w:type="dxa"/>
                        <w:tcBorders>
                          <w:top w:val="single" w:sz="4" w:space="0" w:color="auto"/>
                          <w:left w:val="nil"/>
                          <w:bottom w:val="single" w:sz="4" w:space="0" w:color="auto"/>
                          <w:right w:val="nil"/>
                        </w:tcBorders>
                        <w:shd w:val="clear" w:color="auto" w:fill="auto"/>
                        <w:noWrap/>
                        <w:vAlign w:val="center"/>
                        <w:hideMark/>
                      </w:tcPr>
                      <w:p w14:paraId="5810A83D"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0.050</w:t>
                        </w:r>
                      </w:p>
                    </w:tc>
                    <w:tc>
                      <w:tcPr>
                        <w:tcW w:w="1170" w:type="dxa"/>
                        <w:tcBorders>
                          <w:top w:val="single" w:sz="4" w:space="0" w:color="auto"/>
                          <w:left w:val="nil"/>
                          <w:bottom w:val="single" w:sz="4" w:space="0" w:color="auto"/>
                          <w:right w:val="nil"/>
                        </w:tcBorders>
                        <w:shd w:val="clear" w:color="auto" w:fill="auto"/>
                        <w:noWrap/>
                        <w:vAlign w:val="center"/>
                        <w:hideMark/>
                      </w:tcPr>
                      <w:p w14:paraId="12131104"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0.009</w:t>
                        </w:r>
                      </w:p>
                    </w:tc>
                  </w:tr>
                  <w:tr w:rsidR="00AE6727" w:rsidRPr="00F60A94" w14:paraId="46F5E620" w14:textId="77777777" w:rsidTr="00285026">
                    <w:trPr>
                      <w:trHeight w:val="139"/>
                    </w:trPr>
                    <w:tc>
                      <w:tcPr>
                        <w:tcW w:w="3323" w:type="dxa"/>
                        <w:gridSpan w:val="5"/>
                        <w:tcBorders>
                          <w:top w:val="single" w:sz="4" w:space="0" w:color="auto"/>
                          <w:left w:val="nil"/>
                          <w:bottom w:val="single" w:sz="4" w:space="0" w:color="auto"/>
                          <w:right w:val="nil"/>
                        </w:tcBorders>
                        <w:shd w:val="clear" w:color="auto" w:fill="auto"/>
                        <w:noWrap/>
                        <w:vAlign w:val="center"/>
                        <w:hideMark/>
                      </w:tcPr>
                      <w:p w14:paraId="5EA110CD"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Өрийн дарамт</w:t>
                        </w:r>
                      </w:p>
                    </w:tc>
                    <w:tc>
                      <w:tcPr>
                        <w:tcW w:w="1334" w:type="dxa"/>
                        <w:tcBorders>
                          <w:top w:val="single" w:sz="4" w:space="0" w:color="auto"/>
                          <w:left w:val="nil"/>
                          <w:bottom w:val="single" w:sz="4" w:space="0" w:color="auto"/>
                          <w:right w:val="nil"/>
                        </w:tcBorders>
                        <w:shd w:val="clear" w:color="auto" w:fill="auto"/>
                        <w:noWrap/>
                        <w:vAlign w:val="center"/>
                        <w:hideMark/>
                      </w:tcPr>
                      <w:p w14:paraId="640E6768"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 0.360</w:t>
                        </w:r>
                      </w:p>
                    </w:tc>
                    <w:tc>
                      <w:tcPr>
                        <w:tcW w:w="1440" w:type="dxa"/>
                        <w:tcBorders>
                          <w:top w:val="single" w:sz="4" w:space="0" w:color="auto"/>
                          <w:left w:val="nil"/>
                          <w:bottom w:val="single" w:sz="4" w:space="0" w:color="auto"/>
                          <w:right w:val="nil"/>
                        </w:tcBorders>
                        <w:shd w:val="clear" w:color="auto" w:fill="auto"/>
                        <w:noWrap/>
                        <w:vAlign w:val="center"/>
                        <w:hideMark/>
                      </w:tcPr>
                      <w:p w14:paraId="17A1EB68"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-0.357</w:t>
                        </w:r>
                      </w:p>
                    </w:tc>
                    <w:tc>
                      <w:tcPr>
                        <w:tcW w:w="1170" w:type="dxa"/>
                        <w:tcBorders>
                          <w:top w:val="single" w:sz="4" w:space="0" w:color="auto"/>
                          <w:left w:val="nil"/>
                          <w:bottom w:val="single" w:sz="4" w:space="0" w:color="auto"/>
                          <w:right w:val="nil"/>
                        </w:tcBorders>
                        <w:shd w:val="clear" w:color="auto" w:fill="auto"/>
                        <w:noWrap/>
                        <w:vAlign w:val="center"/>
                        <w:hideMark/>
                      </w:tcPr>
                      <w:p w14:paraId="39D0BA77"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0.110</w:t>
                        </w:r>
                      </w:p>
                    </w:tc>
                    <w:tc>
                      <w:tcPr>
                        <w:tcW w:w="1170" w:type="dxa"/>
                        <w:tcBorders>
                          <w:top w:val="single" w:sz="4" w:space="0" w:color="auto"/>
                          <w:left w:val="nil"/>
                          <w:bottom w:val="single" w:sz="4" w:space="0" w:color="auto"/>
                          <w:right w:val="nil"/>
                        </w:tcBorders>
                        <w:shd w:val="clear" w:color="auto" w:fill="auto"/>
                        <w:noWrap/>
                        <w:vAlign w:val="center"/>
                        <w:hideMark/>
                      </w:tcPr>
                      <w:p w14:paraId="178E3E3A"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-0.212</w:t>
                        </w:r>
                      </w:p>
                    </w:tc>
                  </w:tr>
                  <w:tr w:rsidR="00AE6727" w:rsidRPr="00F60A94" w14:paraId="63A5B090" w14:textId="77777777" w:rsidTr="00285026">
                    <w:trPr>
                      <w:trHeight w:val="184"/>
                    </w:trPr>
                    <w:tc>
                      <w:tcPr>
                        <w:tcW w:w="3323" w:type="dxa"/>
                        <w:gridSpan w:val="5"/>
                        <w:tcBorders>
                          <w:top w:val="single" w:sz="4" w:space="0" w:color="auto"/>
                          <w:left w:val="nil"/>
                          <w:bottom w:val="double" w:sz="4" w:space="0" w:color="auto"/>
                          <w:right w:val="nil"/>
                        </w:tcBorders>
                        <w:shd w:val="clear" w:color="auto" w:fill="auto"/>
                        <w:noWrap/>
                        <w:vAlign w:val="center"/>
                        <w:hideMark/>
                      </w:tcPr>
                      <w:p w14:paraId="628A3629" w14:textId="77777777" w:rsidR="00AE6727" w:rsidRPr="00F60A94" w:rsidRDefault="00AE6727" w:rsidP="00DB4245">
                        <w:pPr>
                          <w:snapToGrid w:val="0"/>
                          <w:spacing w:afterLines="0" w:after="0"/>
                          <w:jc w:val="left"/>
                          <w:rPr>
                            <w:rFonts w:cs="Arial"/>
                            <w:color w:val="000000"/>
                            <w:sz w:val="18"/>
                            <w:szCs w:val="18"/>
                          </w:rPr>
                        </w:pPr>
                        <w:r w:rsidRPr="00F60A94">
                          <w:rPr>
                            <w:rFonts w:cs="Arial"/>
                            <w:color w:val="000000"/>
                            <w:sz w:val="18"/>
                            <w:szCs w:val="18"/>
                          </w:rPr>
                          <w:t> Олон улсын нөхцөл байдал</w:t>
                        </w:r>
                      </w:p>
                    </w:tc>
                    <w:tc>
                      <w:tcPr>
                        <w:tcW w:w="1334" w:type="dxa"/>
                        <w:tcBorders>
                          <w:top w:val="single" w:sz="4" w:space="0" w:color="auto"/>
                          <w:left w:val="nil"/>
                          <w:bottom w:val="double" w:sz="4" w:space="0" w:color="auto"/>
                          <w:right w:val="nil"/>
                        </w:tcBorders>
                        <w:shd w:val="clear" w:color="auto" w:fill="auto"/>
                        <w:noWrap/>
                        <w:vAlign w:val="center"/>
                        <w:hideMark/>
                      </w:tcPr>
                      <w:p w14:paraId="6B4CA93F"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0.175</w:t>
                        </w:r>
                      </w:p>
                    </w:tc>
                    <w:tc>
                      <w:tcPr>
                        <w:tcW w:w="1440" w:type="dxa"/>
                        <w:tcBorders>
                          <w:top w:val="single" w:sz="4" w:space="0" w:color="auto"/>
                          <w:left w:val="nil"/>
                          <w:bottom w:val="double" w:sz="4" w:space="0" w:color="auto"/>
                          <w:right w:val="nil"/>
                        </w:tcBorders>
                        <w:shd w:val="clear" w:color="auto" w:fill="auto"/>
                        <w:noWrap/>
                        <w:vAlign w:val="center"/>
                        <w:hideMark/>
                      </w:tcPr>
                      <w:p w14:paraId="7705B45E"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-0.264</w:t>
                        </w:r>
                      </w:p>
                    </w:tc>
                    <w:tc>
                      <w:tcPr>
                        <w:tcW w:w="1170" w:type="dxa"/>
                        <w:tcBorders>
                          <w:top w:val="single" w:sz="4" w:space="0" w:color="auto"/>
                          <w:left w:val="nil"/>
                          <w:bottom w:val="double" w:sz="4" w:space="0" w:color="auto"/>
                          <w:right w:val="nil"/>
                        </w:tcBorders>
                        <w:shd w:val="clear" w:color="auto" w:fill="auto"/>
                        <w:noWrap/>
                        <w:vAlign w:val="center"/>
                        <w:hideMark/>
                      </w:tcPr>
                      <w:p w14:paraId="30E57C4D"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0.148</w:t>
                        </w:r>
                      </w:p>
                    </w:tc>
                    <w:tc>
                      <w:tcPr>
                        <w:tcW w:w="1170" w:type="dxa"/>
                        <w:tcBorders>
                          <w:top w:val="single" w:sz="4" w:space="0" w:color="auto"/>
                          <w:left w:val="nil"/>
                          <w:bottom w:val="double" w:sz="4" w:space="0" w:color="auto"/>
                          <w:right w:val="nil"/>
                        </w:tcBorders>
                        <w:shd w:val="clear" w:color="auto" w:fill="auto"/>
                        <w:noWrap/>
                        <w:vAlign w:val="center"/>
                        <w:hideMark/>
                      </w:tcPr>
                      <w:p w14:paraId="6EDE5D14" w14:textId="77777777" w:rsidR="00AE6727" w:rsidRPr="00F60A94" w:rsidRDefault="00AE6727" w:rsidP="00DB4245">
                        <w:pPr>
                          <w:snapToGrid w:val="0"/>
                          <w:spacing w:afterLines="0" w:after="0"/>
                          <w:jc w:val="right"/>
                          <w:rPr>
                            <w:rFonts w:cs="Arial"/>
                            <w:color w:val="000000"/>
                            <w:sz w:val="18"/>
                            <w:szCs w:val="18"/>
                          </w:rPr>
                        </w:pPr>
                        <w:r w:rsidRPr="00F60A94">
                          <w:rPr>
                            <w:rFonts w:cs="Arial"/>
                            <w:color w:val="000000"/>
                            <w:sz w:val="18"/>
                            <w:szCs w:val="18"/>
                          </w:rPr>
                          <w:t>-0.101</w:t>
                        </w:r>
                      </w:p>
                    </w:tc>
                  </w:tr>
                </w:tbl>
                <w:p w14:paraId="67FF4223" w14:textId="77777777" w:rsidR="00A7265F" w:rsidRDefault="00A7265F" w:rsidP="00A7265F">
                  <w:pPr>
                    <w:spacing w:before="240" w:after="288" w:line="276" w:lineRule="auto"/>
                    <w:rPr>
                      <w:rFonts w:eastAsiaTheme="majorEastAsia"/>
                      <w:color w:val="000000" w:themeColor="text1"/>
                      <w:szCs w:val="24"/>
                      <w:u w:color="FF0000"/>
                    </w:rPr>
                  </w:pPr>
                  <w:r w:rsidRPr="00A7265F">
                    <w:rPr>
                      <w:rFonts w:eastAsiaTheme="majorEastAsia"/>
                      <w:color w:val="000000" w:themeColor="text1"/>
                      <w:szCs w:val="24"/>
                      <w:u w:color="FF0000"/>
                    </w:rPr>
                    <w:t>Тус стресс тохиох магадлал буурсан гол шалтгаан нь 2023 онд Засгийн газрын өрийн дарамт буурсан, олон улсын нөхцөл байдал сайжирсантай холбоотой байна.</w:t>
                  </w:r>
                </w:p>
                <w:p w14:paraId="0BF927CD" w14:textId="015D9391" w:rsidR="00285026" w:rsidRPr="00410793" w:rsidRDefault="00285026" w:rsidP="00285026">
                  <w:pPr>
                    <w:spacing w:afterLines="0" w:after="288"/>
                    <w:jc w:val="left"/>
                    <w:rPr>
                      <w:rFonts w:eastAsiaTheme="majorEastAsia"/>
                      <w:i/>
                      <w:color w:val="11A795"/>
                      <w:szCs w:val="24"/>
                      <w:u w:color="FF0000"/>
                    </w:rPr>
                  </w:pPr>
                  <w:r w:rsidRPr="00410793">
                    <w:rPr>
                      <w:rFonts w:eastAsiaTheme="majorEastAsia"/>
                      <w:i/>
                      <w:color w:val="11A795"/>
                      <w:szCs w:val="24"/>
                      <w:u w:color="FF0000"/>
                    </w:rPr>
                    <w:t>Дунд хугацаа</w:t>
                  </w:r>
                </w:p>
                <w:p w14:paraId="1A610DF6" w14:textId="77777777" w:rsidR="00DB4245" w:rsidRDefault="00DB4245" w:rsidP="00DB4245">
                  <w:pPr>
                    <w:spacing w:after="288" w:line="276" w:lineRule="auto"/>
                    <w:rPr>
                      <w:rFonts w:eastAsiaTheme="majorEastAsia"/>
                      <w:iCs/>
                      <w:color w:val="000000" w:themeColor="text1"/>
                      <w:szCs w:val="24"/>
                      <w:u w:color="FF0000"/>
                    </w:rPr>
                  </w:pPr>
                  <w:r w:rsidRPr="00D17369">
                    <w:rPr>
                      <w:rFonts w:eastAsiaTheme="majorEastAsia"/>
                      <w:iCs/>
                      <w:color w:val="000000" w:themeColor="text1"/>
                      <w:szCs w:val="24"/>
                      <w:u w:color="FF0000"/>
                    </w:rPr>
                    <w:t>Харин Засгийн газрын санхүүжилтийн хэрэгцээний эрсдэлийг тооцохдоо дараагийн 5 жилд санхүүжилтийн хэрэгцээний дундаж түвшин, арилжааны банкуудын ЗГ-аас авах авлагын хэмжээ болон стрессийн үед ЗГ-аас авах авлагын хэмжээ хэрхэн өсөх төсөөллийг тооцдог бөгөөд шинжилгээгээр бага эрсдэлтэй гарсан байна. Энэ нь 2026 он хүртэл томоохон өр төлбөрийг төлж барагдуулснаар санхүүжилтийн хэрэгцээний дундаж түвшнийг бууруулсантай холбоотой байна.</w:t>
                  </w:r>
                </w:p>
                <w:p w14:paraId="41FEA409" w14:textId="24791073" w:rsidR="00DB4245" w:rsidRPr="007D55E1" w:rsidRDefault="00DB4245" w:rsidP="007D55E1">
                  <w:pPr>
                    <w:spacing w:afterLines="0" w:after="0"/>
                    <w:jc w:val="left"/>
                    <w:rPr>
                      <w:i/>
                      <w:color w:val="055957"/>
                      <w:sz w:val="20"/>
                      <w:szCs w:val="20"/>
                    </w:rPr>
                  </w:pPr>
                  <w:r w:rsidRPr="007D55E1">
                    <w:rPr>
                      <w:i/>
                      <w:color w:val="055957"/>
                      <w:sz w:val="20"/>
                      <w:szCs w:val="20"/>
                    </w:rPr>
                    <w:t>Хүснэгт 6.</w:t>
                  </w:r>
                  <w:r w:rsidR="007D55E1" w:rsidRPr="007D55E1">
                    <w:rPr>
                      <w:i/>
                      <w:iCs/>
                      <w:color w:val="055957"/>
                      <w:sz w:val="20"/>
                      <w:szCs w:val="20"/>
                    </w:rPr>
                    <w:t>4</w:t>
                  </w:r>
                  <w:r w:rsidRPr="007D55E1">
                    <w:rPr>
                      <w:i/>
                      <w:color w:val="055957"/>
                      <w:sz w:val="20"/>
                      <w:szCs w:val="20"/>
                    </w:rPr>
                    <w:t>. Дунд хугацааны үр дүн</w:t>
                  </w:r>
                </w:p>
                <w:tbl>
                  <w:tblPr>
                    <w:tblW w:w="9361" w:type="dxa"/>
                    <w:tblLayout w:type="fixed"/>
                    <w:tblLook w:val="04A0" w:firstRow="1" w:lastRow="0" w:firstColumn="1" w:lastColumn="0" w:noHBand="0" w:noVBand="1"/>
                  </w:tblPr>
                  <w:tblGrid>
                    <w:gridCol w:w="1008"/>
                    <w:gridCol w:w="4410"/>
                    <w:gridCol w:w="990"/>
                    <w:gridCol w:w="1350"/>
                    <w:gridCol w:w="1603"/>
                  </w:tblGrid>
                  <w:tr w:rsidR="00DB4245" w:rsidRPr="00AE505F" w14:paraId="0A6E6B9A" w14:textId="77777777" w:rsidTr="0037664E">
                    <w:trPr>
                      <w:trHeight w:val="107"/>
                    </w:trPr>
                    <w:tc>
                      <w:tcPr>
                        <w:tcW w:w="1008" w:type="dxa"/>
                        <w:tcBorders>
                          <w:left w:val="nil"/>
                          <w:bottom w:val="nil"/>
                          <w:right w:val="nil"/>
                        </w:tcBorders>
                        <w:shd w:val="clear" w:color="auto" w:fill="11A795"/>
                        <w:hideMark/>
                      </w:tcPr>
                      <w:p w14:paraId="60E7C0F6" w14:textId="77777777" w:rsidR="00DB4245" w:rsidRPr="00A55F92" w:rsidRDefault="00DB4245" w:rsidP="00DB4245">
                        <w:pPr>
                          <w:snapToGrid w:val="0"/>
                          <w:spacing w:afterLines="0" w:after="0"/>
                          <w:jc w:val="left"/>
                          <w:rPr>
                            <w:color w:val="FFFFFF" w:themeColor="background1"/>
                            <w:sz w:val="18"/>
                            <w:szCs w:val="18"/>
                          </w:rPr>
                        </w:pPr>
                        <w:r w:rsidRPr="00A55F92">
                          <w:rPr>
                            <w:color w:val="FFFFFF" w:themeColor="background1"/>
                            <w:sz w:val="18"/>
                            <w:szCs w:val="18"/>
                          </w:rPr>
                          <w:t>Загвар</w:t>
                        </w:r>
                      </w:p>
                    </w:tc>
                    <w:tc>
                      <w:tcPr>
                        <w:tcW w:w="4410" w:type="dxa"/>
                        <w:tcBorders>
                          <w:left w:val="nil"/>
                          <w:bottom w:val="nil"/>
                          <w:right w:val="nil"/>
                        </w:tcBorders>
                        <w:shd w:val="clear" w:color="auto" w:fill="11A795"/>
                        <w:noWrap/>
                        <w:hideMark/>
                      </w:tcPr>
                      <w:p w14:paraId="35E29973" w14:textId="77777777" w:rsidR="00DB4245" w:rsidRPr="00A55F92" w:rsidRDefault="00DB4245" w:rsidP="00DB4245">
                        <w:pPr>
                          <w:snapToGrid w:val="0"/>
                          <w:spacing w:afterLines="0" w:after="0"/>
                          <w:jc w:val="left"/>
                          <w:rPr>
                            <w:color w:val="FFFFFF" w:themeColor="background1"/>
                            <w:sz w:val="18"/>
                            <w:szCs w:val="18"/>
                          </w:rPr>
                        </w:pPr>
                        <w:r w:rsidRPr="00A55F92">
                          <w:rPr>
                            <w:color w:val="FFFFFF" w:themeColor="background1"/>
                            <w:sz w:val="18"/>
                            <w:szCs w:val="18"/>
                          </w:rPr>
                          <w:t>Үзүүлэлт</w:t>
                        </w:r>
                      </w:p>
                    </w:tc>
                    <w:tc>
                      <w:tcPr>
                        <w:tcW w:w="990" w:type="dxa"/>
                        <w:tcBorders>
                          <w:left w:val="nil"/>
                          <w:bottom w:val="nil"/>
                          <w:right w:val="nil"/>
                        </w:tcBorders>
                        <w:shd w:val="clear" w:color="auto" w:fill="11A795"/>
                        <w:noWrap/>
                        <w:hideMark/>
                      </w:tcPr>
                      <w:p w14:paraId="5125A2D3" w14:textId="77777777" w:rsidR="00DB4245" w:rsidRPr="00A55F92" w:rsidRDefault="00DB4245" w:rsidP="00DB4245">
                        <w:pPr>
                          <w:snapToGrid w:val="0"/>
                          <w:spacing w:afterLines="0" w:after="0"/>
                          <w:jc w:val="left"/>
                          <w:rPr>
                            <w:color w:val="FFFFFF" w:themeColor="background1"/>
                            <w:sz w:val="18"/>
                            <w:szCs w:val="18"/>
                          </w:rPr>
                        </w:pPr>
                        <w:r w:rsidRPr="00A55F92">
                          <w:rPr>
                            <w:color w:val="FFFFFF" w:themeColor="background1"/>
                            <w:sz w:val="18"/>
                            <w:szCs w:val="18"/>
                          </w:rPr>
                          <w:t>Хэмжээ</w:t>
                        </w:r>
                      </w:p>
                    </w:tc>
                    <w:tc>
                      <w:tcPr>
                        <w:tcW w:w="1350" w:type="dxa"/>
                        <w:tcBorders>
                          <w:left w:val="nil"/>
                          <w:bottom w:val="single" w:sz="4" w:space="0" w:color="000000"/>
                          <w:right w:val="nil"/>
                        </w:tcBorders>
                        <w:shd w:val="clear" w:color="auto" w:fill="11A795"/>
                        <w:hideMark/>
                      </w:tcPr>
                      <w:p w14:paraId="2BE44E86" w14:textId="77777777" w:rsidR="00DB4245" w:rsidRPr="00A55F92" w:rsidRDefault="00DB4245" w:rsidP="00DB4245">
                        <w:pPr>
                          <w:snapToGrid w:val="0"/>
                          <w:spacing w:afterLines="0" w:after="0"/>
                          <w:jc w:val="center"/>
                          <w:rPr>
                            <w:color w:val="FFFFFF" w:themeColor="background1"/>
                            <w:sz w:val="18"/>
                            <w:szCs w:val="18"/>
                          </w:rPr>
                        </w:pPr>
                        <w:r w:rsidRPr="00A55F92">
                          <w:rPr>
                            <w:color w:val="FFFFFF" w:themeColor="background1"/>
                            <w:sz w:val="18"/>
                            <w:szCs w:val="18"/>
                          </w:rPr>
                          <w:t>Эрсдэлийн түвшин</w:t>
                        </w:r>
                      </w:p>
                    </w:tc>
                    <w:tc>
                      <w:tcPr>
                        <w:tcW w:w="1603" w:type="dxa"/>
                        <w:tcBorders>
                          <w:left w:val="nil"/>
                          <w:bottom w:val="single" w:sz="4" w:space="0" w:color="000000"/>
                          <w:right w:val="nil"/>
                        </w:tcBorders>
                        <w:shd w:val="clear" w:color="auto" w:fill="11A795"/>
                        <w:hideMark/>
                      </w:tcPr>
                      <w:p w14:paraId="70A5244C" w14:textId="77777777" w:rsidR="00DB4245" w:rsidRPr="00A55F92" w:rsidRDefault="00DB4245" w:rsidP="00DB4245">
                        <w:pPr>
                          <w:snapToGrid w:val="0"/>
                          <w:spacing w:afterLines="0" w:after="0"/>
                          <w:jc w:val="center"/>
                          <w:rPr>
                            <w:color w:val="FFFFFF" w:themeColor="background1"/>
                            <w:sz w:val="18"/>
                            <w:szCs w:val="18"/>
                          </w:rPr>
                        </w:pPr>
                        <w:r w:rsidRPr="00A55F92">
                          <w:rPr>
                            <w:color w:val="FFFFFF" w:themeColor="background1"/>
                            <w:sz w:val="18"/>
                            <w:szCs w:val="18"/>
                          </w:rPr>
                          <w:t>Эрсдэлийн сэрэмжлүүлэг</w:t>
                        </w:r>
                      </w:p>
                    </w:tc>
                  </w:tr>
                  <w:tr w:rsidR="00DB4245" w:rsidRPr="00AE505F" w14:paraId="12CF6262" w14:textId="77777777" w:rsidTr="0037664E">
                    <w:trPr>
                      <w:trHeight w:val="89"/>
                    </w:trPr>
                    <w:tc>
                      <w:tcPr>
                        <w:tcW w:w="1008" w:type="dxa"/>
                        <w:vMerge w:val="restart"/>
                        <w:tcBorders>
                          <w:top w:val="single" w:sz="4" w:space="0" w:color="auto"/>
                          <w:left w:val="nil"/>
                          <w:bottom w:val="single" w:sz="4" w:space="0" w:color="000000"/>
                          <w:right w:val="nil"/>
                        </w:tcBorders>
                        <w:shd w:val="clear" w:color="auto" w:fill="auto"/>
                        <w:hideMark/>
                      </w:tcPr>
                      <w:p w14:paraId="4922AD50" w14:textId="77777777" w:rsidR="00DB4245" w:rsidRPr="00AE505F" w:rsidRDefault="00DB4245" w:rsidP="00DB4245">
                        <w:pPr>
                          <w:snapToGrid w:val="0"/>
                          <w:spacing w:afterLines="0" w:after="0"/>
                          <w:jc w:val="left"/>
                          <w:rPr>
                            <w:color w:val="000000"/>
                            <w:sz w:val="18"/>
                            <w:szCs w:val="18"/>
                          </w:rPr>
                        </w:pPr>
                        <w:r w:rsidRPr="00AE505F">
                          <w:rPr>
                            <w:color w:val="000000"/>
                            <w:sz w:val="18"/>
                            <w:szCs w:val="18"/>
                          </w:rPr>
                          <w:t>Өрийн Фэнчарт</w:t>
                        </w:r>
                      </w:p>
                    </w:tc>
                    <w:tc>
                      <w:tcPr>
                        <w:tcW w:w="4410" w:type="dxa"/>
                        <w:tcBorders>
                          <w:top w:val="single" w:sz="4" w:space="0" w:color="000000" w:themeColor="text1"/>
                          <w:left w:val="nil"/>
                          <w:bottom w:val="single" w:sz="2" w:space="0" w:color="747474" w:themeColor="background2" w:themeShade="80"/>
                          <w:right w:val="nil"/>
                        </w:tcBorders>
                        <w:shd w:val="clear" w:color="auto" w:fill="auto"/>
                        <w:noWrap/>
                        <w:vAlign w:val="center"/>
                        <w:hideMark/>
                      </w:tcPr>
                      <w:p w14:paraId="525FC302" w14:textId="77777777" w:rsidR="00DB4245" w:rsidRPr="00AE505F" w:rsidRDefault="00DB4245" w:rsidP="00DB4245">
                        <w:pPr>
                          <w:snapToGrid w:val="0"/>
                          <w:spacing w:afterLines="0" w:after="0"/>
                          <w:jc w:val="left"/>
                          <w:rPr>
                            <w:color w:val="000000"/>
                            <w:sz w:val="18"/>
                            <w:szCs w:val="18"/>
                          </w:rPr>
                        </w:pPr>
                        <w:r w:rsidRPr="00AE505F">
                          <w:rPr>
                            <w:color w:val="000000"/>
                            <w:sz w:val="18"/>
                            <w:szCs w:val="18"/>
                          </w:rPr>
                          <w:t>Фэнчартын өргөн</w:t>
                        </w:r>
                      </w:p>
                    </w:tc>
                    <w:tc>
                      <w:tcPr>
                        <w:tcW w:w="990" w:type="dxa"/>
                        <w:tcBorders>
                          <w:top w:val="single" w:sz="4" w:space="0" w:color="000000" w:themeColor="text1"/>
                          <w:left w:val="nil"/>
                          <w:bottom w:val="single" w:sz="2" w:space="0" w:color="747474" w:themeColor="background2" w:themeShade="80"/>
                          <w:right w:val="nil"/>
                        </w:tcBorders>
                        <w:shd w:val="clear" w:color="auto" w:fill="auto"/>
                        <w:noWrap/>
                        <w:vAlign w:val="center"/>
                        <w:hideMark/>
                      </w:tcPr>
                      <w:p w14:paraId="3EC9019D"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113.6</w:t>
                        </w:r>
                      </w:p>
                    </w:tc>
                    <w:tc>
                      <w:tcPr>
                        <w:tcW w:w="1350" w:type="dxa"/>
                        <w:tcBorders>
                          <w:top w:val="single" w:sz="4" w:space="0" w:color="000000" w:themeColor="text1"/>
                          <w:left w:val="nil"/>
                          <w:bottom w:val="single" w:sz="2" w:space="0" w:color="747474" w:themeColor="background2" w:themeShade="80"/>
                          <w:right w:val="nil"/>
                        </w:tcBorders>
                        <w:shd w:val="clear" w:color="auto" w:fill="auto"/>
                        <w:noWrap/>
                        <w:vAlign w:val="center"/>
                        <w:hideMark/>
                      </w:tcPr>
                      <w:p w14:paraId="404FAE5D"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1.6</w:t>
                        </w:r>
                      </w:p>
                    </w:tc>
                    <w:tc>
                      <w:tcPr>
                        <w:tcW w:w="1603" w:type="dxa"/>
                        <w:tcBorders>
                          <w:top w:val="single" w:sz="4" w:space="0" w:color="auto"/>
                          <w:left w:val="nil"/>
                          <w:bottom w:val="nil"/>
                          <w:right w:val="nil"/>
                        </w:tcBorders>
                        <w:shd w:val="clear" w:color="auto" w:fill="auto"/>
                        <w:noWrap/>
                        <w:vAlign w:val="center"/>
                        <w:hideMark/>
                      </w:tcPr>
                      <w:p w14:paraId="4BE106D1"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w:t>
                        </w:r>
                      </w:p>
                    </w:tc>
                  </w:tr>
                  <w:tr w:rsidR="00DB4245" w:rsidRPr="00AE505F" w14:paraId="18285E27" w14:textId="77777777" w:rsidTr="0037664E">
                    <w:trPr>
                      <w:trHeight w:val="85"/>
                    </w:trPr>
                    <w:tc>
                      <w:tcPr>
                        <w:tcW w:w="1008" w:type="dxa"/>
                        <w:vMerge/>
                        <w:tcBorders>
                          <w:top w:val="single" w:sz="4" w:space="0" w:color="auto"/>
                          <w:left w:val="nil"/>
                          <w:bottom w:val="single" w:sz="4" w:space="0" w:color="000000"/>
                          <w:right w:val="nil"/>
                        </w:tcBorders>
                        <w:shd w:val="clear" w:color="auto" w:fill="auto"/>
                        <w:vAlign w:val="center"/>
                        <w:hideMark/>
                      </w:tcPr>
                      <w:p w14:paraId="38FE1701" w14:textId="77777777" w:rsidR="00DB4245" w:rsidRPr="00AE505F" w:rsidRDefault="00DB4245" w:rsidP="00DB4245">
                        <w:pPr>
                          <w:snapToGrid w:val="0"/>
                          <w:spacing w:afterLines="0" w:after="0"/>
                          <w:jc w:val="left"/>
                          <w:rPr>
                            <w:color w:val="000000"/>
                            <w:sz w:val="18"/>
                            <w:szCs w:val="18"/>
                          </w:rPr>
                        </w:pPr>
                      </w:p>
                    </w:tc>
                    <w:tc>
                      <w:tcPr>
                        <w:tcW w:w="441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06C54D32" w14:textId="77777777" w:rsidR="00DB4245" w:rsidRPr="00AE505F" w:rsidRDefault="00DB4245" w:rsidP="00DB4245">
                        <w:pPr>
                          <w:snapToGrid w:val="0"/>
                          <w:spacing w:afterLines="0" w:after="0"/>
                          <w:jc w:val="left"/>
                          <w:rPr>
                            <w:color w:val="000000"/>
                            <w:sz w:val="18"/>
                            <w:szCs w:val="18"/>
                          </w:rPr>
                        </w:pPr>
                        <w:r w:rsidRPr="00AE505F">
                          <w:rPr>
                            <w:color w:val="000000"/>
                            <w:sz w:val="18"/>
                            <w:szCs w:val="18"/>
                          </w:rPr>
                          <w:t>Өр тогтворгүй байх магадлал</w:t>
                        </w:r>
                      </w:p>
                    </w:tc>
                    <w:tc>
                      <w:tcPr>
                        <w:tcW w:w="99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5A2F23BF"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28.2</w:t>
                        </w:r>
                      </w:p>
                    </w:tc>
                    <w:tc>
                      <w:tcPr>
                        <w:tcW w:w="135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5D7B3325"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0.2</w:t>
                        </w:r>
                      </w:p>
                    </w:tc>
                    <w:tc>
                      <w:tcPr>
                        <w:tcW w:w="1603" w:type="dxa"/>
                        <w:tcBorders>
                          <w:top w:val="nil"/>
                          <w:left w:val="nil"/>
                          <w:bottom w:val="nil"/>
                          <w:right w:val="nil"/>
                        </w:tcBorders>
                        <w:shd w:val="clear" w:color="auto" w:fill="auto"/>
                        <w:noWrap/>
                        <w:vAlign w:val="center"/>
                        <w:hideMark/>
                      </w:tcPr>
                      <w:p w14:paraId="5A660DB2"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w:t>
                        </w:r>
                      </w:p>
                    </w:tc>
                  </w:tr>
                  <w:tr w:rsidR="00DB4245" w:rsidRPr="00AE505F" w14:paraId="29860B05" w14:textId="77777777" w:rsidTr="0037664E">
                    <w:trPr>
                      <w:trHeight w:val="161"/>
                    </w:trPr>
                    <w:tc>
                      <w:tcPr>
                        <w:tcW w:w="1008" w:type="dxa"/>
                        <w:vMerge/>
                        <w:tcBorders>
                          <w:top w:val="single" w:sz="4" w:space="0" w:color="auto"/>
                          <w:left w:val="nil"/>
                          <w:bottom w:val="single" w:sz="4" w:space="0" w:color="000000"/>
                          <w:right w:val="nil"/>
                        </w:tcBorders>
                        <w:shd w:val="clear" w:color="auto" w:fill="auto"/>
                        <w:vAlign w:val="center"/>
                        <w:hideMark/>
                      </w:tcPr>
                      <w:p w14:paraId="5FB0B4A4" w14:textId="77777777" w:rsidR="00DB4245" w:rsidRPr="00AE505F" w:rsidRDefault="00DB4245" w:rsidP="00DB4245">
                        <w:pPr>
                          <w:snapToGrid w:val="0"/>
                          <w:spacing w:afterLines="0" w:after="0"/>
                          <w:jc w:val="left"/>
                          <w:rPr>
                            <w:color w:val="000000"/>
                            <w:sz w:val="18"/>
                            <w:szCs w:val="18"/>
                          </w:rPr>
                        </w:pPr>
                      </w:p>
                    </w:tc>
                    <w:tc>
                      <w:tcPr>
                        <w:tcW w:w="441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190ED371" w14:textId="77777777" w:rsidR="00DB4245" w:rsidRPr="00AE505F" w:rsidRDefault="00DB4245" w:rsidP="00DB4245">
                        <w:pPr>
                          <w:snapToGrid w:val="0"/>
                          <w:spacing w:afterLines="0" w:after="0"/>
                          <w:jc w:val="left"/>
                          <w:rPr>
                            <w:color w:val="000000"/>
                            <w:sz w:val="18"/>
                            <w:szCs w:val="18"/>
                          </w:rPr>
                        </w:pPr>
                        <w:r w:rsidRPr="00AE505F">
                          <w:rPr>
                            <w:color w:val="000000"/>
                            <w:sz w:val="18"/>
                            <w:szCs w:val="18"/>
                          </w:rPr>
                          <w:t>Өрийн түвшин х Институцын индекс</w:t>
                        </w:r>
                      </w:p>
                    </w:tc>
                    <w:tc>
                      <w:tcPr>
                        <w:tcW w:w="99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68D2640D"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34.5</w:t>
                        </w:r>
                      </w:p>
                    </w:tc>
                    <w:tc>
                      <w:tcPr>
                        <w:tcW w:w="135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6A5523EE"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0.8</w:t>
                        </w:r>
                      </w:p>
                    </w:tc>
                    <w:tc>
                      <w:tcPr>
                        <w:tcW w:w="1603" w:type="dxa"/>
                        <w:tcBorders>
                          <w:top w:val="nil"/>
                          <w:left w:val="nil"/>
                          <w:bottom w:val="nil"/>
                          <w:right w:val="nil"/>
                        </w:tcBorders>
                        <w:shd w:val="clear" w:color="auto" w:fill="auto"/>
                        <w:noWrap/>
                        <w:vAlign w:val="center"/>
                        <w:hideMark/>
                      </w:tcPr>
                      <w:p w14:paraId="5F50602A"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w:t>
                        </w:r>
                      </w:p>
                    </w:tc>
                  </w:tr>
                  <w:tr w:rsidR="00DB4245" w:rsidRPr="00AE505F" w14:paraId="2B7223E4" w14:textId="77777777" w:rsidTr="0037664E">
                    <w:trPr>
                      <w:trHeight w:val="85"/>
                    </w:trPr>
                    <w:tc>
                      <w:tcPr>
                        <w:tcW w:w="1008" w:type="dxa"/>
                        <w:vMerge/>
                        <w:tcBorders>
                          <w:top w:val="single" w:sz="4" w:space="0" w:color="auto"/>
                          <w:left w:val="nil"/>
                          <w:bottom w:val="single" w:sz="4" w:space="0" w:color="000000"/>
                          <w:right w:val="nil"/>
                        </w:tcBorders>
                        <w:shd w:val="clear" w:color="auto" w:fill="auto"/>
                        <w:vAlign w:val="center"/>
                        <w:hideMark/>
                      </w:tcPr>
                      <w:p w14:paraId="1661778A" w14:textId="77777777" w:rsidR="00DB4245" w:rsidRPr="00AE505F" w:rsidRDefault="00DB4245" w:rsidP="00DB4245">
                        <w:pPr>
                          <w:snapToGrid w:val="0"/>
                          <w:spacing w:afterLines="0" w:after="0"/>
                          <w:jc w:val="left"/>
                          <w:rPr>
                            <w:color w:val="000000"/>
                            <w:sz w:val="18"/>
                            <w:szCs w:val="18"/>
                          </w:rPr>
                        </w:pPr>
                      </w:p>
                    </w:tc>
                    <w:tc>
                      <w:tcPr>
                        <w:tcW w:w="441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3433AFDE" w14:textId="77777777" w:rsidR="00DB4245" w:rsidRPr="00AE505F" w:rsidRDefault="00DB4245" w:rsidP="00DB4245">
                        <w:pPr>
                          <w:snapToGrid w:val="0"/>
                          <w:spacing w:afterLines="0" w:after="0"/>
                          <w:jc w:val="left"/>
                          <w:rPr>
                            <w:b/>
                            <w:bCs/>
                            <w:color w:val="000000"/>
                            <w:sz w:val="18"/>
                            <w:szCs w:val="18"/>
                          </w:rPr>
                        </w:pPr>
                        <w:r w:rsidRPr="00AE505F">
                          <w:rPr>
                            <w:b/>
                            <w:bCs/>
                            <w:color w:val="000000"/>
                            <w:sz w:val="18"/>
                            <w:szCs w:val="18"/>
                          </w:rPr>
                          <w:t>Өрийн Фэнчартын индекс</w:t>
                        </w:r>
                      </w:p>
                    </w:tc>
                    <w:tc>
                      <w:tcPr>
                        <w:tcW w:w="99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3DEE9D1B" w14:textId="77777777" w:rsidR="00DB4245" w:rsidRPr="00AE505F" w:rsidRDefault="00DB4245" w:rsidP="00DB4245">
                        <w:pPr>
                          <w:snapToGrid w:val="0"/>
                          <w:spacing w:afterLines="0" w:after="0"/>
                          <w:jc w:val="center"/>
                          <w:rPr>
                            <w:b/>
                            <w:bCs/>
                            <w:color w:val="000000"/>
                            <w:sz w:val="18"/>
                            <w:szCs w:val="18"/>
                          </w:rPr>
                        </w:pPr>
                        <w:r w:rsidRPr="00AE505F">
                          <w:rPr>
                            <w:b/>
                            <w:bCs/>
                            <w:color w:val="000000"/>
                            <w:sz w:val="18"/>
                            <w:szCs w:val="18"/>
                          </w:rPr>
                          <w:t>…</w:t>
                        </w:r>
                      </w:p>
                    </w:tc>
                    <w:tc>
                      <w:tcPr>
                        <w:tcW w:w="135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060DFD43" w14:textId="77777777" w:rsidR="00DB4245" w:rsidRPr="00AE505F" w:rsidRDefault="00DB4245" w:rsidP="00DB4245">
                        <w:pPr>
                          <w:snapToGrid w:val="0"/>
                          <w:spacing w:afterLines="0" w:after="0"/>
                          <w:jc w:val="center"/>
                          <w:rPr>
                            <w:b/>
                            <w:bCs/>
                            <w:color w:val="000000"/>
                            <w:sz w:val="18"/>
                            <w:szCs w:val="18"/>
                          </w:rPr>
                        </w:pPr>
                        <w:r w:rsidRPr="00AE505F">
                          <w:rPr>
                            <w:b/>
                            <w:bCs/>
                            <w:color w:val="000000"/>
                            <w:sz w:val="18"/>
                            <w:szCs w:val="18"/>
                          </w:rPr>
                          <w:t>2.6</w:t>
                        </w:r>
                      </w:p>
                    </w:tc>
                    <w:tc>
                      <w:tcPr>
                        <w:tcW w:w="1603" w:type="dxa"/>
                        <w:tcBorders>
                          <w:top w:val="nil"/>
                          <w:left w:val="nil"/>
                          <w:bottom w:val="single" w:sz="4" w:space="0" w:color="auto"/>
                          <w:right w:val="nil"/>
                        </w:tcBorders>
                        <w:shd w:val="clear" w:color="auto" w:fill="auto"/>
                        <w:noWrap/>
                        <w:vAlign w:val="center"/>
                        <w:hideMark/>
                      </w:tcPr>
                      <w:p w14:paraId="61B9AEC2" w14:textId="77777777" w:rsidR="00DB4245" w:rsidRPr="00AE505F" w:rsidRDefault="00DB4245" w:rsidP="00DB4245">
                        <w:pPr>
                          <w:snapToGrid w:val="0"/>
                          <w:spacing w:afterLines="0" w:after="0"/>
                          <w:jc w:val="center"/>
                          <w:rPr>
                            <w:b/>
                            <w:bCs/>
                            <w:color w:val="000000"/>
                            <w:sz w:val="18"/>
                            <w:szCs w:val="18"/>
                          </w:rPr>
                        </w:pPr>
                        <w:r w:rsidRPr="00AE505F">
                          <w:rPr>
                            <w:b/>
                            <w:bCs/>
                            <w:color w:val="000000"/>
                            <w:sz w:val="18"/>
                            <w:szCs w:val="18"/>
                          </w:rPr>
                          <w:t>Өндөр</w:t>
                        </w:r>
                      </w:p>
                    </w:tc>
                  </w:tr>
                  <w:tr w:rsidR="00DB4245" w:rsidRPr="00AE505F" w14:paraId="0CE95F4B" w14:textId="77777777" w:rsidTr="0037664E">
                    <w:trPr>
                      <w:trHeight w:val="85"/>
                    </w:trPr>
                    <w:tc>
                      <w:tcPr>
                        <w:tcW w:w="1008" w:type="dxa"/>
                        <w:vMerge w:val="restart"/>
                        <w:tcBorders>
                          <w:top w:val="single" w:sz="4" w:space="0" w:color="auto"/>
                          <w:left w:val="nil"/>
                          <w:bottom w:val="single" w:sz="4" w:space="0" w:color="000000"/>
                          <w:right w:val="nil"/>
                        </w:tcBorders>
                        <w:shd w:val="clear" w:color="auto" w:fill="auto"/>
                        <w:hideMark/>
                      </w:tcPr>
                      <w:p w14:paraId="54D7AC61" w14:textId="77777777" w:rsidR="00DB4245" w:rsidRPr="00AE505F" w:rsidRDefault="00DB4245" w:rsidP="00DB4245">
                        <w:pPr>
                          <w:snapToGrid w:val="0"/>
                          <w:spacing w:afterLines="0" w:after="0"/>
                          <w:jc w:val="left"/>
                          <w:rPr>
                            <w:color w:val="000000"/>
                            <w:sz w:val="18"/>
                            <w:szCs w:val="18"/>
                          </w:rPr>
                        </w:pPr>
                        <w:r w:rsidRPr="00AE505F">
                          <w:rPr>
                            <w:color w:val="000000"/>
                            <w:sz w:val="18"/>
                            <w:szCs w:val="18"/>
                          </w:rPr>
                          <w:t>Санхүүжилтийн хэрэгцээ</w:t>
                        </w:r>
                      </w:p>
                    </w:tc>
                    <w:tc>
                      <w:tcPr>
                        <w:tcW w:w="441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70FCFB2C" w14:textId="77777777" w:rsidR="00DB4245" w:rsidRPr="00AE505F" w:rsidRDefault="00DB4245" w:rsidP="00DB4245">
                        <w:pPr>
                          <w:snapToGrid w:val="0"/>
                          <w:spacing w:afterLines="0" w:after="0"/>
                          <w:jc w:val="left"/>
                          <w:rPr>
                            <w:color w:val="000000"/>
                            <w:sz w:val="18"/>
                            <w:szCs w:val="18"/>
                          </w:rPr>
                        </w:pPr>
                        <w:r w:rsidRPr="00AE505F">
                          <w:rPr>
                            <w:color w:val="000000"/>
                            <w:sz w:val="18"/>
                            <w:szCs w:val="18"/>
                          </w:rPr>
                          <w:t>Санхүүжилтийн хэрэгцээний дундаж хэмжээ</w:t>
                        </w:r>
                      </w:p>
                    </w:tc>
                    <w:tc>
                      <w:tcPr>
                        <w:tcW w:w="99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343CC371"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8.8</w:t>
                        </w:r>
                      </w:p>
                    </w:tc>
                    <w:tc>
                      <w:tcPr>
                        <w:tcW w:w="135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1A2294A7"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3.0</w:t>
                        </w:r>
                      </w:p>
                    </w:tc>
                    <w:tc>
                      <w:tcPr>
                        <w:tcW w:w="1603" w:type="dxa"/>
                        <w:tcBorders>
                          <w:top w:val="single" w:sz="4" w:space="0" w:color="auto"/>
                          <w:left w:val="nil"/>
                          <w:bottom w:val="nil"/>
                          <w:right w:val="nil"/>
                        </w:tcBorders>
                        <w:shd w:val="clear" w:color="auto" w:fill="auto"/>
                        <w:noWrap/>
                        <w:vAlign w:val="center"/>
                        <w:hideMark/>
                      </w:tcPr>
                      <w:p w14:paraId="3BAD92E6"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w:t>
                        </w:r>
                      </w:p>
                    </w:tc>
                  </w:tr>
                  <w:tr w:rsidR="00DB4245" w:rsidRPr="00AE505F" w14:paraId="03DB5D6C" w14:textId="77777777" w:rsidTr="0037664E">
                    <w:trPr>
                      <w:trHeight w:val="308"/>
                    </w:trPr>
                    <w:tc>
                      <w:tcPr>
                        <w:tcW w:w="1008" w:type="dxa"/>
                        <w:vMerge/>
                        <w:tcBorders>
                          <w:top w:val="single" w:sz="4" w:space="0" w:color="auto"/>
                          <w:left w:val="nil"/>
                          <w:bottom w:val="single" w:sz="4" w:space="0" w:color="000000"/>
                          <w:right w:val="nil"/>
                        </w:tcBorders>
                        <w:shd w:val="clear" w:color="auto" w:fill="auto"/>
                        <w:vAlign w:val="center"/>
                        <w:hideMark/>
                      </w:tcPr>
                      <w:p w14:paraId="6FF97CA3" w14:textId="77777777" w:rsidR="00DB4245" w:rsidRPr="00AE505F" w:rsidRDefault="00DB4245" w:rsidP="00DB4245">
                        <w:pPr>
                          <w:snapToGrid w:val="0"/>
                          <w:spacing w:afterLines="0" w:after="0"/>
                          <w:jc w:val="left"/>
                          <w:rPr>
                            <w:color w:val="000000"/>
                            <w:sz w:val="18"/>
                            <w:szCs w:val="18"/>
                          </w:rPr>
                        </w:pPr>
                      </w:p>
                    </w:tc>
                    <w:tc>
                      <w:tcPr>
                        <w:tcW w:w="441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512F627D" w14:textId="77777777" w:rsidR="00DB4245" w:rsidRPr="00AE505F" w:rsidRDefault="00DB4245" w:rsidP="00DB4245">
                        <w:pPr>
                          <w:snapToGrid w:val="0"/>
                          <w:spacing w:afterLines="0" w:after="0"/>
                          <w:jc w:val="left"/>
                          <w:rPr>
                            <w:color w:val="000000"/>
                            <w:sz w:val="18"/>
                            <w:szCs w:val="18"/>
                          </w:rPr>
                        </w:pPr>
                        <w:r w:rsidRPr="00AE505F">
                          <w:rPr>
                            <w:color w:val="000000"/>
                            <w:sz w:val="18"/>
                            <w:szCs w:val="18"/>
                          </w:rPr>
                          <w:t xml:space="preserve">Нийт хөрөнгөд эзлэх Банкны ЗГ-аас авах авлага </w:t>
                        </w:r>
                      </w:p>
                    </w:tc>
                    <w:tc>
                      <w:tcPr>
                        <w:tcW w:w="99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21E23732"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2.7</w:t>
                        </w:r>
                      </w:p>
                    </w:tc>
                    <w:tc>
                      <w:tcPr>
                        <w:tcW w:w="135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7E6C2E36"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0.9</w:t>
                        </w:r>
                      </w:p>
                    </w:tc>
                    <w:tc>
                      <w:tcPr>
                        <w:tcW w:w="1603" w:type="dxa"/>
                        <w:tcBorders>
                          <w:top w:val="nil"/>
                          <w:left w:val="nil"/>
                          <w:bottom w:val="nil"/>
                          <w:right w:val="nil"/>
                        </w:tcBorders>
                        <w:shd w:val="clear" w:color="auto" w:fill="auto"/>
                        <w:noWrap/>
                        <w:vAlign w:val="center"/>
                        <w:hideMark/>
                      </w:tcPr>
                      <w:p w14:paraId="1735BE89"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w:t>
                        </w:r>
                      </w:p>
                    </w:tc>
                  </w:tr>
                  <w:tr w:rsidR="00DB4245" w:rsidRPr="00AE505F" w14:paraId="1174D17A" w14:textId="77777777" w:rsidTr="0037664E">
                    <w:trPr>
                      <w:trHeight w:val="308"/>
                    </w:trPr>
                    <w:tc>
                      <w:tcPr>
                        <w:tcW w:w="1008" w:type="dxa"/>
                        <w:vMerge/>
                        <w:tcBorders>
                          <w:top w:val="single" w:sz="4" w:space="0" w:color="auto"/>
                          <w:left w:val="nil"/>
                          <w:bottom w:val="single" w:sz="4" w:space="0" w:color="000000"/>
                          <w:right w:val="nil"/>
                        </w:tcBorders>
                        <w:shd w:val="clear" w:color="auto" w:fill="auto"/>
                        <w:vAlign w:val="center"/>
                        <w:hideMark/>
                      </w:tcPr>
                      <w:p w14:paraId="119BAEEF" w14:textId="77777777" w:rsidR="00DB4245" w:rsidRPr="00AE505F" w:rsidRDefault="00DB4245" w:rsidP="00DB4245">
                        <w:pPr>
                          <w:snapToGrid w:val="0"/>
                          <w:spacing w:afterLines="0" w:after="0"/>
                          <w:jc w:val="left"/>
                          <w:rPr>
                            <w:color w:val="000000"/>
                            <w:sz w:val="18"/>
                            <w:szCs w:val="18"/>
                          </w:rPr>
                        </w:pPr>
                      </w:p>
                    </w:tc>
                    <w:tc>
                      <w:tcPr>
                        <w:tcW w:w="441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1C92D13B" w14:textId="77777777" w:rsidR="00DB4245" w:rsidRPr="00AE505F" w:rsidRDefault="00DB4245" w:rsidP="00DB4245">
                        <w:pPr>
                          <w:snapToGrid w:val="0"/>
                          <w:spacing w:afterLines="0" w:after="0"/>
                          <w:jc w:val="left"/>
                          <w:rPr>
                            <w:color w:val="000000"/>
                            <w:sz w:val="18"/>
                            <w:szCs w:val="18"/>
                          </w:rPr>
                        </w:pPr>
                        <w:r w:rsidRPr="00AE505F">
                          <w:rPr>
                            <w:color w:val="000000"/>
                            <w:sz w:val="18"/>
                            <w:szCs w:val="18"/>
                          </w:rPr>
                          <w:t>Стрессийн үед Банкны ЗГ-аас авах авлагын өөрчлөлт</w:t>
                        </w:r>
                      </w:p>
                    </w:tc>
                    <w:tc>
                      <w:tcPr>
                        <w:tcW w:w="99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47718612"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3.9</w:t>
                        </w:r>
                      </w:p>
                    </w:tc>
                    <w:tc>
                      <w:tcPr>
                        <w:tcW w:w="1350" w:type="dxa"/>
                        <w:tcBorders>
                          <w:top w:val="single" w:sz="2" w:space="0" w:color="747474" w:themeColor="background2" w:themeShade="80"/>
                          <w:left w:val="nil"/>
                          <w:bottom w:val="single" w:sz="2" w:space="0" w:color="747474" w:themeColor="background2" w:themeShade="80"/>
                          <w:right w:val="nil"/>
                        </w:tcBorders>
                        <w:shd w:val="clear" w:color="auto" w:fill="auto"/>
                        <w:noWrap/>
                        <w:vAlign w:val="center"/>
                        <w:hideMark/>
                      </w:tcPr>
                      <w:p w14:paraId="69313EDF"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1.3</w:t>
                        </w:r>
                      </w:p>
                    </w:tc>
                    <w:tc>
                      <w:tcPr>
                        <w:tcW w:w="1603" w:type="dxa"/>
                        <w:tcBorders>
                          <w:top w:val="nil"/>
                          <w:left w:val="nil"/>
                          <w:bottom w:val="nil"/>
                          <w:right w:val="nil"/>
                        </w:tcBorders>
                        <w:shd w:val="clear" w:color="auto" w:fill="auto"/>
                        <w:noWrap/>
                        <w:vAlign w:val="center"/>
                        <w:hideMark/>
                      </w:tcPr>
                      <w:p w14:paraId="2145E527" w14:textId="77777777" w:rsidR="00DB4245" w:rsidRPr="00AE505F" w:rsidRDefault="00DB4245" w:rsidP="00DB4245">
                        <w:pPr>
                          <w:snapToGrid w:val="0"/>
                          <w:spacing w:afterLines="0" w:after="0"/>
                          <w:jc w:val="center"/>
                          <w:rPr>
                            <w:color w:val="000000"/>
                            <w:sz w:val="18"/>
                            <w:szCs w:val="18"/>
                          </w:rPr>
                        </w:pPr>
                        <w:r w:rsidRPr="00AE505F">
                          <w:rPr>
                            <w:color w:val="000000"/>
                            <w:sz w:val="18"/>
                            <w:szCs w:val="18"/>
                          </w:rPr>
                          <w:t>…</w:t>
                        </w:r>
                      </w:p>
                    </w:tc>
                  </w:tr>
                  <w:tr w:rsidR="00DB4245" w:rsidRPr="00AE505F" w14:paraId="3C4E0314" w14:textId="77777777" w:rsidTr="0037664E">
                    <w:trPr>
                      <w:trHeight w:val="308"/>
                    </w:trPr>
                    <w:tc>
                      <w:tcPr>
                        <w:tcW w:w="1008" w:type="dxa"/>
                        <w:vMerge/>
                        <w:tcBorders>
                          <w:top w:val="single" w:sz="4" w:space="0" w:color="auto"/>
                          <w:left w:val="nil"/>
                          <w:bottom w:val="double" w:sz="4" w:space="0" w:color="auto"/>
                          <w:right w:val="nil"/>
                        </w:tcBorders>
                        <w:shd w:val="clear" w:color="auto" w:fill="auto"/>
                        <w:vAlign w:val="center"/>
                        <w:hideMark/>
                      </w:tcPr>
                      <w:p w14:paraId="4994F3A9" w14:textId="77777777" w:rsidR="00DB4245" w:rsidRPr="00AE505F" w:rsidRDefault="00DB4245" w:rsidP="00DB4245">
                        <w:pPr>
                          <w:snapToGrid w:val="0"/>
                          <w:spacing w:afterLines="0" w:after="0"/>
                          <w:jc w:val="left"/>
                          <w:rPr>
                            <w:color w:val="000000"/>
                            <w:sz w:val="18"/>
                            <w:szCs w:val="18"/>
                          </w:rPr>
                        </w:pPr>
                      </w:p>
                    </w:tc>
                    <w:tc>
                      <w:tcPr>
                        <w:tcW w:w="4410" w:type="dxa"/>
                        <w:tcBorders>
                          <w:top w:val="single" w:sz="2" w:space="0" w:color="747474" w:themeColor="background2" w:themeShade="80"/>
                          <w:left w:val="nil"/>
                          <w:bottom w:val="double" w:sz="4" w:space="0" w:color="auto"/>
                          <w:right w:val="nil"/>
                        </w:tcBorders>
                        <w:shd w:val="clear" w:color="auto" w:fill="auto"/>
                        <w:noWrap/>
                        <w:vAlign w:val="center"/>
                        <w:hideMark/>
                      </w:tcPr>
                      <w:p w14:paraId="72547907" w14:textId="77777777" w:rsidR="00DB4245" w:rsidRPr="00AE505F" w:rsidRDefault="00DB4245" w:rsidP="00DB4245">
                        <w:pPr>
                          <w:snapToGrid w:val="0"/>
                          <w:spacing w:afterLines="0" w:after="0"/>
                          <w:jc w:val="left"/>
                          <w:rPr>
                            <w:b/>
                            <w:bCs/>
                            <w:color w:val="000000"/>
                            <w:sz w:val="18"/>
                            <w:szCs w:val="18"/>
                          </w:rPr>
                        </w:pPr>
                        <w:r w:rsidRPr="00AE505F">
                          <w:rPr>
                            <w:b/>
                            <w:bCs/>
                            <w:color w:val="000000"/>
                            <w:sz w:val="18"/>
                            <w:szCs w:val="18"/>
                          </w:rPr>
                          <w:t>Санхүүжилтийн хэрэгцээний индекс</w:t>
                        </w:r>
                      </w:p>
                    </w:tc>
                    <w:tc>
                      <w:tcPr>
                        <w:tcW w:w="990" w:type="dxa"/>
                        <w:tcBorders>
                          <w:top w:val="single" w:sz="2" w:space="0" w:color="747474" w:themeColor="background2" w:themeShade="80"/>
                          <w:left w:val="nil"/>
                          <w:bottom w:val="double" w:sz="4" w:space="0" w:color="auto"/>
                          <w:right w:val="nil"/>
                        </w:tcBorders>
                        <w:shd w:val="clear" w:color="auto" w:fill="auto"/>
                        <w:noWrap/>
                        <w:vAlign w:val="center"/>
                        <w:hideMark/>
                      </w:tcPr>
                      <w:p w14:paraId="2DB3EB31" w14:textId="77777777" w:rsidR="00DB4245" w:rsidRPr="00AE505F" w:rsidRDefault="00DB4245" w:rsidP="00DB4245">
                        <w:pPr>
                          <w:snapToGrid w:val="0"/>
                          <w:spacing w:afterLines="0" w:after="0"/>
                          <w:jc w:val="center"/>
                          <w:rPr>
                            <w:b/>
                            <w:bCs/>
                            <w:color w:val="000000"/>
                            <w:sz w:val="18"/>
                            <w:szCs w:val="18"/>
                          </w:rPr>
                        </w:pPr>
                        <w:r w:rsidRPr="00AE505F">
                          <w:rPr>
                            <w:b/>
                            <w:bCs/>
                            <w:color w:val="000000"/>
                            <w:sz w:val="18"/>
                            <w:szCs w:val="18"/>
                          </w:rPr>
                          <w:t>…</w:t>
                        </w:r>
                      </w:p>
                    </w:tc>
                    <w:tc>
                      <w:tcPr>
                        <w:tcW w:w="1350" w:type="dxa"/>
                        <w:tcBorders>
                          <w:top w:val="single" w:sz="2" w:space="0" w:color="747474" w:themeColor="background2" w:themeShade="80"/>
                          <w:left w:val="nil"/>
                          <w:bottom w:val="double" w:sz="4" w:space="0" w:color="auto"/>
                          <w:right w:val="nil"/>
                        </w:tcBorders>
                        <w:shd w:val="clear" w:color="auto" w:fill="auto"/>
                        <w:noWrap/>
                        <w:vAlign w:val="center"/>
                        <w:hideMark/>
                      </w:tcPr>
                      <w:p w14:paraId="6A529522" w14:textId="77777777" w:rsidR="00DB4245" w:rsidRPr="00AE505F" w:rsidRDefault="00DB4245" w:rsidP="00DB4245">
                        <w:pPr>
                          <w:snapToGrid w:val="0"/>
                          <w:spacing w:afterLines="0" w:after="0"/>
                          <w:jc w:val="center"/>
                          <w:rPr>
                            <w:b/>
                            <w:bCs/>
                            <w:color w:val="000000"/>
                            <w:sz w:val="18"/>
                            <w:szCs w:val="18"/>
                          </w:rPr>
                        </w:pPr>
                        <w:r w:rsidRPr="00AE505F">
                          <w:rPr>
                            <w:b/>
                            <w:bCs/>
                            <w:color w:val="000000"/>
                            <w:sz w:val="18"/>
                            <w:szCs w:val="18"/>
                          </w:rPr>
                          <w:t>5.2</w:t>
                        </w:r>
                      </w:p>
                    </w:tc>
                    <w:tc>
                      <w:tcPr>
                        <w:tcW w:w="1603" w:type="dxa"/>
                        <w:tcBorders>
                          <w:top w:val="nil"/>
                          <w:left w:val="nil"/>
                          <w:bottom w:val="double" w:sz="4" w:space="0" w:color="auto"/>
                          <w:right w:val="nil"/>
                        </w:tcBorders>
                        <w:shd w:val="clear" w:color="auto" w:fill="auto"/>
                        <w:noWrap/>
                        <w:vAlign w:val="center"/>
                        <w:hideMark/>
                      </w:tcPr>
                      <w:p w14:paraId="7D302D7D" w14:textId="77777777" w:rsidR="00DB4245" w:rsidRPr="00AE505F" w:rsidRDefault="00DB4245" w:rsidP="00DB4245">
                        <w:pPr>
                          <w:snapToGrid w:val="0"/>
                          <w:spacing w:afterLines="0" w:after="0"/>
                          <w:jc w:val="center"/>
                          <w:rPr>
                            <w:b/>
                            <w:bCs/>
                            <w:color w:val="000000"/>
                            <w:sz w:val="18"/>
                            <w:szCs w:val="18"/>
                          </w:rPr>
                        </w:pPr>
                        <w:r w:rsidRPr="00AE505F">
                          <w:rPr>
                            <w:b/>
                            <w:bCs/>
                            <w:color w:val="000000"/>
                            <w:sz w:val="18"/>
                            <w:szCs w:val="18"/>
                          </w:rPr>
                          <w:t>Бага</w:t>
                        </w:r>
                      </w:p>
                    </w:tc>
                  </w:tr>
                </w:tbl>
                <w:p w14:paraId="5046585B" w14:textId="2025FE46" w:rsidR="00AD3E8E" w:rsidRPr="002E31A0" w:rsidRDefault="00AD3E8E" w:rsidP="00AD3E8E">
                  <w:pPr>
                    <w:spacing w:after="288"/>
                    <w:rPr>
                      <w:rFonts w:eastAsiaTheme="majorEastAsia"/>
                      <w:color w:val="000000" w:themeColor="text1"/>
                      <w:szCs w:val="24"/>
                      <w:u w:color="FF0000"/>
                    </w:rPr>
                  </w:pPr>
                </w:p>
                <w:p w14:paraId="35B86F5B" w14:textId="77777777" w:rsidR="00AD3E8E" w:rsidRPr="000F43BF" w:rsidRDefault="00AD3E8E" w:rsidP="00A7265F">
                  <w:pPr>
                    <w:spacing w:after="288"/>
                    <w:rPr>
                      <w:b/>
                      <w:bCs/>
                    </w:rPr>
                  </w:pPr>
                </w:p>
              </w:txbxContent>
            </v:textbox>
          </v:shape>
        </w:pict>
      </w:r>
      <w:r w:rsidRPr="00963C14">
        <w:rPr>
          <w:noProof/>
          <w:szCs w:val="24"/>
        </w:rPr>
        <w:pict w14:anchorId="3FB96722">
          <v:shape id="_x0000_s2051" type="#_x0000_t202" style="position:absolute;margin-left:1.05pt;margin-top:15.95pt;width:483pt;height:511.3pt;z-index:251658244" fillcolor="#e5e2df" stroked="f">
            <v:textbox style="mso-next-textbox:#_x0000_s2051">
              <w:txbxContent>
                <w:p w14:paraId="1D57C6F8" w14:textId="1982B3AF" w:rsidR="00A7265F" w:rsidRPr="001E541F" w:rsidRDefault="00A7265F" w:rsidP="00A7265F">
                  <w:pPr>
                    <w:spacing w:afterLines="0" w:after="288"/>
                    <w:jc w:val="left"/>
                    <w:rPr>
                      <w:rFonts w:eastAsiaTheme="majorEastAsia"/>
                      <w:i/>
                      <w:color w:val="156082" w:themeColor="accent1"/>
                      <w:szCs w:val="24"/>
                      <w:u w:color="FF0000"/>
                    </w:rPr>
                  </w:pPr>
                  <w:r>
                    <w:rPr>
                      <w:rFonts w:eastAsiaTheme="majorEastAsia"/>
                      <w:i/>
                      <w:color w:val="156082" w:themeColor="accent1"/>
                      <w:szCs w:val="24"/>
                      <w:u w:color="FF0000"/>
                    </w:rPr>
                    <w:t>Дунд</w:t>
                  </w:r>
                  <w:r w:rsidRPr="001E541F">
                    <w:rPr>
                      <w:rFonts w:eastAsiaTheme="majorEastAsia"/>
                      <w:i/>
                      <w:color w:val="156082" w:themeColor="accent1"/>
                      <w:szCs w:val="24"/>
                      <w:u w:color="FF0000"/>
                    </w:rPr>
                    <w:t xml:space="preserve"> хугацаа</w:t>
                  </w:r>
                </w:p>
                <w:p w14:paraId="4633F540" w14:textId="77777777" w:rsidR="00080944" w:rsidRPr="00330D27" w:rsidRDefault="00080944" w:rsidP="00080944">
                  <w:pPr>
                    <w:spacing w:before="240" w:after="288" w:line="276" w:lineRule="auto"/>
                    <w:rPr>
                      <w:rFonts w:eastAsiaTheme="majorEastAsia"/>
                      <w:iCs/>
                      <w:color w:val="000000" w:themeColor="text1"/>
                      <w:szCs w:val="24"/>
                      <w:u w:color="FF0000"/>
                    </w:rPr>
                  </w:pPr>
                  <w:r w:rsidRPr="00330D27">
                    <w:rPr>
                      <w:rFonts w:eastAsiaTheme="majorEastAsia"/>
                      <w:iCs/>
                      <w:color w:val="000000" w:themeColor="text1"/>
                      <w:szCs w:val="24"/>
                      <w:u w:color="FF0000"/>
                    </w:rPr>
                    <w:t>Засгийн газрын өрийн дунд хугацааны эрсдэлийг өрийн Фэнчарт буюу Өрийн төсөөллийн тархалт, Санхүүжилтийн хэрэгцээний түвшнээс тооцдог.</w:t>
                  </w:r>
                </w:p>
                <w:p w14:paraId="52546653" w14:textId="77777777" w:rsidR="00080944" w:rsidRPr="00330D27" w:rsidRDefault="00080944" w:rsidP="008E3EB6">
                  <w:pPr>
                    <w:spacing w:before="240" w:after="288" w:line="276" w:lineRule="auto"/>
                    <w:rPr>
                      <w:rFonts w:eastAsiaTheme="majorEastAsia"/>
                      <w:iCs/>
                      <w:color w:val="000000" w:themeColor="text1"/>
                      <w:szCs w:val="24"/>
                      <w:u w:color="FF0000"/>
                    </w:rPr>
                  </w:pPr>
                  <w:r w:rsidRPr="00330D27">
                    <w:rPr>
                      <w:rFonts w:eastAsiaTheme="majorEastAsia"/>
                      <w:iCs/>
                      <w:color w:val="000000" w:themeColor="text1"/>
                      <w:szCs w:val="24"/>
                      <w:u w:color="FF0000"/>
                    </w:rPr>
                    <w:t>Өрийн Фэнчартын хувьд сүүлийн 20 жилийн өгөгдлөөс 10,000 симуляцийг боловсруулж тооцох бөгөөд Фэнчартын өргөн буюу сүүлийн 20 жилд өрд нөлөөлөгч хүчин зүйлс хэрхэн хэлбэлзсэн үзүүлэлт, өр тогтворгүй байх буюу симуляцын хэдэн хувь нь өрийг өсгөсөн байгаа, мөн инцституцын түвшин хэр байгаагаас шалтгаалж гаргадаг. Шинжилгээнээс гарсан үр дүнд тус загвар өндөр эрсдэлтэй гарсан байгаа бөгөөд хамгийн том нөлөө нь Фэнчартын өргөн эзэлж байна. Энэ нь сүүлийн 20 жилд өр үүсгэгч хүчин зүйлс тогтворгүй байсныг илтгэж байна.</w:t>
                  </w:r>
                </w:p>
                <w:p w14:paraId="770C1057" w14:textId="021D3E38" w:rsidR="008E3EB6" w:rsidRPr="00330D27" w:rsidRDefault="008E3EB6" w:rsidP="008E3EB6">
                  <w:pPr>
                    <w:spacing w:before="240" w:after="288" w:line="276" w:lineRule="auto"/>
                    <w:ind w:left="426" w:firstLine="850"/>
                    <w:rPr>
                      <w:rFonts w:eastAsiaTheme="majorEastAsia"/>
                      <w:i/>
                      <w:color w:val="000000" w:themeColor="text1"/>
                      <w:szCs w:val="24"/>
                      <w:u w:color="FF0000"/>
                    </w:rPr>
                  </w:pPr>
                  <w:r w:rsidRPr="00330D27">
                    <w:rPr>
                      <w:rFonts w:eastAsiaTheme="majorEastAsia"/>
                      <w:i/>
                      <w:color w:val="000000" w:themeColor="text1"/>
                      <w:szCs w:val="24"/>
                      <w:u w:color="FF0000"/>
                    </w:rPr>
                    <w:t>Хүснэгт. Дунд хугацааны загварын үр дүн</w:t>
                  </w:r>
                </w:p>
                <w:p w14:paraId="2D344F66" w14:textId="77777777" w:rsidR="00D17369" w:rsidRDefault="00D17369" w:rsidP="00D17369">
                  <w:pPr>
                    <w:spacing w:after="288" w:line="276" w:lineRule="auto"/>
                    <w:rPr>
                      <w:rFonts w:eastAsiaTheme="majorEastAsia"/>
                      <w:iCs/>
                      <w:color w:val="000000" w:themeColor="text1"/>
                      <w:szCs w:val="24"/>
                      <w:u w:color="FF0000"/>
                    </w:rPr>
                  </w:pPr>
                </w:p>
                <w:p w14:paraId="36E89F8B" w14:textId="77777777" w:rsidR="006F564C" w:rsidRDefault="006F564C" w:rsidP="00AD3E8E">
                  <w:pPr>
                    <w:spacing w:after="288"/>
                    <w:rPr>
                      <w:rFonts w:eastAsiaTheme="majorEastAsia"/>
                      <w:color w:val="000000" w:themeColor="text1"/>
                      <w:szCs w:val="24"/>
                      <w:u w:color="FF0000"/>
                    </w:rPr>
                  </w:pPr>
                </w:p>
                <w:p w14:paraId="153D6FFE" w14:textId="77777777" w:rsidR="00AD3E8E" w:rsidRPr="00AB7F89" w:rsidRDefault="00AD3E8E" w:rsidP="00AD3E8E">
                  <w:pPr>
                    <w:spacing w:after="288"/>
                    <w:rPr>
                      <w:rFonts w:eastAsiaTheme="majorEastAsia"/>
                      <w:color w:val="000000" w:themeColor="text1"/>
                      <w:szCs w:val="24"/>
                      <w:u w:color="FF0000"/>
                    </w:rPr>
                  </w:pPr>
                </w:p>
                <w:p w14:paraId="0E512C12" w14:textId="77777777" w:rsidR="00AD3E8E" w:rsidRPr="002E31A0" w:rsidRDefault="00AD3E8E" w:rsidP="00AD3E8E">
                  <w:pPr>
                    <w:spacing w:after="288"/>
                    <w:rPr>
                      <w:rFonts w:eastAsiaTheme="majorEastAsia"/>
                      <w:color w:val="000000" w:themeColor="text1"/>
                      <w:szCs w:val="24"/>
                      <w:u w:color="FF0000"/>
                    </w:rPr>
                  </w:pPr>
                </w:p>
                <w:p w14:paraId="5B1465D6" w14:textId="77777777" w:rsidR="00AD3E8E" w:rsidRPr="000F43BF" w:rsidRDefault="00AD3E8E" w:rsidP="00AD3E8E">
                  <w:pPr>
                    <w:spacing w:after="288"/>
                    <w:jc w:val="center"/>
                    <w:rPr>
                      <w:b/>
                      <w:bCs/>
                    </w:rPr>
                  </w:pPr>
                </w:p>
              </w:txbxContent>
            </v:textbox>
          </v:shape>
        </w:pict>
      </w:r>
    </w:p>
    <w:p w14:paraId="001D3629" w14:textId="425770AC" w:rsidR="00B53DB7" w:rsidRPr="00963C14" w:rsidRDefault="00B53DB7" w:rsidP="00B8143D">
      <w:pPr>
        <w:spacing w:afterLines="0" w:after="160" w:line="278" w:lineRule="auto"/>
        <w:jc w:val="left"/>
        <w:rPr>
          <w:szCs w:val="24"/>
        </w:rPr>
      </w:pPr>
    </w:p>
    <w:p w14:paraId="63FB6FB7" w14:textId="77777777" w:rsidR="00A87636" w:rsidRPr="00963C14" w:rsidRDefault="00A87636" w:rsidP="00B8143D">
      <w:pPr>
        <w:spacing w:afterLines="0" w:after="160" w:line="278" w:lineRule="auto"/>
        <w:jc w:val="left"/>
        <w:rPr>
          <w:szCs w:val="24"/>
        </w:rPr>
      </w:pPr>
    </w:p>
    <w:p w14:paraId="6ABA1410" w14:textId="77777777" w:rsidR="00A87636" w:rsidRPr="00963C14" w:rsidRDefault="00A87636">
      <w:pPr>
        <w:spacing w:afterLines="0" w:after="160" w:line="278" w:lineRule="auto"/>
        <w:jc w:val="left"/>
        <w:rPr>
          <w:szCs w:val="24"/>
        </w:rPr>
      </w:pPr>
      <w:r w:rsidRPr="00963C14">
        <w:rPr>
          <w:szCs w:val="24"/>
        </w:rPr>
        <w:br w:type="page"/>
      </w:r>
    </w:p>
    <w:p w14:paraId="72D81F14" w14:textId="233519BF" w:rsidR="00336035" w:rsidRPr="00963C14" w:rsidRDefault="005F1522" w:rsidP="00B8143D">
      <w:pPr>
        <w:spacing w:afterLines="0" w:after="160" w:line="278" w:lineRule="auto"/>
        <w:jc w:val="left"/>
        <w:rPr>
          <w:szCs w:val="24"/>
        </w:rPr>
      </w:pPr>
      <w:r w:rsidRPr="00963C14">
        <w:rPr>
          <w:noProof/>
          <w:szCs w:val="24"/>
        </w:rPr>
        <w:pict w14:anchorId="756BA5E0">
          <v:shape id="_x0000_s2055" type="#_x0000_t202" style="position:absolute;margin-left:.65pt;margin-top:-8.05pt;width:483pt;height:488.05pt;z-index:251658248" fillcolor="#e5e2df" stroked="f">
            <v:textbox style="mso-next-textbox:#_x0000_s2055">
              <w:txbxContent>
                <w:p w14:paraId="18B40F84" w14:textId="77777777" w:rsidR="00BD35D8" w:rsidRDefault="00BD35D8" w:rsidP="00BD35D8">
                  <w:pPr>
                    <w:spacing w:after="288" w:line="276" w:lineRule="auto"/>
                    <w:rPr>
                      <w:rFonts w:eastAsiaTheme="majorEastAsia"/>
                      <w:iCs/>
                      <w:color w:val="000000" w:themeColor="text1"/>
                      <w:szCs w:val="24"/>
                      <w:u w:color="FF0000"/>
                    </w:rPr>
                  </w:pPr>
                  <w:r w:rsidRPr="00D17369">
                    <w:rPr>
                      <w:rFonts w:eastAsiaTheme="majorEastAsia"/>
                      <w:iCs/>
                      <w:color w:val="000000" w:themeColor="text1"/>
                      <w:szCs w:val="24"/>
                      <w:u w:color="FF0000"/>
                    </w:rPr>
                    <w:t>Харин Засгийн газрын санхүүжилтийн хэрэгцээний эрсдэлийг тооцохдоо дараагийн 5 жилд санхүүжилтийн хэрэгцээний дундаж түвшин, арилжааны банкуудын ЗГ-аас авах авлагын хэмжээ болон стрессийн үед ЗГ-аас авах авлагын хэмжээ хэрхэн өсөх төсөөллийг тооцдог бөгөөд шинжилгээгээр бага эрсдэлтэй гарсан байна. Энэ нь 2026 он хүртэл томоохон өр төлбөрийг төлж барагдуулснаар санхүүжилтийн хэрэгцээний дундаж түвшнийг бууруулсантай холбоотой байна.</w:t>
                  </w:r>
                </w:p>
                <w:p w14:paraId="71B4256F" w14:textId="4D2353FD" w:rsidR="004B0EBF" w:rsidRPr="004B0EBF" w:rsidRDefault="004B0EBF" w:rsidP="004B0EBF">
                  <w:pPr>
                    <w:spacing w:after="288" w:line="276" w:lineRule="auto"/>
                    <w:rPr>
                      <w:rFonts w:eastAsiaTheme="majorEastAsia"/>
                      <w:color w:val="000000" w:themeColor="text1"/>
                      <w:szCs w:val="24"/>
                      <w:u w:color="FF0000"/>
                    </w:rPr>
                  </w:pPr>
                  <w:r w:rsidRPr="004B0EBF">
                    <w:rPr>
                      <w:rFonts w:eastAsiaTheme="majorEastAsia"/>
                      <w:color w:val="000000" w:themeColor="text1"/>
                      <w:szCs w:val="24"/>
                      <w:u w:color="FF0000"/>
                    </w:rPr>
                    <w:t>Ингэснээр доор харуулж буй хүснэгтээр тус 2 эрсдэлийн үзүүлэлтийг индексжүүлж авч үзэхэд дунд хугацаанд Засгийн газрын өрийн эрсдэл хэвийн түвшинтэй байна.</w:t>
                  </w:r>
                </w:p>
                <w:p w14:paraId="14E88566" w14:textId="592E6ADC" w:rsidR="004C6132" w:rsidRPr="007D55E1" w:rsidRDefault="004C6132" w:rsidP="007D55E1">
                  <w:pPr>
                    <w:spacing w:afterLines="0" w:after="0"/>
                    <w:jc w:val="left"/>
                    <w:rPr>
                      <w:i/>
                      <w:color w:val="055957"/>
                      <w:sz w:val="20"/>
                      <w:szCs w:val="20"/>
                    </w:rPr>
                  </w:pPr>
                  <w:r w:rsidRPr="007D55E1">
                    <w:rPr>
                      <w:i/>
                      <w:color w:val="055957"/>
                      <w:sz w:val="20"/>
                      <w:szCs w:val="20"/>
                    </w:rPr>
                    <w:t>Хүснэгт</w:t>
                  </w:r>
                  <w:r w:rsidR="00387E1A" w:rsidRPr="007D55E1">
                    <w:rPr>
                      <w:i/>
                      <w:color w:val="055957"/>
                      <w:sz w:val="20"/>
                      <w:szCs w:val="20"/>
                    </w:rPr>
                    <w:t xml:space="preserve"> 6</w:t>
                  </w:r>
                  <w:r w:rsidRPr="007D55E1">
                    <w:rPr>
                      <w:i/>
                      <w:color w:val="055957"/>
                      <w:sz w:val="20"/>
                      <w:szCs w:val="20"/>
                    </w:rPr>
                    <w:t>.</w:t>
                  </w:r>
                  <w:r w:rsidR="00F81D94">
                    <w:rPr>
                      <w:i/>
                      <w:color w:val="055957"/>
                      <w:sz w:val="20"/>
                      <w:szCs w:val="20"/>
                    </w:rPr>
                    <w:t>5</w:t>
                  </w:r>
                  <w:r w:rsidR="00387E1A" w:rsidRPr="007D55E1">
                    <w:rPr>
                      <w:i/>
                      <w:color w:val="055957"/>
                      <w:sz w:val="20"/>
                      <w:szCs w:val="20"/>
                    </w:rPr>
                    <w:t>.</w:t>
                  </w:r>
                  <w:r w:rsidRPr="007D55E1">
                    <w:rPr>
                      <w:i/>
                      <w:color w:val="055957"/>
                      <w:sz w:val="20"/>
                      <w:szCs w:val="20"/>
                    </w:rPr>
                    <w:t xml:space="preserve"> Засгийн газрын өрийн эрсдэлийн түвшин</w:t>
                  </w:r>
                </w:p>
                <w:tbl>
                  <w:tblPr>
                    <w:tblW w:w="5350" w:type="dxa"/>
                    <w:tblInd w:w="108" w:type="dxa"/>
                    <w:tblLook w:val="04A0" w:firstRow="1" w:lastRow="0" w:firstColumn="1" w:lastColumn="0" w:noHBand="0" w:noVBand="1"/>
                  </w:tblPr>
                  <w:tblGrid>
                    <w:gridCol w:w="487"/>
                    <w:gridCol w:w="2657"/>
                    <w:gridCol w:w="2206"/>
                  </w:tblGrid>
                  <w:tr w:rsidR="009E1678" w:rsidRPr="00330D27" w14:paraId="69837090" w14:textId="77777777" w:rsidTr="00E50134">
                    <w:trPr>
                      <w:trHeight w:val="286"/>
                    </w:trPr>
                    <w:tc>
                      <w:tcPr>
                        <w:tcW w:w="3144" w:type="dxa"/>
                        <w:gridSpan w:val="2"/>
                        <w:shd w:val="clear" w:color="auto" w:fill="11A795"/>
                        <w:noWrap/>
                        <w:vAlign w:val="center"/>
                        <w:hideMark/>
                      </w:tcPr>
                      <w:p w14:paraId="37525313" w14:textId="77777777" w:rsidR="004C6132" w:rsidRPr="00E50134" w:rsidRDefault="004C6132" w:rsidP="004C6132">
                        <w:pPr>
                          <w:spacing w:afterLines="0" w:after="0"/>
                          <w:jc w:val="center"/>
                          <w:rPr>
                            <w:rFonts w:cs="Arial"/>
                            <w:b/>
                            <w:color w:val="FFFFFF" w:themeColor="background1"/>
                            <w:sz w:val="18"/>
                            <w:szCs w:val="18"/>
                          </w:rPr>
                        </w:pPr>
                        <w:r w:rsidRPr="00E50134">
                          <w:rPr>
                            <w:rFonts w:cs="Arial"/>
                            <w:b/>
                            <w:bCs/>
                            <w:color w:val="FFFFFF" w:themeColor="background1"/>
                            <w:sz w:val="18"/>
                            <w:szCs w:val="18"/>
                          </w:rPr>
                          <w:t>Хугацаа</w:t>
                        </w:r>
                      </w:p>
                    </w:tc>
                    <w:tc>
                      <w:tcPr>
                        <w:tcW w:w="2206" w:type="dxa"/>
                        <w:shd w:val="clear" w:color="auto" w:fill="11A795"/>
                        <w:vAlign w:val="center"/>
                      </w:tcPr>
                      <w:p w14:paraId="6C49E281" w14:textId="77777777" w:rsidR="004C6132" w:rsidRPr="00E50134" w:rsidRDefault="004C6132" w:rsidP="004C6132">
                        <w:pPr>
                          <w:spacing w:afterLines="0" w:after="0"/>
                          <w:jc w:val="center"/>
                          <w:rPr>
                            <w:rFonts w:cs="Arial"/>
                            <w:b/>
                            <w:color w:val="FFFFFF" w:themeColor="background1"/>
                            <w:sz w:val="18"/>
                            <w:szCs w:val="18"/>
                          </w:rPr>
                        </w:pPr>
                        <w:r w:rsidRPr="00E50134">
                          <w:rPr>
                            <w:rFonts w:cs="Arial"/>
                            <w:b/>
                            <w:bCs/>
                            <w:color w:val="FFFFFF" w:themeColor="background1"/>
                            <w:sz w:val="18"/>
                            <w:szCs w:val="18"/>
                          </w:rPr>
                          <w:t>Механик дохио</w:t>
                        </w:r>
                      </w:p>
                    </w:tc>
                  </w:tr>
                  <w:tr w:rsidR="00E50134" w:rsidRPr="00330D27" w14:paraId="1E711CE3" w14:textId="77777777" w:rsidTr="00E50134">
                    <w:trPr>
                      <w:trHeight w:val="336"/>
                    </w:trPr>
                    <w:tc>
                      <w:tcPr>
                        <w:tcW w:w="3144" w:type="dxa"/>
                        <w:gridSpan w:val="2"/>
                        <w:tcBorders>
                          <w:bottom w:val="single" w:sz="4" w:space="0" w:color="auto"/>
                        </w:tcBorders>
                        <w:shd w:val="clear" w:color="auto" w:fill="auto"/>
                        <w:noWrap/>
                        <w:hideMark/>
                      </w:tcPr>
                      <w:p w14:paraId="6B532905" w14:textId="77777777" w:rsidR="00E50134" w:rsidRPr="00330D27" w:rsidRDefault="00E50134" w:rsidP="004C6132">
                        <w:pPr>
                          <w:spacing w:afterLines="0" w:after="0"/>
                          <w:jc w:val="left"/>
                          <w:rPr>
                            <w:rFonts w:cs="Arial"/>
                            <w:b/>
                            <w:bCs/>
                            <w:color w:val="000000"/>
                            <w:sz w:val="17"/>
                            <w:szCs w:val="17"/>
                          </w:rPr>
                        </w:pPr>
                        <w:r w:rsidRPr="00330D27">
                          <w:rPr>
                            <w:rFonts w:cs="Arial"/>
                            <w:b/>
                            <w:bCs/>
                            <w:color w:val="000000"/>
                            <w:sz w:val="17"/>
                            <w:szCs w:val="17"/>
                          </w:rPr>
                          <w:t>Богино хугацаа 1/</w:t>
                        </w:r>
                      </w:p>
                    </w:tc>
                    <w:tc>
                      <w:tcPr>
                        <w:tcW w:w="2206" w:type="dxa"/>
                        <w:tcBorders>
                          <w:bottom w:val="single" w:sz="4" w:space="0" w:color="auto"/>
                        </w:tcBorders>
                        <w:shd w:val="clear" w:color="auto" w:fill="auto"/>
                        <w:noWrap/>
                        <w:hideMark/>
                      </w:tcPr>
                      <w:p w14:paraId="380E7A28" w14:textId="1D89189A" w:rsidR="00E50134" w:rsidRPr="00330D27" w:rsidRDefault="00E50134" w:rsidP="00E50134">
                        <w:pPr>
                          <w:spacing w:afterLines="0" w:after="0"/>
                          <w:jc w:val="center"/>
                          <w:rPr>
                            <w:sz w:val="20"/>
                          </w:rPr>
                        </w:pPr>
                        <w:r w:rsidRPr="004813E4">
                          <w:rPr>
                            <w:rFonts w:cs="Arial"/>
                            <w:color w:val="595959"/>
                            <w:sz w:val="18"/>
                            <w:szCs w:val="18"/>
                          </w:rPr>
                          <w:t>Хэвийн</w:t>
                        </w:r>
                      </w:p>
                    </w:tc>
                  </w:tr>
                  <w:tr w:rsidR="00E50134" w:rsidRPr="00330D27" w14:paraId="3D0F90B5" w14:textId="77777777" w:rsidTr="00E50134">
                    <w:trPr>
                      <w:trHeight w:val="336"/>
                    </w:trPr>
                    <w:tc>
                      <w:tcPr>
                        <w:tcW w:w="3144" w:type="dxa"/>
                        <w:gridSpan w:val="2"/>
                        <w:tcBorders>
                          <w:top w:val="single" w:sz="4" w:space="0" w:color="auto"/>
                          <w:bottom w:val="single" w:sz="4" w:space="0" w:color="auto"/>
                        </w:tcBorders>
                        <w:shd w:val="clear" w:color="auto" w:fill="auto"/>
                        <w:noWrap/>
                        <w:vAlign w:val="center"/>
                        <w:hideMark/>
                      </w:tcPr>
                      <w:p w14:paraId="746DE776" w14:textId="77777777" w:rsidR="00E50134" w:rsidRPr="00330D27" w:rsidRDefault="00E50134" w:rsidP="004C6132">
                        <w:pPr>
                          <w:spacing w:afterLines="0" w:after="0"/>
                          <w:jc w:val="left"/>
                          <w:rPr>
                            <w:rFonts w:cs="Arial"/>
                            <w:b/>
                            <w:color w:val="000000"/>
                            <w:sz w:val="17"/>
                            <w:szCs w:val="17"/>
                          </w:rPr>
                        </w:pPr>
                        <w:r w:rsidRPr="00330D27">
                          <w:rPr>
                            <w:rFonts w:cs="Arial"/>
                            <w:b/>
                            <w:bCs/>
                            <w:color w:val="000000"/>
                            <w:sz w:val="17"/>
                            <w:szCs w:val="17"/>
                          </w:rPr>
                          <w:t>Дунд хугацаа</w:t>
                        </w:r>
                      </w:p>
                    </w:tc>
                    <w:tc>
                      <w:tcPr>
                        <w:tcW w:w="2206" w:type="dxa"/>
                        <w:tcBorders>
                          <w:top w:val="single" w:sz="4" w:space="0" w:color="auto"/>
                          <w:bottom w:val="single" w:sz="4" w:space="0" w:color="auto"/>
                        </w:tcBorders>
                        <w:shd w:val="clear" w:color="auto" w:fill="auto"/>
                        <w:noWrap/>
                        <w:vAlign w:val="center"/>
                        <w:hideMark/>
                      </w:tcPr>
                      <w:p w14:paraId="6621E308" w14:textId="415AE73B" w:rsidR="00E50134" w:rsidRPr="00330D27" w:rsidRDefault="00E50134" w:rsidP="00E50134">
                        <w:pPr>
                          <w:spacing w:afterLines="0" w:after="0"/>
                          <w:jc w:val="center"/>
                          <w:rPr>
                            <w:sz w:val="20"/>
                          </w:rPr>
                        </w:pPr>
                        <w:r w:rsidRPr="004813E4">
                          <w:rPr>
                            <w:rFonts w:cs="Arial"/>
                            <w:color w:val="595959"/>
                            <w:sz w:val="18"/>
                            <w:szCs w:val="18"/>
                          </w:rPr>
                          <w:t>Хэвийн</w:t>
                        </w:r>
                      </w:p>
                    </w:tc>
                  </w:tr>
                  <w:tr w:rsidR="00E50134" w:rsidRPr="00330D27" w14:paraId="416667A5" w14:textId="77777777" w:rsidTr="00E50134">
                    <w:trPr>
                      <w:trHeight w:val="336"/>
                    </w:trPr>
                    <w:tc>
                      <w:tcPr>
                        <w:tcW w:w="487" w:type="dxa"/>
                        <w:tcBorders>
                          <w:top w:val="single" w:sz="4" w:space="0" w:color="auto"/>
                          <w:bottom w:val="single" w:sz="4" w:space="0" w:color="auto"/>
                        </w:tcBorders>
                        <w:shd w:val="clear" w:color="auto" w:fill="auto"/>
                        <w:noWrap/>
                        <w:vAlign w:val="center"/>
                        <w:hideMark/>
                      </w:tcPr>
                      <w:p w14:paraId="192F51B0" w14:textId="77777777" w:rsidR="00E50134" w:rsidRPr="00330D27" w:rsidRDefault="00E50134" w:rsidP="004C6132">
                        <w:pPr>
                          <w:spacing w:afterLines="0" w:after="0"/>
                          <w:jc w:val="left"/>
                          <w:rPr>
                            <w:rFonts w:cs="Arial"/>
                            <w:color w:val="000000"/>
                            <w:sz w:val="17"/>
                            <w:szCs w:val="17"/>
                          </w:rPr>
                        </w:pPr>
                        <w:r w:rsidRPr="00330D27">
                          <w:rPr>
                            <w:rFonts w:cs="Arial"/>
                            <w:color w:val="000000"/>
                            <w:sz w:val="17"/>
                            <w:szCs w:val="17"/>
                          </w:rPr>
                          <w:t> </w:t>
                        </w:r>
                      </w:p>
                    </w:tc>
                    <w:tc>
                      <w:tcPr>
                        <w:tcW w:w="2657" w:type="dxa"/>
                        <w:tcBorders>
                          <w:top w:val="single" w:sz="4" w:space="0" w:color="auto"/>
                          <w:bottom w:val="single" w:sz="4" w:space="0" w:color="auto"/>
                        </w:tcBorders>
                        <w:shd w:val="clear" w:color="auto" w:fill="auto"/>
                        <w:noWrap/>
                        <w:vAlign w:val="center"/>
                        <w:hideMark/>
                      </w:tcPr>
                      <w:p w14:paraId="475D8FEC" w14:textId="77777777" w:rsidR="00E50134" w:rsidRPr="00330D27" w:rsidRDefault="00E50134" w:rsidP="004C6132">
                        <w:pPr>
                          <w:spacing w:afterLines="0" w:after="0"/>
                          <w:jc w:val="left"/>
                          <w:rPr>
                            <w:rFonts w:cs="Arial"/>
                            <w:color w:val="000000"/>
                            <w:sz w:val="17"/>
                            <w:szCs w:val="17"/>
                          </w:rPr>
                        </w:pPr>
                        <w:r w:rsidRPr="00330D27">
                          <w:rPr>
                            <w:rFonts w:cs="Arial"/>
                            <w:color w:val="000000"/>
                            <w:sz w:val="17"/>
                            <w:szCs w:val="17"/>
                          </w:rPr>
                          <w:t>Фэнчарт</w:t>
                        </w:r>
                      </w:p>
                    </w:tc>
                    <w:tc>
                      <w:tcPr>
                        <w:tcW w:w="2206" w:type="dxa"/>
                        <w:tcBorders>
                          <w:top w:val="single" w:sz="4" w:space="0" w:color="auto"/>
                          <w:bottom w:val="single" w:sz="4" w:space="0" w:color="auto"/>
                        </w:tcBorders>
                        <w:shd w:val="clear" w:color="auto" w:fill="auto"/>
                        <w:noWrap/>
                        <w:vAlign w:val="center"/>
                        <w:hideMark/>
                      </w:tcPr>
                      <w:p w14:paraId="72124177" w14:textId="54B5E257" w:rsidR="00E50134" w:rsidRPr="00330D27" w:rsidRDefault="00E50134" w:rsidP="00E50134">
                        <w:pPr>
                          <w:spacing w:afterLines="0" w:after="0"/>
                          <w:jc w:val="center"/>
                          <w:rPr>
                            <w:sz w:val="20"/>
                          </w:rPr>
                        </w:pPr>
                        <w:r w:rsidRPr="004813E4">
                          <w:rPr>
                            <w:rFonts w:cs="Arial"/>
                            <w:color w:val="DA291C"/>
                            <w:sz w:val="18"/>
                            <w:szCs w:val="18"/>
                          </w:rPr>
                          <w:t>Өндөр</w:t>
                        </w:r>
                      </w:p>
                    </w:tc>
                  </w:tr>
                  <w:tr w:rsidR="00E50134" w:rsidRPr="00330D27" w14:paraId="68CA9E9B" w14:textId="77777777" w:rsidTr="00E50134">
                    <w:trPr>
                      <w:trHeight w:val="336"/>
                    </w:trPr>
                    <w:tc>
                      <w:tcPr>
                        <w:tcW w:w="487" w:type="dxa"/>
                        <w:tcBorders>
                          <w:top w:val="single" w:sz="4" w:space="0" w:color="auto"/>
                          <w:bottom w:val="single" w:sz="4" w:space="0" w:color="auto"/>
                        </w:tcBorders>
                        <w:shd w:val="clear" w:color="auto" w:fill="auto"/>
                        <w:noWrap/>
                        <w:vAlign w:val="center"/>
                        <w:hideMark/>
                      </w:tcPr>
                      <w:p w14:paraId="10A2F0B2" w14:textId="77777777" w:rsidR="00E50134" w:rsidRPr="00330D27" w:rsidRDefault="00E50134" w:rsidP="004C6132">
                        <w:pPr>
                          <w:spacing w:afterLines="0" w:after="0"/>
                          <w:jc w:val="left"/>
                          <w:rPr>
                            <w:rFonts w:cs="Arial"/>
                            <w:color w:val="000000"/>
                            <w:sz w:val="17"/>
                            <w:szCs w:val="17"/>
                          </w:rPr>
                        </w:pPr>
                        <w:r w:rsidRPr="00330D27">
                          <w:rPr>
                            <w:rFonts w:cs="Arial"/>
                            <w:color w:val="000000"/>
                            <w:sz w:val="17"/>
                            <w:szCs w:val="17"/>
                          </w:rPr>
                          <w:t> </w:t>
                        </w:r>
                      </w:p>
                    </w:tc>
                    <w:tc>
                      <w:tcPr>
                        <w:tcW w:w="2657" w:type="dxa"/>
                        <w:tcBorders>
                          <w:top w:val="single" w:sz="4" w:space="0" w:color="auto"/>
                          <w:bottom w:val="single" w:sz="4" w:space="0" w:color="auto"/>
                        </w:tcBorders>
                        <w:shd w:val="clear" w:color="auto" w:fill="auto"/>
                        <w:noWrap/>
                        <w:vAlign w:val="center"/>
                        <w:hideMark/>
                      </w:tcPr>
                      <w:p w14:paraId="55F8A8A4" w14:textId="77777777" w:rsidR="00E50134" w:rsidRPr="00330D27" w:rsidRDefault="00E50134" w:rsidP="004C6132">
                        <w:pPr>
                          <w:spacing w:afterLines="0" w:after="0"/>
                          <w:jc w:val="left"/>
                          <w:rPr>
                            <w:rFonts w:cs="Arial"/>
                            <w:color w:val="000000"/>
                            <w:sz w:val="17"/>
                            <w:szCs w:val="17"/>
                          </w:rPr>
                        </w:pPr>
                        <w:r w:rsidRPr="00330D27">
                          <w:rPr>
                            <w:rFonts w:cs="Arial"/>
                            <w:color w:val="000000"/>
                            <w:sz w:val="17"/>
                            <w:szCs w:val="17"/>
                          </w:rPr>
                          <w:t>Санхүүжилтийн хэрэгцээ</w:t>
                        </w:r>
                      </w:p>
                    </w:tc>
                    <w:tc>
                      <w:tcPr>
                        <w:tcW w:w="2206" w:type="dxa"/>
                        <w:tcBorders>
                          <w:top w:val="single" w:sz="4" w:space="0" w:color="auto"/>
                          <w:bottom w:val="single" w:sz="4" w:space="0" w:color="auto"/>
                        </w:tcBorders>
                        <w:shd w:val="clear" w:color="auto" w:fill="auto"/>
                        <w:noWrap/>
                        <w:vAlign w:val="center"/>
                        <w:hideMark/>
                      </w:tcPr>
                      <w:p w14:paraId="73358F62" w14:textId="3FB3B78A" w:rsidR="00E50134" w:rsidRPr="00330D27" w:rsidRDefault="00E50134" w:rsidP="00E50134">
                        <w:pPr>
                          <w:spacing w:afterLines="0" w:after="0"/>
                          <w:jc w:val="center"/>
                          <w:rPr>
                            <w:sz w:val="20"/>
                          </w:rPr>
                        </w:pPr>
                        <w:r w:rsidRPr="004813E4">
                          <w:rPr>
                            <w:rFonts w:cs="Arial"/>
                            <w:color w:val="658D1B"/>
                            <w:sz w:val="18"/>
                            <w:szCs w:val="18"/>
                          </w:rPr>
                          <w:t>Бага</w:t>
                        </w:r>
                      </w:p>
                    </w:tc>
                  </w:tr>
                </w:tbl>
                <w:p w14:paraId="14DA5ACB" w14:textId="58AB8412" w:rsidR="00686363" w:rsidRPr="00330D27" w:rsidRDefault="00686363" w:rsidP="00E50134">
                  <w:pPr>
                    <w:spacing w:before="240" w:after="288" w:line="276" w:lineRule="auto"/>
                    <w:rPr>
                      <w:rFonts w:eastAsiaTheme="majorEastAsia"/>
                      <w:color w:val="000000" w:themeColor="text1"/>
                      <w:szCs w:val="24"/>
                      <w:u w:color="FF0000"/>
                    </w:rPr>
                  </w:pPr>
                  <w:r w:rsidRPr="00330D27">
                    <w:rPr>
                      <w:rFonts w:eastAsiaTheme="majorEastAsia"/>
                      <w:color w:val="000000" w:themeColor="text1"/>
                      <w:szCs w:val="24"/>
                      <w:u w:color="FF0000"/>
                    </w:rPr>
                    <w:t xml:space="preserve">Ингэснээр Засгийн газрын өрийн эрсдэлийн түвшин богино хугацаанд хэвийн, дунд хугацаанд хэвийн түвшинтэй гарч байна. Харин 2022 онд ОУВС-аас Улсын секторын өрийн хүрээнд хийсэн тус шинжилгээгээр өндөр эрсдэлтэй гэж гарч байсан. Энэ нь МУХБ-ны бондууд төлөгдөх, Монголбанкны своп төлөгдөх, Засгийн газраас Хуралдай бонд, Гэрэгэ бондыг төлөхөөр хүлээж байсантай холбоотой. </w:t>
                  </w:r>
                </w:p>
                <w:p w14:paraId="17D9CE87" w14:textId="77777777" w:rsidR="00686363" w:rsidRPr="00330D27" w:rsidRDefault="00686363" w:rsidP="00686363">
                  <w:pPr>
                    <w:spacing w:after="288" w:line="276" w:lineRule="auto"/>
                    <w:rPr>
                      <w:rFonts w:eastAsiaTheme="majorEastAsia"/>
                      <w:color w:val="000000" w:themeColor="text1"/>
                      <w:szCs w:val="24"/>
                      <w:u w:color="FF0000"/>
                    </w:rPr>
                  </w:pPr>
                  <w:r w:rsidRPr="00330D27">
                    <w:rPr>
                      <w:rFonts w:eastAsiaTheme="majorEastAsia"/>
                      <w:color w:val="000000" w:themeColor="text1"/>
                      <w:szCs w:val="24"/>
                      <w:u w:color="FF0000"/>
                    </w:rPr>
                    <w:t>Дээрх өрийн эргэн төлөлтүүдийг хуваарийн дагуу 2023 онд бүрэн төлж барагдуулаад байгаа бөгөөд Засгийн газрын өрийн ДНБ-д эзлэх хэмжээ 60.5 хувьтай тэнцэж байснаас 44.8 хувь болж 15.7 хувиар буурсан, эдийн засгийн өсөлт 7 хувьтай тэнцэж, ГВАН-ийн хэмжээ 3.4 тэрбум ам.доллароос 4.9 тэрбум ам.доллар болж өссөн, төлбөрийн тэнцэл 1.5 тэрбум ам.долларын ашигтай, төсвийн тэнцэл 763 тэрбум төгрөгийн ашигтай гарсан зэрэг эдийн засгийн эерэг үзүүлэлтүүдтэй холбоотойгоор эрсдэлийн  түвшин буурсан байна.</w:t>
                  </w:r>
                </w:p>
                <w:p w14:paraId="7201D188" w14:textId="7204DF85" w:rsidR="00336035" w:rsidRPr="00AB7F89" w:rsidRDefault="00336035" w:rsidP="00336035">
                  <w:pPr>
                    <w:spacing w:after="288"/>
                    <w:rPr>
                      <w:rFonts w:eastAsiaTheme="majorEastAsia"/>
                      <w:color w:val="000000" w:themeColor="text1"/>
                      <w:szCs w:val="24"/>
                      <w:u w:color="FF0000"/>
                    </w:rPr>
                  </w:pPr>
                </w:p>
                <w:p w14:paraId="4AD05474" w14:textId="77777777" w:rsidR="00336035" w:rsidRPr="002E31A0" w:rsidRDefault="00336035" w:rsidP="00336035">
                  <w:pPr>
                    <w:spacing w:after="288"/>
                    <w:rPr>
                      <w:rFonts w:eastAsiaTheme="majorEastAsia"/>
                      <w:color w:val="000000" w:themeColor="text1"/>
                      <w:szCs w:val="24"/>
                      <w:u w:color="FF0000"/>
                    </w:rPr>
                  </w:pPr>
                </w:p>
                <w:p w14:paraId="3544BE55" w14:textId="77777777" w:rsidR="00336035" w:rsidRPr="000F43BF" w:rsidRDefault="00336035" w:rsidP="00336035">
                  <w:pPr>
                    <w:spacing w:after="288"/>
                    <w:jc w:val="center"/>
                    <w:rPr>
                      <w:b/>
                      <w:bCs/>
                    </w:rPr>
                  </w:pPr>
                </w:p>
              </w:txbxContent>
            </v:textbox>
          </v:shape>
        </w:pict>
      </w:r>
      <w:r w:rsidRPr="00963C14">
        <w:rPr>
          <w:noProof/>
          <w:szCs w:val="24"/>
        </w:rPr>
        <w:pict w14:anchorId="2C9E2BE6">
          <v:shape id="_x0000_s2053" type="#_x0000_t202" style="position:absolute;margin-left:.65pt;margin-top:-8.05pt;width:483pt;height:442pt;z-index:251658247" fillcolor="#e5e2df" stroked="f">
            <v:textbox style="mso-next-textbox:#_x0000_s2053">
              <w:txbxContent>
                <w:p w14:paraId="65970D3D" w14:textId="77777777" w:rsidR="004C6132" w:rsidRPr="002E31A0" w:rsidRDefault="004C6132" w:rsidP="004C6132">
                  <w:pPr>
                    <w:spacing w:after="288" w:line="276" w:lineRule="auto"/>
                    <w:rPr>
                      <w:rFonts w:eastAsiaTheme="majorEastAsia"/>
                      <w:color w:val="000000" w:themeColor="text1"/>
                      <w:szCs w:val="24"/>
                      <w:u w:color="FF0000"/>
                    </w:rPr>
                  </w:pPr>
                </w:p>
                <w:p w14:paraId="6EE3CE73" w14:textId="77777777" w:rsidR="00336035" w:rsidRDefault="00336035" w:rsidP="00336035">
                  <w:pPr>
                    <w:spacing w:after="288"/>
                    <w:rPr>
                      <w:rFonts w:eastAsiaTheme="majorEastAsia"/>
                      <w:color w:val="000000" w:themeColor="text1"/>
                      <w:szCs w:val="24"/>
                      <w:u w:color="FF0000"/>
                    </w:rPr>
                  </w:pPr>
                </w:p>
                <w:p w14:paraId="34740432" w14:textId="77777777" w:rsidR="00336035" w:rsidRPr="00AB7F89" w:rsidRDefault="00336035" w:rsidP="00336035">
                  <w:pPr>
                    <w:spacing w:after="288"/>
                    <w:rPr>
                      <w:rFonts w:eastAsiaTheme="majorEastAsia"/>
                      <w:color w:val="000000" w:themeColor="text1"/>
                      <w:szCs w:val="24"/>
                      <w:u w:color="FF0000"/>
                    </w:rPr>
                  </w:pPr>
                </w:p>
                <w:p w14:paraId="61D1B3B9" w14:textId="77777777" w:rsidR="00336035" w:rsidRPr="002E31A0" w:rsidRDefault="00336035" w:rsidP="00336035">
                  <w:pPr>
                    <w:spacing w:after="288"/>
                    <w:rPr>
                      <w:rFonts w:eastAsiaTheme="majorEastAsia"/>
                      <w:color w:val="000000" w:themeColor="text1"/>
                      <w:szCs w:val="24"/>
                      <w:u w:color="FF0000"/>
                    </w:rPr>
                  </w:pPr>
                </w:p>
                <w:p w14:paraId="44E8BDF0" w14:textId="77777777" w:rsidR="00336035" w:rsidRPr="000F43BF" w:rsidRDefault="00336035" w:rsidP="00336035">
                  <w:pPr>
                    <w:spacing w:after="288"/>
                    <w:jc w:val="center"/>
                    <w:rPr>
                      <w:b/>
                      <w:bCs/>
                    </w:rPr>
                  </w:pPr>
                </w:p>
              </w:txbxContent>
            </v:textbox>
          </v:shape>
        </w:pict>
      </w:r>
    </w:p>
    <w:p w14:paraId="30C694DC" w14:textId="5280BA7F" w:rsidR="00682B51" w:rsidRPr="00963C14" w:rsidRDefault="005F1522" w:rsidP="00B8143D">
      <w:pPr>
        <w:spacing w:afterLines="0" w:after="160" w:line="278" w:lineRule="auto"/>
        <w:jc w:val="left"/>
        <w:rPr>
          <w:szCs w:val="24"/>
        </w:rPr>
      </w:pPr>
      <w:r w:rsidRPr="00963C14">
        <w:rPr>
          <w:noProof/>
          <w:szCs w:val="24"/>
        </w:rPr>
        <w:pict w14:anchorId="79A93061">
          <v:shape id="_x0000_s2056" type="#_x0000_t202" style="position:absolute;margin-left:.15pt;margin-top:-8.05pt;width:483pt;height:226.4pt;z-index:251658246" fillcolor="#e5e2df" stroked="f">
            <v:textbox style="mso-next-textbox:#_x0000_s2056">
              <w:txbxContent>
                <w:p w14:paraId="27C1746C" w14:textId="77777777" w:rsidR="00927184" w:rsidRPr="00330D27" w:rsidRDefault="00927184" w:rsidP="00927184">
                  <w:pPr>
                    <w:spacing w:after="288" w:line="276" w:lineRule="auto"/>
                    <w:rPr>
                      <w:rFonts w:eastAsiaTheme="majorEastAsia"/>
                      <w:color w:val="000000" w:themeColor="text1"/>
                      <w:szCs w:val="24"/>
                      <w:u w:color="FF0000"/>
                    </w:rPr>
                  </w:pPr>
                  <w:r w:rsidRPr="00330D27">
                    <w:rPr>
                      <w:rFonts w:eastAsiaTheme="majorEastAsia"/>
                      <w:color w:val="000000" w:themeColor="text1"/>
                      <w:szCs w:val="24"/>
                      <w:u w:color="FF0000"/>
                    </w:rPr>
                    <w:t xml:space="preserve">Ингэснээр Засгийн газрын өрийн эрсдэлийн түвшин богино хугацаанд хэвийн, дунд хугацаанд хэвийн түвшинтэй гарч байна. Харин 2022 онд ОУВС-аас Улсын секторын өрийн хүрээнд хийсэн тус шинжилгээгээр өндөр эрсдэлтэй гэж гарч байсан. Энэ нь МУХБ-ны бондууд төлөгдөх, Монголбанкны своп төлөгдөх, Засгийн газраас Хуралдай бонд, Гэрэгэ бондыг төлөхөөр хүлээж байсантай холбоотой. </w:t>
                  </w:r>
                </w:p>
                <w:p w14:paraId="439C128D" w14:textId="77777777" w:rsidR="00927184" w:rsidRPr="00330D27" w:rsidRDefault="00927184" w:rsidP="00927184">
                  <w:pPr>
                    <w:spacing w:after="288" w:line="276" w:lineRule="auto"/>
                    <w:rPr>
                      <w:rFonts w:eastAsiaTheme="majorEastAsia"/>
                      <w:color w:val="000000" w:themeColor="text1"/>
                      <w:szCs w:val="24"/>
                      <w:u w:color="FF0000"/>
                    </w:rPr>
                  </w:pPr>
                  <w:r w:rsidRPr="00330D27">
                    <w:rPr>
                      <w:rFonts w:eastAsiaTheme="majorEastAsia"/>
                      <w:color w:val="000000" w:themeColor="text1"/>
                      <w:szCs w:val="24"/>
                      <w:u w:color="FF0000"/>
                    </w:rPr>
                    <w:t>Дээрх өрийн эргэн төлөлтүүдийг хуваарийн дагуу 2023 онд бүрэн төлж барагдуулаад байгаа бөгөөд Засгийн газрын өрийн ДНБ-д эзлэх хэмжээ 60.5 хувьтай тэнцэж байснаас 44.8 хувь болж 15.7 хувиар буурсан, эдийн засгийн өсөлт 7 хувьтай тэнцэж, ГВАН-ийн хэмжээ 3.4 тэрбум ам.доллароос 4.9 тэрбум ам.доллар болж өссөн, төлбөрийн тэнцэл 1.5 тэрбум ам.долларын ашигтай, төсвийн тэнцэл 763 тэрбум төгрөгийн ашигтай гарсан зэрэг эдийн засгийн эерэг үзүүлэлтүүдтэй холбоотойгоор эрсдэлийн  түвшин буурсан байна.</w:t>
                  </w:r>
                </w:p>
                <w:p w14:paraId="46F52883" w14:textId="6BB8A9D4" w:rsidR="00A87636" w:rsidRPr="00AB7F89" w:rsidRDefault="00A87636" w:rsidP="00403B6C">
                  <w:pPr>
                    <w:spacing w:after="288" w:line="276" w:lineRule="auto"/>
                    <w:rPr>
                      <w:rFonts w:eastAsiaTheme="majorEastAsia"/>
                      <w:color w:val="000000" w:themeColor="text1"/>
                      <w:szCs w:val="24"/>
                      <w:u w:color="FF0000"/>
                    </w:rPr>
                  </w:pPr>
                </w:p>
              </w:txbxContent>
            </v:textbox>
          </v:shape>
        </w:pict>
      </w:r>
    </w:p>
    <w:sectPr w:rsidR="00682B51" w:rsidRPr="00963C14" w:rsidSect="00577D4C">
      <w:pgSz w:w="11906" w:h="16838" w:code="9"/>
      <w:pgMar w:top="1138" w:right="850" w:bottom="1138" w:left="1699"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8C498" w14:textId="77777777" w:rsidR="00577D4C" w:rsidRDefault="00577D4C" w:rsidP="00EE1D3A">
      <w:pPr>
        <w:spacing w:after="288" w:line="240" w:lineRule="auto"/>
      </w:pPr>
      <w:r>
        <w:separator/>
      </w:r>
    </w:p>
  </w:endnote>
  <w:endnote w:type="continuationSeparator" w:id="0">
    <w:p w14:paraId="56B52249" w14:textId="77777777" w:rsidR="00577D4C" w:rsidRDefault="00577D4C" w:rsidP="00EE1D3A">
      <w:pPr>
        <w:spacing w:after="288" w:line="240" w:lineRule="auto"/>
      </w:pPr>
      <w:r>
        <w:continuationSeparator/>
      </w:r>
    </w:p>
  </w:endnote>
  <w:endnote w:type="continuationNotice" w:id="1">
    <w:p w14:paraId="2970F38D" w14:textId="77777777" w:rsidR="00577D4C" w:rsidRDefault="00577D4C">
      <w:pPr>
        <w:spacing w:after="288"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Segoe UI Light">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2A3F3" w14:textId="77777777" w:rsidR="00EE1D3A" w:rsidRDefault="00EE1D3A">
    <w:pPr>
      <w:pStyle w:val="Footer"/>
      <w:spacing w:after="2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0383149"/>
      <w:docPartObj>
        <w:docPartGallery w:val="Page Numbers (Bottom of Page)"/>
        <w:docPartUnique/>
      </w:docPartObj>
    </w:sdtPr>
    <w:sdtEndPr>
      <w:rPr>
        <w:rFonts w:cs="Arial"/>
      </w:rPr>
    </w:sdtEndPr>
    <w:sdtContent>
      <w:p w14:paraId="15D56A92" w14:textId="77777777" w:rsidR="00EE1D3A" w:rsidRPr="00BC36C2" w:rsidRDefault="00EE1D3A" w:rsidP="00134D70">
        <w:pPr>
          <w:pStyle w:val="Footer"/>
          <w:spacing w:after="288"/>
          <w:jc w:val="right"/>
          <w:rPr>
            <w:rFonts w:cs="Arial"/>
            <w:szCs w:val="24"/>
          </w:rPr>
        </w:pPr>
        <w:r w:rsidRPr="00BC36C2">
          <w:rPr>
            <w:rFonts w:cs="Arial"/>
            <w:szCs w:val="24"/>
          </w:rPr>
          <w:fldChar w:fldCharType="begin"/>
        </w:r>
        <w:r w:rsidRPr="00BC36C2">
          <w:rPr>
            <w:rFonts w:cs="Arial"/>
            <w:szCs w:val="24"/>
          </w:rPr>
          <w:instrText xml:space="preserve"> PAGE   \* MERGEFORMAT </w:instrText>
        </w:r>
        <w:r w:rsidRPr="00BC36C2">
          <w:rPr>
            <w:rFonts w:cs="Arial"/>
            <w:szCs w:val="24"/>
          </w:rPr>
          <w:fldChar w:fldCharType="separate"/>
        </w:r>
        <w:r w:rsidRPr="00BC36C2">
          <w:rPr>
            <w:rFonts w:cs="Arial"/>
            <w:szCs w:val="24"/>
          </w:rPr>
          <w:t>2</w:t>
        </w:r>
        <w:r w:rsidRPr="00BC36C2">
          <w:rPr>
            <w:rFonts w:cs="Arial"/>
            <w:szCs w:val="24"/>
          </w:rPr>
          <w:fldChar w:fldCharType="end"/>
        </w:r>
      </w:p>
    </w:sdtContent>
  </w:sdt>
  <w:p w14:paraId="37661E3C" w14:textId="77777777" w:rsidR="00EE1D3A" w:rsidRDefault="00EE1D3A">
    <w:pPr>
      <w:pStyle w:val="Footer"/>
      <w:spacing w:after="28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2738C" w14:textId="77777777" w:rsidR="00EE1D3A" w:rsidRDefault="00EE1D3A">
    <w:pPr>
      <w:pStyle w:val="Footer"/>
      <w:spacing w:after="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E942A" w14:textId="77777777" w:rsidR="00577D4C" w:rsidRDefault="00577D4C" w:rsidP="00EE1D3A">
      <w:pPr>
        <w:spacing w:after="288" w:line="240" w:lineRule="auto"/>
      </w:pPr>
      <w:r>
        <w:separator/>
      </w:r>
    </w:p>
  </w:footnote>
  <w:footnote w:type="continuationSeparator" w:id="0">
    <w:p w14:paraId="48346A85" w14:textId="77777777" w:rsidR="00577D4C" w:rsidRDefault="00577D4C" w:rsidP="00EE1D3A">
      <w:pPr>
        <w:spacing w:after="288" w:line="240" w:lineRule="auto"/>
      </w:pPr>
      <w:r>
        <w:continuationSeparator/>
      </w:r>
    </w:p>
  </w:footnote>
  <w:footnote w:type="continuationNotice" w:id="1">
    <w:p w14:paraId="4C0689D3" w14:textId="77777777" w:rsidR="00577D4C" w:rsidRDefault="00577D4C">
      <w:pPr>
        <w:spacing w:after="288" w:line="240" w:lineRule="auto"/>
      </w:pPr>
    </w:p>
  </w:footnote>
  <w:footnote w:id="2">
    <w:p w14:paraId="02DDA585" w14:textId="77777777" w:rsidR="00EE1D3A" w:rsidRPr="00D14631" w:rsidRDefault="00EE1D3A" w:rsidP="00EE1D3A">
      <w:pPr>
        <w:pStyle w:val="FootnoteText"/>
        <w:rPr>
          <w:rFonts w:ascii="Arial" w:hAnsi="Arial" w:cs="Arial"/>
          <w:lang w:eastAsia="ja-JP"/>
        </w:rPr>
      </w:pPr>
      <w:r>
        <w:rPr>
          <w:rStyle w:val="FootnoteReference"/>
        </w:rPr>
        <w:footnoteRef/>
      </w:r>
      <w:r>
        <w:t xml:space="preserve"> </w:t>
      </w:r>
      <w:r w:rsidRPr="00A43C9A">
        <w:rPr>
          <w:rFonts w:ascii="Arial" w:hAnsi="Arial" w:cs="Arial"/>
          <w:sz w:val="16"/>
          <w:szCs w:val="16"/>
        </w:rPr>
        <w:t>The Intergovernmental Panel on Climate Change</w:t>
      </w:r>
      <w:r w:rsidRPr="00A43C9A">
        <w:rPr>
          <w:rFonts w:ascii="Arial" w:hAnsi="Arial" w:cs="Arial" w:hint="eastAsia"/>
          <w:sz w:val="16"/>
          <w:szCs w:val="16"/>
          <w:lang w:eastAsia="ja-JP"/>
        </w:rPr>
        <w:t xml:space="preserve">, </w:t>
      </w:r>
      <w:r w:rsidRPr="00A43C9A">
        <w:rPr>
          <w:rFonts w:ascii="Arial" w:hAnsi="Arial" w:cs="Arial"/>
          <w:sz w:val="16"/>
          <w:szCs w:val="16"/>
          <w:lang w:eastAsia="ja-JP"/>
        </w:rPr>
        <w:t>Sixth Assessment Report</w:t>
      </w:r>
      <w:r w:rsidRPr="00A43C9A">
        <w:rPr>
          <w:rFonts w:ascii="Arial" w:hAnsi="Arial" w:cs="Arial" w:hint="eastAsia"/>
          <w:sz w:val="16"/>
          <w:szCs w:val="16"/>
          <w:lang w:eastAsia="ja-JP"/>
        </w:rPr>
        <w:t xml:space="preserve">, </w:t>
      </w:r>
      <w:r w:rsidRPr="00A43C9A">
        <w:rPr>
          <w:rFonts w:ascii="Arial" w:hAnsi="Arial" w:cs="Arial"/>
          <w:sz w:val="16"/>
          <w:szCs w:val="16"/>
          <w:lang w:eastAsia="ja-JP"/>
        </w:rPr>
        <w:t>Climate Change 2022: Impacts, Adaptation and Vulnerability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56DC3" w14:textId="77777777" w:rsidR="00EE1D3A" w:rsidRDefault="00EE1D3A">
    <w:pPr>
      <w:pStyle w:val="Header"/>
      <w:spacing w:after="2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72F65" w14:textId="47692ECB" w:rsidR="00EE1D3A" w:rsidRPr="00E62997" w:rsidRDefault="00EE1D3A" w:rsidP="00EA1C3B">
    <w:pPr>
      <w:pStyle w:val="Header"/>
      <w:spacing w:after="28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C4940" w14:textId="77777777" w:rsidR="00EE1D3A" w:rsidRDefault="00EE1D3A">
    <w:pPr>
      <w:pStyle w:val="Header"/>
      <w:spacing w:after="2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A3E"/>
    <w:multiLevelType w:val="multilevel"/>
    <w:tmpl w:val="0A0E212A"/>
    <w:lvl w:ilvl="0">
      <w:start w:val="1"/>
      <w:numFmt w:val="decimal"/>
      <w:lvlText w:val="%1."/>
      <w:lvlJc w:val="left"/>
      <w:pPr>
        <w:ind w:left="720" w:hanging="360"/>
      </w:pPr>
      <w:rPr>
        <w:rFonts w:hint="default"/>
      </w:rPr>
    </w:lvl>
    <w:lvl w:ilvl="1">
      <w:start w:val="1"/>
      <w:numFmt w:val="decimal"/>
      <w:isLgl/>
      <w:lvlText w:val="%1.%2"/>
      <w:lvlJc w:val="left"/>
      <w:pPr>
        <w:ind w:left="1100" w:hanging="39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4502BA2"/>
    <w:multiLevelType w:val="hybridMultilevel"/>
    <w:tmpl w:val="243C8D7C"/>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83C1EBD"/>
    <w:multiLevelType w:val="hybridMultilevel"/>
    <w:tmpl w:val="CCD230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00797"/>
    <w:multiLevelType w:val="multilevel"/>
    <w:tmpl w:val="AC860D4E"/>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041E84"/>
    <w:multiLevelType w:val="hybridMultilevel"/>
    <w:tmpl w:val="F5D6CEEA"/>
    <w:lvl w:ilvl="0" w:tplc="5652043C">
      <w:start w:val="2022"/>
      <w:numFmt w:val="bullet"/>
      <w:lvlText w:val=""/>
      <w:lvlJc w:val="left"/>
      <w:pPr>
        <w:ind w:left="1440" w:hanging="360"/>
      </w:pPr>
      <w:rPr>
        <w:rFonts w:ascii="Symbol" w:eastAsia="SimSu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EE3763"/>
    <w:multiLevelType w:val="multilevel"/>
    <w:tmpl w:val="01905026"/>
    <w:lvl w:ilvl="0">
      <w:start w:val="1"/>
      <w:numFmt w:val="decimal"/>
      <w:lvlText w:val="%1."/>
      <w:lvlJc w:val="left"/>
      <w:pPr>
        <w:ind w:left="360" w:hanging="360"/>
      </w:pPr>
      <w:rPr>
        <w:rFonts w:hint="default"/>
        <w:sz w:val="32"/>
        <w:szCs w:val="32"/>
      </w:r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314A3D"/>
    <w:multiLevelType w:val="hybridMultilevel"/>
    <w:tmpl w:val="9112E05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6451BFB"/>
    <w:multiLevelType w:val="multilevel"/>
    <w:tmpl w:val="3A32FA40"/>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4F4C58"/>
    <w:multiLevelType w:val="hybridMultilevel"/>
    <w:tmpl w:val="26C845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F786719"/>
    <w:multiLevelType w:val="hybridMultilevel"/>
    <w:tmpl w:val="E83832B8"/>
    <w:lvl w:ilvl="0" w:tplc="3F889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28D9"/>
    <w:multiLevelType w:val="multilevel"/>
    <w:tmpl w:val="5B2AF67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color w:val="055957"/>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20631E"/>
    <w:multiLevelType w:val="multilevel"/>
    <w:tmpl w:val="72406688"/>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D476C3"/>
    <w:multiLevelType w:val="hybridMultilevel"/>
    <w:tmpl w:val="A3129A3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2C7F44"/>
    <w:multiLevelType w:val="multilevel"/>
    <w:tmpl w:val="0409001F"/>
    <w:lvl w:ilvl="0">
      <w:start w:val="1"/>
      <w:numFmt w:val="decimal"/>
      <w:lvlText w:val="%1."/>
      <w:lvlJc w:val="left"/>
      <w:pPr>
        <w:ind w:left="360" w:hanging="360"/>
      </w:pPr>
    </w:lvl>
    <w:lvl w:ilvl="1">
      <w:start w:val="1"/>
      <w:numFmt w:val="decimal"/>
      <w:lvlText w:val="%1.%2."/>
      <w:lvlJc w:val="left"/>
      <w:pPr>
        <w:ind w:left="28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FB2306"/>
    <w:multiLevelType w:val="hybridMultilevel"/>
    <w:tmpl w:val="538CA1B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300F73"/>
    <w:multiLevelType w:val="hybridMultilevel"/>
    <w:tmpl w:val="5F023336"/>
    <w:lvl w:ilvl="0" w:tplc="049E842E">
      <w:start w:val="2022"/>
      <w:numFmt w:val="bullet"/>
      <w:lvlText w:val=""/>
      <w:lvlJc w:val="left"/>
      <w:pPr>
        <w:ind w:left="1080" w:hanging="360"/>
      </w:pPr>
      <w:rPr>
        <w:rFonts w:ascii="Symbol" w:eastAsia="SimSu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225AD5"/>
    <w:multiLevelType w:val="hybridMultilevel"/>
    <w:tmpl w:val="D98A31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E754054"/>
    <w:multiLevelType w:val="hybridMultilevel"/>
    <w:tmpl w:val="9522A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B50E9A"/>
    <w:multiLevelType w:val="hybridMultilevel"/>
    <w:tmpl w:val="28D2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25F41"/>
    <w:multiLevelType w:val="multilevel"/>
    <w:tmpl w:val="0BA4DC28"/>
    <w:lvl w:ilvl="0">
      <w:start w:val="4"/>
      <w:numFmt w:val="decimal"/>
      <w:lvlText w:val="%1."/>
      <w:lvlJc w:val="left"/>
      <w:pPr>
        <w:ind w:left="375" w:hanging="375"/>
      </w:pPr>
      <w:rPr>
        <w:rFonts w:hint="default"/>
      </w:rPr>
    </w:lvl>
    <w:lvl w:ilvl="1">
      <w:start w:val="3"/>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0" w15:restartNumberingAfterBreak="0">
    <w:nsid w:val="4AE323B6"/>
    <w:multiLevelType w:val="hybridMultilevel"/>
    <w:tmpl w:val="742E63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4B762EE3"/>
    <w:multiLevelType w:val="hybridMultilevel"/>
    <w:tmpl w:val="FFD6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8213E"/>
    <w:multiLevelType w:val="hybridMultilevel"/>
    <w:tmpl w:val="716E1FE8"/>
    <w:lvl w:ilvl="0" w:tplc="C374D6C8">
      <w:numFmt w:val="bullet"/>
      <w:lvlText w:val="-"/>
      <w:lvlJc w:val="left"/>
      <w:pPr>
        <w:ind w:left="1080" w:hanging="360"/>
      </w:pPr>
      <w:rPr>
        <w:rFonts w:ascii="Arial" w:eastAsia="MS Mincho"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1F0B66"/>
    <w:multiLevelType w:val="hybridMultilevel"/>
    <w:tmpl w:val="D66ED032"/>
    <w:lvl w:ilvl="0" w:tplc="0409000D">
      <w:start w:val="1"/>
      <w:numFmt w:val="bullet"/>
      <w:lvlText w:val=""/>
      <w:lvlJc w:val="left"/>
      <w:pPr>
        <w:ind w:left="1261" w:hanging="360"/>
      </w:pPr>
      <w:rPr>
        <w:rFonts w:ascii="Wingdings" w:hAnsi="Wingdings"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4" w15:restartNumberingAfterBreak="0">
    <w:nsid w:val="535D50B4"/>
    <w:multiLevelType w:val="multilevel"/>
    <w:tmpl w:val="BB206BB0"/>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78F171A"/>
    <w:multiLevelType w:val="multilevel"/>
    <w:tmpl w:val="68E48B1E"/>
    <w:lvl w:ilvl="0">
      <w:start w:val="1"/>
      <w:numFmt w:val="decimal"/>
      <w:lvlText w:val="%1."/>
      <w:lvlJc w:val="left"/>
      <w:pPr>
        <w:ind w:left="1713" w:hanging="360"/>
      </w:pPr>
    </w:lvl>
    <w:lvl w:ilvl="1">
      <w:start w:val="1"/>
      <w:numFmt w:val="decimal"/>
      <w:isLgl/>
      <w:lvlText w:val="%1.%2"/>
      <w:lvlJc w:val="left"/>
      <w:pPr>
        <w:ind w:left="1713" w:hanging="360"/>
      </w:pPr>
      <w:rPr>
        <w:rFonts w:hint="default"/>
        <w:i/>
        <w:iCs/>
        <w:color w:val="156082" w:themeColor="accent1"/>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6" w15:restartNumberingAfterBreak="0">
    <w:nsid w:val="6C0B201F"/>
    <w:multiLevelType w:val="hybridMultilevel"/>
    <w:tmpl w:val="06A64A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F7BEF"/>
    <w:multiLevelType w:val="hybridMultilevel"/>
    <w:tmpl w:val="9AEAA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56EFF"/>
    <w:multiLevelType w:val="hybridMultilevel"/>
    <w:tmpl w:val="37D434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0F6A97"/>
    <w:multiLevelType w:val="hybridMultilevel"/>
    <w:tmpl w:val="9426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83D39"/>
    <w:multiLevelType w:val="hybridMultilevel"/>
    <w:tmpl w:val="B7F2356A"/>
    <w:lvl w:ilvl="0" w:tplc="94808598">
      <w:start w:val="202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40A21"/>
    <w:multiLevelType w:val="hybridMultilevel"/>
    <w:tmpl w:val="06E84738"/>
    <w:lvl w:ilvl="0" w:tplc="0409000F">
      <w:start w:val="1"/>
      <w:numFmt w:val="decimal"/>
      <w:lvlText w:val="%1."/>
      <w:lvlJc w:val="left"/>
      <w:pPr>
        <w:ind w:left="1080" w:hanging="360"/>
      </w:pPr>
    </w:lvl>
    <w:lvl w:ilvl="1" w:tplc="B3D6A2E8">
      <w:numFmt w:val="bullet"/>
      <w:lvlText w:val="•"/>
      <w:lvlJc w:val="left"/>
      <w:pPr>
        <w:ind w:left="2250" w:hanging="810"/>
      </w:pPr>
      <w:rPr>
        <w:rFonts w:ascii="Arial" w:eastAsia="MS Mincho"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9560EC"/>
    <w:multiLevelType w:val="hybridMultilevel"/>
    <w:tmpl w:val="223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445787">
    <w:abstractNumId w:val="27"/>
  </w:num>
  <w:num w:numId="2" w16cid:durableId="1510408877">
    <w:abstractNumId w:val="0"/>
  </w:num>
  <w:num w:numId="3" w16cid:durableId="838735189">
    <w:abstractNumId w:val="10"/>
  </w:num>
  <w:num w:numId="4" w16cid:durableId="1746687790">
    <w:abstractNumId w:val="14"/>
  </w:num>
  <w:num w:numId="5" w16cid:durableId="1338193192">
    <w:abstractNumId w:val="29"/>
  </w:num>
  <w:num w:numId="6" w16cid:durableId="1067342235">
    <w:abstractNumId w:val="19"/>
  </w:num>
  <w:num w:numId="7" w16cid:durableId="1564636076">
    <w:abstractNumId w:val="12"/>
  </w:num>
  <w:num w:numId="8" w16cid:durableId="432670677">
    <w:abstractNumId w:val="5"/>
  </w:num>
  <w:num w:numId="9" w16cid:durableId="1734698209">
    <w:abstractNumId w:val="8"/>
  </w:num>
  <w:num w:numId="10" w16cid:durableId="186063559">
    <w:abstractNumId w:val="16"/>
  </w:num>
  <w:num w:numId="11" w16cid:durableId="542862752">
    <w:abstractNumId w:val="6"/>
  </w:num>
  <w:num w:numId="12" w16cid:durableId="361446640">
    <w:abstractNumId w:val="28"/>
  </w:num>
  <w:num w:numId="13" w16cid:durableId="97216187">
    <w:abstractNumId w:val="22"/>
  </w:num>
  <w:num w:numId="14" w16cid:durableId="1466657607">
    <w:abstractNumId w:val="17"/>
  </w:num>
  <w:num w:numId="15" w16cid:durableId="659384689">
    <w:abstractNumId w:val="23"/>
  </w:num>
  <w:num w:numId="16" w16cid:durableId="1081754207">
    <w:abstractNumId w:val="2"/>
  </w:num>
  <w:num w:numId="17" w16cid:durableId="2069648709">
    <w:abstractNumId w:val="31"/>
  </w:num>
  <w:num w:numId="18" w16cid:durableId="748691918">
    <w:abstractNumId w:val="1"/>
  </w:num>
  <w:num w:numId="19" w16cid:durableId="558328099">
    <w:abstractNumId w:val="9"/>
  </w:num>
  <w:num w:numId="20" w16cid:durableId="1110128368">
    <w:abstractNumId w:val="21"/>
  </w:num>
  <w:num w:numId="21" w16cid:durableId="756441183">
    <w:abstractNumId w:val="26"/>
  </w:num>
  <w:num w:numId="22" w16cid:durableId="105125316">
    <w:abstractNumId w:val="13"/>
  </w:num>
  <w:num w:numId="23" w16cid:durableId="1011881927">
    <w:abstractNumId w:val="7"/>
  </w:num>
  <w:num w:numId="24" w16cid:durableId="1004623192">
    <w:abstractNumId w:val="20"/>
  </w:num>
  <w:num w:numId="25" w16cid:durableId="1700740376">
    <w:abstractNumId w:val="24"/>
  </w:num>
  <w:num w:numId="26" w16cid:durableId="1751733013">
    <w:abstractNumId w:val="11"/>
  </w:num>
  <w:num w:numId="27" w16cid:durableId="1909411726">
    <w:abstractNumId w:val="3"/>
  </w:num>
  <w:num w:numId="28" w16cid:durableId="1785540829">
    <w:abstractNumId w:val="18"/>
  </w:num>
  <w:num w:numId="29" w16cid:durableId="500892507">
    <w:abstractNumId w:val="25"/>
  </w:num>
  <w:num w:numId="30" w16cid:durableId="1998335138">
    <w:abstractNumId w:val="32"/>
  </w:num>
  <w:num w:numId="31" w16cid:durableId="1958173546">
    <w:abstractNumId w:val="30"/>
  </w:num>
  <w:num w:numId="32" w16cid:durableId="850139894">
    <w:abstractNumId w:val="15"/>
  </w:num>
  <w:num w:numId="33" w16cid:durableId="863906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6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EE1D3A"/>
    <w:rsid w:val="00000162"/>
    <w:rsid w:val="000008D6"/>
    <w:rsid w:val="00000D62"/>
    <w:rsid w:val="00000F8F"/>
    <w:rsid w:val="000011C4"/>
    <w:rsid w:val="00003398"/>
    <w:rsid w:val="0000431B"/>
    <w:rsid w:val="000047E7"/>
    <w:rsid w:val="00004B65"/>
    <w:rsid w:val="00005DA9"/>
    <w:rsid w:val="00007506"/>
    <w:rsid w:val="00007734"/>
    <w:rsid w:val="00010600"/>
    <w:rsid w:val="0001100B"/>
    <w:rsid w:val="0001145D"/>
    <w:rsid w:val="00011DCB"/>
    <w:rsid w:val="00012314"/>
    <w:rsid w:val="00012C02"/>
    <w:rsid w:val="00013EF0"/>
    <w:rsid w:val="0001419C"/>
    <w:rsid w:val="00014213"/>
    <w:rsid w:val="00014EF3"/>
    <w:rsid w:val="00015C05"/>
    <w:rsid w:val="00016281"/>
    <w:rsid w:val="0001635A"/>
    <w:rsid w:val="00017412"/>
    <w:rsid w:val="0002017E"/>
    <w:rsid w:val="000206B8"/>
    <w:rsid w:val="000208B4"/>
    <w:rsid w:val="000218E7"/>
    <w:rsid w:val="00021B1D"/>
    <w:rsid w:val="000220C3"/>
    <w:rsid w:val="0002267E"/>
    <w:rsid w:val="0002370C"/>
    <w:rsid w:val="000243F2"/>
    <w:rsid w:val="0002451E"/>
    <w:rsid w:val="000246BE"/>
    <w:rsid w:val="000247DB"/>
    <w:rsid w:val="00025094"/>
    <w:rsid w:val="00025454"/>
    <w:rsid w:val="00025929"/>
    <w:rsid w:val="000271B4"/>
    <w:rsid w:val="00027266"/>
    <w:rsid w:val="0002733A"/>
    <w:rsid w:val="00027E73"/>
    <w:rsid w:val="000303C3"/>
    <w:rsid w:val="000305FE"/>
    <w:rsid w:val="00030D9A"/>
    <w:rsid w:val="00031DD6"/>
    <w:rsid w:val="000325CC"/>
    <w:rsid w:val="0003285D"/>
    <w:rsid w:val="00032E93"/>
    <w:rsid w:val="00032FB3"/>
    <w:rsid w:val="0003404E"/>
    <w:rsid w:val="00034A1F"/>
    <w:rsid w:val="00035590"/>
    <w:rsid w:val="00035FA4"/>
    <w:rsid w:val="000360A9"/>
    <w:rsid w:val="00036A5D"/>
    <w:rsid w:val="00037F78"/>
    <w:rsid w:val="00040189"/>
    <w:rsid w:val="00040852"/>
    <w:rsid w:val="00040A09"/>
    <w:rsid w:val="000417FC"/>
    <w:rsid w:val="00042119"/>
    <w:rsid w:val="000422A2"/>
    <w:rsid w:val="00042422"/>
    <w:rsid w:val="00042D52"/>
    <w:rsid w:val="0004485C"/>
    <w:rsid w:val="000448C5"/>
    <w:rsid w:val="00044CAC"/>
    <w:rsid w:val="00044FF9"/>
    <w:rsid w:val="0004544D"/>
    <w:rsid w:val="00045577"/>
    <w:rsid w:val="000463DC"/>
    <w:rsid w:val="00047704"/>
    <w:rsid w:val="0004797A"/>
    <w:rsid w:val="000505C8"/>
    <w:rsid w:val="000512FD"/>
    <w:rsid w:val="00051822"/>
    <w:rsid w:val="00051E96"/>
    <w:rsid w:val="00052CA6"/>
    <w:rsid w:val="000530E6"/>
    <w:rsid w:val="000536A4"/>
    <w:rsid w:val="000536EA"/>
    <w:rsid w:val="0005403F"/>
    <w:rsid w:val="000543AB"/>
    <w:rsid w:val="00055F5A"/>
    <w:rsid w:val="00056CFC"/>
    <w:rsid w:val="00057386"/>
    <w:rsid w:val="000575ED"/>
    <w:rsid w:val="000608D3"/>
    <w:rsid w:val="00061D03"/>
    <w:rsid w:val="000623A0"/>
    <w:rsid w:val="000639AA"/>
    <w:rsid w:val="000651BA"/>
    <w:rsid w:val="00065460"/>
    <w:rsid w:val="00065930"/>
    <w:rsid w:val="00065F0F"/>
    <w:rsid w:val="000660EC"/>
    <w:rsid w:val="000668CC"/>
    <w:rsid w:val="00066AA3"/>
    <w:rsid w:val="00070457"/>
    <w:rsid w:val="000714C1"/>
    <w:rsid w:val="0007169F"/>
    <w:rsid w:val="00071D07"/>
    <w:rsid w:val="00071E10"/>
    <w:rsid w:val="000723CD"/>
    <w:rsid w:val="000725EE"/>
    <w:rsid w:val="000726CD"/>
    <w:rsid w:val="0007382B"/>
    <w:rsid w:val="000745A7"/>
    <w:rsid w:val="000747F9"/>
    <w:rsid w:val="00074CE4"/>
    <w:rsid w:val="0007561D"/>
    <w:rsid w:val="000756FD"/>
    <w:rsid w:val="00076AC2"/>
    <w:rsid w:val="0007709A"/>
    <w:rsid w:val="00080944"/>
    <w:rsid w:val="000822AD"/>
    <w:rsid w:val="00082494"/>
    <w:rsid w:val="000827BD"/>
    <w:rsid w:val="00082A86"/>
    <w:rsid w:val="00083322"/>
    <w:rsid w:val="0008334F"/>
    <w:rsid w:val="000846F2"/>
    <w:rsid w:val="00085539"/>
    <w:rsid w:val="00085B28"/>
    <w:rsid w:val="0008611E"/>
    <w:rsid w:val="0008791B"/>
    <w:rsid w:val="00087A33"/>
    <w:rsid w:val="000907D2"/>
    <w:rsid w:val="00090A0D"/>
    <w:rsid w:val="00090F43"/>
    <w:rsid w:val="00092722"/>
    <w:rsid w:val="00092AA7"/>
    <w:rsid w:val="000931C0"/>
    <w:rsid w:val="0009338E"/>
    <w:rsid w:val="0009350F"/>
    <w:rsid w:val="000941A9"/>
    <w:rsid w:val="000945DD"/>
    <w:rsid w:val="0009572C"/>
    <w:rsid w:val="00096335"/>
    <w:rsid w:val="000963AF"/>
    <w:rsid w:val="0009646F"/>
    <w:rsid w:val="0009766C"/>
    <w:rsid w:val="0009794A"/>
    <w:rsid w:val="00097CC4"/>
    <w:rsid w:val="00097EBC"/>
    <w:rsid w:val="000A00DE"/>
    <w:rsid w:val="000A0492"/>
    <w:rsid w:val="000A07E1"/>
    <w:rsid w:val="000A184F"/>
    <w:rsid w:val="000A2093"/>
    <w:rsid w:val="000A28B9"/>
    <w:rsid w:val="000A339E"/>
    <w:rsid w:val="000A3449"/>
    <w:rsid w:val="000A3A65"/>
    <w:rsid w:val="000A4F7D"/>
    <w:rsid w:val="000A5260"/>
    <w:rsid w:val="000A5366"/>
    <w:rsid w:val="000A5577"/>
    <w:rsid w:val="000A5AF7"/>
    <w:rsid w:val="000A6BA7"/>
    <w:rsid w:val="000B0E73"/>
    <w:rsid w:val="000B21E0"/>
    <w:rsid w:val="000B23F6"/>
    <w:rsid w:val="000B2BFC"/>
    <w:rsid w:val="000B36ED"/>
    <w:rsid w:val="000B3E8C"/>
    <w:rsid w:val="000B6870"/>
    <w:rsid w:val="000B7301"/>
    <w:rsid w:val="000C0012"/>
    <w:rsid w:val="000C0473"/>
    <w:rsid w:val="000C0CA2"/>
    <w:rsid w:val="000C188A"/>
    <w:rsid w:val="000C2138"/>
    <w:rsid w:val="000C35E1"/>
    <w:rsid w:val="000C3E63"/>
    <w:rsid w:val="000C4854"/>
    <w:rsid w:val="000C57F9"/>
    <w:rsid w:val="000C6148"/>
    <w:rsid w:val="000C6510"/>
    <w:rsid w:val="000C7581"/>
    <w:rsid w:val="000C75FE"/>
    <w:rsid w:val="000C76B5"/>
    <w:rsid w:val="000D1261"/>
    <w:rsid w:val="000D195D"/>
    <w:rsid w:val="000D1B98"/>
    <w:rsid w:val="000D235E"/>
    <w:rsid w:val="000D2766"/>
    <w:rsid w:val="000D3484"/>
    <w:rsid w:val="000D4636"/>
    <w:rsid w:val="000D4FF6"/>
    <w:rsid w:val="000D571C"/>
    <w:rsid w:val="000D6AC9"/>
    <w:rsid w:val="000D6DFE"/>
    <w:rsid w:val="000D71FF"/>
    <w:rsid w:val="000D72B9"/>
    <w:rsid w:val="000D789A"/>
    <w:rsid w:val="000D79FB"/>
    <w:rsid w:val="000E0070"/>
    <w:rsid w:val="000E00EF"/>
    <w:rsid w:val="000E04C2"/>
    <w:rsid w:val="000E0B5A"/>
    <w:rsid w:val="000E1C33"/>
    <w:rsid w:val="000E1C46"/>
    <w:rsid w:val="000E1EE6"/>
    <w:rsid w:val="000E2FE7"/>
    <w:rsid w:val="000E315B"/>
    <w:rsid w:val="000E32E7"/>
    <w:rsid w:val="000E36B8"/>
    <w:rsid w:val="000E4855"/>
    <w:rsid w:val="000E498A"/>
    <w:rsid w:val="000E4B55"/>
    <w:rsid w:val="000E54B6"/>
    <w:rsid w:val="000E5629"/>
    <w:rsid w:val="000E6B76"/>
    <w:rsid w:val="000E7206"/>
    <w:rsid w:val="000F0FF1"/>
    <w:rsid w:val="000F16B4"/>
    <w:rsid w:val="000F347A"/>
    <w:rsid w:val="000F39EF"/>
    <w:rsid w:val="000F3B52"/>
    <w:rsid w:val="000F3E7C"/>
    <w:rsid w:val="000F43BF"/>
    <w:rsid w:val="000F51B1"/>
    <w:rsid w:val="000F58B1"/>
    <w:rsid w:val="000F5BDE"/>
    <w:rsid w:val="000F5EBD"/>
    <w:rsid w:val="000F63A9"/>
    <w:rsid w:val="000F67FD"/>
    <w:rsid w:val="000F6B5A"/>
    <w:rsid w:val="000F714B"/>
    <w:rsid w:val="000F790D"/>
    <w:rsid w:val="001006C8"/>
    <w:rsid w:val="001008A8"/>
    <w:rsid w:val="00100AC2"/>
    <w:rsid w:val="001022BB"/>
    <w:rsid w:val="00102B2E"/>
    <w:rsid w:val="00102E55"/>
    <w:rsid w:val="001031A4"/>
    <w:rsid w:val="00103258"/>
    <w:rsid w:val="00103969"/>
    <w:rsid w:val="00104059"/>
    <w:rsid w:val="001045CE"/>
    <w:rsid w:val="00104912"/>
    <w:rsid w:val="00105111"/>
    <w:rsid w:val="001053D9"/>
    <w:rsid w:val="00106CAE"/>
    <w:rsid w:val="00107A2B"/>
    <w:rsid w:val="00107FD8"/>
    <w:rsid w:val="00111046"/>
    <w:rsid w:val="001115D3"/>
    <w:rsid w:val="00111E0E"/>
    <w:rsid w:val="00112756"/>
    <w:rsid w:val="001136AF"/>
    <w:rsid w:val="0011489B"/>
    <w:rsid w:val="00114DB3"/>
    <w:rsid w:val="00115767"/>
    <w:rsid w:val="00115AAB"/>
    <w:rsid w:val="0011620D"/>
    <w:rsid w:val="00116361"/>
    <w:rsid w:val="0011700E"/>
    <w:rsid w:val="001172C8"/>
    <w:rsid w:val="00117CFD"/>
    <w:rsid w:val="001200C8"/>
    <w:rsid w:val="0012023D"/>
    <w:rsid w:val="0012077F"/>
    <w:rsid w:val="00120DCD"/>
    <w:rsid w:val="0012191A"/>
    <w:rsid w:val="00121B5C"/>
    <w:rsid w:val="001225DD"/>
    <w:rsid w:val="0012355B"/>
    <w:rsid w:val="001236DA"/>
    <w:rsid w:val="00124AB0"/>
    <w:rsid w:val="00124B81"/>
    <w:rsid w:val="00124BCD"/>
    <w:rsid w:val="00124E35"/>
    <w:rsid w:val="00125E27"/>
    <w:rsid w:val="00125E37"/>
    <w:rsid w:val="0012635D"/>
    <w:rsid w:val="00126967"/>
    <w:rsid w:val="00126F4B"/>
    <w:rsid w:val="0013003C"/>
    <w:rsid w:val="0013043B"/>
    <w:rsid w:val="001316F4"/>
    <w:rsid w:val="0013176E"/>
    <w:rsid w:val="0013285F"/>
    <w:rsid w:val="00133103"/>
    <w:rsid w:val="001336ED"/>
    <w:rsid w:val="00133B3A"/>
    <w:rsid w:val="001342E5"/>
    <w:rsid w:val="00134D70"/>
    <w:rsid w:val="001362EC"/>
    <w:rsid w:val="00136777"/>
    <w:rsid w:val="00136B8C"/>
    <w:rsid w:val="00136DD7"/>
    <w:rsid w:val="0013779A"/>
    <w:rsid w:val="001377DD"/>
    <w:rsid w:val="00137A4B"/>
    <w:rsid w:val="001403E4"/>
    <w:rsid w:val="00140673"/>
    <w:rsid w:val="00141B39"/>
    <w:rsid w:val="00142D18"/>
    <w:rsid w:val="00144901"/>
    <w:rsid w:val="00144C3E"/>
    <w:rsid w:val="00144EE4"/>
    <w:rsid w:val="00145051"/>
    <w:rsid w:val="00145B4F"/>
    <w:rsid w:val="0014617F"/>
    <w:rsid w:val="001476AE"/>
    <w:rsid w:val="001478C5"/>
    <w:rsid w:val="00151592"/>
    <w:rsid w:val="00151B76"/>
    <w:rsid w:val="00151D76"/>
    <w:rsid w:val="00151DC1"/>
    <w:rsid w:val="00152372"/>
    <w:rsid w:val="00152641"/>
    <w:rsid w:val="001527AC"/>
    <w:rsid w:val="00152A98"/>
    <w:rsid w:val="0015481F"/>
    <w:rsid w:val="00156B2C"/>
    <w:rsid w:val="001579AE"/>
    <w:rsid w:val="001614A3"/>
    <w:rsid w:val="00161C92"/>
    <w:rsid w:val="0016205B"/>
    <w:rsid w:val="00162501"/>
    <w:rsid w:val="0016314D"/>
    <w:rsid w:val="0016388F"/>
    <w:rsid w:val="0016530B"/>
    <w:rsid w:val="00165346"/>
    <w:rsid w:val="00166013"/>
    <w:rsid w:val="001668BF"/>
    <w:rsid w:val="00166A3B"/>
    <w:rsid w:val="00166DFD"/>
    <w:rsid w:val="0016743E"/>
    <w:rsid w:val="0016751F"/>
    <w:rsid w:val="001709B2"/>
    <w:rsid w:val="0017122C"/>
    <w:rsid w:val="0017155E"/>
    <w:rsid w:val="0017165F"/>
    <w:rsid w:val="001716F8"/>
    <w:rsid w:val="0017219E"/>
    <w:rsid w:val="00172509"/>
    <w:rsid w:val="00172E0A"/>
    <w:rsid w:val="00172F9C"/>
    <w:rsid w:val="00173AB5"/>
    <w:rsid w:val="0017405B"/>
    <w:rsid w:val="0017464E"/>
    <w:rsid w:val="00174EFF"/>
    <w:rsid w:val="00175067"/>
    <w:rsid w:val="001751A1"/>
    <w:rsid w:val="00175228"/>
    <w:rsid w:val="001755B5"/>
    <w:rsid w:val="001755BC"/>
    <w:rsid w:val="001769FC"/>
    <w:rsid w:val="00176EE2"/>
    <w:rsid w:val="0017738F"/>
    <w:rsid w:val="00177C04"/>
    <w:rsid w:val="001807CF"/>
    <w:rsid w:val="00180C57"/>
    <w:rsid w:val="00180CAB"/>
    <w:rsid w:val="00181807"/>
    <w:rsid w:val="00181896"/>
    <w:rsid w:val="001819F1"/>
    <w:rsid w:val="00181DBB"/>
    <w:rsid w:val="0018209F"/>
    <w:rsid w:val="001820CD"/>
    <w:rsid w:val="00182209"/>
    <w:rsid w:val="00182EF2"/>
    <w:rsid w:val="00182F9B"/>
    <w:rsid w:val="001830CB"/>
    <w:rsid w:val="00183120"/>
    <w:rsid w:val="00183943"/>
    <w:rsid w:val="001842D6"/>
    <w:rsid w:val="001844BE"/>
    <w:rsid w:val="00186F48"/>
    <w:rsid w:val="0018772A"/>
    <w:rsid w:val="00187968"/>
    <w:rsid w:val="00190A7E"/>
    <w:rsid w:val="001910CB"/>
    <w:rsid w:val="0019139A"/>
    <w:rsid w:val="0019166F"/>
    <w:rsid w:val="00191705"/>
    <w:rsid w:val="00191F72"/>
    <w:rsid w:val="00192549"/>
    <w:rsid w:val="0019262E"/>
    <w:rsid w:val="00193966"/>
    <w:rsid w:val="00194015"/>
    <w:rsid w:val="00194299"/>
    <w:rsid w:val="00194727"/>
    <w:rsid w:val="00194DF7"/>
    <w:rsid w:val="00194F22"/>
    <w:rsid w:val="00195872"/>
    <w:rsid w:val="001959D7"/>
    <w:rsid w:val="00196B75"/>
    <w:rsid w:val="00196E10"/>
    <w:rsid w:val="0019745D"/>
    <w:rsid w:val="001975EC"/>
    <w:rsid w:val="001A06F4"/>
    <w:rsid w:val="001A0AE3"/>
    <w:rsid w:val="001A14BA"/>
    <w:rsid w:val="001A1CF2"/>
    <w:rsid w:val="001A2381"/>
    <w:rsid w:val="001A3172"/>
    <w:rsid w:val="001A31D6"/>
    <w:rsid w:val="001A3751"/>
    <w:rsid w:val="001A3860"/>
    <w:rsid w:val="001A3EF9"/>
    <w:rsid w:val="001A450B"/>
    <w:rsid w:val="001A5744"/>
    <w:rsid w:val="001A5777"/>
    <w:rsid w:val="001A6512"/>
    <w:rsid w:val="001A6D51"/>
    <w:rsid w:val="001B2334"/>
    <w:rsid w:val="001B245A"/>
    <w:rsid w:val="001B2503"/>
    <w:rsid w:val="001B294D"/>
    <w:rsid w:val="001B3238"/>
    <w:rsid w:val="001B3E39"/>
    <w:rsid w:val="001B3E72"/>
    <w:rsid w:val="001B506C"/>
    <w:rsid w:val="001B5089"/>
    <w:rsid w:val="001B52E2"/>
    <w:rsid w:val="001B59EF"/>
    <w:rsid w:val="001B646C"/>
    <w:rsid w:val="001B6987"/>
    <w:rsid w:val="001C06FB"/>
    <w:rsid w:val="001C2B22"/>
    <w:rsid w:val="001C31D7"/>
    <w:rsid w:val="001C4731"/>
    <w:rsid w:val="001C4ACC"/>
    <w:rsid w:val="001C5449"/>
    <w:rsid w:val="001C5D03"/>
    <w:rsid w:val="001C6CC5"/>
    <w:rsid w:val="001C7B36"/>
    <w:rsid w:val="001C7E59"/>
    <w:rsid w:val="001C7F11"/>
    <w:rsid w:val="001D0A0A"/>
    <w:rsid w:val="001D0E8D"/>
    <w:rsid w:val="001D125F"/>
    <w:rsid w:val="001D1D8D"/>
    <w:rsid w:val="001D1D92"/>
    <w:rsid w:val="001D2B79"/>
    <w:rsid w:val="001D2DBF"/>
    <w:rsid w:val="001D4834"/>
    <w:rsid w:val="001D527E"/>
    <w:rsid w:val="001D62F4"/>
    <w:rsid w:val="001D675E"/>
    <w:rsid w:val="001D6921"/>
    <w:rsid w:val="001D76A9"/>
    <w:rsid w:val="001D79B5"/>
    <w:rsid w:val="001E0331"/>
    <w:rsid w:val="001E0C1E"/>
    <w:rsid w:val="001E1257"/>
    <w:rsid w:val="001E16F7"/>
    <w:rsid w:val="001E214E"/>
    <w:rsid w:val="001E22A3"/>
    <w:rsid w:val="001E2F3C"/>
    <w:rsid w:val="001E300E"/>
    <w:rsid w:val="001E32F8"/>
    <w:rsid w:val="001E541F"/>
    <w:rsid w:val="001E54E3"/>
    <w:rsid w:val="001E57DC"/>
    <w:rsid w:val="001E677B"/>
    <w:rsid w:val="001E71FD"/>
    <w:rsid w:val="001E76D8"/>
    <w:rsid w:val="001F0D17"/>
    <w:rsid w:val="001F0D3D"/>
    <w:rsid w:val="001F18EC"/>
    <w:rsid w:val="001F1932"/>
    <w:rsid w:val="001F1F46"/>
    <w:rsid w:val="001F2632"/>
    <w:rsid w:val="001F2F24"/>
    <w:rsid w:val="001F3021"/>
    <w:rsid w:val="001F3858"/>
    <w:rsid w:val="001F4065"/>
    <w:rsid w:val="001F4251"/>
    <w:rsid w:val="001F4D87"/>
    <w:rsid w:val="001F4F32"/>
    <w:rsid w:val="001F57CC"/>
    <w:rsid w:val="001F6297"/>
    <w:rsid w:val="001F7983"/>
    <w:rsid w:val="001F7B6D"/>
    <w:rsid w:val="00200817"/>
    <w:rsid w:val="00200E05"/>
    <w:rsid w:val="002037A1"/>
    <w:rsid w:val="002045AB"/>
    <w:rsid w:val="002049BB"/>
    <w:rsid w:val="00204D61"/>
    <w:rsid w:val="00204E82"/>
    <w:rsid w:val="00205825"/>
    <w:rsid w:val="00205E76"/>
    <w:rsid w:val="002063DD"/>
    <w:rsid w:val="002068EC"/>
    <w:rsid w:val="0020751B"/>
    <w:rsid w:val="002079C7"/>
    <w:rsid w:val="00210786"/>
    <w:rsid w:val="00210AAF"/>
    <w:rsid w:val="00210B4F"/>
    <w:rsid w:val="00210B9E"/>
    <w:rsid w:val="00211815"/>
    <w:rsid w:val="00211C62"/>
    <w:rsid w:val="00212A2F"/>
    <w:rsid w:val="00212C32"/>
    <w:rsid w:val="00213D0D"/>
    <w:rsid w:val="00214309"/>
    <w:rsid w:val="002146E3"/>
    <w:rsid w:val="0021599B"/>
    <w:rsid w:val="00216705"/>
    <w:rsid w:val="00216A97"/>
    <w:rsid w:val="00216CC2"/>
    <w:rsid w:val="0021771F"/>
    <w:rsid w:val="00217920"/>
    <w:rsid w:val="00217B09"/>
    <w:rsid w:val="00220B5F"/>
    <w:rsid w:val="0022189C"/>
    <w:rsid w:val="00221CEE"/>
    <w:rsid w:val="0022256F"/>
    <w:rsid w:val="002227E5"/>
    <w:rsid w:val="00222A0C"/>
    <w:rsid w:val="00222CF5"/>
    <w:rsid w:val="00222E21"/>
    <w:rsid w:val="0022368B"/>
    <w:rsid w:val="0022421D"/>
    <w:rsid w:val="002251F2"/>
    <w:rsid w:val="00225734"/>
    <w:rsid w:val="002258A4"/>
    <w:rsid w:val="00225F73"/>
    <w:rsid w:val="002270C6"/>
    <w:rsid w:val="00227989"/>
    <w:rsid w:val="00230ADC"/>
    <w:rsid w:val="00231D13"/>
    <w:rsid w:val="0023290A"/>
    <w:rsid w:val="00232A28"/>
    <w:rsid w:val="00232D06"/>
    <w:rsid w:val="00232D65"/>
    <w:rsid w:val="00233AAC"/>
    <w:rsid w:val="002346A8"/>
    <w:rsid w:val="002350EF"/>
    <w:rsid w:val="00235FA9"/>
    <w:rsid w:val="0023741A"/>
    <w:rsid w:val="00237C2B"/>
    <w:rsid w:val="00240092"/>
    <w:rsid w:val="0024020E"/>
    <w:rsid w:val="00240A23"/>
    <w:rsid w:val="00240B03"/>
    <w:rsid w:val="00240EB2"/>
    <w:rsid w:val="002411E5"/>
    <w:rsid w:val="00242069"/>
    <w:rsid w:val="002422B7"/>
    <w:rsid w:val="00243D13"/>
    <w:rsid w:val="00244284"/>
    <w:rsid w:val="00244450"/>
    <w:rsid w:val="00244B79"/>
    <w:rsid w:val="00244C61"/>
    <w:rsid w:val="00245393"/>
    <w:rsid w:val="00245422"/>
    <w:rsid w:val="002472DA"/>
    <w:rsid w:val="002474E4"/>
    <w:rsid w:val="00250B53"/>
    <w:rsid w:val="00251320"/>
    <w:rsid w:val="0025133F"/>
    <w:rsid w:val="0025155E"/>
    <w:rsid w:val="00251D42"/>
    <w:rsid w:val="00251E4C"/>
    <w:rsid w:val="00252629"/>
    <w:rsid w:val="0025267B"/>
    <w:rsid w:val="0025355A"/>
    <w:rsid w:val="0025526B"/>
    <w:rsid w:val="002558C1"/>
    <w:rsid w:val="00255C30"/>
    <w:rsid w:val="00256968"/>
    <w:rsid w:val="002570FC"/>
    <w:rsid w:val="00257395"/>
    <w:rsid w:val="00257AA5"/>
    <w:rsid w:val="002607CA"/>
    <w:rsid w:val="00261397"/>
    <w:rsid w:val="0026170C"/>
    <w:rsid w:val="00261B4E"/>
    <w:rsid w:val="00262983"/>
    <w:rsid w:val="0026370A"/>
    <w:rsid w:val="00263C92"/>
    <w:rsid w:val="00263D1F"/>
    <w:rsid w:val="00264627"/>
    <w:rsid w:val="00265239"/>
    <w:rsid w:val="00265473"/>
    <w:rsid w:val="0026567E"/>
    <w:rsid w:val="00265D5C"/>
    <w:rsid w:val="00265E09"/>
    <w:rsid w:val="00265ECB"/>
    <w:rsid w:val="00265F53"/>
    <w:rsid w:val="00266424"/>
    <w:rsid w:val="00266518"/>
    <w:rsid w:val="0026723C"/>
    <w:rsid w:val="00270B36"/>
    <w:rsid w:val="0027126A"/>
    <w:rsid w:val="002712D9"/>
    <w:rsid w:val="002714B4"/>
    <w:rsid w:val="002716E8"/>
    <w:rsid w:val="0027199E"/>
    <w:rsid w:val="00271A13"/>
    <w:rsid w:val="00271D2B"/>
    <w:rsid w:val="0027365C"/>
    <w:rsid w:val="0027410C"/>
    <w:rsid w:val="00274B57"/>
    <w:rsid w:val="00274B93"/>
    <w:rsid w:val="00275F3B"/>
    <w:rsid w:val="002766D6"/>
    <w:rsid w:val="00277A9E"/>
    <w:rsid w:val="00277FF3"/>
    <w:rsid w:val="002801C6"/>
    <w:rsid w:val="00280841"/>
    <w:rsid w:val="002817AA"/>
    <w:rsid w:val="002819D3"/>
    <w:rsid w:val="00281F99"/>
    <w:rsid w:val="0028253C"/>
    <w:rsid w:val="00282BE6"/>
    <w:rsid w:val="00283232"/>
    <w:rsid w:val="00283D11"/>
    <w:rsid w:val="00284297"/>
    <w:rsid w:val="0028455F"/>
    <w:rsid w:val="00284D69"/>
    <w:rsid w:val="00284FF1"/>
    <w:rsid w:val="00285005"/>
    <w:rsid w:val="00285026"/>
    <w:rsid w:val="002853A0"/>
    <w:rsid w:val="002853D5"/>
    <w:rsid w:val="00286456"/>
    <w:rsid w:val="00287AE0"/>
    <w:rsid w:val="0029028C"/>
    <w:rsid w:val="00291042"/>
    <w:rsid w:val="00291229"/>
    <w:rsid w:val="00291CB2"/>
    <w:rsid w:val="002924F6"/>
    <w:rsid w:val="00292694"/>
    <w:rsid w:val="00292B2C"/>
    <w:rsid w:val="00293143"/>
    <w:rsid w:val="00293FD2"/>
    <w:rsid w:val="002949FD"/>
    <w:rsid w:val="00295077"/>
    <w:rsid w:val="002952F4"/>
    <w:rsid w:val="0029538B"/>
    <w:rsid w:val="002957EE"/>
    <w:rsid w:val="00295B3E"/>
    <w:rsid w:val="002962E4"/>
    <w:rsid w:val="002968BB"/>
    <w:rsid w:val="00297931"/>
    <w:rsid w:val="002A11EA"/>
    <w:rsid w:val="002A1404"/>
    <w:rsid w:val="002A1F21"/>
    <w:rsid w:val="002A3CD1"/>
    <w:rsid w:val="002A3DDC"/>
    <w:rsid w:val="002A3E31"/>
    <w:rsid w:val="002A543C"/>
    <w:rsid w:val="002A56A8"/>
    <w:rsid w:val="002A6A3A"/>
    <w:rsid w:val="002A6ADB"/>
    <w:rsid w:val="002A6E9B"/>
    <w:rsid w:val="002A7149"/>
    <w:rsid w:val="002A7270"/>
    <w:rsid w:val="002A7A20"/>
    <w:rsid w:val="002A7DC3"/>
    <w:rsid w:val="002B26C8"/>
    <w:rsid w:val="002B2964"/>
    <w:rsid w:val="002B2BBC"/>
    <w:rsid w:val="002B2C54"/>
    <w:rsid w:val="002B3369"/>
    <w:rsid w:val="002B4980"/>
    <w:rsid w:val="002B4D32"/>
    <w:rsid w:val="002B5AF4"/>
    <w:rsid w:val="002B5C1F"/>
    <w:rsid w:val="002B60A6"/>
    <w:rsid w:val="002B618C"/>
    <w:rsid w:val="002B61C9"/>
    <w:rsid w:val="002B65AC"/>
    <w:rsid w:val="002B78A7"/>
    <w:rsid w:val="002B7EE2"/>
    <w:rsid w:val="002C0A3D"/>
    <w:rsid w:val="002C1B23"/>
    <w:rsid w:val="002C2095"/>
    <w:rsid w:val="002C2168"/>
    <w:rsid w:val="002C271C"/>
    <w:rsid w:val="002C273B"/>
    <w:rsid w:val="002C2A74"/>
    <w:rsid w:val="002C3249"/>
    <w:rsid w:val="002C3B6E"/>
    <w:rsid w:val="002C4B84"/>
    <w:rsid w:val="002C4E6E"/>
    <w:rsid w:val="002C5067"/>
    <w:rsid w:val="002C61B5"/>
    <w:rsid w:val="002C63ED"/>
    <w:rsid w:val="002D0303"/>
    <w:rsid w:val="002D051C"/>
    <w:rsid w:val="002D0891"/>
    <w:rsid w:val="002D242D"/>
    <w:rsid w:val="002D2640"/>
    <w:rsid w:val="002D2673"/>
    <w:rsid w:val="002D27A9"/>
    <w:rsid w:val="002D28D2"/>
    <w:rsid w:val="002D2F74"/>
    <w:rsid w:val="002D32E1"/>
    <w:rsid w:val="002D35CC"/>
    <w:rsid w:val="002D3856"/>
    <w:rsid w:val="002D3B73"/>
    <w:rsid w:val="002D42E1"/>
    <w:rsid w:val="002D4901"/>
    <w:rsid w:val="002D4B74"/>
    <w:rsid w:val="002D5178"/>
    <w:rsid w:val="002D5647"/>
    <w:rsid w:val="002D5E0E"/>
    <w:rsid w:val="002D7A39"/>
    <w:rsid w:val="002D7CB8"/>
    <w:rsid w:val="002E012F"/>
    <w:rsid w:val="002E086E"/>
    <w:rsid w:val="002E2027"/>
    <w:rsid w:val="002E31A0"/>
    <w:rsid w:val="002E3335"/>
    <w:rsid w:val="002E3668"/>
    <w:rsid w:val="002E3787"/>
    <w:rsid w:val="002E3EE0"/>
    <w:rsid w:val="002E51E6"/>
    <w:rsid w:val="002E55B1"/>
    <w:rsid w:val="002E610A"/>
    <w:rsid w:val="002E6431"/>
    <w:rsid w:val="002E6ECE"/>
    <w:rsid w:val="002E726C"/>
    <w:rsid w:val="002E7D52"/>
    <w:rsid w:val="002F1804"/>
    <w:rsid w:val="002F261D"/>
    <w:rsid w:val="002F2B99"/>
    <w:rsid w:val="002F44B7"/>
    <w:rsid w:val="002F4864"/>
    <w:rsid w:val="002F4D99"/>
    <w:rsid w:val="002F4DA0"/>
    <w:rsid w:val="002F57A4"/>
    <w:rsid w:val="002F68F6"/>
    <w:rsid w:val="002F7B3C"/>
    <w:rsid w:val="00300768"/>
    <w:rsid w:val="00300AED"/>
    <w:rsid w:val="00300E37"/>
    <w:rsid w:val="003022A2"/>
    <w:rsid w:val="00302573"/>
    <w:rsid w:val="003035CF"/>
    <w:rsid w:val="00303667"/>
    <w:rsid w:val="0030368D"/>
    <w:rsid w:val="00303890"/>
    <w:rsid w:val="00304939"/>
    <w:rsid w:val="0030556F"/>
    <w:rsid w:val="00305B4D"/>
    <w:rsid w:val="00306827"/>
    <w:rsid w:val="0030688C"/>
    <w:rsid w:val="003068B2"/>
    <w:rsid w:val="00307B33"/>
    <w:rsid w:val="003103B0"/>
    <w:rsid w:val="003109E1"/>
    <w:rsid w:val="00312065"/>
    <w:rsid w:val="0031345D"/>
    <w:rsid w:val="0031349C"/>
    <w:rsid w:val="003146D7"/>
    <w:rsid w:val="00314E20"/>
    <w:rsid w:val="003159C5"/>
    <w:rsid w:val="0031651E"/>
    <w:rsid w:val="003169A3"/>
    <w:rsid w:val="00316ED1"/>
    <w:rsid w:val="00317A99"/>
    <w:rsid w:val="00317F2D"/>
    <w:rsid w:val="003208B0"/>
    <w:rsid w:val="00320AEC"/>
    <w:rsid w:val="00320B81"/>
    <w:rsid w:val="00321339"/>
    <w:rsid w:val="003217B5"/>
    <w:rsid w:val="00322198"/>
    <w:rsid w:val="00323480"/>
    <w:rsid w:val="003235F6"/>
    <w:rsid w:val="0032408C"/>
    <w:rsid w:val="00324356"/>
    <w:rsid w:val="00324694"/>
    <w:rsid w:val="00325090"/>
    <w:rsid w:val="00325151"/>
    <w:rsid w:val="00325457"/>
    <w:rsid w:val="00325C78"/>
    <w:rsid w:val="00326107"/>
    <w:rsid w:val="00326382"/>
    <w:rsid w:val="0032689A"/>
    <w:rsid w:val="00326EB7"/>
    <w:rsid w:val="00327235"/>
    <w:rsid w:val="0033083E"/>
    <w:rsid w:val="003309CA"/>
    <w:rsid w:val="003315D4"/>
    <w:rsid w:val="0033231E"/>
    <w:rsid w:val="00332380"/>
    <w:rsid w:val="00332A64"/>
    <w:rsid w:val="00333274"/>
    <w:rsid w:val="003332EE"/>
    <w:rsid w:val="00334C25"/>
    <w:rsid w:val="00335592"/>
    <w:rsid w:val="003357FC"/>
    <w:rsid w:val="00335B85"/>
    <w:rsid w:val="00335C40"/>
    <w:rsid w:val="00336035"/>
    <w:rsid w:val="00336460"/>
    <w:rsid w:val="003369D9"/>
    <w:rsid w:val="00336E93"/>
    <w:rsid w:val="00337528"/>
    <w:rsid w:val="003378CE"/>
    <w:rsid w:val="00337D88"/>
    <w:rsid w:val="00337FB4"/>
    <w:rsid w:val="00340C1C"/>
    <w:rsid w:val="003418E5"/>
    <w:rsid w:val="00341B6F"/>
    <w:rsid w:val="00341F75"/>
    <w:rsid w:val="00341F93"/>
    <w:rsid w:val="00341FE5"/>
    <w:rsid w:val="00343067"/>
    <w:rsid w:val="003432D2"/>
    <w:rsid w:val="003434E6"/>
    <w:rsid w:val="00343D36"/>
    <w:rsid w:val="00344084"/>
    <w:rsid w:val="003440E5"/>
    <w:rsid w:val="003447DD"/>
    <w:rsid w:val="00344E5A"/>
    <w:rsid w:val="0034505D"/>
    <w:rsid w:val="00346303"/>
    <w:rsid w:val="00346BE3"/>
    <w:rsid w:val="00346C13"/>
    <w:rsid w:val="00350344"/>
    <w:rsid w:val="00350974"/>
    <w:rsid w:val="00350B61"/>
    <w:rsid w:val="0035245A"/>
    <w:rsid w:val="003538F6"/>
    <w:rsid w:val="003547F9"/>
    <w:rsid w:val="003561FB"/>
    <w:rsid w:val="00356495"/>
    <w:rsid w:val="003566A5"/>
    <w:rsid w:val="0035673B"/>
    <w:rsid w:val="003569DB"/>
    <w:rsid w:val="00356A22"/>
    <w:rsid w:val="0035704A"/>
    <w:rsid w:val="00357D1A"/>
    <w:rsid w:val="00360166"/>
    <w:rsid w:val="0036049E"/>
    <w:rsid w:val="00360BDA"/>
    <w:rsid w:val="003615F7"/>
    <w:rsid w:val="003629C0"/>
    <w:rsid w:val="0036332F"/>
    <w:rsid w:val="00364994"/>
    <w:rsid w:val="00364C66"/>
    <w:rsid w:val="00365230"/>
    <w:rsid w:val="0036618E"/>
    <w:rsid w:val="00366501"/>
    <w:rsid w:val="00366C69"/>
    <w:rsid w:val="00366DB5"/>
    <w:rsid w:val="003673EA"/>
    <w:rsid w:val="00367473"/>
    <w:rsid w:val="00367F77"/>
    <w:rsid w:val="0037139C"/>
    <w:rsid w:val="00371ED6"/>
    <w:rsid w:val="003726D1"/>
    <w:rsid w:val="00372C25"/>
    <w:rsid w:val="00372F37"/>
    <w:rsid w:val="00374B64"/>
    <w:rsid w:val="00374FC9"/>
    <w:rsid w:val="003758AE"/>
    <w:rsid w:val="00375FCB"/>
    <w:rsid w:val="0037664E"/>
    <w:rsid w:val="003767B8"/>
    <w:rsid w:val="0038017B"/>
    <w:rsid w:val="003807D4"/>
    <w:rsid w:val="003809E1"/>
    <w:rsid w:val="00380F7B"/>
    <w:rsid w:val="00381D7D"/>
    <w:rsid w:val="00383052"/>
    <w:rsid w:val="00383ED9"/>
    <w:rsid w:val="003840B2"/>
    <w:rsid w:val="00384381"/>
    <w:rsid w:val="003843DB"/>
    <w:rsid w:val="00385BEB"/>
    <w:rsid w:val="00386839"/>
    <w:rsid w:val="0038773B"/>
    <w:rsid w:val="00387E1A"/>
    <w:rsid w:val="00390347"/>
    <w:rsid w:val="003904A7"/>
    <w:rsid w:val="00390DA4"/>
    <w:rsid w:val="00391965"/>
    <w:rsid w:val="00392207"/>
    <w:rsid w:val="00392BCB"/>
    <w:rsid w:val="003931DA"/>
    <w:rsid w:val="0039321F"/>
    <w:rsid w:val="00393F67"/>
    <w:rsid w:val="003940B6"/>
    <w:rsid w:val="00394489"/>
    <w:rsid w:val="00394AC9"/>
    <w:rsid w:val="00394AD7"/>
    <w:rsid w:val="00395A2D"/>
    <w:rsid w:val="00395ED8"/>
    <w:rsid w:val="00397AF1"/>
    <w:rsid w:val="003A0215"/>
    <w:rsid w:val="003A1010"/>
    <w:rsid w:val="003A168C"/>
    <w:rsid w:val="003A1C65"/>
    <w:rsid w:val="003A298D"/>
    <w:rsid w:val="003A2C6F"/>
    <w:rsid w:val="003A4425"/>
    <w:rsid w:val="003A4C2B"/>
    <w:rsid w:val="003A4D19"/>
    <w:rsid w:val="003A522B"/>
    <w:rsid w:val="003A53F3"/>
    <w:rsid w:val="003A5716"/>
    <w:rsid w:val="003A5C3D"/>
    <w:rsid w:val="003A5D7F"/>
    <w:rsid w:val="003A61A8"/>
    <w:rsid w:val="003A6224"/>
    <w:rsid w:val="003A640B"/>
    <w:rsid w:val="003B000A"/>
    <w:rsid w:val="003B00C3"/>
    <w:rsid w:val="003B090C"/>
    <w:rsid w:val="003B0D40"/>
    <w:rsid w:val="003B1292"/>
    <w:rsid w:val="003B2044"/>
    <w:rsid w:val="003B2232"/>
    <w:rsid w:val="003B2691"/>
    <w:rsid w:val="003B438C"/>
    <w:rsid w:val="003B4414"/>
    <w:rsid w:val="003B4D81"/>
    <w:rsid w:val="003B4E27"/>
    <w:rsid w:val="003B521B"/>
    <w:rsid w:val="003B5C00"/>
    <w:rsid w:val="003B6179"/>
    <w:rsid w:val="003B6E45"/>
    <w:rsid w:val="003B7DFF"/>
    <w:rsid w:val="003C0489"/>
    <w:rsid w:val="003C164B"/>
    <w:rsid w:val="003C35C8"/>
    <w:rsid w:val="003C3BFC"/>
    <w:rsid w:val="003C408C"/>
    <w:rsid w:val="003C40C8"/>
    <w:rsid w:val="003C5030"/>
    <w:rsid w:val="003C50F4"/>
    <w:rsid w:val="003C51C1"/>
    <w:rsid w:val="003C53CC"/>
    <w:rsid w:val="003C5621"/>
    <w:rsid w:val="003C5803"/>
    <w:rsid w:val="003C5BB8"/>
    <w:rsid w:val="003C5F14"/>
    <w:rsid w:val="003C64BF"/>
    <w:rsid w:val="003C6600"/>
    <w:rsid w:val="003C721F"/>
    <w:rsid w:val="003C73CD"/>
    <w:rsid w:val="003C76AA"/>
    <w:rsid w:val="003D0772"/>
    <w:rsid w:val="003D0D7C"/>
    <w:rsid w:val="003D1473"/>
    <w:rsid w:val="003D1A7E"/>
    <w:rsid w:val="003D3255"/>
    <w:rsid w:val="003D3687"/>
    <w:rsid w:val="003D391F"/>
    <w:rsid w:val="003D469C"/>
    <w:rsid w:val="003D494B"/>
    <w:rsid w:val="003D4C0C"/>
    <w:rsid w:val="003D563C"/>
    <w:rsid w:val="003D5D1D"/>
    <w:rsid w:val="003D6527"/>
    <w:rsid w:val="003D6846"/>
    <w:rsid w:val="003D6A41"/>
    <w:rsid w:val="003E0E49"/>
    <w:rsid w:val="003E16CC"/>
    <w:rsid w:val="003E278F"/>
    <w:rsid w:val="003E33B8"/>
    <w:rsid w:val="003E4686"/>
    <w:rsid w:val="003E4D1D"/>
    <w:rsid w:val="003E5698"/>
    <w:rsid w:val="003E60C4"/>
    <w:rsid w:val="003E66C5"/>
    <w:rsid w:val="003E686E"/>
    <w:rsid w:val="003F0258"/>
    <w:rsid w:val="003F03F3"/>
    <w:rsid w:val="003F0D2F"/>
    <w:rsid w:val="003F2512"/>
    <w:rsid w:val="003F364E"/>
    <w:rsid w:val="003F4296"/>
    <w:rsid w:val="003F51E8"/>
    <w:rsid w:val="003F5344"/>
    <w:rsid w:val="003F5A7D"/>
    <w:rsid w:val="003F5BFC"/>
    <w:rsid w:val="003F6424"/>
    <w:rsid w:val="003F649B"/>
    <w:rsid w:val="003F665A"/>
    <w:rsid w:val="003F6960"/>
    <w:rsid w:val="003F6AF9"/>
    <w:rsid w:val="003F7399"/>
    <w:rsid w:val="003F7C91"/>
    <w:rsid w:val="004010C2"/>
    <w:rsid w:val="00401926"/>
    <w:rsid w:val="00401B90"/>
    <w:rsid w:val="00401F44"/>
    <w:rsid w:val="00402DBA"/>
    <w:rsid w:val="0040307E"/>
    <w:rsid w:val="004032F5"/>
    <w:rsid w:val="004036EB"/>
    <w:rsid w:val="00403B6C"/>
    <w:rsid w:val="00403DB3"/>
    <w:rsid w:val="004040F8"/>
    <w:rsid w:val="00404252"/>
    <w:rsid w:val="00404710"/>
    <w:rsid w:val="004050C3"/>
    <w:rsid w:val="0040571F"/>
    <w:rsid w:val="00405968"/>
    <w:rsid w:val="00405A8E"/>
    <w:rsid w:val="00406CA8"/>
    <w:rsid w:val="00410537"/>
    <w:rsid w:val="00410623"/>
    <w:rsid w:val="00410793"/>
    <w:rsid w:val="00410A81"/>
    <w:rsid w:val="00411300"/>
    <w:rsid w:val="00412978"/>
    <w:rsid w:val="00412AE3"/>
    <w:rsid w:val="004139DE"/>
    <w:rsid w:val="00413D7F"/>
    <w:rsid w:val="00414488"/>
    <w:rsid w:val="00414A38"/>
    <w:rsid w:val="00414C59"/>
    <w:rsid w:val="00414FD9"/>
    <w:rsid w:val="00415794"/>
    <w:rsid w:val="00416E74"/>
    <w:rsid w:val="00416EAC"/>
    <w:rsid w:val="00416F75"/>
    <w:rsid w:val="00417500"/>
    <w:rsid w:val="00417B46"/>
    <w:rsid w:val="00420991"/>
    <w:rsid w:val="00420B93"/>
    <w:rsid w:val="0042195C"/>
    <w:rsid w:val="004219A0"/>
    <w:rsid w:val="00421AA2"/>
    <w:rsid w:val="00421E77"/>
    <w:rsid w:val="00423F3E"/>
    <w:rsid w:val="0042401A"/>
    <w:rsid w:val="00424087"/>
    <w:rsid w:val="0042455D"/>
    <w:rsid w:val="004248D9"/>
    <w:rsid w:val="004262F1"/>
    <w:rsid w:val="0042683D"/>
    <w:rsid w:val="00426D90"/>
    <w:rsid w:val="00426E78"/>
    <w:rsid w:val="00427699"/>
    <w:rsid w:val="00427ED2"/>
    <w:rsid w:val="00430C5E"/>
    <w:rsid w:val="0043178C"/>
    <w:rsid w:val="00432DD0"/>
    <w:rsid w:val="0043307A"/>
    <w:rsid w:val="00433297"/>
    <w:rsid w:val="0043358F"/>
    <w:rsid w:val="004335E5"/>
    <w:rsid w:val="00433884"/>
    <w:rsid w:val="004342D8"/>
    <w:rsid w:val="00434303"/>
    <w:rsid w:val="00434B5D"/>
    <w:rsid w:val="00435325"/>
    <w:rsid w:val="004357C3"/>
    <w:rsid w:val="004360B1"/>
    <w:rsid w:val="00436C80"/>
    <w:rsid w:val="00436D56"/>
    <w:rsid w:val="00436DAA"/>
    <w:rsid w:val="00437AE6"/>
    <w:rsid w:val="00437CB8"/>
    <w:rsid w:val="00437F02"/>
    <w:rsid w:val="00437F98"/>
    <w:rsid w:val="0044205C"/>
    <w:rsid w:val="0044208F"/>
    <w:rsid w:val="004424F4"/>
    <w:rsid w:val="004425DE"/>
    <w:rsid w:val="004430D0"/>
    <w:rsid w:val="00443223"/>
    <w:rsid w:val="00443A11"/>
    <w:rsid w:val="004454FE"/>
    <w:rsid w:val="00445A7F"/>
    <w:rsid w:val="00445AF8"/>
    <w:rsid w:val="00445CAC"/>
    <w:rsid w:val="00446240"/>
    <w:rsid w:val="004476E5"/>
    <w:rsid w:val="00447F7A"/>
    <w:rsid w:val="00452F1F"/>
    <w:rsid w:val="00453428"/>
    <w:rsid w:val="004535AD"/>
    <w:rsid w:val="004543F3"/>
    <w:rsid w:val="004550CB"/>
    <w:rsid w:val="00455114"/>
    <w:rsid w:val="00455619"/>
    <w:rsid w:val="0045643A"/>
    <w:rsid w:val="004568C5"/>
    <w:rsid w:val="00456A7A"/>
    <w:rsid w:val="00456AC9"/>
    <w:rsid w:val="00457539"/>
    <w:rsid w:val="004600DF"/>
    <w:rsid w:val="00460CDB"/>
    <w:rsid w:val="00460D9B"/>
    <w:rsid w:val="004614DA"/>
    <w:rsid w:val="00462612"/>
    <w:rsid w:val="00462905"/>
    <w:rsid w:val="00463558"/>
    <w:rsid w:val="00463CC7"/>
    <w:rsid w:val="004648A3"/>
    <w:rsid w:val="004650D3"/>
    <w:rsid w:val="00466FA5"/>
    <w:rsid w:val="00467198"/>
    <w:rsid w:val="00467EA7"/>
    <w:rsid w:val="0047018E"/>
    <w:rsid w:val="00470A7C"/>
    <w:rsid w:val="0047123B"/>
    <w:rsid w:val="00471518"/>
    <w:rsid w:val="00471A63"/>
    <w:rsid w:val="00471BCC"/>
    <w:rsid w:val="0047271D"/>
    <w:rsid w:val="00472909"/>
    <w:rsid w:val="00472DD7"/>
    <w:rsid w:val="00472F4B"/>
    <w:rsid w:val="00473C21"/>
    <w:rsid w:val="00474915"/>
    <w:rsid w:val="004751E0"/>
    <w:rsid w:val="00475917"/>
    <w:rsid w:val="00475991"/>
    <w:rsid w:val="00475B7D"/>
    <w:rsid w:val="00476268"/>
    <w:rsid w:val="00476B62"/>
    <w:rsid w:val="004774E0"/>
    <w:rsid w:val="00477603"/>
    <w:rsid w:val="004779F5"/>
    <w:rsid w:val="00480044"/>
    <w:rsid w:val="00480845"/>
    <w:rsid w:val="00480E9A"/>
    <w:rsid w:val="004810DB"/>
    <w:rsid w:val="0048124D"/>
    <w:rsid w:val="004813E4"/>
    <w:rsid w:val="00481915"/>
    <w:rsid w:val="00481B4E"/>
    <w:rsid w:val="00481D10"/>
    <w:rsid w:val="00482A7B"/>
    <w:rsid w:val="00483405"/>
    <w:rsid w:val="00483675"/>
    <w:rsid w:val="00483A88"/>
    <w:rsid w:val="00483D01"/>
    <w:rsid w:val="00484222"/>
    <w:rsid w:val="0048486D"/>
    <w:rsid w:val="004850C3"/>
    <w:rsid w:val="00485E43"/>
    <w:rsid w:val="004864BE"/>
    <w:rsid w:val="00486D18"/>
    <w:rsid w:val="00487092"/>
    <w:rsid w:val="004878B5"/>
    <w:rsid w:val="00487E03"/>
    <w:rsid w:val="00490127"/>
    <w:rsid w:val="0049099E"/>
    <w:rsid w:val="004909CD"/>
    <w:rsid w:val="00490E8F"/>
    <w:rsid w:val="00491DF7"/>
    <w:rsid w:val="00492644"/>
    <w:rsid w:val="00492A9A"/>
    <w:rsid w:val="00492AD7"/>
    <w:rsid w:val="00492DA5"/>
    <w:rsid w:val="00493371"/>
    <w:rsid w:val="00494073"/>
    <w:rsid w:val="00494110"/>
    <w:rsid w:val="0049488A"/>
    <w:rsid w:val="00495F1A"/>
    <w:rsid w:val="004961EA"/>
    <w:rsid w:val="004973AA"/>
    <w:rsid w:val="00497EB0"/>
    <w:rsid w:val="004A10AE"/>
    <w:rsid w:val="004A12BE"/>
    <w:rsid w:val="004A1861"/>
    <w:rsid w:val="004A1B24"/>
    <w:rsid w:val="004A2846"/>
    <w:rsid w:val="004A28E9"/>
    <w:rsid w:val="004A2D45"/>
    <w:rsid w:val="004A2D70"/>
    <w:rsid w:val="004A366C"/>
    <w:rsid w:val="004A3781"/>
    <w:rsid w:val="004A3A2E"/>
    <w:rsid w:val="004A4145"/>
    <w:rsid w:val="004A42D5"/>
    <w:rsid w:val="004A5933"/>
    <w:rsid w:val="004A5F19"/>
    <w:rsid w:val="004A6C87"/>
    <w:rsid w:val="004A6D94"/>
    <w:rsid w:val="004B060D"/>
    <w:rsid w:val="004B0EBF"/>
    <w:rsid w:val="004B17E1"/>
    <w:rsid w:val="004B18C7"/>
    <w:rsid w:val="004B2691"/>
    <w:rsid w:val="004B3485"/>
    <w:rsid w:val="004B492F"/>
    <w:rsid w:val="004B521A"/>
    <w:rsid w:val="004B5933"/>
    <w:rsid w:val="004B610C"/>
    <w:rsid w:val="004B62CA"/>
    <w:rsid w:val="004B658C"/>
    <w:rsid w:val="004B714A"/>
    <w:rsid w:val="004C00A0"/>
    <w:rsid w:val="004C044D"/>
    <w:rsid w:val="004C0C46"/>
    <w:rsid w:val="004C21CE"/>
    <w:rsid w:val="004C23E8"/>
    <w:rsid w:val="004C3765"/>
    <w:rsid w:val="004C385A"/>
    <w:rsid w:val="004C3897"/>
    <w:rsid w:val="004C4263"/>
    <w:rsid w:val="004C53AC"/>
    <w:rsid w:val="004C5445"/>
    <w:rsid w:val="004C5902"/>
    <w:rsid w:val="004C5F58"/>
    <w:rsid w:val="004C6132"/>
    <w:rsid w:val="004C6518"/>
    <w:rsid w:val="004C74A3"/>
    <w:rsid w:val="004D0A6C"/>
    <w:rsid w:val="004D12B3"/>
    <w:rsid w:val="004D2DEE"/>
    <w:rsid w:val="004D2E39"/>
    <w:rsid w:val="004D2FA9"/>
    <w:rsid w:val="004D36E3"/>
    <w:rsid w:val="004D3FDE"/>
    <w:rsid w:val="004D4676"/>
    <w:rsid w:val="004D4C52"/>
    <w:rsid w:val="004D4C64"/>
    <w:rsid w:val="004D5657"/>
    <w:rsid w:val="004D57AE"/>
    <w:rsid w:val="004D596D"/>
    <w:rsid w:val="004D6143"/>
    <w:rsid w:val="004D69BA"/>
    <w:rsid w:val="004D6B64"/>
    <w:rsid w:val="004D7146"/>
    <w:rsid w:val="004E103C"/>
    <w:rsid w:val="004E1870"/>
    <w:rsid w:val="004E1A62"/>
    <w:rsid w:val="004E35F4"/>
    <w:rsid w:val="004E4235"/>
    <w:rsid w:val="004E4A4A"/>
    <w:rsid w:val="004E63AF"/>
    <w:rsid w:val="004E64EF"/>
    <w:rsid w:val="004E7D5C"/>
    <w:rsid w:val="004E7EC6"/>
    <w:rsid w:val="004F02AF"/>
    <w:rsid w:val="004F2355"/>
    <w:rsid w:val="004F34E9"/>
    <w:rsid w:val="004F3CDD"/>
    <w:rsid w:val="004F3DB4"/>
    <w:rsid w:val="004F4577"/>
    <w:rsid w:val="004F4753"/>
    <w:rsid w:val="004F4FB2"/>
    <w:rsid w:val="004F5116"/>
    <w:rsid w:val="004F53A1"/>
    <w:rsid w:val="004F5B2F"/>
    <w:rsid w:val="0050130B"/>
    <w:rsid w:val="00501354"/>
    <w:rsid w:val="00501521"/>
    <w:rsid w:val="005017E2"/>
    <w:rsid w:val="005022E6"/>
    <w:rsid w:val="00502EA1"/>
    <w:rsid w:val="005035E1"/>
    <w:rsid w:val="00505157"/>
    <w:rsid w:val="00506BB9"/>
    <w:rsid w:val="00507BF5"/>
    <w:rsid w:val="00507C5A"/>
    <w:rsid w:val="00510180"/>
    <w:rsid w:val="0051058D"/>
    <w:rsid w:val="00511022"/>
    <w:rsid w:val="00511176"/>
    <w:rsid w:val="00511296"/>
    <w:rsid w:val="00511553"/>
    <w:rsid w:val="0051241C"/>
    <w:rsid w:val="0051286E"/>
    <w:rsid w:val="00512FC0"/>
    <w:rsid w:val="00513326"/>
    <w:rsid w:val="0051347E"/>
    <w:rsid w:val="00513715"/>
    <w:rsid w:val="00513826"/>
    <w:rsid w:val="00514340"/>
    <w:rsid w:val="00514BDA"/>
    <w:rsid w:val="0051725D"/>
    <w:rsid w:val="00517C56"/>
    <w:rsid w:val="00517CE8"/>
    <w:rsid w:val="00517E9C"/>
    <w:rsid w:val="00520980"/>
    <w:rsid w:val="005213F2"/>
    <w:rsid w:val="00521A5A"/>
    <w:rsid w:val="00522335"/>
    <w:rsid w:val="00523287"/>
    <w:rsid w:val="005235BC"/>
    <w:rsid w:val="00523BFE"/>
    <w:rsid w:val="00525967"/>
    <w:rsid w:val="0052688F"/>
    <w:rsid w:val="005268F1"/>
    <w:rsid w:val="0052691C"/>
    <w:rsid w:val="00526EA8"/>
    <w:rsid w:val="00526FAB"/>
    <w:rsid w:val="0052707E"/>
    <w:rsid w:val="00527598"/>
    <w:rsid w:val="0052775B"/>
    <w:rsid w:val="00527BBD"/>
    <w:rsid w:val="00527D73"/>
    <w:rsid w:val="00530110"/>
    <w:rsid w:val="00530BFF"/>
    <w:rsid w:val="00531B67"/>
    <w:rsid w:val="00531D77"/>
    <w:rsid w:val="00532170"/>
    <w:rsid w:val="005327D3"/>
    <w:rsid w:val="0053281A"/>
    <w:rsid w:val="00533155"/>
    <w:rsid w:val="00533175"/>
    <w:rsid w:val="0053327F"/>
    <w:rsid w:val="00533BB9"/>
    <w:rsid w:val="00533DAB"/>
    <w:rsid w:val="00534385"/>
    <w:rsid w:val="0053468B"/>
    <w:rsid w:val="0053492D"/>
    <w:rsid w:val="005354AA"/>
    <w:rsid w:val="00535C13"/>
    <w:rsid w:val="0053649F"/>
    <w:rsid w:val="00536973"/>
    <w:rsid w:val="005373DF"/>
    <w:rsid w:val="00537EBA"/>
    <w:rsid w:val="00537FDD"/>
    <w:rsid w:val="005402EF"/>
    <w:rsid w:val="00540B26"/>
    <w:rsid w:val="005411AC"/>
    <w:rsid w:val="005414FD"/>
    <w:rsid w:val="00541D1A"/>
    <w:rsid w:val="00541D4C"/>
    <w:rsid w:val="005425B7"/>
    <w:rsid w:val="00543DCB"/>
    <w:rsid w:val="00544387"/>
    <w:rsid w:val="00545143"/>
    <w:rsid w:val="0054615C"/>
    <w:rsid w:val="005461A9"/>
    <w:rsid w:val="0054637E"/>
    <w:rsid w:val="00546631"/>
    <w:rsid w:val="00546B96"/>
    <w:rsid w:val="0054796E"/>
    <w:rsid w:val="005503F2"/>
    <w:rsid w:val="00550CAD"/>
    <w:rsid w:val="0055108D"/>
    <w:rsid w:val="00551342"/>
    <w:rsid w:val="0055175F"/>
    <w:rsid w:val="00551A61"/>
    <w:rsid w:val="00551AC5"/>
    <w:rsid w:val="00552B1F"/>
    <w:rsid w:val="00552BC7"/>
    <w:rsid w:val="00553327"/>
    <w:rsid w:val="00553587"/>
    <w:rsid w:val="00553B27"/>
    <w:rsid w:val="00553D68"/>
    <w:rsid w:val="00554761"/>
    <w:rsid w:val="00554BF5"/>
    <w:rsid w:val="00554CF3"/>
    <w:rsid w:val="00555273"/>
    <w:rsid w:val="00555BE6"/>
    <w:rsid w:val="00556265"/>
    <w:rsid w:val="00556573"/>
    <w:rsid w:val="005567FA"/>
    <w:rsid w:val="00556974"/>
    <w:rsid w:val="005569B3"/>
    <w:rsid w:val="005569DB"/>
    <w:rsid w:val="00556DC2"/>
    <w:rsid w:val="00557177"/>
    <w:rsid w:val="0056005F"/>
    <w:rsid w:val="0056083B"/>
    <w:rsid w:val="00560F4F"/>
    <w:rsid w:val="00561A71"/>
    <w:rsid w:val="005636E6"/>
    <w:rsid w:val="005636F7"/>
    <w:rsid w:val="00564C14"/>
    <w:rsid w:val="00565252"/>
    <w:rsid w:val="0056555F"/>
    <w:rsid w:val="00565A5C"/>
    <w:rsid w:val="00567370"/>
    <w:rsid w:val="00567496"/>
    <w:rsid w:val="0056773C"/>
    <w:rsid w:val="005706D4"/>
    <w:rsid w:val="005706DE"/>
    <w:rsid w:val="00571A37"/>
    <w:rsid w:val="0057243D"/>
    <w:rsid w:val="00572A5E"/>
    <w:rsid w:val="00573135"/>
    <w:rsid w:val="00573FB4"/>
    <w:rsid w:val="00574AB6"/>
    <w:rsid w:val="005759F3"/>
    <w:rsid w:val="00575F58"/>
    <w:rsid w:val="0057659F"/>
    <w:rsid w:val="0057679B"/>
    <w:rsid w:val="00577D4C"/>
    <w:rsid w:val="00577E45"/>
    <w:rsid w:val="00577F77"/>
    <w:rsid w:val="005804B6"/>
    <w:rsid w:val="005804E3"/>
    <w:rsid w:val="00580971"/>
    <w:rsid w:val="00580B26"/>
    <w:rsid w:val="00580D40"/>
    <w:rsid w:val="0058154F"/>
    <w:rsid w:val="0058193C"/>
    <w:rsid w:val="00581D8B"/>
    <w:rsid w:val="005826DF"/>
    <w:rsid w:val="00583CC8"/>
    <w:rsid w:val="00583E69"/>
    <w:rsid w:val="0058482B"/>
    <w:rsid w:val="00584E66"/>
    <w:rsid w:val="005856C4"/>
    <w:rsid w:val="00585D42"/>
    <w:rsid w:val="005866A9"/>
    <w:rsid w:val="00586CD0"/>
    <w:rsid w:val="0059001A"/>
    <w:rsid w:val="00590DC0"/>
    <w:rsid w:val="00591C79"/>
    <w:rsid w:val="00591DFA"/>
    <w:rsid w:val="00591EE6"/>
    <w:rsid w:val="00592B13"/>
    <w:rsid w:val="005953D6"/>
    <w:rsid w:val="00595638"/>
    <w:rsid w:val="00595D15"/>
    <w:rsid w:val="00596553"/>
    <w:rsid w:val="005975B2"/>
    <w:rsid w:val="005A181D"/>
    <w:rsid w:val="005A1EE7"/>
    <w:rsid w:val="005A2FA3"/>
    <w:rsid w:val="005A433C"/>
    <w:rsid w:val="005A5163"/>
    <w:rsid w:val="005A5303"/>
    <w:rsid w:val="005A580D"/>
    <w:rsid w:val="005A6D4A"/>
    <w:rsid w:val="005A73F2"/>
    <w:rsid w:val="005A7690"/>
    <w:rsid w:val="005A7957"/>
    <w:rsid w:val="005B0270"/>
    <w:rsid w:val="005B0771"/>
    <w:rsid w:val="005B10C4"/>
    <w:rsid w:val="005B136F"/>
    <w:rsid w:val="005B15A6"/>
    <w:rsid w:val="005B19C1"/>
    <w:rsid w:val="005B1A7B"/>
    <w:rsid w:val="005B2284"/>
    <w:rsid w:val="005B291A"/>
    <w:rsid w:val="005B2AAF"/>
    <w:rsid w:val="005B2CC1"/>
    <w:rsid w:val="005B3596"/>
    <w:rsid w:val="005B39E4"/>
    <w:rsid w:val="005B3BCB"/>
    <w:rsid w:val="005B44D4"/>
    <w:rsid w:val="005B44F3"/>
    <w:rsid w:val="005B57EC"/>
    <w:rsid w:val="005B5ECB"/>
    <w:rsid w:val="005B66D6"/>
    <w:rsid w:val="005B7861"/>
    <w:rsid w:val="005B7DAC"/>
    <w:rsid w:val="005C0798"/>
    <w:rsid w:val="005C0FDF"/>
    <w:rsid w:val="005C1A7A"/>
    <w:rsid w:val="005C1AB1"/>
    <w:rsid w:val="005C1C70"/>
    <w:rsid w:val="005C1F4E"/>
    <w:rsid w:val="005C2A85"/>
    <w:rsid w:val="005C37EF"/>
    <w:rsid w:val="005C4E7D"/>
    <w:rsid w:val="005C53C4"/>
    <w:rsid w:val="005C5FFD"/>
    <w:rsid w:val="005D042C"/>
    <w:rsid w:val="005D12D8"/>
    <w:rsid w:val="005D153B"/>
    <w:rsid w:val="005D1F04"/>
    <w:rsid w:val="005D25F5"/>
    <w:rsid w:val="005D4236"/>
    <w:rsid w:val="005D5980"/>
    <w:rsid w:val="005D5DAB"/>
    <w:rsid w:val="005D6303"/>
    <w:rsid w:val="005E207A"/>
    <w:rsid w:val="005E2080"/>
    <w:rsid w:val="005E2152"/>
    <w:rsid w:val="005E22B5"/>
    <w:rsid w:val="005E2B8C"/>
    <w:rsid w:val="005E394C"/>
    <w:rsid w:val="005E409C"/>
    <w:rsid w:val="005E410A"/>
    <w:rsid w:val="005E504F"/>
    <w:rsid w:val="005E5998"/>
    <w:rsid w:val="005E6D08"/>
    <w:rsid w:val="005E77A0"/>
    <w:rsid w:val="005E7986"/>
    <w:rsid w:val="005F0C1B"/>
    <w:rsid w:val="005F1522"/>
    <w:rsid w:val="005F15B0"/>
    <w:rsid w:val="005F1BA3"/>
    <w:rsid w:val="005F1C47"/>
    <w:rsid w:val="005F1E6A"/>
    <w:rsid w:val="005F28F0"/>
    <w:rsid w:val="005F3B5C"/>
    <w:rsid w:val="005F3E79"/>
    <w:rsid w:val="005F4137"/>
    <w:rsid w:val="005F5F72"/>
    <w:rsid w:val="005F6108"/>
    <w:rsid w:val="005F792E"/>
    <w:rsid w:val="00600332"/>
    <w:rsid w:val="00600A29"/>
    <w:rsid w:val="00600A42"/>
    <w:rsid w:val="00600D95"/>
    <w:rsid w:val="006013B0"/>
    <w:rsid w:val="0060206F"/>
    <w:rsid w:val="0060271E"/>
    <w:rsid w:val="00602D93"/>
    <w:rsid w:val="00603366"/>
    <w:rsid w:val="006048DB"/>
    <w:rsid w:val="00604976"/>
    <w:rsid w:val="00604CCB"/>
    <w:rsid w:val="006054A1"/>
    <w:rsid w:val="00605628"/>
    <w:rsid w:val="0060589F"/>
    <w:rsid w:val="00605B39"/>
    <w:rsid w:val="00605D93"/>
    <w:rsid w:val="00605F2C"/>
    <w:rsid w:val="00605FA6"/>
    <w:rsid w:val="0060658B"/>
    <w:rsid w:val="00607BE4"/>
    <w:rsid w:val="00607D39"/>
    <w:rsid w:val="006100C5"/>
    <w:rsid w:val="0061133D"/>
    <w:rsid w:val="00611394"/>
    <w:rsid w:val="006117BC"/>
    <w:rsid w:val="00611F09"/>
    <w:rsid w:val="00612D98"/>
    <w:rsid w:val="00612E85"/>
    <w:rsid w:val="00612F04"/>
    <w:rsid w:val="00612FA3"/>
    <w:rsid w:val="00613C84"/>
    <w:rsid w:val="006144F9"/>
    <w:rsid w:val="0061470B"/>
    <w:rsid w:val="00614767"/>
    <w:rsid w:val="00614B45"/>
    <w:rsid w:val="00615138"/>
    <w:rsid w:val="00615406"/>
    <w:rsid w:val="00615C93"/>
    <w:rsid w:val="00615D25"/>
    <w:rsid w:val="00617F38"/>
    <w:rsid w:val="00620CEA"/>
    <w:rsid w:val="006215FD"/>
    <w:rsid w:val="00621C41"/>
    <w:rsid w:val="0062302D"/>
    <w:rsid w:val="0062362B"/>
    <w:rsid w:val="00623D93"/>
    <w:rsid w:val="00624131"/>
    <w:rsid w:val="0062444D"/>
    <w:rsid w:val="00624F4E"/>
    <w:rsid w:val="0062508C"/>
    <w:rsid w:val="00625761"/>
    <w:rsid w:val="0062594F"/>
    <w:rsid w:val="00625A51"/>
    <w:rsid w:val="00625F78"/>
    <w:rsid w:val="00626281"/>
    <w:rsid w:val="006266FE"/>
    <w:rsid w:val="0062720F"/>
    <w:rsid w:val="00627D9E"/>
    <w:rsid w:val="00627F2C"/>
    <w:rsid w:val="0063041E"/>
    <w:rsid w:val="00630DAB"/>
    <w:rsid w:val="006313EF"/>
    <w:rsid w:val="00631B5C"/>
    <w:rsid w:val="00631D41"/>
    <w:rsid w:val="00632F82"/>
    <w:rsid w:val="0063381D"/>
    <w:rsid w:val="006341EF"/>
    <w:rsid w:val="00634C23"/>
    <w:rsid w:val="00635968"/>
    <w:rsid w:val="006360C8"/>
    <w:rsid w:val="00636500"/>
    <w:rsid w:val="00637AB5"/>
    <w:rsid w:val="00637E49"/>
    <w:rsid w:val="0064044E"/>
    <w:rsid w:val="00640FF9"/>
    <w:rsid w:val="0064196D"/>
    <w:rsid w:val="00641B4E"/>
    <w:rsid w:val="00641D2D"/>
    <w:rsid w:val="0064285D"/>
    <w:rsid w:val="00643607"/>
    <w:rsid w:val="00643925"/>
    <w:rsid w:val="00643D84"/>
    <w:rsid w:val="0064417F"/>
    <w:rsid w:val="00644C96"/>
    <w:rsid w:val="00644F28"/>
    <w:rsid w:val="0064508F"/>
    <w:rsid w:val="00645158"/>
    <w:rsid w:val="00646CD6"/>
    <w:rsid w:val="00646E70"/>
    <w:rsid w:val="006476C3"/>
    <w:rsid w:val="00651803"/>
    <w:rsid w:val="00652932"/>
    <w:rsid w:val="00655935"/>
    <w:rsid w:val="00656493"/>
    <w:rsid w:val="00656650"/>
    <w:rsid w:val="00656DF5"/>
    <w:rsid w:val="006573CF"/>
    <w:rsid w:val="00657FFE"/>
    <w:rsid w:val="006601BE"/>
    <w:rsid w:val="00660DB8"/>
    <w:rsid w:val="00661481"/>
    <w:rsid w:val="0066200C"/>
    <w:rsid w:val="00662BC2"/>
    <w:rsid w:val="00662EEA"/>
    <w:rsid w:val="00663ED0"/>
    <w:rsid w:val="0066480F"/>
    <w:rsid w:val="00664A21"/>
    <w:rsid w:val="00666524"/>
    <w:rsid w:val="006666AE"/>
    <w:rsid w:val="00667A19"/>
    <w:rsid w:val="00667C19"/>
    <w:rsid w:val="00670515"/>
    <w:rsid w:val="00670D06"/>
    <w:rsid w:val="0067111B"/>
    <w:rsid w:val="006726ED"/>
    <w:rsid w:val="00672EF1"/>
    <w:rsid w:val="00673891"/>
    <w:rsid w:val="006738BA"/>
    <w:rsid w:val="00674659"/>
    <w:rsid w:val="00675C71"/>
    <w:rsid w:val="00675E84"/>
    <w:rsid w:val="00676046"/>
    <w:rsid w:val="00676240"/>
    <w:rsid w:val="00676375"/>
    <w:rsid w:val="00676EE1"/>
    <w:rsid w:val="00677175"/>
    <w:rsid w:val="00680A2B"/>
    <w:rsid w:val="00680C61"/>
    <w:rsid w:val="006817E3"/>
    <w:rsid w:val="00681935"/>
    <w:rsid w:val="00681FA7"/>
    <w:rsid w:val="00682500"/>
    <w:rsid w:val="00682A2F"/>
    <w:rsid w:val="00682B4E"/>
    <w:rsid w:val="00682B51"/>
    <w:rsid w:val="00683088"/>
    <w:rsid w:val="0068332E"/>
    <w:rsid w:val="006844B4"/>
    <w:rsid w:val="00684BF0"/>
    <w:rsid w:val="006850BC"/>
    <w:rsid w:val="006852E0"/>
    <w:rsid w:val="00685DB0"/>
    <w:rsid w:val="00686363"/>
    <w:rsid w:val="00686AD2"/>
    <w:rsid w:val="006875DB"/>
    <w:rsid w:val="006876A0"/>
    <w:rsid w:val="00687920"/>
    <w:rsid w:val="006906D4"/>
    <w:rsid w:val="00690D27"/>
    <w:rsid w:val="00690E2E"/>
    <w:rsid w:val="00691093"/>
    <w:rsid w:val="00692796"/>
    <w:rsid w:val="00692E1B"/>
    <w:rsid w:val="006931DE"/>
    <w:rsid w:val="00693408"/>
    <w:rsid w:val="006934C8"/>
    <w:rsid w:val="006944AA"/>
    <w:rsid w:val="0069468C"/>
    <w:rsid w:val="00694A5D"/>
    <w:rsid w:val="00695416"/>
    <w:rsid w:val="0069558D"/>
    <w:rsid w:val="00695DCF"/>
    <w:rsid w:val="006961DE"/>
    <w:rsid w:val="00697127"/>
    <w:rsid w:val="006A018C"/>
    <w:rsid w:val="006A1E15"/>
    <w:rsid w:val="006A1E56"/>
    <w:rsid w:val="006A21ED"/>
    <w:rsid w:val="006A276E"/>
    <w:rsid w:val="006A36EE"/>
    <w:rsid w:val="006A42C3"/>
    <w:rsid w:val="006A43CC"/>
    <w:rsid w:val="006A462B"/>
    <w:rsid w:val="006A4A6F"/>
    <w:rsid w:val="006A65CF"/>
    <w:rsid w:val="006A756B"/>
    <w:rsid w:val="006A7921"/>
    <w:rsid w:val="006A795B"/>
    <w:rsid w:val="006B0006"/>
    <w:rsid w:val="006B02B3"/>
    <w:rsid w:val="006B054B"/>
    <w:rsid w:val="006B0B12"/>
    <w:rsid w:val="006B136E"/>
    <w:rsid w:val="006B13C3"/>
    <w:rsid w:val="006B1CA8"/>
    <w:rsid w:val="006B27D3"/>
    <w:rsid w:val="006B2867"/>
    <w:rsid w:val="006B338E"/>
    <w:rsid w:val="006B393F"/>
    <w:rsid w:val="006B40B4"/>
    <w:rsid w:val="006B4104"/>
    <w:rsid w:val="006B43F1"/>
    <w:rsid w:val="006B554F"/>
    <w:rsid w:val="006B6B71"/>
    <w:rsid w:val="006B7AB9"/>
    <w:rsid w:val="006B7B88"/>
    <w:rsid w:val="006B7C9D"/>
    <w:rsid w:val="006C059F"/>
    <w:rsid w:val="006C1C70"/>
    <w:rsid w:val="006C2C65"/>
    <w:rsid w:val="006C333B"/>
    <w:rsid w:val="006C45C2"/>
    <w:rsid w:val="006C49EE"/>
    <w:rsid w:val="006C4A35"/>
    <w:rsid w:val="006C4B22"/>
    <w:rsid w:val="006C4E11"/>
    <w:rsid w:val="006C4EE9"/>
    <w:rsid w:val="006C4FA1"/>
    <w:rsid w:val="006C51EB"/>
    <w:rsid w:val="006C562C"/>
    <w:rsid w:val="006C632C"/>
    <w:rsid w:val="006C684B"/>
    <w:rsid w:val="006C6DD2"/>
    <w:rsid w:val="006C7721"/>
    <w:rsid w:val="006C787E"/>
    <w:rsid w:val="006C7EA2"/>
    <w:rsid w:val="006D0750"/>
    <w:rsid w:val="006D07A4"/>
    <w:rsid w:val="006D0BFD"/>
    <w:rsid w:val="006D1A5B"/>
    <w:rsid w:val="006D1D10"/>
    <w:rsid w:val="006D2AA2"/>
    <w:rsid w:val="006D2DB9"/>
    <w:rsid w:val="006D3287"/>
    <w:rsid w:val="006D4C7E"/>
    <w:rsid w:val="006D5242"/>
    <w:rsid w:val="006D5A08"/>
    <w:rsid w:val="006D660B"/>
    <w:rsid w:val="006D6630"/>
    <w:rsid w:val="006D6E04"/>
    <w:rsid w:val="006D7099"/>
    <w:rsid w:val="006D78D3"/>
    <w:rsid w:val="006E0A19"/>
    <w:rsid w:val="006E1092"/>
    <w:rsid w:val="006E13B2"/>
    <w:rsid w:val="006E1A5B"/>
    <w:rsid w:val="006E1C97"/>
    <w:rsid w:val="006E2862"/>
    <w:rsid w:val="006E2D93"/>
    <w:rsid w:val="006E34A5"/>
    <w:rsid w:val="006E5356"/>
    <w:rsid w:val="006E5749"/>
    <w:rsid w:val="006E670F"/>
    <w:rsid w:val="006E6F2F"/>
    <w:rsid w:val="006E73F3"/>
    <w:rsid w:val="006E7561"/>
    <w:rsid w:val="006E76E9"/>
    <w:rsid w:val="006E7D9D"/>
    <w:rsid w:val="006E7E90"/>
    <w:rsid w:val="006F001F"/>
    <w:rsid w:val="006F072F"/>
    <w:rsid w:val="006F0D4D"/>
    <w:rsid w:val="006F0DEA"/>
    <w:rsid w:val="006F1729"/>
    <w:rsid w:val="006F1E17"/>
    <w:rsid w:val="006F2482"/>
    <w:rsid w:val="006F2490"/>
    <w:rsid w:val="006F2F27"/>
    <w:rsid w:val="006F32AE"/>
    <w:rsid w:val="006F3759"/>
    <w:rsid w:val="006F3959"/>
    <w:rsid w:val="006F4452"/>
    <w:rsid w:val="006F4EEB"/>
    <w:rsid w:val="006F52CC"/>
    <w:rsid w:val="006F54A9"/>
    <w:rsid w:val="006F564C"/>
    <w:rsid w:val="006F5DDD"/>
    <w:rsid w:val="006F61C6"/>
    <w:rsid w:val="006F6230"/>
    <w:rsid w:val="006F623C"/>
    <w:rsid w:val="006F62AB"/>
    <w:rsid w:val="006F652C"/>
    <w:rsid w:val="006F6ADB"/>
    <w:rsid w:val="006F7046"/>
    <w:rsid w:val="006F7D7B"/>
    <w:rsid w:val="006F7DA3"/>
    <w:rsid w:val="00701BFE"/>
    <w:rsid w:val="00701F60"/>
    <w:rsid w:val="0070268A"/>
    <w:rsid w:val="007026D4"/>
    <w:rsid w:val="0070283E"/>
    <w:rsid w:val="00703124"/>
    <w:rsid w:val="00703D67"/>
    <w:rsid w:val="0070425B"/>
    <w:rsid w:val="007042CE"/>
    <w:rsid w:val="00704C2F"/>
    <w:rsid w:val="00704FA9"/>
    <w:rsid w:val="0070640C"/>
    <w:rsid w:val="00707A85"/>
    <w:rsid w:val="007100E7"/>
    <w:rsid w:val="007105F4"/>
    <w:rsid w:val="00710BC7"/>
    <w:rsid w:val="00710C11"/>
    <w:rsid w:val="007114D0"/>
    <w:rsid w:val="0071219C"/>
    <w:rsid w:val="00713131"/>
    <w:rsid w:val="0071382B"/>
    <w:rsid w:val="00714679"/>
    <w:rsid w:val="00714BA6"/>
    <w:rsid w:val="007150E5"/>
    <w:rsid w:val="00715536"/>
    <w:rsid w:val="0071616D"/>
    <w:rsid w:val="0071752A"/>
    <w:rsid w:val="007205BF"/>
    <w:rsid w:val="007205FE"/>
    <w:rsid w:val="0072067F"/>
    <w:rsid w:val="00721A06"/>
    <w:rsid w:val="00721B57"/>
    <w:rsid w:val="00722961"/>
    <w:rsid w:val="0072303C"/>
    <w:rsid w:val="0072347A"/>
    <w:rsid w:val="00723C03"/>
    <w:rsid w:val="00724F92"/>
    <w:rsid w:val="0072511E"/>
    <w:rsid w:val="00725154"/>
    <w:rsid w:val="00727529"/>
    <w:rsid w:val="00730621"/>
    <w:rsid w:val="00730C54"/>
    <w:rsid w:val="00730C68"/>
    <w:rsid w:val="00731262"/>
    <w:rsid w:val="00731635"/>
    <w:rsid w:val="007317B4"/>
    <w:rsid w:val="00732006"/>
    <w:rsid w:val="00732F6A"/>
    <w:rsid w:val="0073308D"/>
    <w:rsid w:val="00733E91"/>
    <w:rsid w:val="007342D5"/>
    <w:rsid w:val="0073492E"/>
    <w:rsid w:val="00734DFF"/>
    <w:rsid w:val="0073531C"/>
    <w:rsid w:val="00735493"/>
    <w:rsid w:val="00735589"/>
    <w:rsid w:val="0073586E"/>
    <w:rsid w:val="00735EAB"/>
    <w:rsid w:val="0073725F"/>
    <w:rsid w:val="00737C42"/>
    <w:rsid w:val="00741C45"/>
    <w:rsid w:val="00741C92"/>
    <w:rsid w:val="00741E07"/>
    <w:rsid w:val="00742E99"/>
    <w:rsid w:val="00743E44"/>
    <w:rsid w:val="00745F31"/>
    <w:rsid w:val="00745F85"/>
    <w:rsid w:val="0074627F"/>
    <w:rsid w:val="0074688A"/>
    <w:rsid w:val="007468B4"/>
    <w:rsid w:val="00746A68"/>
    <w:rsid w:val="007470F1"/>
    <w:rsid w:val="00747558"/>
    <w:rsid w:val="00747D55"/>
    <w:rsid w:val="00747DA9"/>
    <w:rsid w:val="0075094D"/>
    <w:rsid w:val="00750F66"/>
    <w:rsid w:val="00751147"/>
    <w:rsid w:val="007511FA"/>
    <w:rsid w:val="007518ED"/>
    <w:rsid w:val="00751BA5"/>
    <w:rsid w:val="007526B3"/>
    <w:rsid w:val="00752C80"/>
    <w:rsid w:val="00752E4A"/>
    <w:rsid w:val="007538DB"/>
    <w:rsid w:val="00754A9A"/>
    <w:rsid w:val="00755047"/>
    <w:rsid w:val="00756563"/>
    <w:rsid w:val="00756D87"/>
    <w:rsid w:val="00757A05"/>
    <w:rsid w:val="00760C79"/>
    <w:rsid w:val="00762566"/>
    <w:rsid w:val="00762B42"/>
    <w:rsid w:val="00762F48"/>
    <w:rsid w:val="007633DC"/>
    <w:rsid w:val="00765769"/>
    <w:rsid w:val="00766898"/>
    <w:rsid w:val="007679BD"/>
    <w:rsid w:val="0077011E"/>
    <w:rsid w:val="00770451"/>
    <w:rsid w:val="0077148F"/>
    <w:rsid w:val="0077153E"/>
    <w:rsid w:val="00771F6E"/>
    <w:rsid w:val="0077282A"/>
    <w:rsid w:val="00772ABE"/>
    <w:rsid w:val="00772CD6"/>
    <w:rsid w:val="00774529"/>
    <w:rsid w:val="007747E5"/>
    <w:rsid w:val="007748EA"/>
    <w:rsid w:val="00774B17"/>
    <w:rsid w:val="00774F5A"/>
    <w:rsid w:val="0077520D"/>
    <w:rsid w:val="00775634"/>
    <w:rsid w:val="00776AD1"/>
    <w:rsid w:val="00777546"/>
    <w:rsid w:val="00780244"/>
    <w:rsid w:val="0078034C"/>
    <w:rsid w:val="0078039A"/>
    <w:rsid w:val="007806B7"/>
    <w:rsid w:val="00780B92"/>
    <w:rsid w:val="00780F96"/>
    <w:rsid w:val="00781CC5"/>
    <w:rsid w:val="00781D4F"/>
    <w:rsid w:val="007820E3"/>
    <w:rsid w:val="0078330C"/>
    <w:rsid w:val="0078344D"/>
    <w:rsid w:val="00783834"/>
    <w:rsid w:val="00783D05"/>
    <w:rsid w:val="00783DB5"/>
    <w:rsid w:val="0078424F"/>
    <w:rsid w:val="00784308"/>
    <w:rsid w:val="00784A8F"/>
    <w:rsid w:val="00785689"/>
    <w:rsid w:val="00785D96"/>
    <w:rsid w:val="00786127"/>
    <w:rsid w:val="00786243"/>
    <w:rsid w:val="00786499"/>
    <w:rsid w:val="0078732C"/>
    <w:rsid w:val="00787E44"/>
    <w:rsid w:val="007901DA"/>
    <w:rsid w:val="00790800"/>
    <w:rsid w:val="007910E7"/>
    <w:rsid w:val="007911BD"/>
    <w:rsid w:val="00792378"/>
    <w:rsid w:val="0079284A"/>
    <w:rsid w:val="00792ED3"/>
    <w:rsid w:val="007933C9"/>
    <w:rsid w:val="0079374E"/>
    <w:rsid w:val="00793A46"/>
    <w:rsid w:val="00795209"/>
    <w:rsid w:val="007956F9"/>
    <w:rsid w:val="00796BEE"/>
    <w:rsid w:val="007978F4"/>
    <w:rsid w:val="007978F7"/>
    <w:rsid w:val="007A0235"/>
    <w:rsid w:val="007A250E"/>
    <w:rsid w:val="007A4105"/>
    <w:rsid w:val="007A5112"/>
    <w:rsid w:val="007A64E0"/>
    <w:rsid w:val="007A66C1"/>
    <w:rsid w:val="007A6BBA"/>
    <w:rsid w:val="007A7411"/>
    <w:rsid w:val="007B127A"/>
    <w:rsid w:val="007B13C5"/>
    <w:rsid w:val="007B1AE4"/>
    <w:rsid w:val="007B2402"/>
    <w:rsid w:val="007B2776"/>
    <w:rsid w:val="007B4475"/>
    <w:rsid w:val="007B4683"/>
    <w:rsid w:val="007B58A8"/>
    <w:rsid w:val="007B6197"/>
    <w:rsid w:val="007B78A4"/>
    <w:rsid w:val="007B7C24"/>
    <w:rsid w:val="007B7FB3"/>
    <w:rsid w:val="007C03DA"/>
    <w:rsid w:val="007C0964"/>
    <w:rsid w:val="007C122B"/>
    <w:rsid w:val="007C22D6"/>
    <w:rsid w:val="007C243E"/>
    <w:rsid w:val="007C30C8"/>
    <w:rsid w:val="007C32FE"/>
    <w:rsid w:val="007C356A"/>
    <w:rsid w:val="007C3A92"/>
    <w:rsid w:val="007C41B6"/>
    <w:rsid w:val="007C4BF3"/>
    <w:rsid w:val="007C4F44"/>
    <w:rsid w:val="007C5882"/>
    <w:rsid w:val="007C5940"/>
    <w:rsid w:val="007C5CB7"/>
    <w:rsid w:val="007C6489"/>
    <w:rsid w:val="007C6DB4"/>
    <w:rsid w:val="007C6DF9"/>
    <w:rsid w:val="007C7917"/>
    <w:rsid w:val="007C7FB1"/>
    <w:rsid w:val="007D00F6"/>
    <w:rsid w:val="007D20E6"/>
    <w:rsid w:val="007D2230"/>
    <w:rsid w:val="007D254D"/>
    <w:rsid w:val="007D287C"/>
    <w:rsid w:val="007D2E00"/>
    <w:rsid w:val="007D4820"/>
    <w:rsid w:val="007D4CFC"/>
    <w:rsid w:val="007D4F75"/>
    <w:rsid w:val="007D55E1"/>
    <w:rsid w:val="007D5766"/>
    <w:rsid w:val="007D6271"/>
    <w:rsid w:val="007D64EA"/>
    <w:rsid w:val="007D672E"/>
    <w:rsid w:val="007D6B1F"/>
    <w:rsid w:val="007D6E7C"/>
    <w:rsid w:val="007D7593"/>
    <w:rsid w:val="007D798B"/>
    <w:rsid w:val="007D79A9"/>
    <w:rsid w:val="007D7DAE"/>
    <w:rsid w:val="007D7FA2"/>
    <w:rsid w:val="007E04D2"/>
    <w:rsid w:val="007E13EB"/>
    <w:rsid w:val="007E1DBC"/>
    <w:rsid w:val="007E1FB6"/>
    <w:rsid w:val="007E2C0C"/>
    <w:rsid w:val="007E2C75"/>
    <w:rsid w:val="007E2F74"/>
    <w:rsid w:val="007E34B4"/>
    <w:rsid w:val="007E3BB2"/>
    <w:rsid w:val="007E3CCE"/>
    <w:rsid w:val="007E4652"/>
    <w:rsid w:val="007E4C9E"/>
    <w:rsid w:val="007E4D42"/>
    <w:rsid w:val="007E4D60"/>
    <w:rsid w:val="007E5428"/>
    <w:rsid w:val="007E607A"/>
    <w:rsid w:val="007E60DA"/>
    <w:rsid w:val="007E640E"/>
    <w:rsid w:val="007E671F"/>
    <w:rsid w:val="007E70E6"/>
    <w:rsid w:val="007F16C6"/>
    <w:rsid w:val="007F2991"/>
    <w:rsid w:val="007F3223"/>
    <w:rsid w:val="007F3510"/>
    <w:rsid w:val="007F4018"/>
    <w:rsid w:val="007F48D9"/>
    <w:rsid w:val="007F4B88"/>
    <w:rsid w:val="007F55B5"/>
    <w:rsid w:val="007F6195"/>
    <w:rsid w:val="007F6CD6"/>
    <w:rsid w:val="007F76C4"/>
    <w:rsid w:val="008007C9"/>
    <w:rsid w:val="00800B08"/>
    <w:rsid w:val="00802221"/>
    <w:rsid w:val="00803471"/>
    <w:rsid w:val="008041F1"/>
    <w:rsid w:val="00804AD8"/>
    <w:rsid w:val="00804B60"/>
    <w:rsid w:val="00804C0D"/>
    <w:rsid w:val="008056B2"/>
    <w:rsid w:val="00805A97"/>
    <w:rsid w:val="00806357"/>
    <w:rsid w:val="00811047"/>
    <w:rsid w:val="00811085"/>
    <w:rsid w:val="0081148B"/>
    <w:rsid w:val="00811AA5"/>
    <w:rsid w:val="008131C4"/>
    <w:rsid w:val="00813450"/>
    <w:rsid w:val="00813A00"/>
    <w:rsid w:val="00813AAD"/>
    <w:rsid w:val="008146A3"/>
    <w:rsid w:val="008146C3"/>
    <w:rsid w:val="00814EF0"/>
    <w:rsid w:val="00814F27"/>
    <w:rsid w:val="00815BD7"/>
    <w:rsid w:val="008163C2"/>
    <w:rsid w:val="0081642C"/>
    <w:rsid w:val="00816618"/>
    <w:rsid w:val="00816EF5"/>
    <w:rsid w:val="0081709A"/>
    <w:rsid w:val="008179F1"/>
    <w:rsid w:val="00817AB7"/>
    <w:rsid w:val="0082071F"/>
    <w:rsid w:val="008210A0"/>
    <w:rsid w:val="00821A73"/>
    <w:rsid w:val="00822005"/>
    <w:rsid w:val="00822CC2"/>
    <w:rsid w:val="00822F23"/>
    <w:rsid w:val="00823664"/>
    <w:rsid w:val="00823C43"/>
    <w:rsid w:val="00824217"/>
    <w:rsid w:val="0082464E"/>
    <w:rsid w:val="00824A23"/>
    <w:rsid w:val="00824B0D"/>
    <w:rsid w:val="00824F51"/>
    <w:rsid w:val="00825144"/>
    <w:rsid w:val="008259D6"/>
    <w:rsid w:val="00825A86"/>
    <w:rsid w:val="00825BB0"/>
    <w:rsid w:val="00825D05"/>
    <w:rsid w:val="00825D6E"/>
    <w:rsid w:val="00826A6A"/>
    <w:rsid w:val="00826E78"/>
    <w:rsid w:val="00827365"/>
    <w:rsid w:val="008275E2"/>
    <w:rsid w:val="00827620"/>
    <w:rsid w:val="00827BBE"/>
    <w:rsid w:val="0083184D"/>
    <w:rsid w:val="00831DF4"/>
    <w:rsid w:val="00831EFE"/>
    <w:rsid w:val="008320A6"/>
    <w:rsid w:val="008328C2"/>
    <w:rsid w:val="00832B4B"/>
    <w:rsid w:val="0083330F"/>
    <w:rsid w:val="00833F1D"/>
    <w:rsid w:val="00834D5E"/>
    <w:rsid w:val="008359FA"/>
    <w:rsid w:val="008362BB"/>
    <w:rsid w:val="008363D3"/>
    <w:rsid w:val="00837409"/>
    <w:rsid w:val="00837B20"/>
    <w:rsid w:val="00837DBD"/>
    <w:rsid w:val="00837F76"/>
    <w:rsid w:val="008404FB"/>
    <w:rsid w:val="00840A12"/>
    <w:rsid w:val="00840B7E"/>
    <w:rsid w:val="00840BE8"/>
    <w:rsid w:val="00840DC2"/>
    <w:rsid w:val="00840E08"/>
    <w:rsid w:val="008422E1"/>
    <w:rsid w:val="00842C4D"/>
    <w:rsid w:val="00842E43"/>
    <w:rsid w:val="00843B2C"/>
    <w:rsid w:val="00843EB8"/>
    <w:rsid w:val="00844250"/>
    <w:rsid w:val="00844442"/>
    <w:rsid w:val="00844897"/>
    <w:rsid w:val="00845349"/>
    <w:rsid w:val="0084569E"/>
    <w:rsid w:val="0084742B"/>
    <w:rsid w:val="00847C7F"/>
    <w:rsid w:val="00847E25"/>
    <w:rsid w:val="00850353"/>
    <w:rsid w:val="00850FD9"/>
    <w:rsid w:val="008513D7"/>
    <w:rsid w:val="00851913"/>
    <w:rsid w:val="00851E47"/>
    <w:rsid w:val="00851F7C"/>
    <w:rsid w:val="00852586"/>
    <w:rsid w:val="00853025"/>
    <w:rsid w:val="008531BE"/>
    <w:rsid w:val="00853A3E"/>
    <w:rsid w:val="00853CF0"/>
    <w:rsid w:val="008548B0"/>
    <w:rsid w:val="00855BD8"/>
    <w:rsid w:val="00856416"/>
    <w:rsid w:val="00856E74"/>
    <w:rsid w:val="00856F1B"/>
    <w:rsid w:val="00857508"/>
    <w:rsid w:val="00857644"/>
    <w:rsid w:val="0085779A"/>
    <w:rsid w:val="00857A8B"/>
    <w:rsid w:val="00857FCB"/>
    <w:rsid w:val="00860679"/>
    <w:rsid w:val="008606F0"/>
    <w:rsid w:val="0086087C"/>
    <w:rsid w:val="00861647"/>
    <w:rsid w:val="00861D5B"/>
    <w:rsid w:val="00862844"/>
    <w:rsid w:val="00862D45"/>
    <w:rsid w:val="00862E55"/>
    <w:rsid w:val="008631BF"/>
    <w:rsid w:val="00863866"/>
    <w:rsid w:val="008638C0"/>
    <w:rsid w:val="00863933"/>
    <w:rsid w:val="00863EA1"/>
    <w:rsid w:val="008641A6"/>
    <w:rsid w:val="00864BEF"/>
    <w:rsid w:val="00864D56"/>
    <w:rsid w:val="008652A9"/>
    <w:rsid w:val="0086613E"/>
    <w:rsid w:val="00866DE3"/>
    <w:rsid w:val="00867077"/>
    <w:rsid w:val="00867346"/>
    <w:rsid w:val="0086735A"/>
    <w:rsid w:val="00867CC7"/>
    <w:rsid w:val="00867FB1"/>
    <w:rsid w:val="00870880"/>
    <w:rsid w:val="0087099A"/>
    <w:rsid w:val="008711DF"/>
    <w:rsid w:val="00871CD4"/>
    <w:rsid w:val="00871E5A"/>
    <w:rsid w:val="00872491"/>
    <w:rsid w:val="00873B23"/>
    <w:rsid w:val="00873EB3"/>
    <w:rsid w:val="00875058"/>
    <w:rsid w:val="0087594E"/>
    <w:rsid w:val="00875B4E"/>
    <w:rsid w:val="00876223"/>
    <w:rsid w:val="0087661B"/>
    <w:rsid w:val="0087697D"/>
    <w:rsid w:val="00876D1E"/>
    <w:rsid w:val="0087730E"/>
    <w:rsid w:val="008805B7"/>
    <w:rsid w:val="00880E8F"/>
    <w:rsid w:val="00881626"/>
    <w:rsid w:val="008819FB"/>
    <w:rsid w:val="00881BA0"/>
    <w:rsid w:val="00881E1A"/>
    <w:rsid w:val="008821E7"/>
    <w:rsid w:val="008824C7"/>
    <w:rsid w:val="008836C0"/>
    <w:rsid w:val="00883B78"/>
    <w:rsid w:val="008845FD"/>
    <w:rsid w:val="008846DF"/>
    <w:rsid w:val="00884D41"/>
    <w:rsid w:val="00884FA1"/>
    <w:rsid w:val="00885976"/>
    <w:rsid w:val="00885E72"/>
    <w:rsid w:val="00885FC9"/>
    <w:rsid w:val="00886E99"/>
    <w:rsid w:val="008877E6"/>
    <w:rsid w:val="008878AC"/>
    <w:rsid w:val="008901A1"/>
    <w:rsid w:val="00890F31"/>
    <w:rsid w:val="00890F86"/>
    <w:rsid w:val="0089119C"/>
    <w:rsid w:val="0089138A"/>
    <w:rsid w:val="00891F62"/>
    <w:rsid w:val="008922E2"/>
    <w:rsid w:val="008923B6"/>
    <w:rsid w:val="00893766"/>
    <w:rsid w:val="00893BEC"/>
    <w:rsid w:val="00895F3E"/>
    <w:rsid w:val="00896020"/>
    <w:rsid w:val="00896529"/>
    <w:rsid w:val="0089675D"/>
    <w:rsid w:val="008977DA"/>
    <w:rsid w:val="00897EA4"/>
    <w:rsid w:val="008A140D"/>
    <w:rsid w:val="008A2050"/>
    <w:rsid w:val="008A27A6"/>
    <w:rsid w:val="008A2BBA"/>
    <w:rsid w:val="008A30B4"/>
    <w:rsid w:val="008A3A86"/>
    <w:rsid w:val="008A3BB2"/>
    <w:rsid w:val="008A3CF2"/>
    <w:rsid w:val="008A4579"/>
    <w:rsid w:val="008A4739"/>
    <w:rsid w:val="008A4F40"/>
    <w:rsid w:val="008A56EA"/>
    <w:rsid w:val="008A6B60"/>
    <w:rsid w:val="008A71E4"/>
    <w:rsid w:val="008A78AC"/>
    <w:rsid w:val="008A7A80"/>
    <w:rsid w:val="008B0DCF"/>
    <w:rsid w:val="008B2312"/>
    <w:rsid w:val="008B26B2"/>
    <w:rsid w:val="008B2FF2"/>
    <w:rsid w:val="008B353E"/>
    <w:rsid w:val="008B3A6B"/>
    <w:rsid w:val="008B3B8D"/>
    <w:rsid w:val="008B4C14"/>
    <w:rsid w:val="008B5504"/>
    <w:rsid w:val="008B5810"/>
    <w:rsid w:val="008B7BC7"/>
    <w:rsid w:val="008B7F34"/>
    <w:rsid w:val="008C0915"/>
    <w:rsid w:val="008C1ABA"/>
    <w:rsid w:val="008C1D0F"/>
    <w:rsid w:val="008C2574"/>
    <w:rsid w:val="008C2ED5"/>
    <w:rsid w:val="008C33DB"/>
    <w:rsid w:val="008C366E"/>
    <w:rsid w:val="008C390C"/>
    <w:rsid w:val="008C39B3"/>
    <w:rsid w:val="008C45E6"/>
    <w:rsid w:val="008C4A64"/>
    <w:rsid w:val="008C599A"/>
    <w:rsid w:val="008C608A"/>
    <w:rsid w:val="008C6770"/>
    <w:rsid w:val="008C7083"/>
    <w:rsid w:val="008D038F"/>
    <w:rsid w:val="008D0404"/>
    <w:rsid w:val="008D0E24"/>
    <w:rsid w:val="008D1FF6"/>
    <w:rsid w:val="008D2980"/>
    <w:rsid w:val="008D2E64"/>
    <w:rsid w:val="008D3312"/>
    <w:rsid w:val="008D3A87"/>
    <w:rsid w:val="008D4D6D"/>
    <w:rsid w:val="008D55AE"/>
    <w:rsid w:val="008D6073"/>
    <w:rsid w:val="008D62BC"/>
    <w:rsid w:val="008D75DF"/>
    <w:rsid w:val="008D783D"/>
    <w:rsid w:val="008D7CDB"/>
    <w:rsid w:val="008E0671"/>
    <w:rsid w:val="008E1857"/>
    <w:rsid w:val="008E1F71"/>
    <w:rsid w:val="008E291C"/>
    <w:rsid w:val="008E2EA0"/>
    <w:rsid w:val="008E38EA"/>
    <w:rsid w:val="008E3EB6"/>
    <w:rsid w:val="008E5B6C"/>
    <w:rsid w:val="008E5D3B"/>
    <w:rsid w:val="008E7612"/>
    <w:rsid w:val="008E7E0A"/>
    <w:rsid w:val="008F05E7"/>
    <w:rsid w:val="008F123F"/>
    <w:rsid w:val="008F16F5"/>
    <w:rsid w:val="008F1BA3"/>
    <w:rsid w:val="008F20BD"/>
    <w:rsid w:val="008F243F"/>
    <w:rsid w:val="008F263C"/>
    <w:rsid w:val="008F342B"/>
    <w:rsid w:val="008F3705"/>
    <w:rsid w:val="008F3EB5"/>
    <w:rsid w:val="008F43D9"/>
    <w:rsid w:val="008F5728"/>
    <w:rsid w:val="008F5FD7"/>
    <w:rsid w:val="008F655F"/>
    <w:rsid w:val="008F7439"/>
    <w:rsid w:val="008F7BE5"/>
    <w:rsid w:val="0090042F"/>
    <w:rsid w:val="0090043C"/>
    <w:rsid w:val="00900737"/>
    <w:rsid w:val="00900E70"/>
    <w:rsid w:val="00901323"/>
    <w:rsid w:val="0090143B"/>
    <w:rsid w:val="00901D21"/>
    <w:rsid w:val="00901E8D"/>
    <w:rsid w:val="00902D03"/>
    <w:rsid w:val="00903127"/>
    <w:rsid w:val="00903B22"/>
    <w:rsid w:val="00904062"/>
    <w:rsid w:val="009044A2"/>
    <w:rsid w:val="009045E2"/>
    <w:rsid w:val="009051E8"/>
    <w:rsid w:val="00905CD1"/>
    <w:rsid w:val="0090609E"/>
    <w:rsid w:val="0090699A"/>
    <w:rsid w:val="00906B29"/>
    <w:rsid w:val="00906EA6"/>
    <w:rsid w:val="00907792"/>
    <w:rsid w:val="00907D7F"/>
    <w:rsid w:val="009102F9"/>
    <w:rsid w:val="00910B6A"/>
    <w:rsid w:val="00910B74"/>
    <w:rsid w:val="00910D79"/>
    <w:rsid w:val="00911453"/>
    <w:rsid w:val="00911702"/>
    <w:rsid w:val="00911999"/>
    <w:rsid w:val="009128A9"/>
    <w:rsid w:val="009133C0"/>
    <w:rsid w:val="009137B6"/>
    <w:rsid w:val="00913F34"/>
    <w:rsid w:val="00914213"/>
    <w:rsid w:val="0091545E"/>
    <w:rsid w:val="00915A0B"/>
    <w:rsid w:val="00915BD0"/>
    <w:rsid w:val="009164AC"/>
    <w:rsid w:val="00916565"/>
    <w:rsid w:val="00917D69"/>
    <w:rsid w:val="00920E0A"/>
    <w:rsid w:val="00920EC5"/>
    <w:rsid w:val="009212DC"/>
    <w:rsid w:val="00921DC8"/>
    <w:rsid w:val="00922120"/>
    <w:rsid w:val="00922917"/>
    <w:rsid w:val="0092470C"/>
    <w:rsid w:val="00924DBB"/>
    <w:rsid w:val="00925690"/>
    <w:rsid w:val="009258D5"/>
    <w:rsid w:val="00926D20"/>
    <w:rsid w:val="00927184"/>
    <w:rsid w:val="009275DB"/>
    <w:rsid w:val="00927737"/>
    <w:rsid w:val="00927866"/>
    <w:rsid w:val="00930399"/>
    <w:rsid w:val="009323CC"/>
    <w:rsid w:val="00932D50"/>
    <w:rsid w:val="00933324"/>
    <w:rsid w:val="00934474"/>
    <w:rsid w:val="00934676"/>
    <w:rsid w:val="00936BF5"/>
    <w:rsid w:val="009401A8"/>
    <w:rsid w:val="0094228A"/>
    <w:rsid w:val="0094233C"/>
    <w:rsid w:val="00942E3B"/>
    <w:rsid w:val="0094382C"/>
    <w:rsid w:val="00943FDA"/>
    <w:rsid w:val="009447BE"/>
    <w:rsid w:val="00944A61"/>
    <w:rsid w:val="00944E09"/>
    <w:rsid w:val="00945045"/>
    <w:rsid w:val="0095097D"/>
    <w:rsid w:val="00951499"/>
    <w:rsid w:val="00951AA4"/>
    <w:rsid w:val="009525BD"/>
    <w:rsid w:val="00952C9E"/>
    <w:rsid w:val="00954E02"/>
    <w:rsid w:val="00955D25"/>
    <w:rsid w:val="00960477"/>
    <w:rsid w:val="00960F89"/>
    <w:rsid w:val="00961F1A"/>
    <w:rsid w:val="009628AF"/>
    <w:rsid w:val="00962DEB"/>
    <w:rsid w:val="0096303E"/>
    <w:rsid w:val="00963C14"/>
    <w:rsid w:val="00965043"/>
    <w:rsid w:val="009656A4"/>
    <w:rsid w:val="009659A0"/>
    <w:rsid w:val="0096680E"/>
    <w:rsid w:val="00966DDE"/>
    <w:rsid w:val="00967F8F"/>
    <w:rsid w:val="009700F0"/>
    <w:rsid w:val="009712A5"/>
    <w:rsid w:val="009712C8"/>
    <w:rsid w:val="00971655"/>
    <w:rsid w:val="00971C38"/>
    <w:rsid w:val="00971ED7"/>
    <w:rsid w:val="00972A12"/>
    <w:rsid w:val="00972BA4"/>
    <w:rsid w:val="00973A88"/>
    <w:rsid w:val="00973E4A"/>
    <w:rsid w:val="00974242"/>
    <w:rsid w:val="009746EE"/>
    <w:rsid w:val="00974CEB"/>
    <w:rsid w:val="009759F2"/>
    <w:rsid w:val="00975EA5"/>
    <w:rsid w:val="00976FAF"/>
    <w:rsid w:val="009773D2"/>
    <w:rsid w:val="00977C4B"/>
    <w:rsid w:val="00980240"/>
    <w:rsid w:val="00980752"/>
    <w:rsid w:val="009807DD"/>
    <w:rsid w:val="00980F65"/>
    <w:rsid w:val="00982ED3"/>
    <w:rsid w:val="00982F76"/>
    <w:rsid w:val="009832E6"/>
    <w:rsid w:val="00983766"/>
    <w:rsid w:val="0098459E"/>
    <w:rsid w:val="009847A7"/>
    <w:rsid w:val="00984B1E"/>
    <w:rsid w:val="00985845"/>
    <w:rsid w:val="00985DD0"/>
    <w:rsid w:val="00986023"/>
    <w:rsid w:val="0098663F"/>
    <w:rsid w:val="00986B45"/>
    <w:rsid w:val="00986E32"/>
    <w:rsid w:val="00987904"/>
    <w:rsid w:val="00990125"/>
    <w:rsid w:val="0099057F"/>
    <w:rsid w:val="00990832"/>
    <w:rsid w:val="00991482"/>
    <w:rsid w:val="009914AC"/>
    <w:rsid w:val="00991A39"/>
    <w:rsid w:val="00992412"/>
    <w:rsid w:val="00992DB0"/>
    <w:rsid w:val="00993362"/>
    <w:rsid w:val="00993BD3"/>
    <w:rsid w:val="0099415F"/>
    <w:rsid w:val="00994459"/>
    <w:rsid w:val="0099468B"/>
    <w:rsid w:val="00995321"/>
    <w:rsid w:val="00996431"/>
    <w:rsid w:val="00996A0E"/>
    <w:rsid w:val="00996BE4"/>
    <w:rsid w:val="00997B0E"/>
    <w:rsid w:val="009A0AE4"/>
    <w:rsid w:val="009A0FE3"/>
    <w:rsid w:val="009A1009"/>
    <w:rsid w:val="009A1643"/>
    <w:rsid w:val="009A1671"/>
    <w:rsid w:val="009A1F2F"/>
    <w:rsid w:val="009A3380"/>
    <w:rsid w:val="009A34F2"/>
    <w:rsid w:val="009A357E"/>
    <w:rsid w:val="009A422E"/>
    <w:rsid w:val="009A4A40"/>
    <w:rsid w:val="009A4B7F"/>
    <w:rsid w:val="009A4C45"/>
    <w:rsid w:val="009A66AC"/>
    <w:rsid w:val="009A6790"/>
    <w:rsid w:val="009A7FD1"/>
    <w:rsid w:val="009B166A"/>
    <w:rsid w:val="009B2924"/>
    <w:rsid w:val="009B298E"/>
    <w:rsid w:val="009B3357"/>
    <w:rsid w:val="009B3ED9"/>
    <w:rsid w:val="009B5426"/>
    <w:rsid w:val="009B5A7F"/>
    <w:rsid w:val="009B5B95"/>
    <w:rsid w:val="009B65EF"/>
    <w:rsid w:val="009B6656"/>
    <w:rsid w:val="009B7339"/>
    <w:rsid w:val="009B767D"/>
    <w:rsid w:val="009B7A43"/>
    <w:rsid w:val="009B7D51"/>
    <w:rsid w:val="009B7E09"/>
    <w:rsid w:val="009C016F"/>
    <w:rsid w:val="009C01CF"/>
    <w:rsid w:val="009C04DE"/>
    <w:rsid w:val="009C1024"/>
    <w:rsid w:val="009C2776"/>
    <w:rsid w:val="009C29BA"/>
    <w:rsid w:val="009C33EF"/>
    <w:rsid w:val="009C419F"/>
    <w:rsid w:val="009C500C"/>
    <w:rsid w:val="009C550A"/>
    <w:rsid w:val="009C591B"/>
    <w:rsid w:val="009C6B7C"/>
    <w:rsid w:val="009C7349"/>
    <w:rsid w:val="009D0CBD"/>
    <w:rsid w:val="009D11A8"/>
    <w:rsid w:val="009D120B"/>
    <w:rsid w:val="009D24B5"/>
    <w:rsid w:val="009D43B3"/>
    <w:rsid w:val="009D4C81"/>
    <w:rsid w:val="009D574F"/>
    <w:rsid w:val="009D5B3C"/>
    <w:rsid w:val="009D5F65"/>
    <w:rsid w:val="009D6392"/>
    <w:rsid w:val="009D686F"/>
    <w:rsid w:val="009D6B3A"/>
    <w:rsid w:val="009D7038"/>
    <w:rsid w:val="009D7D72"/>
    <w:rsid w:val="009E041F"/>
    <w:rsid w:val="009E09E0"/>
    <w:rsid w:val="009E1154"/>
    <w:rsid w:val="009E1678"/>
    <w:rsid w:val="009E16C6"/>
    <w:rsid w:val="009E18DD"/>
    <w:rsid w:val="009E2782"/>
    <w:rsid w:val="009E2803"/>
    <w:rsid w:val="009E3392"/>
    <w:rsid w:val="009E3B43"/>
    <w:rsid w:val="009E3BB0"/>
    <w:rsid w:val="009E4190"/>
    <w:rsid w:val="009E49A6"/>
    <w:rsid w:val="009E4AF0"/>
    <w:rsid w:val="009E5033"/>
    <w:rsid w:val="009E5819"/>
    <w:rsid w:val="009E703E"/>
    <w:rsid w:val="009E70B6"/>
    <w:rsid w:val="009E7609"/>
    <w:rsid w:val="009E7742"/>
    <w:rsid w:val="009F11A3"/>
    <w:rsid w:val="009F260E"/>
    <w:rsid w:val="009F2673"/>
    <w:rsid w:val="009F30F3"/>
    <w:rsid w:val="009F343E"/>
    <w:rsid w:val="009F4E36"/>
    <w:rsid w:val="009F588B"/>
    <w:rsid w:val="009F5A84"/>
    <w:rsid w:val="009F6344"/>
    <w:rsid w:val="009F6BCE"/>
    <w:rsid w:val="009F7311"/>
    <w:rsid w:val="009F7531"/>
    <w:rsid w:val="009F7DEE"/>
    <w:rsid w:val="00A00189"/>
    <w:rsid w:val="00A01140"/>
    <w:rsid w:val="00A012DA"/>
    <w:rsid w:val="00A025C5"/>
    <w:rsid w:val="00A02677"/>
    <w:rsid w:val="00A030DE"/>
    <w:rsid w:val="00A03B4C"/>
    <w:rsid w:val="00A045F7"/>
    <w:rsid w:val="00A054D3"/>
    <w:rsid w:val="00A05D38"/>
    <w:rsid w:val="00A07832"/>
    <w:rsid w:val="00A07B81"/>
    <w:rsid w:val="00A07DF0"/>
    <w:rsid w:val="00A07F27"/>
    <w:rsid w:val="00A10287"/>
    <w:rsid w:val="00A10D63"/>
    <w:rsid w:val="00A10F1E"/>
    <w:rsid w:val="00A11CBF"/>
    <w:rsid w:val="00A140D6"/>
    <w:rsid w:val="00A14D33"/>
    <w:rsid w:val="00A15006"/>
    <w:rsid w:val="00A15F6F"/>
    <w:rsid w:val="00A168B7"/>
    <w:rsid w:val="00A16B26"/>
    <w:rsid w:val="00A16FC1"/>
    <w:rsid w:val="00A17C89"/>
    <w:rsid w:val="00A17CD6"/>
    <w:rsid w:val="00A20987"/>
    <w:rsid w:val="00A20F58"/>
    <w:rsid w:val="00A20FA7"/>
    <w:rsid w:val="00A2104F"/>
    <w:rsid w:val="00A21077"/>
    <w:rsid w:val="00A22467"/>
    <w:rsid w:val="00A22823"/>
    <w:rsid w:val="00A22A01"/>
    <w:rsid w:val="00A22D6B"/>
    <w:rsid w:val="00A2355A"/>
    <w:rsid w:val="00A23BFF"/>
    <w:rsid w:val="00A251B7"/>
    <w:rsid w:val="00A26495"/>
    <w:rsid w:val="00A26861"/>
    <w:rsid w:val="00A278EA"/>
    <w:rsid w:val="00A27B13"/>
    <w:rsid w:val="00A305BE"/>
    <w:rsid w:val="00A305CC"/>
    <w:rsid w:val="00A30E4A"/>
    <w:rsid w:val="00A329B8"/>
    <w:rsid w:val="00A32A31"/>
    <w:rsid w:val="00A3309E"/>
    <w:rsid w:val="00A34D5A"/>
    <w:rsid w:val="00A353A1"/>
    <w:rsid w:val="00A354FF"/>
    <w:rsid w:val="00A3679A"/>
    <w:rsid w:val="00A37438"/>
    <w:rsid w:val="00A40892"/>
    <w:rsid w:val="00A4094B"/>
    <w:rsid w:val="00A40B6D"/>
    <w:rsid w:val="00A40CBE"/>
    <w:rsid w:val="00A4115B"/>
    <w:rsid w:val="00A4176A"/>
    <w:rsid w:val="00A41CC2"/>
    <w:rsid w:val="00A41D31"/>
    <w:rsid w:val="00A4239F"/>
    <w:rsid w:val="00A423E9"/>
    <w:rsid w:val="00A42797"/>
    <w:rsid w:val="00A42A09"/>
    <w:rsid w:val="00A431F1"/>
    <w:rsid w:val="00A43805"/>
    <w:rsid w:val="00A43EE9"/>
    <w:rsid w:val="00A44371"/>
    <w:rsid w:val="00A44626"/>
    <w:rsid w:val="00A45090"/>
    <w:rsid w:val="00A45575"/>
    <w:rsid w:val="00A45F03"/>
    <w:rsid w:val="00A4620C"/>
    <w:rsid w:val="00A46560"/>
    <w:rsid w:val="00A4699F"/>
    <w:rsid w:val="00A471F8"/>
    <w:rsid w:val="00A474D0"/>
    <w:rsid w:val="00A519E4"/>
    <w:rsid w:val="00A52448"/>
    <w:rsid w:val="00A531AA"/>
    <w:rsid w:val="00A5383C"/>
    <w:rsid w:val="00A538A6"/>
    <w:rsid w:val="00A53954"/>
    <w:rsid w:val="00A540B2"/>
    <w:rsid w:val="00A55F92"/>
    <w:rsid w:val="00A568D7"/>
    <w:rsid w:val="00A57124"/>
    <w:rsid w:val="00A57280"/>
    <w:rsid w:val="00A60E3A"/>
    <w:rsid w:val="00A6160C"/>
    <w:rsid w:val="00A61693"/>
    <w:rsid w:val="00A616AD"/>
    <w:rsid w:val="00A624F2"/>
    <w:rsid w:val="00A6363A"/>
    <w:rsid w:val="00A64346"/>
    <w:rsid w:val="00A646C1"/>
    <w:rsid w:val="00A654F1"/>
    <w:rsid w:val="00A65817"/>
    <w:rsid w:val="00A659FC"/>
    <w:rsid w:val="00A66819"/>
    <w:rsid w:val="00A670B8"/>
    <w:rsid w:val="00A6785D"/>
    <w:rsid w:val="00A67B6B"/>
    <w:rsid w:val="00A70062"/>
    <w:rsid w:val="00A707DF"/>
    <w:rsid w:val="00A70B7E"/>
    <w:rsid w:val="00A71C75"/>
    <w:rsid w:val="00A71D1E"/>
    <w:rsid w:val="00A72448"/>
    <w:rsid w:val="00A72450"/>
    <w:rsid w:val="00A7265F"/>
    <w:rsid w:val="00A72DE3"/>
    <w:rsid w:val="00A73AD6"/>
    <w:rsid w:val="00A744AF"/>
    <w:rsid w:val="00A74568"/>
    <w:rsid w:val="00A747DE"/>
    <w:rsid w:val="00A75815"/>
    <w:rsid w:val="00A75DB7"/>
    <w:rsid w:val="00A76685"/>
    <w:rsid w:val="00A769D1"/>
    <w:rsid w:val="00A76CEC"/>
    <w:rsid w:val="00A77215"/>
    <w:rsid w:val="00A779F4"/>
    <w:rsid w:val="00A803D8"/>
    <w:rsid w:val="00A8094C"/>
    <w:rsid w:val="00A80A58"/>
    <w:rsid w:val="00A8105D"/>
    <w:rsid w:val="00A810AD"/>
    <w:rsid w:val="00A8243B"/>
    <w:rsid w:val="00A82768"/>
    <w:rsid w:val="00A83679"/>
    <w:rsid w:val="00A83736"/>
    <w:rsid w:val="00A83DDE"/>
    <w:rsid w:val="00A85704"/>
    <w:rsid w:val="00A85EE1"/>
    <w:rsid w:val="00A861A8"/>
    <w:rsid w:val="00A86963"/>
    <w:rsid w:val="00A86A50"/>
    <w:rsid w:val="00A87636"/>
    <w:rsid w:val="00A903DE"/>
    <w:rsid w:val="00A912CC"/>
    <w:rsid w:val="00A91FC1"/>
    <w:rsid w:val="00A92ECE"/>
    <w:rsid w:val="00A940A4"/>
    <w:rsid w:val="00A949A7"/>
    <w:rsid w:val="00A95697"/>
    <w:rsid w:val="00A956EF"/>
    <w:rsid w:val="00A95D37"/>
    <w:rsid w:val="00A9748A"/>
    <w:rsid w:val="00A97956"/>
    <w:rsid w:val="00A97B81"/>
    <w:rsid w:val="00AA0C5F"/>
    <w:rsid w:val="00AA1825"/>
    <w:rsid w:val="00AA1865"/>
    <w:rsid w:val="00AA1945"/>
    <w:rsid w:val="00AA1F89"/>
    <w:rsid w:val="00AA28AD"/>
    <w:rsid w:val="00AA3F6E"/>
    <w:rsid w:val="00AA4357"/>
    <w:rsid w:val="00AA4591"/>
    <w:rsid w:val="00AA561E"/>
    <w:rsid w:val="00AA629C"/>
    <w:rsid w:val="00AA677E"/>
    <w:rsid w:val="00AA6F30"/>
    <w:rsid w:val="00AA74E8"/>
    <w:rsid w:val="00AA77DD"/>
    <w:rsid w:val="00AA7C8D"/>
    <w:rsid w:val="00AA7ECA"/>
    <w:rsid w:val="00AB02F4"/>
    <w:rsid w:val="00AB174E"/>
    <w:rsid w:val="00AB18D7"/>
    <w:rsid w:val="00AB222D"/>
    <w:rsid w:val="00AB2DA2"/>
    <w:rsid w:val="00AB33AB"/>
    <w:rsid w:val="00AB4403"/>
    <w:rsid w:val="00AB442F"/>
    <w:rsid w:val="00AB4C0F"/>
    <w:rsid w:val="00AB4CA0"/>
    <w:rsid w:val="00AB513D"/>
    <w:rsid w:val="00AB53B6"/>
    <w:rsid w:val="00AB5C7D"/>
    <w:rsid w:val="00AB5C9D"/>
    <w:rsid w:val="00AB7520"/>
    <w:rsid w:val="00AB756A"/>
    <w:rsid w:val="00AB76AC"/>
    <w:rsid w:val="00AB7EF0"/>
    <w:rsid w:val="00AB7F89"/>
    <w:rsid w:val="00AC0534"/>
    <w:rsid w:val="00AC0627"/>
    <w:rsid w:val="00AC096F"/>
    <w:rsid w:val="00AC0C93"/>
    <w:rsid w:val="00AC1523"/>
    <w:rsid w:val="00AC1C8F"/>
    <w:rsid w:val="00AC1D8E"/>
    <w:rsid w:val="00AC1EB8"/>
    <w:rsid w:val="00AC1F37"/>
    <w:rsid w:val="00AC213F"/>
    <w:rsid w:val="00AC25ED"/>
    <w:rsid w:val="00AC3ED4"/>
    <w:rsid w:val="00AC46A6"/>
    <w:rsid w:val="00AC46C8"/>
    <w:rsid w:val="00AC4DAB"/>
    <w:rsid w:val="00AC5599"/>
    <w:rsid w:val="00AC5653"/>
    <w:rsid w:val="00AC60A1"/>
    <w:rsid w:val="00AC6319"/>
    <w:rsid w:val="00AC70B0"/>
    <w:rsid w:val="00AC72E3"/>
    <w:rsid w:val="00AC7782"/>
    <w:rsid w:val="00AC7BD9"/>
    <w:rsid w:val="00AC7FD6"/>
    <w:rsid w:val="00AD07B8"/>
    <w:rsid w:val="00AD09AF"/>
    <w:rsid w:val="00AD13A3"/>
    <w:rsid w:val="00AD1CF9"/>
    <w:rsid w:val="00AD20F8"/>
    <w:rsid w:val="00AD26AF"/>
    <w:rsid w:val="00AD2B7B"/>
    <w:rsid w:val="00AD3483"/>
    <w:rsid w:val="00AD360A"/>
    <w:rsid w:val="00AD3E8E"/>
    <w:rsid w:val="00AD3F07"/>
    <w:rsid w:val="00AD45B9"/>
    <w:rsid w:val="00AD4BBA"/>
    <w:rsid w:val="00AD53AC"/>
    <w:rsid w:val="00AD6B6E"/>
    <w:rsid w:val="00AD6E63"/>
    <w:rsid w:val="00AD74DF"/>
    <w:rsid w:val="00AE0753"/>
    <w:rsid w:val="00AE10E0"/>
    <w:rsid w:val="00AE1315"/>
    <w:rsid w:val="00AE1A0F"/>
    <w:rsid w:val="00AE1E2F"/>
    <w:rsid w:val="00AE2D6D"/>
    <w:rsid w:val="00AE2F35"/>
    <w:rsid w:val="00AE33FD"/>
    <w:rsid w:val="00AE3F45"/>
    <w:rsid w:val="00AE41DD"/>
    <w:rsid w:val="00AE4858"/>
    <w:rsid w:val="00AE4EB3"/>
    <w:rsid w:val="00AE5AC6"/>
    <w:rsid w:val="00AE5B81"/>
    <w:rsid w:val="00AE5EC2"/>
    <w:rsid w:val="00AE634E"/>
    <w:rsid w:val="00AE668F"/>
    <w:rsid w:val="00AE6727"/>
    <w:rsid w:val="00AE7D0F"/>
    <w:rsid w:val="00AF0338"/>
    <w:rsid w:val="00AF0516"/>
    <w:rsid w:val="00AF0B3C"/>
    <w:rsid w:val="00AF0B5C"/>
    <w:rsid w:val="00AF236C"/>
    <w:rsid w:val="00AF270C"/>
    <w:rsid w:val="00AF2CC8"/>
    <w:rsid w:val="00AF3784"/>
    <w:rsid w:val="00AF38C6"/>
    <w:rsid w:val="00AF3A9E"/>
    <w:rsid w:val="00AF3EA4"/>
    <w:rsid w:val="00AF665B"/>
    <w:rsid w:val="00AF67CB"/>
    <w:rsid w:val="00AF6ACB"/>
    <w:rsid w:val="00AF73BE"/>
    <w:rsid w:val="00AF75D6"/>
    <w:rsid w:val="00AF7784"/>
    <w:rsid w:val="00B00082"/>
    <w:rsid w:val="00B00BC2"/>
    <w:rsid w:val="00B010D1"/>
    <w:rsid w:val="00B01BE8"/>
    <w:rsid w:val="00B01ED1"/>
    <w:rsid w:val="00B02D1F"/>
    <w:rsid w:val="00B03741"/>
    <w:rsid w:val="00B03A19"/>
    <w:rsid w:val="00B04EA6"/>
    <w:rsid w:val="00B050FD"/>
    <w:rsid w:val="00B06673"/>
    <w:rsid w:val="00B07A51"/>
    <w:rsid w:val="00B07B51"/>
    <w:rsid w:val="00B11B37"/>
    <w:rsid w:val="00B11B4B"/>
    <w:rsid w:val="00B11FBC"/>
    <w:rsid w:val="00B1255B"/>
    <w:rsid w:val="00B13188"/>
    <w:rsid w:val="00B13E0F"/>
    <w:rsid w:val="00B14782"/>
    <w:rsid w:val="00B169B0"/>
    <w:rsid w:val="00B16D04"/>
    <w:rsid w:val="00B16EB3"/>
    <w:rsid w:val="00B172F6"/>
    <w:rsid w:val="00B17DC8"/>
    <w:rsid w:val="00B201ED"/>
    <w:rsid w:val="00B2053F"/>
    <w:rsid w:val="00B207CD"/>
    <w:rsid w:val="00B20C10"/>
    <w:rsid w:val="00B215C3"/>
    <w:rsid w:val="00B217C5"/>
    <w:rsid w:val="00B226E3"/>
    <w:rsid w:val="00B22E71"/>
    <w:rsid w:val="00B23DFA"/>
    <w:rsid w:val="00B23E31"/>
    <w:rsid w:val="00B24481"/>
    <w:rsid w:val="00B25841"/>
    <w:rsid w:val="00B2679A"/>
    <w:rsid w:val="00B272C3"/>
    <w:rsid w:val="00B275A1"/>
    <w:rsid w:val="00B30C31"/>
    <w:rsid w:val="00B311F4"/>
    <w:rsid w:val="00B31A67"/>
    <w:rsid w:val="00B31C51"/>
    <w:rsid w:val="00B31FB5"/>
    <w:rsid w:val="00B3249A"/>
    <w:rsid w:val="00B329C9"/>
    <w:rsid w:val="00B32A5D"/>
    <w:rsid w:val="00B32DF3"/>
    <w:rsid w:val="00B344D4"/>
    <w:rsid w:val="00B35560"/>
    <w:rsid w:val="00B358FF"/>
    <w:rsid w:val="00B35978"/>
    <w:rsid w:val="00B366B7"/>
    <w:rsid w:val="00B36D2A"/>
    <w:rsid w:val="00B37442"/>
    <w:rsid w:val="00B42D69"/>
    <w:rsid w:val="00B4340C"/>
    <w:rsid w:val="00B43818"/>
    <w:rsid w:val="00B43858"/>
    <w:rsid w:val="00B43F06"/>
    <w:rsid w:val="00B4423B"/>
    <w:rsid w:val="00B443AD"/>
    <w:rsid w:val="00B44449"/>
    <w:rsid w:val="00B4507F"/>
    <w:rsid w:val="00B463D5"/>
    <w:rsid w:val="00B473F1"/>
    <w:rsid w:val="00B47408"/>
    <w:rsid w:val="00B47FAC"/>
    <w:rsid w:val="00B50E10"/>
    <w:rsid w:val="00B50EA7"/>
    <w:rsid w:val="00B510B3"/>
    <w:rsid w:val="00B51179"/>
    <w:rsid w:val="00B5150A"/>
    <w:rsid w:val="00B52839"/>
    <w:rsid w:val="00B52A2C"/>
    <w:rsid w:val="00B52B0C"/>
    <w:rsid w:val="00B53144"/>
    <w:rsid w:val="00B536D4"/>
    <w:rsid w:val="00B536DE"/>
    <w:rsid w:val="00B53A6C"/>
    <w:rsid w:val="00B53DA1"/>
    <w:rsid w:val="00B53DB7"/>
    <w:rsid w:val="00B547E0"/>
    <w:rsid w:val="00B55457"/>
    <w:rsid w:val="00B55871"/>
    <w:rsid w:val="00B55D2E"/>
    <w:rsid w:val="00B5632B"/>
    <w:rsid w:val="00B5655C"/>
    <w:rsid w:val="00B56945"/>
    <w:rsid w:val="00B56963"/>
    <w:rsid w:val="00B56965"/>
    <w:rsid w:val="00B575BD"/>
    <w:rsid w:val="00B57677"/>
    <w:rsid w:val="00B601BF"/>
    <w:rsid w:val="00B61433"/>
    <w:rsid w:val="00B61EB3"/>
    <w:rsid w:val="00B6256D"/>
    <w:rsid w:val="00B62BF0"/>
    <w:rsid w:val="00B62C8B"/>
    <w:rsid w:val="00B62ED1"/>
    <w:rsid w:val="00B63942"/>
    <w:rsid w:val="00B63AC4"/>
    <w:rsid w:val="00B642DB"/>
    <w:rsid w:val="00B64390"/>
    <w:rsid w:val="00B643B1"/>
    <w:rsid w:val="00B645AE"/>
    <w:rsid w:val="00B64A94"/>
    <w:rsid w:val="00B65255"/>
    <w:rsid w:val="00B6582E"/>
    <w:rsid w:val="00B66AD4"/>
    <w:rsid w:val="00B66C65"/>
    <w:rsid w:val="00B6735F"/>
    <w:rsid w:val="00B70058"/>
    <w:rsid w:val="00B70EA9"/>
    <w:rsid w:val="00B7143C"/>
    <w:rsid w:val="00B72B42"/>
    <w:rsid w:val="00B7394C"/>
    <w:rsid w:val="00B748B9"/>
    <w:rsid w:val="00B74B11"/>
    <w:rsid w:val="00B74B3A"/>
    <w:rsid w:val="00B74CC5"/>
    <w:rsid w:val="00B7503A"/>
    <w:rsid w:val="00B75219"/>
    <w:rsid w:val="00B7560E"/>
    <w:rsid w:val="00B75CB9"/>
    <w:rsid w:val="00B75F11"/>
    <w:rsid w:val="00B8006B"/>
    <w:rsid w:val="00B8143D"/>
    <w:rsid w:val="00B818E9"/>
    <w:rsid w:val="00B81993"/>
    <w:rsid w:val="00B81B0C"/>
    <w:rsid w:val="00B81B45"/>
    <w:rsid w:val="00B82382"/>
    <w:rsid w:val="00B82D34"/>
    <w:rsid w:val="00B83B96"/>
    <w:rsid w:val="00B84AB8"/>
    <w:rsid w:val="00B85717"/>
    <w:rsid w:val="00B862A3"/>
    <w:rsid w:val="00B866C0"/>
    <w:rsid w:val="00B86F19"/>
    <w:rsid w:val="00B873C9"/>
    <w:rsid w:val="00B9111F"/>
    <w:rsid w:val="00B92007"/>
    <w:rsid w:val="00B9252F"/>
    <w:rsid w:val="00B9286B"/>
    <w:rsid w:val="00B92BBF"/>
    <w:rsid w:val="00B92CC9"/>
    <w:rsid w:val="00B933A1"/>
    <w:rsid w:val="00B933E7"/>
    <w:rsid w:val="00B93AD5"/>
    <w:rsid w:val="00B9480F"/>
    <w:rsid w:val="00B9495B"/>
    <w:rsid w:val="00B94AF8"/>
    <w:rsid w:val="00B95CD1"/>
    <w:rsid w:val="00B96682"/>
    <w:rsid w:val="00B97224"/>
    <w:rsid w:val="00BA06FA"/>
    <w:rsid w:val="00BA0A59"/>
    <w:rsid w:val="00BA0AEF"/>
    <w:rsid w:val="00BA0E56"/>
    <w:rsid w:val="00BA0FF9"/>
    <w:rsid w:val="00BA1521"/>
    <w:rsid w:val="00BA17C4"/>
    <w:rsid w:val="00BA1827"/>
    <w:rsid w:val="00BA1F75"/>
    <w:rsid w:val="00BA25AD"/>
    <w:rsid w:val="00BA2B25"/>
    <w:rsid w:val="00BA2B7F"/>
    <w:rsid w:val="00BA365E"/>
    <w:rsid w:val="00BA3690"/>
    <w:rsid w:val="00BA3E40"/>
    <w:rsid w:val="00BA41CD"/>
    <w:rsid w:val="00BA4ED0"/>
    <w:rsid w:val="00BA59E0"/>
    <w:rsid w:val="00BA5DD5"/>
    <w:rsid w:val="00BA6485"/>
    <w:rsid w:val="00BB08BF"/>
    <w:rsid w:val="00BB090A"/>
    <w:rsid w:val="00BB0ECE"/>
    <w:rsid w:val="00BB2ACB"/>
    <w:rsid w:val="00BB30B6"/>
    <w:rsid w:val="00BB4522"/>
    <w:rsid w:val="00BB4935"/>
    <w:rsid w:val="00BB512B"/>
    <w:rsid w:val="00BB51D8"/>
    <w:rsid w:val="00BB547C"/>
    <w:rsid w:val="00BB5A0F"/>
    <w:rsid w:val="00BB5A31"/>
    <w:rsid w:val="00BB5E8C"/>
    <w:rsid w:val="00BB6B43"/>
    <w:rsid w:val="00BB6D89"/>
    <w:rsid w:val="00BB7820"/>
    <w:rsid w:val="00BB791D"/>
    <w:rsid w:val="00BC0A1D"/>
    <w:rsid w:val="00BC224B"/>
    <w:rsid w:val="00BC243A"/>
    <w:rsid w:val="00BC27D4"/>
    <w:rsid w:val="00BC32E5"/>
    <w:rsid w:val="00BC3957"/>
    <w:rsid w:val="00BC3988"/>
    <w:rsid w:val="00BC47B4"/>
    <w:rsid w:val="00BC58A0"/>
    <w:rsid w:val="00BC58E1"/>
    <w:rsid w:val="00BC60B7"/>
    <w:rsid w:val="00BC638D"/>
    <w:rsid w:val="00BC6453"/>
    <w:rsid w:val="00BC648B"/>
    <w:rsid w:val="00BC6853"/>
    <w:rsid w:val="00BC73A0"/>
    <w:rsid w:val="00BC77DA"/>
    <w:rsid w:val="00BC7B03"/>
    <w:rsid w:val="00BD00FB"/>
    <w:rsid w:val="00BD0334"/>
    <w:rsid w:val="00BD04A3"/>
    <w:rsid w:val="00BD117C"/>
    <w:rsid w:val="00BD1832"/>
    <w:rsid w:val="00BD24A3"/>
    <w:rsid w:val="00BD2AE2"/>
    <w:rsid w:val="00BD35D8"/>
    <w:rsid w:val="00BD51DA"/>
    <w:rsid w:val="00BD53B5"/>
    <w:rsid w:val="00BD5F19"/>
    <w:rsid w:val="00BD5FF2"/>
    <w:rsid w:val="00BD7065"/>
    <w:rsid w:val="00BD7501"/>
    <w:rsid w:val="00BD7C93"/>
    <w:rsid w:val="00BE0443"/>
    <w:rsid w:val="00BE1F12"/>
    <w:rsid w:val="00BE3329"/>
    <w:rsid w:val="00BE50C9"/>
    <w:rsid w:val="00BE57AC"/>
    <w:rsid w:val="00BE67E7"/>
    <w:rsid w:val="00BE6BD6"/>
    <w:rsid w:val="00BE7531"/>
    <w:rsid w:val="00BE7D1F"/>
    <w:rsid w:val="00BF06B2"/>
    <w:rsid w:val="00BF0D54"/>
    <w:rsid w:val="00BF1433"/>
    <w:rsid w:val="00BF1D17"/>
    <w:rsid w:val="00BF3163"/>
    <w:rsid w:val="00BF3426"/>
    <w:rsid w:val="00BF3506"/>
    <w:rsid w:val="00BF48D9"/>
    <w:rsid w:val="00BF4A8C"/>
    <w:rsid w:val="00BF59EE"/>
    <w:rsid w:val="00BF6F8E"/>
    <w:rsid w:val="00BF7040"/>
    <w:rsid w:val="00BF7A10"/>
    <w:rsid w:val="00BF7AA2"/>
    <w:rsid w:val="00C00317"/>
    <w:rsid w:val="00C0044C"/>
    <w:rsid w:val="00C0090A"/>
    <w:rsid w:val="00C01C5C"/>
    <w:rsid w:val="00C02561"/>
    <w:rsid w:val="00C0278F"/>
    <w:rsid w:val="00C02CA2"/>
    <w:rsid w:val="00C032DE"/>
    <w:rsid w:val="00C05314"/>
    <w:rsid w:val="00C0730B"/>
    <w:rsid w:val="00C07F66"/>
    <w:rsid w:val="00C103C2"/>
    <w:rsid w:val="00C10885"/>
    <w:rsid w:val="00C10D4B"/>
    <w:rsid w:val="00C1135E"/>
    <w:rsid w:val="00C11997"/>
    <w:rsid w:val="00C123F9"/>
    <w:rsid w:val="00C14177"/>
    <w:rsid w:val="00C142F5"/>
    <w:rsid w:val="00C150B8"/>
    <w:rsid w:val="00C15D25"/>
    <w:rsid w:val="00C16564"/>
    <w:rsid w:val="00C17791"/>
    <w:rsid w:val="00C17E33"/>
    <w:rsid w:val="00C17F88"/>
    <w:rsid w:val="00C2034F"/>
    <w:rsid w:val="00C20C32"/>
    <w:rsid w:val="00C21D8B"/>
    <w:rsid w:val="00C21FD0"/>
    <w:rsid w:val="00C22394"/>
    <w:rsid w:val="00C22EC0"/>
    <w:rsid w:val="00C232DF"/>
    <w:rsid w:val="00C24139"/>
    <w:rsid w:val="00C249FD"/>
    <w:rsid w:val="00C255EB"/>
    <w:rsid w:val="00C25692"/>
    <w:rsid w:val="00C258E5"/>
    <w:rsid w:val="00C264F4"/>
    <w:rsid w:val="00C26B55"/>
    <w:rsid w:val="00C277F8"/>
    <w:rsid w:val="00C27EE9"/>
    <w:rsid w:val="00C307A3"/>
    <w:rsid w:val="00C3142A"/>
    <w:rsid w:val="00C3143B"/>
    <w:rsid w:val="00C317ED"/>
    <w:rsid w:val="00C31A16"/>
    <w:rsid w:val="00C3241C"/>
    <w:rsid w:val="00C329FB"/>
    <w:rsid w:val="00C32AE5"/>
    <w:rsid w:val="00C330D9"/>
    <w:rsid w:val="00C33536"/>
    <w:rsid w:val="00C335D5"/>
    <w:rsid w:val="00C34187"/>
    <w:rsid w:val="00C347A2"/>
    <w:rsid w:val="00C352D4"/>
    <w:rsid w:val="00C35A2B"/>
    <w:rsid w:val="00C36494"/>
    <w:rsid w:val="00C37FAE"/>
    <w:rsid w:val="00C40474"/>
    <w:rsid w:val="00C4119D"/>
    <w:rsid w:val="00C41209"/>
    <w:rsid w:val="00C41B9E"/>
    <w:rsid w:val="00C42E3D"/>
    <w:rsid w:val="00C43288"/>
    <w:rsid w:val="00C43AC4"/>
    <w:rsid w:val="00C43C2E"/>
    <w:rsid w:val="00C43D04"/>
    <w:rsid w:val="00C43EE2"/>
    <w:rsid w:val="00C445DE"/>
    <w:rsid w:val="00C4548D"/>
    <w:rsid w:val="00C4556F"/>
    <w:rsid w:val="00C45609"/>
    <w:rsid w:val="00C45C06"/>
    <w:rsid w:val="00C46407"/>
    <w:rsid w:val="00C464C0"/>
    <w:rsid w:val="00C47328"/>
    <w:rsid w:val="00C5106E"/>
    <w:rsid w:val="00C510A1"/>
    <w:rsid w:val="00C51114"/>
    <w:rsid w:val="00C52187"/>
    <w:rsid w:val="00C523C4"/>
    <w:rsid w:val="00C52BD9"/>
    <w:rsid w:val="00C52EBB"/>
    <w:rsid w:val="00C54950"/>
    <w:rsid w:val="00C54C5E"/>
    <w:rsid w:val="00C54F44"/>
    <w:rsid w:val="00C550CF"/>
    <w:rsid w:val="00C557C9"/>
    <w:rsid w:val="00C55A58"/>
    <w:rsid w:val="00C56647"/>
    <w:rsid w:val="00C56CD6"/>
    <w:rsid w:val="00C5735C"/>
    <w:rsid w:val="00C5759A"/>
    <w:rsid w:val="00C60067"/>
    <w:rsid w:val="00C611B8"/>
    <w:rsid w:val="00C611D4"/>
    <w:rsid w:val="00C61271"/>
    <w:rsid w:val="00C61FF4"/>
    <w:rsid w:val="00C629B5"/>
    <w:rsid w:val="00C63E85"/>
    <w:rsid w:val="00C649BA"/>
    <w:rsid w:val="00C64F05"/>
    <w:rsid w:val="00C64F62"/>
    <w:rsid w:val="00C66212"/>
    <w:rsid w:val="00C66F80"/>
    <w:rsid w:val="00C679F8"/>
    <w:rsid w:val="00C67C2C"/>
    <w:rsid w:val="00C67DB4"/>
    <w:rsid w:val="00C701B8"/>
    <w:rsid w:val="00C70CDB"/>
    <w:rsid w:val="00C711C9"/>
    <w:rsid w:val="00C737A8"/>
    <w:rsid w:val="00C73A05"/>
    <w:rsid w:val="00C73A40"/>
    <w:rsid w:val="00C7423E"/>
    <w:rsid w:val="00C743DF"/>
    <w:rsid w:val="00C744E1"/>
    <w:rsid w:val="00C74656"/>
    <w:rsid w:val="00C74F95"/>
    <w:rsid w:val="00C751C0"/>
    <w:rsid w:val="00C75595"/>
    <w:rsid w:val="00C75DF9"/>
    <w:rsid w:val="00C7694A"/>
    <w:rsid w:val="00C77110"/>
    <w:rsid w:val="00C7716C"/>
    <w:rsid w:val="00C775BA"/>
    <w:rsid w:val="00C77D3A"/>
    <w:rsid w:val="00C80379"/>
    <w:rsid w:val="00C807D0"/>
    <w:rsid w:val="00C80CCA"/>
    <w:rsid w:val="00C822F8"/>
    <w:rsid w:val="00C8249F"/>
    <w:rsid w:val="00C82861"/>
    <w:rsid w:val="00C82AC7"/>
    <w:rsid w:val="00C82BF8"/>
    <w:rsid w:val="00C82F72"/>
    <w:rsid w:val="00C83A43"/>
    <w:rsid w:val="00C83FA4"/>
    <w:rsid w:val="00C84942"/>
    <w:rsid w:val="00C84A12"/>
    <w:rsid w:val="00C84F5A"/>
    <w:rsid w:val="00C901CF"/>
    <w:rsid w:val="00C905F5"/>
    <w:rsid w:val="00C91818"/>
    <w:rsid w:val="00C92295"/>
    <w:rsid w:val="00C9245F"/>
    <w:rsid w:val="00C9257F"/>
    <w:rsid w:val="00C926AB"/>
    <w:rsid w:val="00C92BB0"/>
    <w:rsid w:val="00C92E77"/>
    <w:rsid w:val="00C92EF8"/>
    <w:rsid w:val="00C93974"/>
    <w:rsid w:val="00C93B8B"/>
    <w:rsid w:val="00C9461A"/>
    <w:rsid w:val="00C94F52"/>
    <w:rsid w:val="00C94FDB"/>
    <w:rsid w:val="00C95745"/>
    <w:rsid w:val="00C96CD5"/>
    <w:rsid w:val="00C96D13"/>
    <w:rsid w:val="00C977F9"/>
    <w:rsid w:val="00CA0AE3"/>
    <w:rsid w:val="00CA0EC2"/>
    <w:rsid w:val="00CA13AE"/>
    <w:rsid w:val="00CA24E2"/>
    <w:rsid w:val="00CA3589"/>
    <w:rsid w:val="00CA365C"/>
    <w:rsid w:val="00CA447E"/>
    <w:rsid w:val="00CA4710"/>
    <w:rsid w:val="00CA4D9A"/>
    <w:rsid w:val="00CA4E75"/>
    <w:rsid w:val="00CA5076"/>
    <w:rsid w:val="00CA5C97"/>
    <w:rsid w:val="00CA5D91"/>
    <w:rsid w:val="00CA5F51"/>
    <w:rsid w:val="00CA6129"/>
    <w:rsid w:val="00CA76BF"/>
    <w:rsid w:val="00CB018A"/>
    <w:rsid w:val="00CB040E"/>
    <w:rsid w:val="00CB0A33"/>
    <w:rsid w:val="00CB102F"/>
    <w:rsid w:val="00CB2377"/>
    <w:rsid w:val="00CB2AF3"/>
    <w:rsid w:val="00CB2BCF"/>
    <w:rsid w:val="00CB2F74"/>
    <w:rsid w:val="00CB300B"/>
    <w:rsid w:val="00CB31A7"/>
    <w:rsid w:val="00CB3487"/>
    <w:rsid w:val="00CB3D3A"/>
    <w:rsid w:val="00CB447E"/>
    <w:rsid w:val="00CB5137"/>
    <w:rsid w:val="00CB6422"/>
    <w:rsid w:val="00CB66EE"/>
    <w:rsid w:val="00CB67F5"/>
    <w:rsid w:val="00CB6E63"/>
    <w:rsid w:val="00CB72CE"/>
    <w:rsid w:val="00CB755A"/>
    <w:rsid w:val="00CB76CD"/>
    <w:rsid w:val="00CB7C2A"/>
    <w:rsid w:val="00CC003C"/>
    <w:rsid w:val="00CC0379"/>
    <w:rsid w:val="00CC067A"/>
    <w:rsid w:val="00CC0C58"/>
    <w:rsid w:val="00CC0E4D"/>
    <w:rsid w:val="00CC1693"/>
    <w:rsid w:val="00CC1CC7"/>
    <w:rsid w:val="00CC1D0A"/>
    <w:rsid w:val="00CC1F2C"/>
    <w:rsid w:val="00CC24A3"/>
    <w:rsid w:val="00CC266A"/>
    <w:rsid w:val="00CC286E"/>
    <w:rsid w:val="00CC330F"/>
    <w:rsid w:val="00CC4B50"/>
    <w:rsid w:val="00CC4F66"/>
    <w:rsid w:val="00CC5B94"/>
    <w:rsid w:val="00CC6585"/>
    <w:rsid w:val="00CC6B55"/>
    <w:rsid w:val="00CC75BB"/>
    <w:rsid w:val="00CC75EF"/>
    <w:rsid w:val="00CD02DF"/>
    <w:rsid w:val="00CD05B1"/>
    <w:rsid w:val="00CD073E"/>
    <w:rsid w:val="00CD08A4"/>
    <w:rsid w:val="00CD11FA"/>
    <w:rsid w:val="00CD2049"/>
    <w:rsid w:val="00CD2678"/>
    <w:rsid w:val="00CD26F3"/>
    <w:rsid w:val="00CD2723"/>
    <w:rsid w:val="00CD4138"/>
    <w:rsid w:val="00CD4E84"/>
    <w:rsid w:val="00CD4F0E"/>
    <w:rsid w:val="00CD4FEF"/>
    <w:rsid w:val="00CD5356"/>
    <w:rsid w:val="00CD58D7"/>
    <w:rsid w:val="00CD600D"/>
    <w:rsid w:val="00CD706C"/>
    <w:rsid w:val="00CD71B1"/>
    <w:rsid w:val="00CD72E7"/>
    <w:rsid w:val="00CD7962"/>
    <w:rsid w:val="00CE0DCE"/>
    <w:rsid w:val="00CE0EE0"/>
    <w:rsid w:val="00CE1699"/>
    <w:rsid w:val="00CE2143"/>
    <w:rsid w:val="00CE21CD"/>
    <w:rsid w:val="00CE2A5A"/>
    <w:rsid w:val="00CE44A8"/>
    <w:rsid w:val="00CE4A7F"/>
    <w:rsid w:val="00CE4D68"/>
    <w:rsid w:val="00CE5162"/>
    <w:rsid w:val="00CE5768"/>
    <w:rsid w:val="00CE5770"/>
    <w:rsid w:val="00CE5EE1"/>
    <w:rsid w:val="00CE5FC4"/>
    <w:rsid w:val="00CE695D"/>
    <w:rsid w:val="00CE7A75"/>
    <w:rsid w:val="00CE7B23"/>
    <w:rsid w:val="00CF09CA"/>
    <w:rsid w:val="00CF0AD9"/>
    <w:rsid w:val="00CF1328"/>
    <w:rsid w:val="00CF178E"/>
    <w:rsid w:val="00CF17FD"/>
    <w:rsid w:val="00CF1B66"/>
    <w:rsid w:val="00CF1BFC"/>
    <w:rsid w:val="00CF284E"/>
    <w:rsid w:val="00CF2EA5"/>
    <w:rsid w:val="00CF2F0D"/>
    <w:rsid w:val="00CF3076"/>
    <w:rsid w:val="00CF443C"/>
    <w:rsid w:val="00CF50F1"/>
    <w:rsid w:val="00CF6058"/>
    <w:rsid w:val="00CF624D"/>
    <w:rsid w:val="00CF62CA"/>
    <w:rsid w:val="00CF6BD3"/>
    <w:rsid w:val="00CF6CE8"/>
    <w:rsid w:val="00CF722E"/>
    <w:rsid w:val="00CF797A"/>
    <w:rsid w:val="00D00E49"/>
    <w:rsid w:val="00D0156C"/>
    <w:rsid w:val="00D02A14"/>
    <w:rsid w:val="00D033E0"/>
    <w:rsid w:val="00D045FC"/>
    <w:rsid w:val="00D046AD"/>
    <w:rsid w:val="00D05952"/>
    <w:rsid w:val="00D059D4"/>
    <w:rsid w:val="00D05A08"/>
    <w:rsid w:val="00D05A4A"/>
    <w:rsid w:val="00D06472"/>
    <w:rsid w:val="00D06669"/>
    <w:rsid w:val="00D06703"/>
    <w:rsid w:val="00D06F72"/>
    <w:rsid w:val="00D078F3"/>
    <w:rsid w:val="00D0795C"/>
    <w:rsid w:val="00D07BC4"/>
    <w:rsid w:val="00D1001B"/>
    <w:rsid w:val="00D10661"/>
    <w:rsid w:val="00D106F9"/>
    <w:rsid w:val="00D10805"/>
    <w:rsid w:val="00D108B6"/>
    <w:rsid w:val="00D10D89"/>
    <w:rsid w:val="00D118B8"/>
    <w:rsid w:val="00D11A48"/>
    <w:rsid w:val="00D1217C"/>
    <w:rsid w:val="00D12C17"/>
    <w:rsid w:val="00D142D2"/>
    <w:rsid w:val="00D1440E"/>
    <w:rsid w:val="00D14CCD"/>
    <w:rsid w:val="00D15F8D"/>
    <w:rsid w:val="00D164BC"/>
    <w:rsid w:val="00D172EB"/>
    <w:rsid w:val="00D17369"/>
    <w:rsid w:val="00D202D2"/>
    <w:rsid w:val="00D202DD"/>
    <w:rsid w:val="00D20CC9"/>
    <w:rsid w:val="00D22000"/>
    <w:rsid w:val="00D220E6"/>
    <w:rsid w:val="00D223D3"/>
    <w:rsid w:val="00D22C9C"/>
    <w:rsid w:val="00D22D56"/>
    <w:rsid w:val="00D23084"/>
    <w:rsid w:val="00D23466"/>
    <w:rsid w:val="00D23721"/>
    <w:rsid w:val="00D237FE"/>
    <w:rsid w:val="00D23EEF"/>
    <w:rsid w:val="00D240DF"/>
    <w:rsid w:val="00D2436E"/>
    <w:rsid w:val="00D263D6"/>
    <w:rsid w:val="00D26B38"/>
    <w:rsid w:val="00D275D0"/>
    <w:rsid w:val="00D27ACC"/>
    <w:rsid w:val="00D27CF0"/>
    <w:rsid w:val="00D307C1"/>
    <w:rsid w:val="00D32BA3"/>
    <w:rsid w:val="00D32CAC"/>
    <w:rsid w:val="00D32EB7"/>
    <w:rsid w:val="00D350C5"/>
    <w:rsid w:val="00D354D7"/>
    <w:rsid w:val="00D361C5"/>
    <w:rsid w:val="00D361D4"/>
    <w:rsid w:val="00D3637D"/>
    <w:rsid w:val="00D370BD"/>
    <w:rsid w:val="00D37F79"/>
    <w:rsid w:val="00D40545"/>
    <w:rsid w:val="00D40649"/>
    <w:rsid w:val="00D40DCA"/>
    <w:rsid w:val="00D41B85"/>
    <w:rsid w:val="00D429B7"/>
    <w:rsid w:val="00D42CD9"/>
    <w:rsid w:val="00D4317A"/>
    <w:rsid w:val="00D438C4"/>
    <w:rsid w:val="00D43B1C"/>
    <w:rsid w:val="00D43DE4"/>
    <w:rsid w:val="00D44142"/>
    <w:rsid w:val="00D444E1"/>
    <w:rsid w:val="00D4453B"/>
    <w:rsid w:val="00D46561"/>
    <w:rsid w:val="00D467C8"/>
    <w:rsid w:val="00D4735A"/>
    <w:rsid w:val="00D47603"/>
    <w:rsid w:val="00D47A0C"/>
    <w:rsid w:val="00D47B66"/>
    <w:rsid w:val="00D47C28"/>
    <w:rsid w:val="00D47CD1"/>
    <w:rsid w:val="00D50E53"/>
    <w:rsid w:val="00D51043"/>
    <w:rsid w:val="00D52069"/>
    <w:rsid w:val="00D52800"/>
    <w:rsid w:val="00D52B35"/>
    <w:rsid w:val="00D52BCF"/>
    <w:rsid w:val="00D52F8E"/>
    <w:rsid w:val="00D52FE4"/>
    <w:rsid w:val="00D54454"/>
    <w:rsid w:val="00D55CA1"/>
    <w:rsid w:val="00D55FCE"/>
    <w:rsid w:val="00D56AC8"/>
    <w:rsid w:val="00D57606"/>
    <w:rsid w:val="00D57A66"/>
    <w:rsid w:val="00D6154E"/>
    <w:rsid w:val="00D62042"/>
    <w:rsid w:val="00D628E4"/>
    <w:rsid w:val="00D62971"/>
    <w:rsid w:val="00D63FF6"/>
    <w:rsid w:val="00D640AF"/>
    <w:rsid w:val="00D6433B"/>
    <w:rsid w:val="00D64A26"/>
    <w:rsid w:val="00D64E95"/>
    <w:rsid w:val="00D654D9"/>
    <w:rsid w:val="00D65B06"/>
    <w:rsid w:val="00D66AC6"/>
    <w:rsid w:val="00D71DC5"/>
    <w:rsid w:val="00D737AB"/>
    <w:rsid w:val="00D748F1"/>
    <w:rsid w:val="00D7524B"/>
    <w:rsid w:val="00D7598C"/>
    <w:rsid w:val="00D75BC4"/>
    <w:rsid w:val="00D80242"/>
    <w:rsid w:val="00D80E41"/>
    <w:rsid w:val="00D80FA9"/>
    <w:rsid w:val="00D8142E"/>
    <w:rsid w:val="00D81744"/>
    <w:rsid w:val="00D8373C"/>
    <w:rsid w:val="00D845E2"/>
    <w:rsid w:val="00D84A9F"/>
    <w:rsid w:val="00D868AF"/>
    <w:rsid w:val="00D86BE8"/>
    <w:rsid w:val="00D87BCC"/>
    <w:rsid w:val="00D907E7"/>
    <w:rsid w:val="00D924BD"/>
    <w:rsid w:val="00D930DB"/>
    <w:rsid w:val="00D93831"/>
    <w:rsid w:val="00D9452B"/>
    <w:rsid w:val="00D94563"/>
    <w:rsid w:val="00D94F64"/>
    <w:rsid w:val="00D96467"/>
    <w:rsid w:val="00D9682B"/>
    <w:rsid w:val="00D9728A"/>
    <w:rsid w:val="00D972E0"/>
    <w:rsid w:val="00D9733F"/>
    <w:rsid w:val="00D97D46"/>
    <w:rsid w:val="00D97E07"/>
    <w:rsid w:val="00DA0D25"/>
    <w:rsid w:val="00DA11FE"/>
    <w:rsid w:val="00DA12D5"/>
    <w:rsid w:val="00DA2713"/>
    <w:rsid w:val="00DA2BF1"/>
    <w:rsid w:val="00DA3F8F"/>
    <w:rsid w:val="00DA4081"/>
    <w:rsid w:val="00DA419A"/>
    <w:rsid w:val="00DA5D6C"/>
    <w:rsid w:val="00DA61FC"/>
    <w:rsid w:val="00DA7335"/>
    <w:rsid w:val="00DB07BA"/>
    <w:rsid w:val="00DB0DC8"/>
    <w:rsid w:val="00DB11AD"/>
    <w:rsid w:val="00DB181C"/>
    <w:rsid w:val="00DB2C40"/>
    <w:rsid w:val="00DB307C"/>
    <w:rsid w:val="00DB3835"/>
    <w:rsid w:val="00DB4245"/>
    <w:rsid w:val="00DB5CF3"/>
    <w:rsid w:val="00DB5DA1"/>
    <w:rsid w:val="00DB5DA6"/>
    <w:rsid w:val="00DB65B0"/>
    <w:rsid w:val="00DB6EB1"/>
    <w:rsid w:val="00DB79EF"/>
    <w:rsid w:val="00DC035B"/>
    <w:rsid w:val="00DC10D7"/>
    <w:rsid w:val="00DC1106"/>
    <w:rsid w:val="00DC16A4"/>
    <w:rsid w:val="00DC1CCE"/>
    <w:rsid w:val="00DC1D5E"/>
    <w:rsid w:val="00DC1E7B"/>
    <w:rsid w:val="00DC297D"/>
    <w:rsid w:val="00DC2D3A"/>
    <w:rsid w:val="00DC3768"/>
    <w:rsid w:val="00DC45E8"/>
    <w:rsid w:val="00DC4906"/>
    <w:rsid w:val="00DC4A3E"/>
    <w:rsid w:val="00DC5833"/>
    <w:rsid w:val="00DC5A4A"/>
    <w:rsid w:val="00DC6070"/>
    <w:rsid w:val="00DC6D59"/>
    <w:rsid w:val="00DC6ECF"/>
    <w:rsid w:val="00DC7423"/>
    <w:rsid w:val="00DC7835"/>
    <w:rsid w:val="00DD041F"/>
    <w:rsid w:val="00DD0740"/>
    <w:rsid w:val="00DD117A"/>
    <w:rsid w:val="00DD331B"/>
    <w:rsid w:val="00DD40F4"/>
    <w:rsid w:val="00DD4244"/>
    <w:rsid w:val="00DD45BB"/>
    <w:rsid w:val="00DD4972"/>
    <w:rsid w:val="00DD531D"/>
    <w:rsid w:val="00DD59C9"/>
    <w:rsid w:val="00DD6984"/>
    <w:rsid w:val="00DD6B75"/>
    <w:rsid w:val="00DD6DE3"/>
    <w:rsid w:val="00DD6F10"/>
    <w:rsid w:val="00DD798F"/>
    <w:rsid w:val="00DD7C1E"/>
    <w:rsid w:val="00DE031A"/>
    <w:rsid w:val="00DE089B"/>
    <w:rsid w:val="00DE12CB"/>
    <w:rsid w:val="00DE1E1F"/>
    <w:rsid w:val="00DE2B19"/>
    <w:rsid w:val="00DE2C82"/>
    <w:rsid w:val="00DE2F27"/>
    <w:rsid w:val="00DE33F8"/>
    <w:rsid w:val="00DE37CF"/>
    <w:rsid w:val="00DE3CD6"/>
    <w:rsid w:val="00DE5ABC"/>
    <w:rsid w:val="00DE5C92"/>
    <w:rsid w:val="00DE5EE2"/>
    <w:rsid w:val="00DE624B"/>
    <w:rsid w:val="00DE66DA"/>
    <w:rsid w:val="00DE732C"/>
    <w:rsid w:val="00DE748E"/>
    <w:rsid w:val="00DF0264"/>
    <w:rsid w:val="00DF0C37"/>
    <w:rsid w:val="00DF1436"/>
    <w:rsid w:val="00DF2205"/>
    <w:rsid w:val="00DF24D2"/>
    <w:rsid w:val="00DF35B1"/>
    <w:rsid w:val="00DF3C99"/>
    <w:rsid w:val="00DF47FB"/>
    <w:rsid w:val="00DF5339"/>
    <w:rsid w:val="00DF5908"/>
    <w:rsid w:val="00DF6DBB"/>
    <w:rsid w:val="00DF6FE4"/>
    <w:rsid w:val="00E00F89"/>
    <w:rsid w:val="00E017C6"/>
    <w:rsid w:val="00E01E7A"/>
    <w:rsid w:val="00E0275C"/>
    <w:rsid w:val="00E05C13"/>
    <w:rsid w:val="00E069A2"/>
    <w:rsid w:val="00E069E7"/>
    <w:rsid w:val="00E0725D"/>
    <w:rsid w:val="00E0758C"/>
    <w:rsid w:val="00E07CFD"/>
    <w:rsid w:val="00E10DF0"/>
    <w:rsid w:val="00E110B3"/>
    <w:rsid w:val="00E1178A"/>
    <w:rsid w:val="00E1201C"/>
    <w:rsid w:val="00E12547"/>
    <w:rsid w:val="00E13651"/>
    <w:rsid w:val="00E14D7B"/>
    <w:rsid w:val="00E15D9A"/>
    <w:rsid w:val="00E16392"/>
    <w:rsid w:val="00E16F15"/>
    <w:rsid w:val="00E176B1"/>
    <w:rsid w:val="00E1782D"/>
    <w:rsid w:val="00E179D5"/>
    <w:rsid w:val="00E17A52"/>
    <w:rsid w:val="00E202E3"/>
    <w:rsid w:val="00E20F86"/>
    <w:rsid w:val="00E2102A"/>
    <w:rsid w:val="00E21299"/>
    <w:rsid w:val="00E220D2"/>
    <w:rsid w:val="00E227B5"/>
    <w:rsid w:val="00E227F4"/>
    <w:rsid w:val="00E23383"/>
    <w:rsid w:val="00E24998"/>
    <w:rsid w:val="00E25050"/>
    <w:rsid w:val="00E25225"/>
    <w:rsid w:val="00E25519"/>
    <w:rsid w:val="00E25B58"/>
    <w:rsid w:val="00E26090"/>
    <w:rsid w:val="00E260AE"/>
    <w:rsid w:val="00E26903"/>
    <w:rsid w:val="00E304B3"/>
    <w:rsid w:val="00E311CC"/>
    <w:rsid w:val="00E31AEB"/>
    <w:rsid w:val="00E331E2"/>
    <w:rsid w:val="00E333F1"/>
    <w:rsid w:val="00E35005"/>
    <w:rsid w:val="00E35164"/>
    <w:rsid w:val="00E356E5"/>
    <w:rsid w:val="00E369BC"/>
    <w:rsid w:val="00E36A86"/>
    <w:rsid w:val="00E37D0C"/>
    <w:rsid w:val="00E4137F"/>
    <w:rsid w:val="00E41580"/>
    <w:rsid w:val="00E416EC"/>
    <w:rsid w:val="00E42210"/>
    <w:rsid w:val="00E42216"/>
    <w:rsid w:val="00E4300D"/>
    <w:rsid w:val="00E43D2B"/>
    <w:rsid w:val="00E4486C"/>
    <w:rsid w:val="00E46AFD"/>
    <w:rsid w:val="00E46C1B"/>
    <w:rsid w:val="00E46F88"/>
    <w:rsid w:val="00E470AC"/>
    <w:rsid w:val="00E47376"/>
    <w:rsid w:val="00E50134"/>
    <w:rsid w:val="00E519D7"/>
    <w:rsid w:val="00E5233E"/>
    <w:rsid w:val="00E52810"/>
    <w:rsid w:val="00E52F84"/>
    <w:rsid w:val="00E53C57"/>
    <w:rsid w:val="00E53C94"/>
    <w:rsid w:val="00E551CA"/>
    <w:rsid w:val="00E55A52"/>
    <w:rsid w:val="00E55A72"/>
    <w:rsid w:val="00E55BF8"/>
    <w:rsid w:val="00E566D1"/>
    <w:rsid w:val="00E56756"/>
    <w:rsid w:val="00E56874"/>
    <w:rsid w:val="00E57043"/>
    <w:rsid w:val="00E57383"/>
    <w:rsid w:val="00E60266"/>
    <w:rsid w:val="00E60B84"/>
    <w:rsid w:val="00E616B9"/>
    <w:rsid w:val="00E61E1F"/>
    <w:rsid w:val="00E628BE"/>
    <w:rsid w:val="00E62D24"/>
    <w:rsid w:val="00E630A0"/>
    <w:rsid w:val="00E63280"/>
    <w:rsid w:val="00E637F4"/>
    <w:rsid w:val="00E64761"/>
    <w:rsid w:val="00E6487D"/>
    <w:rsid w:val="00E64D72"/>
    <w:rsid w:val="00E6520D"/>
    <w:rsid w:val="00E65D5D"/>
    <w:rsid w:val="00E6613F"/>
    <w:rsid w:val="00E66C4C"/>
    <w:rsid w:val="00E701BD"/>
    <w:rsid w:val="00E706A2"/>
    <w:rsid w:val="00E7184F"/>
    <w:rsid w:val="00E728C7"/>
    <w:rsid w:val="00E72EB4"/>
    <w:rsid w:val="00E72FF8"/>
    <w:rsid w:val="00E7428E"/>
    <w:rsid w:val="00E7455F"/>
    <w:rsid w:val="00E74D85"/>
    <w:rsid w:val="00E75714"/>
    <w:rsid w:val="00E757A6"/>
    <w:rsid w:val="00E76125"/>
    <w:rsid w:val="00E767D9"/>
    <w:rsid w:val="00E76AFD"/>
    <w:rsid w:val="00E76E55"/>
    <w:rsid w:val="00E771AC"/>
    <w:rsid w:val="00E77DB6"/>
    <w:rsid w:val="00E80081"/>
    <w:rsid w:val="00E80B48"/>
    <w:rsid w:val="00E81306"/>
    <w:rsid w:val="00E8135C"/>
    <w:rsid w:val="00E81886"/>
    <w:rsid w:val="00E81EAC"/>
    <w:rsid w:val="00E81EAF"/>
    <w:rsid w:val="00E820F1"/>
    <w:rsid w:val="00E8311F"/>
    <w:rsid w:val="00E836BC"/>
    <w:rsid w:val="00E83A58"/>
    <w:rsid w:val="00E83E26"/>
    <w:rsid w:val="00E85901"/>
    <w:rsid w:val="00E871F0"/>
    <w:rsid w:val="00E8795C"/>
    <w:rsid w:val="00E87F93"/>
    <w:rsid w:val="00E90E8A"/>
    <w:rsid w:val="00E91142"/>
    <w:rsid w:val="00E92F4E"/>
    <w:rsid w:val="00E95A65"/>
    <w:rsid w:val="00E95C9C"/>
    <w:rsid w:val="00E96DF2"/>
    <w:rsid w:val="00E970B5"/>
    <w:rsid w:val="00E973BB"/>
    <w:rsid w:val="00EA0090"/>
    <w:rsid w:val="00EA03F3"/>
    <w:rsid w:val="00EA164D"/>
    <w:rsid w:val="00EA1913"/>
    <w:rsid w:val="00EA1C3B"/>
    <w:rsid w:val="00EA1F29"/>
    <w:rsid w:val="00EA2457"/>
    <w:rsid w:val="00EA28C6"/>
    <w:rsid w:val="00EA292A"/>
    <w:rsid w:val="00EA3CBF"/>
    <w:rsid w:val="00EA3CF0"/>
    <w:rsid w:val="00EA4BD9"/>
    <w:rsid w:val="00EA5C06"/>
    <w:rsid w:val="00EA6148"/>
    <w:rsid w:val="00EA668C"/>
    <w:rsid w:val="00EA7A59"/>
    <w:rsid w:val="00EA7CB0"/>
    <w:rsid w:val="00EB0581"/>
    <w:rsid w:val="00EB0A03"/>
    <w:rsid w:val="00EB1C92"/>
    <w:rsid w:val="00EB408C"/>
    <w:rsid w:val="00EB467A"/>
    <w:rsid w:val="00EB4E09"/>
    <w:rsid w:val="00EB4F07"/>
    <w:rsid w:val="00EB5890"/>
    <w:rsid w:val="00EB5D0B"/>
    <w:rsid w:val="00EB651F"/>
    <w:rsid w:val="00EB7013"/>
    <w:rsid w:val="00EB71CB"/>
    <w:rsid w:val="00EB7405"/>
    <w:rsid w:val="00EB7F14"/>
    <w:rsid w:val="00EC04A4"/>
    <w:rsid w:val="00EC0D3B"/>
    <w:rsid w:val="00EC0E25"/>
    <w:rsid w:val="00EC0E2E"/>
    <w:rsid w:val="00EC1DAD"/>
    <w:rsid w:val="00EC2A45"/>
    <w:rsid w:val="00EC3104"/>
    <w:rsid w:val="00EC334E"/>
    <w:rsid w:val="00EC42A5"/>
    <w:rsid w:val="00EC462C"/>
    <w:rsid w:val="00EC527E"/>
    <w:rsid w:val="00EC6EDF"/>
    <w:rsid w:val="00EC7173"/>
    <w:rsid w:val="00EC762D"/>
    <w:rsid w:val="00EC7721"/>
    <w:rsid w:val="00EC7854"/>
    <w:rsid w:val="00EC7D98"/>
    <w:rsid w:val="00ED080D"/>
    <w:rsid w:val="00ED09DF"/>
    <w:rsid w:val="00ED0D7F"/>
    <w:rsid w:val="00ED0E2B"/>
    <w:rsid w:val="00ED12B2"/>
    <w:rsid w:val="00ED18A5"/>
    <w:rsid w:val="00ED192B"/>
    <w:rsid w:val="00ED19A3"/>
    <w:rsid w:val="00ED1BE8"/>
    <w:rsid w:val="00ED1CC9"/>
    <w:rsid w:val="00ED20B1"/>
    <w:rsid w:val="00ED2543"/>
    <w:rsid w:val="00ED2DB3"/>
    <w:rsid w:val="00ED333C"/>
    <w:rsid w:val="00ED3A12"/>
    <w:rsid w:val="00ED3A5D"/>
    <w:rsid w:val="00ED44D7"/>
    <w:rsid w:val="00ED46E1"/>
    <w:rsid w:val="00ED4822"/>
    <w:rsid w:val="00ED52BA"/>
    <w:rsid w:val="00ED56DF"/>
    <w:rsid w:val="00ED5B10"/>
    <w:rsid w:val="00ED5DA4"/>
    <w:rsid w:val="00ED5FCC"/>
    <w:rsid w:val="00ED6DFF"/>
    <w:rsid w:val="00ED705F"/>
    <w:rsid w:val="00EE00C8"/>
    <w:rsid w:val="00EE023E"/>
    <w:rsid w:val="00EE061F"/>
    <w:rsid w:val="00EE114B"/>
    <w:rsid w:val="00EE1D3A"/>
    <w:rsid w:val="00EE22CE"/>
    <w:rsid w:val="00EE2949"/>
    <w:rsid w:val="00EE2A9A"/>
    <w:rsid w:val="00EE4B3A"/>
    <w:rsid w:val="00EE4B99"/>
    <w:rsid w:val="00EE4D6C"/>
    <w:rsid w:val="00EE5408"/>
    <w:rsid w:val="00EE6043"/>
    <w:rsid w:val="00EE67AC"/>
    <w:rsid w:val="00EE78DA"/>
    <w:rsid w:val="00EF09A3"/>
    <w:rsid w:val="00EF1AB3"/>
    <w:rsid w:val="00EF212E"/>
    <w:rsid w:val="00EF26C4"/>
    <w:rsid w:val="00EF2E15"/>
    <w:rsid w:val="00EF375A"/>
    <w:rsid w:val="00EF37E3"/>
    <w:rsid w:val="00EF385E"/>
    <w:rsid w:val="00EF3CE0"/>
    <w:rsid w:val="00EF4D01"/>
    <w:rsid w:val="00EF5B76"/>
    <w:rsid w:val="00EF60B8"/>
    <w:rsid w:val="00EF64CC"/>
    <w:rsid w:val="00EF764A"/>
    <w:rsid w:val="00EF7FC3"/>
    <w:rsid w:val="00F00175"/>
    <w:rsid w:val="00F00469"/>
    <w:rsid w:val="00F00CD3"/>
    <w:rsid w:val="00F00FD1"/>
    <w:rsid w:val="00F01C22"/>
    <w:rsid w:val="00F01FE6"/>
    <w:rsid w:val="00F02215"/>
    <w:rsid w:val="00F02D05"/>
    <w:rsid w:val="00F042B7"/>
    <w:rsid w:val="00F04C0B"/>
    <w:rsid w:val="00F05A90"/>
    <w:rsid w:val="00F06436"/>
    <w:rsid w:val="00F064AD"/>
    <w:rsid w:val="00F06B51"/>
    <w:rsid w:val="00F076ED"/>
    <w:rsid w:val="00F07B74"/>
    <w:rsid w:val="00F07CA5"/>
    <w:rsid w:val="00F1018A"/>
    <w:rsid w:val="00F106C2"/>
    <w:rsid w:val="00F10D51"/>
    <w:rsid w:val="00F113DA"/>
    <w:rsid w:val="00F11754"/>
    <w:rsid w:val="00F11E76"/>
    <w:rsid w:val="00F11FEE"/>
    <w:rsid w:val="00F120E5"/>
    <w:rsid w:val="00F13966"/>
    <w:rsid w:val="00F13990"/>
    <w:rsid w:val="00F1412A"/>
    <w:rsid w:val="00F147D7"/>
    <w:rsid w:val="00F14FD8"/>
    <w:rsid w:val="00F1546D"/>
    <w:rsid w:val="00F156C7"/>
    <w:rsid w:val="00F158B9"/>
    <w:rsid w:val="00F15EC2"/>
    <w:rsid w:val="00F16ECE"/>
    <w:rsid w:val="00F178C7"/>
    <w:rsid w:val="00F179FB"/>
    <w:rsid w:val="00F20C38"/>
    <w:rsid w:val="00F2115F"/>
    <w:rsid w:val="00F2125D"/>
    <w:rsid w:val="00F216AA"/>
    <w:rsid w:val="00F22432"/>
    <w:rsid w:val="00F23053"/>
    <w:rsid w:val="00F237F9"/>
    <w:rsid w:val="00F2391E"/>
    <w:rsid w:val="00F2506C"/>
    <w:rsid w:val="00F256D3"/>
    <w:rsid w:val="00F25837"/>
    <w:rsid w:val="00F271D4"/>
    <w:rsid w:val="00F277C6"/>
    <w:rsid w:val="00F301B2"/>
    <w:rsid w:val="00F30776"/>
    <w:rsid w:val="00F307DF"/>
    <w:rsid w:val="00F30804"/>
    <w:rsid w:val="00F31276"/>
    <w:rsid w:val="00F31389"/>
    <w:rsid w:val="00F31712"/>
    <w:rsid w:val="00F33319"/>
    <w:rsid w:val="00F3347F"/>
    <w:rsid w:val="00F347D5"/>
    <w:rsid w:val="00F34873"/>
    <w:rsid w:val="00F34E93"/>
    <w:rsid w:val="00F36D00"/>
    <w:rsid w:val="00F37119"/>
    <w:rsid w:val="00F376AF"/>
    <w:rsid w:val="00F40C26"/>
    <w:rsid w:val="00F4156C"/>
    <w:rsid w:val="00F417E3"/>
    <w:rsid w:val="00F419E2"/>
    <w:rsid w:val="00F43114"/>
    <w:rsid w:val="00F4438A"/>
    <w:rsid w:val="00F44F0A"/>
    <w:rsid w:val="00F457F0"/>
    <w:rsid w:val="00F46473"/>
    <w:rsid w:val="00F46474"/>
    <w:rsid w:val="00F46726"/>
    <w:rsid w:val="00F47517"/>
    <w:rsid w:val="00F477CC"/>
    <w:rsid w:val="00F4786A"/>
    <w:rsid w:val="00F478CA"/>
    <w:rsid w:val="00F4792F"/>
    <w:rsid w:val="00F47B73"/>
    <w:rsid w:val="00F515EE"/>
    <w:rsid w:val="00F520B4"/>
    <w:rsid w:val="00F530B4"/>
    <w:rsid w:val="00F5330E"/>
    <w:rsid w:val="00F53664"/>
    <w:rsid w:val="00F542DA"/>
    <w:rsid w:val="00F546F5"/>
    <w:rsid w:val="00F5534B"/>
    <w:rsid w:val="00F55698"/>
    <w:rsid w:val="00F558CC"/>
    <w:rsid w:val="00F566ED"/>
    <w:rsid w:val="00F567D5"/>
    <w:rsid w:val="00F56A69"/>
    <w:rsid w:val="00F56B49"/>
    <w:rsid w:val="00F56E16"/>
    <w:rsid w:val="00F57543"/>
    <w:rsid w:val="00F602B1"/>
    <w:rsid w:val="00F60415"/>
    <w:rsid w:val="00F6089C"/>
    <w:rsid w:val="00F609AA"/>
    <w:rsid w:val="00F60D68"/>
    <w:rsid w:val="00F611E9"/>
    <w:rsid w:val="00F6181F"/>
    <w:rsid w:val="00F61FB5"/>
    <w:rsid w:val="00F623DA"/>
    <w:rsid w:val="00F63193"/>
    <w:rsid w:val="00F63FF9"/>
    <w:rsid w:val="00F64A4A"/>
    <w:rsid w:val="00F64D89"/>
    <w:rsid w:val="00F64E88"/>
    <w:rsid w:val="00F656B8"/>
    <w:rsid w:val="00F65FA9"/>
    <w:rsid w:val="00F673E7"/>
    <w:rsid w:val="00F70420"/>
    <w:rsid w:val="00F70446"/>
    <w:rsid w:val="00F70800"/>
    <w:rsid w:val="00F70F85"/>
    <w:rsid w:val="00F7259C"/>
    <w:rsid w:val="00F749AF"/>
    <w:rsid w:val="00F749F5"/>
    <w:rsid w:val="00F757D1"/>
    <w:rsid w:val="00F761DE"/>
    <w:rsid w:val="00F76566"/>
    <w:rsid w:val="00F76DED"/>
    <w:rsid w:val="00F7702A"/>
    <w:rsid w:val="00F802D8"/>
    <w:rsid w:val="00F8097F"/>
    <w:rsid w:val="00F814A3"/>
    <w:rsid w:val="00F814BA"/>
    <w:rsid w:val="00F817C9"/>
    <w:rsid w:val="00F818E9"/>
    <w:rsid w:val="00F81C24"/>
    <w:rsid w:val="00F81D94"/>
    <w:rsid w:val="00F83F10"/>
    <w:rsid w:val="00F844B1"/>
    <w:rsid w:val="00F8457B"/>
    <w:rsid w:val="00F84E5B"/>
    <w:rsid w:val="00F8678A"/>
    <w:rsid w:val="00F90413"/>
    <w:rsid w:val="00F90D0C"/>
    <w:rsid w:val="00F91B11"/>
    <w:rsid w:val="00F92AFE"/>
    <w:rsid w:val="00F933D4"/>
    <w:rsid w:val="00F93781"/>
    <w:rsid w:val="00F937D7"/>
    <w:rsid w:val="00F93A82"/>
    <w:rsid w:val="00F93F46"/>
    <w:rsid w:val="00F947D7"/>
    <w:rsid w:val="00F94CA8"/>
    <w:rsid w:val="00F94F04"/>
    <w:rsid w:val="00F95626"/>
    <w:rsid w:val="00F95C78"/>
    <w:rsid w:val="00F96441"/>
    <w:rsid w:val="00F96BBA"/>
    <w:rsid w:val="00F96E4F"/>
    <w:rsid w:val="00F96F21"/>
    <w:rsid w:val="00FA0664"/>
    <w:rsid w:val="00FA0A33"/>
    <w:rsid w:val="00FA0AC1"/>
    <w:rsid w:val="00FA12B2"/>
    <w:rsid w:val="00FA1323"/>
    <w:rsid w:val="00FA13F1"/>
    <w:rsid w:val="00FA16B7"/>
    <w:rsid w:val="00FA259D"/>
    <w:rsid w:val="00FA2F79"/>
    <w:rsid w:val="00FA4625"/>
    <w:rsid w:val="00FA4BC2"/>
    <w:rsid w:val="00FA517D"/>
    <w:rsid w:val="00FA629F"/>
    <w:rsid w:val="00FA66D8"/>
    <w:rsid w:val="00FA69B3"/>
    <w:rsid w:val="00FA6E79"/>
    <w:rsid w:val="00FA7051"/>
    <w:rsid w:val="00FA706A"/>
    <w:rsid w:val="00FA731B"/>
    <w:rsid w:val="00FA74C6"/>
    <w:rsid w:val="00FB006F"/>
    <w:rsid w:val="00FB01FF"/>
    <w:rsid w:val="00FB1850"/>
    <w:rsid w:val="00FB2FE7"/>
    <w:rsid w:val="00FB3994"/>
    <w:rsid w:val="00FB3AE6"/>
    <w:rsid w:val="00FB68C2"/>
    <w:rsid w:val="00FB6A80"/>
    <w:rsid w:val="00FC0587"/>
    <w:rsid w:val="00FC0726"/>
    <w:rsid w:val="00FC0A75"/>
    <w:rsid w:val="00FC1479"/>
    <w:rsid w:val="00FC21B5"/>
    <w:rsid w:val="00FC2777"/>
    <w:rsid w:val="00FC3CC3"/>
    <w:rsid w:val="00FC41F0"/>
    <w:rsid w:val="00FC4235"/>
    <w:rsid w:val="00FC4236"/>
    <w:rsid w:val="00FC4C6A"/>
    <w:rsid w:val="00FC50BA"/>
    <w:rsid w:val="00FC5E9D"/>
    <w:rsid w:val="00FC76C8"/>
    <w:rsid w:val="00FC79F5"/>
    <w:rsid w:val="00FC7D15"/>
    <w:rsid w:val="00FD0C7F"/>
    <w:rsid w:val="00FD1033"/>
    <w:rsid w:val="00FD191A"/>
    <w:rsid w:val="00FD1FB4"/>
    <w:rsid w:val="00FD212F"/>
    <w:rsid w:val="00FD2A5C"/>
    <w:rsid w:val="00FD323E"/>
    <w:rsid w:val="00FD390B"/>
    <w:rsid w:val="00FD393E"/>
    <w:rsid w:val="00FD43EE"/>
    <w:rsid w:val="00FD459E"/>
    <w:rsid w:val="00FD4897"/>
    <w:rsid w:val="00FD4B05"/>
    <w:rsid w:val="00FD4F11"/>
    <w:rsid w:val="00FD7957"/>
    <w:rsid w:val="00FD7FA3"/>
    <w:rsid w:val="00FE1F7C"/>
    <w:rsid w:val="00FE2416"/>
    <w:rsid w:val="00FE414C"/>
    <w:rsid w:val="00FE55BA"/>
    <w:rsid w:val="00FE6E23"/>
    <w:rsid w:val="00FE7165"/>
    <w:rsid w:val="00FE72BE"/>
    <w:rsid w:val="00FE7755"/>
    <w:rsid w:val="00FF07AA"/>
    <w:rsid w:val="00FF0B59"/>
    <w:rsid w:val="00FF0F2D"/>
    <w:rsid w:val="00FF1651"/>
    <w:rsid w:val="00FF1CE0"/>
    <w:rsid w:val="00FF1D01"/>
    <w:rsid w:val="00FF27A7"/>
    <w:rsid w:val="00FF2FF8"/>
    <w:rsid w:val="00FF31DE"/>
    <w:rsid w:val="00FF3E66"/>
    <w:rsid w:val="00FF3FFB"/>
    <w:rsid w:val="00FF463B"/>
    <w:rsid w:val="00FF466B"/>
    <w:rsid w:val="00FF4A80"/>
    <w:rsid w:val="00FF5619"/>
    <w:rsid w:val="00FF6146"/>
    <w:rsid w:val="00FF6DE3"/>
    <w:rsid w:val="0166E13A"/>
    <w:rsid w:val="016EC505"/>
    <w:rsid w:val="01BF0B3E"/>
    <w:rsid w:val="03609E16"/>
    <w:rsid w:val="044C2EBC"/>
    <w:rsid w:val="054AE588"/>
    <w:rsid w:val="06A54CA7"/>
    <w:rsid w:val="072FCE73"/>
    <w:rsid w:val="083D525F"/>
    <w:rsid w:val="08F747DA"/>
    <w:rsid w:val="09771D23"/>
    <w:rsid w:val="09A0E8DF"/>
    <w:rsid w:val="0A91E94B"/>
    <w:rsid w:val="0B587BEB"/>
    <w:rsid w:val="0BC0F03A"/>
    <w:rsid w:val="0C568949"/>
    <w:rsid w:val="0C894847"/>
    <w:rsid w:val="0CF1251E"/>
    <w:rsid w:val="0D4EDEC8"/>
    <w:rsid w:val="0E2EC2DB"/>
    <w:rsid w:val="0E53033B"/>
    <w:rsid w:val="0EC2DCA6"/>
    <w:rsid w:val="0F1DCDFF"/>
    <w:rsid w:val="0F42A757"/>
    <w:rsid w:val="0FD28982"/>
    <w:rsid w:val="101DD0A5"/>
    <w:rsid w:val="11C1DBB3"/>
    <w:rsid w:val="12711E2B"/>
    <w:rsid w:val="1289BC88"/>
    <w:rsid w:val="12B12B5F"/>
    <w:rsid w:val="1B9CFEF8"/>
    <w:rsid w:val="1D354FF4"/>
    <w:rsid w:val="1D6B52C6"/>
    <w:rsid w:val="1E452CCE"/>
    <w:rsid w:val="1E8257D1"/>
    <w:rsid w:val="1E9E53EC"/>
    <w:rsid w:val="1FA7E442"/>
    <w:rsid w:val="20D77811"/>
    <w:rsid w:val="2124EBCD"/>
    <w:rsid w:val="212C857F"/>
    <w:rsid w:val="2185B735"/>
    <w:rsid w:val="21906647"/>
    <w:rsid w:val="232BFB17"/>
    <w:rsid w:val="235DEA5E"/>
    <w:rsid w:val="24C27763"/>
    <w:rsid w:val="258CD622"/>
    <w:rsid w:val="25CA06BB"/>
    <w:rsid w:val="25F0B409"/>
    <w:rsid w:val="26015863"/>
    <w:rsid w:val="26AD61E0"/>
    <w:rsid w:val="29D59AC7"/>
    <w:rsid w:val="2A6E5908"/>
    <w:rsid w:val="2A919804"/>
    <w:rsid w:val="2AF1B166"/>
    <w:rsid w:val="2BE311FD"/>
    <w:rsid w:val="2C918696"/>
    <w:rsid w:val="2CF6D58F"/>
    <w:rsid w:val="2DC8A14E"/>
    <w:rsid w:val="2DE3FF52"/>
    <w:rsid w:val="2E3FC0BE"/>
    <w:rsid w:val="302317C4"/>
    <w:rsid w:val="315E468E"/>
    <w:rsid w:val="31BDEFCA"/>
    <w:rsid w:val="32105368"/>
    <w:rsid w:val="329DD8D9"/>
    <w:rsid w:val="32BFC2A2"/>
    <w:rsid w:val="371F0A8A"/>
    <w:rsid w:val="3901D3D3"/>
    <w:rsid w:val="3996ED6D"/>
    <w:rsid w:val="3B94D82E"/>
    <w:rsid w:val="3C1F5D84"/>
    <w:rsid w:val="3C523750"/>
    <w:rsid w:val="3D0DB637"/>
    <w:rsid w:val="3F73A50D"/>
    <w:rsid w:val="3F94F75E"/>
    <w:rsid w:val="4236666C"/>
    <w:rsid w:val="42D07ED3"/>
    <w:rsid w:val="43AE188A"/>
    <w:rsid w:val="44F7777B"/>
    <w:rsid w:val="45162EAB"/>
    <w:rsid w:val="4566A7B5"/>
    <w:rsid w:val="46097051"/>
    <w:rsid w:val="4633C61A"/>
    <w:rsid w:val="47CF2914"/>
    <w:rsid w:val="492348BF"/>
    <w:rsid w:val="4929AF1E"/>
    <w:rsid w:val="4ABE4FD2"/>
    <w:rsid w:val="4C26C002"/>
    <w:rsid w:val="4F12E7CB"/>
    <w:rsid w:val="4FA8333B"/>
    <w:rsid w:val="50182203"/>
    <w:rsid w:val="51C5D21E"/>
    <w:rsid w:val="536C3B66"/>
    <w:rsid w:val="542FAEDD"/>
    <w:rsid w:val="54941F18"/>
    <w:rsid w:val="552E4BAE"/>
    <w:rsid w:val="575FC876"/>
    <w:rsid w:val="5879FD26"/>
    <w:rsid w:val="588EDBD5"/>
    <w:rsid w:val="5965B9E4"/>
    <w:rsid w:val="597B7B8B"/>
    <w:rsid w:val="5B318D0E"/>
    <w:rsid w:val="5CEC1477"/>
    <w:rsid w:val="5D37FBD2"/>
    <w:rsid w:val="5EA17A9C"/>
    <w:rsid w:val="5EAD75C7"/>
    <w:rsid w:val="5EE04D0C"/>
    <w:rsid w:val="5EE37D2E"/>
    <w:rsid w:val="5F6541F5"/>
    <w:rsid w:val="5F705F69"/>
    <w:rsid w:val="5FF66E61"/>
    <w:rsid w:val="602B0B47"/>
    <w:rsid w:val="608F5976"/>
    <w:rsid w:val="6091C1EE"/>
    <w:rsid w:val="615360BF"/>
    <w:rsid w:val="61FB0527"/>
    <w:rsid w:val="630DFEDB"/>
    <w:rsid w:val="634BBD2E"/>
    <w:rsid w:val="6385427A"/>
    <w:rsid w:val="655ADE0E"/>
    <w:rsid w:val="65A90780"/>
    <w:rsid w:val="65E1038B"/>
    <w:rsid w:val="6616FBD3"/>
    <w:rsid w:val="66D62744"/>
    <w:rsid w:val="672FBDA1"/>
    <w:rsid w:val="67A3B40B"/>
    <w:rsid w:val="6929AD4E"/>
    <w:rsid w:val="6C22B986"/>
    <w:rsid w:val="6C756C31"/>
    <w:rsid w:val="6D78C8F9"/>
    <w:rsid w:val="6E3E8890"/>
    <w:rsid w:val="6E581F4F"/>
    <w:rsid w:val="6E76FF6D"/>
    <w:rsid w:val="6EEBBF25"/>
    <w:rsid w:val="6F3F9E9E"/>
    <w:rsid w:val="6F80CC4F"/>
    <w:rsid w:val="71082F18"/>
    <w:rsid w:val="712F0677"/>
    <w:rsid w:val="7222FB40"/>
    <w:rsid w:val="73BB71A2"/>
    <w:rsid w:val="7478E8C7"/>
    <w:rsid w:val="74E3ECCC"/>
    <w:rsid w:val="74F02F75"/>
    <w:rsid w:val="76194339"/>
    <w:rsid w:val="76734FAC"/>
    <w:rsid w:val="769A50E8"/>
    <w:rsid w:val="76D5B362"/>
    <w:rsid w:val="78142EC0"/>
    <w:rsid w:val="7839DFEF"/>
    <w:rsid w:val="784AE8F0"/>
    <w:rsid w:val="79F1BF8F"/>
    <w:rsid w:val="7ACC158A"/>
    <w:rsid w:val="7B380DB5"/>
    <w:rsid w:val="7BFD14B7"/>
    <w:rsid w:val="7C25E8CB"/>
    <w:rsid w:val="7CA5803B"/>
    <w:rsid w:val="7E790D97"/>
    <w:rsid w:val="7F77CAAF"/>
    <w:rsid w:val="7FFE8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EFDB501"/>
  <w15:docId w15:val="{D56067A6-B9EB-4D0B-9F1D-B2AAB2D1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3A"/>
    <w:pPr>
      <w:spacing w:afterLines="120" w:after="120" w:line="259" w:lineRule="auto"/>
      <w:jc w:val="both"/>
    </w:pPr>
    <w:rPr>
      <w:rFonts w:ascii="Arial" w:eastAsia="MS Mincho" w:hAnsi="Arial"/>
      <w:szCs w:val="22"/>
      <w:lang w:val="mn-MN" w:eastAsia="en-US"/>
    </w:rPr>
  </w:style>
  <w:style w:type="paragraph" w:styleId="Heading1">
    <w:name w:val="heading 1"/>
    <w:basedOn w:val="Normal"/>
    <w:next w:val="Normal"/>
    <w:link w:val="Heading1Char"/>
    <w:uiPriority w:val="9"/>
    <w:qFormat/>
    <w:rsid w:val="00EE1D3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E1D3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EE1D3A"/>
    <w:pPr>
      <w:keepNext/>
      <w:keepLines/>
      <w:spacing w:before="40" w:after="0"/>
      <w:outlineLvl w:val="2"/>
    </w:pPr>
    <w:rPr>
      <w:rFonts w:asciiTheme="majorHAnsi" w:eastAsiaTheme="majorEastAsia" w:hAnsiTheme="majorHAnsi" w:cstheme="majorBidi"/>
      <w:color w:val="0A2F40" w:themeColor="accent1" w:themeShade="7F"/>
      <w:szCs w:val="24"/>
    </w:rPr>
  </w:style>
  <w:style w:type="paragraph" w:styleId="Heading5">
    <w:name w:val="heading 5"/>
    <w:basedOn w:val="Normal"/>
    <w:next w:val="Normal"/>
    <w:link w:val="Heading5Char"/>
    <w:uiPriority w:val="9"/>
    <w:unhideWhenUsed/>
    <w:qFormat/>
    <w:rsid w:val="00EE1D3A"/>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3A"/>
    <w:rPr>
      <w:rFonts w:asciiTheme="majorHAnsi" w:eastAsiaTheme="majorEastAsia" w:hAnsiTheme="majorHAnsi" w:cstheme="majorBidi"/>
      <w:color w:val="0F4761" w:themeColor="accent1" w:themeShade="BF"/>
      <w:sz w:val="32"/>
      <w:szCs w:val="32"/>
      <w:lang w:val="mn-MN" w:eastAsia="en-US"/>
    </w:rPr>
  </w:style>
  <w:style w:type="character" w:customStyle="1" w:styleId="Heading2Char">
    <w:name w:val="Heading 2 Char"/>
    <w:basedOn w:val="DefaultParagraphFont"/>
    <w:link w:val="Heading2"/>
    <w:uiPriority w:val="9"/>
    <w:rsid w:val="00EE1D3A"/>
    <w:rPr>
      <w:rFonts w:asciiTheme="majorHAnsi" w:eastAsiaTheme="majorEastAsia" w:hAnsiTheme="majorHAnsi" w:cstheme="majorBidi"/>
      <w:color w:val="0F4761" w:themeColor="accent1" w:themeShade="BF"/>
      <w:sz w:val="26"/>
      <w:szCs w:val="26"/>
      <w:lang w:val="mn-MN" w:eastAsia="en-US"/>
    </w:rPr>
  </w:style>
  <w:style w:type="character" w:customStyle="1" w:styleId="Heading3Char">
    <w:name w:val="Heading 3 Char"/>
    <w:basedOn w:val="DefaultParagraphFont"/>
    <w:link w:val="Heading3"/>
    <w:uiPriority w:val="9"/>
    <w:rsid w:val="00EE1D3A"/>
    <w:rPr>
      <w:rFonts w:asciiTheme="majorHAnsi" w:eastAsiaTheme="majorEastAsia" w:hAnsiTheme="majorHAnsi" w:cstheme="majorBidi"/>
      <w:color w:val="0A2F40" w:themeColor="accent1" w:themeShade="7F"/>
      <w:lang w:val="mn-MN" w:eastAsia="en-US"/>
    </w:rPr>
  </w:style>
  <w:style w:type="character" w:customStyle="1" w:styleId="Heading5Char">
    <w:name w:val="Heading 5 Char"/>
    <w:basedOn w:val="DefaultParagraphFont"/>
    <w:link w:val="Heading5"/>
    <w:uiPriority w:val="9"/>
    <w:rsid w:val="00EE1D3A"/>
    <w:rPr>
      <w:rFonts w:asciiTheme="majorHAnsi" w:eastAsiaTheme="majorEastAsia" w:hAnsiTheme="majorHAnsi" w:cstheme="majorBidi"/>
      <w:color w:val="0F4761" w:themeColor="accent1" w:themeShade="BF"/>
      <w:szCs w:val="22"/>
      <w:lang w:val="mn-MN" w:eastAsia="en-US"/>
    </w:rPr>
  </w:style>
  <w:style w:type="character" w:styleId="Hyperlink">
    <w:name w:val="Hyperlink"/>
    <w:basedOn w:val="DefaultParagraphFont"/>
    <w:uiPriority w:val="99"/>
    <w:unhideWhenUsed/>
    <w:rsid w:val="00EE1D3A"/>
    <w:rPr>
      <w:color w:val="467886" w:themeColor="hyperlink"/>
      <w:u w:val="single"/>
    </w:rPr>
  </w:style>
  <w:style w:type="paragraph" w:styleId="TOC1">
    <w:name w:val="toc 1"/>
    <w:basedOn w:val="Normal"/>
    <w:next w:val="NoSpacing"/>
    <w:autoRedefine/>
    <w:uiPriority w:val="39"/>
    <w:unhideWhenUsed/>
    <w:qFormat/>
    <w:rsid w:val="007F3223"/>
    <w:pPr>
      <w:tabs>
        <w:tab w:val="left" w:pos="360"/>
        <w:tab w:val="left" w:pos="450"/>
        <w:tab w:val="right" w:leader="dot" w:pos="9269"/>
      </w:tabs>
      <w:snapToGrid w:val="0"/>
      <w:spacing w:afterLines="0" w:line="240" w:lineRule="auto"/>
    </w:pPr>
    <w:rPr>
      <w:rFonts w:cs="Arial"/>
      <w:caps/>
      <w:szCs w:val="24"/>
    </w:rPr>
  </w:style>
  <w:style w:type="paragraph" w:styleId="TOC2">
    <w:name w:val="toc 2"/>
    <w:basedOn w:val="Normal"/>
    <w:next w:val="Normal"/>
    <w:uiPriority w:val="39"/>
    <w:unhideWhenUsed/>
    <w:rsid w:val="00EE1D3A"/>
    <w:pPr>
      <w:spacing w:before="240" w:after="0"/>
      <w:jc w:val="left"/>
    </w:pPr>
    <w:rPr>
      <w:rFonts w:asciiTheme="minorHAnsi" w:hAnsiTheme="minorHAnsi" w:cstheme="minorHAnsi"/>
      <w:b/>
      <w:bCs/>
      <w:sz w:val="20"/>
      <w:szCs w:val="20"/>
    </w:rPr>
  </w:style>
  <w:style w:type="paragraph" w:styleId="TOC3">
    <w:name w:val="toc 3"/>
    <w:basedOn w:val="Normal"/>
    <w:autoRedefine/>
    <w:uiPriority w:val="39"/>
    <w:unhideWhenUsed/>
    <w:rsid w:val="00F623DA"/>
    <w:pPr>
      <w:tabs>
        <w:tab w:val="right" w:leader="dot" w:pos="9269"/>
      </w:tabs>
      <w:snapToGrid w:val="0"/>
      <w:spacing w:before="60" w:after="0"/>
      <w:ind w:left="240"/>
      <w:jc w:val="left"/>
    </w:pPr>
    <w:rPr>
      <w:rFonts w:asciiTheme="minorHAnsi" w:hAnsiTheme="minorHAnsi" w:cstheme="minorHAnsi"/>
      <w:sz w:val="20"/>
      <w:szCs w:val="20"/>
    </w:rPr>
  </w:style>
  <w:style w:type="paragraph" w:styleId="TOCHeading">
    <w:name w:val="TOC Heading"/>
    <w:basedOn w:val="Heading1"/>
    <w:next w:val="Normal"/>
    <w:uiPriority w:val="39"/>
    <w:unhideWhenUsed/>
    <w:qFormat/>
    <w:rsid w:val="00EE1D3A"/>
    <w:pPr>
      <w:spacing w:afterLines="0"/>
      <w:outlineLvl w:val="9"/>
    </w:pPr>
    <w:rPr>
      <w:kern w:val="0"/>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Box"/>
    <w:basedOn w:val="Normal"/>
    <w:link w:val="ListParagraphChar"/>
    <w:uiPriority w:val="34"/>
    <w:qFormat/>
    <w:rsid w:val="00EE1D3A"/>
    <w:pPr>
      <w:ind w:left="720"/>
      <w:contextualSpacing/>
    </w:pPr>
  </w:style>
  <w:style w:type="table" w:styleId="TableGrid">
    <w:name w:val="Table Grid"/>
    <w:basedOn w:val="TableNormal"/>
    <w:uiPriority w:val="59"/>
    <w:rsid w:val="00EE1D3A"/>
    <w:pPr>
      <w:spacing w:afterLines="120" w:after="0" w:line="240" w:lineRule="auto"/>
    </w:pPr>
    <w:rPr>
      <w:rFonts w:eastAsia="MS Minch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EE1D3A"/>
    <w:pPr>
      <w:spacing w:afterLines="120" w:after="0" w:line="240" w:lineRule="auto"/>
    </w:pPr>
    <w:rPr>
      <w:rFonts w:eastAsia="MS Mincho"/>
      <w:sz w:val="22"/>
      <w:szCs w:val="22"/>
      <w:lang w:eastAsia="en-US"/>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GridTable4-Accent2">
    <w:name w:val="Grid Table 4 Accent 2"/>
    <w:basedOn w:val="TableNormal"/>
    <w:uiPriority w:val="49"/>
    <w:rsid w:val="00EE1D3A"/>
    <w:pPr>
      <w:spacing w:afterLines="120" w:after="0" w:line="240" w:lineRule="auto"/>
    </w:pPr>
    <w:rPr>
      <w:rFonts w:eastAsia="MS Mincho"/>
      <w:sz w:val="22"/>
      <w:szCs w:val="22"/>
      <w:lang w:eastAsia="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
    <w:link w:val="HeaderChar"/>
    <w:uiPriority w:val="99"/>
    <w:unhideWhenUsed/>
    <w:rsid w:val="00EE1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D3A"/>
    <w:rPr>
      <w:rFonts w:ascii="Arial" w:eastAsia="MS Mincho" w:hAnsi="Arial"/>
      <w:szCs w:val="22"/>
      <w:lang w:val="mn-MN" w:eastAsia="en-US"/>
    </w:rPr>
  </w:style>
  <w:style w:type="paragraph" w:styleId="Footer">
    <w:name w:val="footer"/>
    <w:basedOn w:val="Normal"/>
    <w:link w:val="FooterChar"/>
    <w:uiPriority w:val="99"/>
    <w:unhideWhenUsed/>
    <w:rsid w:val="00EE1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D3A"/>
    <w:rPr>
      <w:rFonts w:ascii="Arial" w:eastAsia="MS Mincho" w:hAnsi="Arial"/>
      <w:szCs w:val="22"/>
      <w:lang w:val="mn-MN" w:eastAsia="en-US"/>
    </w:rPr>
  </w:style>
  <w:style w:type="paragraph" w:styleId="NoSpacing">
    <w:name w:val="No Spacing"/>
    <w:uiPriority w:val="1"/>
    <w:qFormat/>
    <w:rsid w:val="00EE1D3A"/>
    <w:pPr>
      <w:spacing w:afterLines="120" w:after="0" w:line="240" w:lineRule="auto"/>
    </w:pPr>
    <w:rPr>
      <w:rFonts w:eastAsia="MS Mincho"/>
      <w:sz w:val="22"/>
      <w:szCs w:val="22"/>
      <w:lang w:eastAsia="en-US"/>
    </w:rPr>
  </w:style>
  <w:style w:type="paragraph" w:styleId="TOC4">
    <w:name w:val="toc 4"/>
    <w:basedOn w:val="Normal"/>
    <w:next w:val="Normal"/>
    <w:autoRedefine/>
    <w:uiPriority w:val="39"/>
    <w:unhideWhenUsed/>
    <w:rsid w:val="00EE1D3A"/>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EE1D3A"/>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EE1D3A"/>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EE1D3A"/>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EE1D3A"/>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EE1D3A"/>
    <w:pPr>
      <w:spacing w:after="0"/>
      <w:ind w:left="1680"/>
      <w:jc w:val="left"/>
    </w:pPr>
    <w:rPr>
      <w:rFonts w:asciiTheme="minorHAnsi" w:hAnsiTheme="minorHAnsi" w:cstheme="minorHAnsi"/>
      <w:sz w:val="20"/>
      <w:szCs w:val="20"/>
    </w:rPr>
  </w:style>
  <w:style w:type="paragraph" w:styleId="Caption">
    <w:name w:val="caption"/>
    <w:aliases w:val="Хавсралт,Хавсралт №"/>
    <w:basedOn w:val="Normal"/>
    <w:next w:val="Normal"/>
    <w:link w:val="CaptionChar"/>
    <w:uiPriority w:val="35"/>
    <w:unhideWhenUsed/>
    <w:qFormat/>
    <w:rsid w:val="00EE1D3A"/>
    <w:pPr>
      <w:spacing w:afterLines="0" w:after="0" w:line="240" w:lineRule="auto"/>
      <w:contextualSpacing/>
    </w:pPr>
    <w:rPr>
      <w:rFonts w:ascii="Segoe UI Light" w:eastAsiaTheme="minorEastAsia" w:hAnsi="Segoe UI Light"/>
      <w:i/>
      <w:iCs/>
      <w:color w:val="055957"/>
      <w:kern w:val="0"/>
      <w:sz w:val="20"/>
      <w:szCs w:val="18"/>
    </w:rPr>
  </w:style>
  <w:style w:type="character" w:customStyle="1" w:styleId="CaptionChar">
    <w:name w:val="Caption Char"/>
    <w:aliases w:val="Хавсралт Char,Хавсралт № Char"/>
    <w:basedOn w:val="DefaultParagraphFont"/>
    <w:link w:val="Caption"/>
    <w:uiPriority w:val="35"/>
    <w:rsid w:val="00EE1D3A"/>
    <w:rPr>
      <w:rFonts w:ascii="Segoe UI Light" w:hAnsi="Segoe UI Light"/>
      <w:i/>
      <w:iCs/>
      <w:color w:val="055957"/>
      <w:kern w:val="0"/>
      <w:sz w:val="20"/>
      <w:szCs w:val="18"/>
      <w:lang w:val="mn-MN" w:eastAsia="en-US"/>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EE1D3A"/>
    <w:rPr>
      <w:rFonts w:ascii="Arial" w:eastAsia="MS Mincho" w:hAnsi="Arial"/>
      <w:szCs w:val="22"/>
      <w:lang w:val="mn-MN" w:eastAsia="en-US"/>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w:basedOn w:val="Normal"/>
    <w:link w:val="FootnoteTextChar"/>
    <w:uiPriority w:val="99"/>
    <w:unhideWhenUsed/>
    <w:qFormat/>
    <w:rsid w:val="00EE1D3A"/>
    <w:pPr>
      <w:spacing w:afterLines="0" w:after="0" w:line="240" w:lineRule="auto"/>
    </w:pPr>
    <w:rPr>
      <w:rFonts w:ascii="Segoe UI Light" w:hAnsi="Segoe UI Light"/>
      <w:kern w:val="0"/>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EE1D3A"/>
    <w:rPr>
      <w:rFonts w:ascii="Segoe UI Light" w:eastAsia="MS Mincho" w:hAnsi="Segoe UI Light"/>
      <w:kern w:val="0"/>
      <w:sz w:val="20"/>
      <w:szCs w:val="20"/>
      <w:lang w:val="mn-MN" w:eastAsia="en-US"/>
    </w:rPr>
  </w:style>
  <w:style w:type="character" w:styleId="FootnoteReference">
    <w:name w:val="footnote reference"/>
    <w:basedOn w:val="DefaultParagraphFont"/>
    <w:uiPriority w:val="99"/>
    <w:unhideWhenUsed/>
    <w:rsid w:val="00EE1D3A"/>
    <w:rPr>
      <w:vertAlign w:val="superscript"/>
    </w:rPr>
  </w:style>
  <w:style w:type="table" w:styleId="TableGridLight">
    <w:name w:val="Grid Table Light"/>
    <w:basedOn w:val="TableNormal"/>
    <w:uiPriority w:val="40"/>
    <w:rsid w:val="00EE1D3A"/>
    <w:pPr>
      <w:spacing w:afterLines="120" w:after="0" w:line="240" w:lineRule="auto"/>
    </w:pPr>
    <w:rPr>
      <w:rFonts w:eastAsia="MS Mincho"/>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EE1D3A"/>
    <w:pPr>
      <w:spacing w:afterLines="120" w:after="0" w:line="240" w:lineRule="auto"/>
    </w:pPr>
    <w:rPr>
      <w:rFonts w:eastAsia="MS Mincho"/>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E1D3A"/>
    <w:pPr>
      <w:spacing w:afterLines="120" w:after="0" w:line="240" w:lineRule="auto"/>
    </w:pPr>
    <w:rPr>
      <w:rFonts w:eastAsia="MS Mincho"/>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EE1D3A"/>
    <w:pPr>
      <w:spacing w:afterLines="120" w:after="0" w:line="240" w:lineRule="auto"/>
    </w:pPr>
    <w:rPr>
      <w:rFonts w:eastAsia="MS Mincho"/>
      <w:sz w:val="22"/>
      <w:szCs w:val="22"/>
      <w:lang w:eastAsia="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1D3A"/>
    <w:pPr>
      <w:spacing w:afterLines="120" w:after="0" w:line="240" w:lineRule="auto"/>
    </w:pPr>
    <w:rPr>
      <w:rFonts w:eastAsia="MS Mincho"/>
      <w:sz w:val="22"/>
      <w:szCs w:val="22"/>
      <w:lang w:eastAsia="en-US"/>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E1D3A"/>
    <w:pPr>
      <w:spacing w:afterLines="120" w:after="0" w:line="240" w:lineRule="auto"/>
    </w:pPr>
    <w:rPr>
      <w:rFonts w:eastAsia="MS Mincho"/>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EE1D3A"/>
    <w:pPr>
      <w:spacing w:after="0" w:line="240" w:lineRule="auto"/>
    </w:pPr>
    <w:rPr>
      <w:rFonts w:eastAsia="SimSu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1D3A"/>
    <w:pPr>
      <w:spacing w:after="0" w:line="240" w:lineRule="auto"/>
    </w:pPr>
    <w:rPr>
      <w:rFonts w:eastAsia="SimSu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1D3A"/>
    <w:pPr>
      <w:spacing w:afterLines="120" w:after="0" w:line="240" w:lineRule="auto"/>
    </w:pPr>
    <w:rPr>
      <w:rFonts w:eastAsia="MS Mincho"/>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E1D3A"/>
    <w:pPr>
      <w:spacing w:afterLines="120" w:after="0" w:line="240" w:lineRule="auto"/>
    </w:pPr>
    <w:rPr>
      <w:rFonts w:eastAsia="MS Mincho"/>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Accent3">
    <w:name w:val="Grid Table 7 Colorful Accent 3"/>
    <w:basedOn w:val="TableNormal"/>
    <w:uiPriority w:val="52"/>
    <w:rsid w:val="00EE1D3A"/>
    <w:pPr>
      <w:spacing w:afterLines="120" w:after="0" w:line="240" w:lineRule="auto"/>
    </w:pPr>
    <w:rPr>
      <w:rFonts w:eastAsia="MS Mincho"/>
      <w:color w:val="124F1A" w:themeColor="accent3" w:themeShade="BF"/>
      <w:sz w:val="22"/>
      <w:szCs w:val="22"/>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ListTable1Light">
    <w:name w:val="List Table 1 Light"/>
    <w:basedOn w:val="TableNormal"/>
    <w:uiPriority w:val="46"/>
    <w:rsid w:val="00EE1D3A"/>
    <w:pPr>
      <w:spacing w:afterLines="120" w:after="0" w:line="240" w:lineRule="auto"/>
    </w:pPr>
    <w:rPr>
      <w:rFonts w:eastAsia="MS Mincho"/>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1D3A"/>
    <w:pPr>
      <w:spacing w:afterLines="120" w:after="0" w:line="240" w:lineRule="auto"/>
    </w:pPr>
    <w:rPr>
      <w:rFonts w:eastAsia="MS Mincho"/>
      <w:sz w:val="22"/>
      <w:szCs w:val="22"/>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5">
    <w:name w:val="List Table 2 Accent 5"/>
    <w:basedOn w:val="TableNormal"/>
    <w:uiPriority w:val="47"/>
    <w:rsid w:val="00EE1D3A"/>
    <w:pPr>
      <w:spacing w:afterLines="120" w:after="0" w:line="240" w:lineRule="auto"/>
    </w:pPr>
    <w:rPr>
      <w:rFonts w:eastAsia="MS Mincho"/>
      <w:sz w:val="22"/>
      <w:szCs w:val="22"/>
      <w:lang w:eastAsia="en-US"/>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CommentReference">
    <w:name w:val="annotation reference"/>
    <w:basedOn w:val="DefaultParagraphFont"/>
    <w:uiPriority w:val="99"/>
    <w:semiHidden/>
    <w:unhideWhenUsed/>
    <w:rsid w:val="00EE1D3A"/>
    <w:rPr>
      <w:sz w:val="16"/>
      <w:szCs w:val="16"/>
    </w:rPr>
  </w:style>
  <w:style w:type="paragraph" w:styleId="CommentText">
    <w:name w:val="annotation text"/>
    <w:basedOn w:val="Normal"/>
    <w:link w:val="CommentTextChar"/>
    <w:uiPriority w:val="99"/>
    <w:unhideWhenUsed/>
    <w:rsid w:val="00EE1D3A"/>
    <w:pPr>
      <w:spacing w:line="240" w:lineRule="auto"/>
    </w:pPr>
    <w:rPr>
      <w:sz w:val="20"/>
      <w:szCs w:val="20"/>
    </w:rPr>
  </w:style>
  <w:style w:type="character" w:customStyle="1" w:styleId="CommentTextChar">
    <w:name w:val="Comment Text Char"/>
    <w:basedOn w:val="DefaultParagraphFont"/>
    <w:link w:val="CommentText"/>
    <w:uiPriority w:val="99"/>
    <w:rsid w:val="00EE1D3A"/>
    <w:rPr>
      <w:rFonts w:ascii="Arial" w:eastAsia="MS Mincho" w:hAnsi="Arial"/>
      <w:sz w:val="20"/>
      <w:szCs w:val="20"/>
      <w:lang w:val="mn-MN" w:eastAsia="en-US"/>
    </w:rPr>
  </w:style>
  <w:style w:type="paragraph" w:styleId="CommentSubject">
    <w:name w:val="annotation subject"/>
    <w:basedOn w:val="CommentText"/>
    <w:next w:val="CommentText"/>
    <w:link w:val="CommentSubjectChar"/>
    <w:uiPriority w:val="99"/>
    <w:semiHidden/>
    <w:unhideWhenUsed/>
    <w:rsid w:val="00EE1D3A"/>
    <w:rPr>
      <w:b/>
      <w:bCs/>
    </w:rPr>
  </w:style>
  <w:style w:type="character" w:customStyle="1" w:styleId="CommentSubjectChar">
    <w:name w:val="Comment Subject Char"/>
    <w:basedOn w:val="CommentTextChar"/>
    <w:link w:val="CommentSubject"/>
    <w:uiPriority w:val="99"/>
    <w:semiHidden/>
    <w:rsid w:val="00EE1D3A"/>
    <w:rPr>
      <w:rFonts w:ascii="Arial" w:eastAsia="MS Mincho" w:hAnsi="Arial"/>
      <w:b/>
      <w:bCs/>
      <w:sz w:val="20"/>
      <w:szCs w:val="20"/>
      <w:lang w:val="mn-MN" w:eastAsia="en-US"/>
    </w:rPr>
  </w:style>
  <w:style w:type="character" w:styleId="Mention">
    <w:name w:val="Mention"/>
    <w:basedOn w:val="DefaultParagraphFont"/>
    <w:uiPriority w:val="99"/>
    <w:unhideWhenUsed/>
    <w:rsid w:val="00EE1D3A"/>
    <w:rPr>
      <w:color w:val="2B579A"/>
      <w:shd w:val="clear" w:color="auto" w:fill="E1DFDD"/>
    </w:rPr>
  </w:style>
  <w:style w:type="paragraph" w:customStyle="1" w:styleId="paragraph">
    <w:name w:val="paragraph"/>
    <w:basedOn w:val="Normal"/>
    <w:rsid w:val="00EE1D3A"/>
    <w:pPr>
      <w:spacing w:before="100" w:beforeAutospacing="1" w:afterLines="0" w:after="100" w:afterAutospacing="1" w:line="240" w:lineRule="auto"/>
      <w:jc w:val="left"/>
    </w:pPr>
    <w:rPr>
      <w:rFonts w:ascii="Times New Roman" w:eastAsia="Times New Roman" w:hAnsi="Times New Roman" w:cs="Times New Roman"/>
      <w:kern w:val="0"/>
      <w:szCs w:val="24"/>
    </w:rPr>
  </w:style>
  <w:style w:type="character" w:customStyle="1" w:styleId="eop">
    <w:name w:val="eop"/>
    <w:basedOn w:val="DefaultParagraphFont"/>
    <w:rsid w:val="00EE1D3A"/>
  </w:style>
  <w:style w:type="paragraph" w:styleId="NormalWeb">
    <w:name w:val="Normal (Web)"/>
    <w:basedOn w:val="Normal"/>
    <w:uiPriority w:val="99"/>
    <w:semiHidden/>
    <w:unhideWhenUsed/>
    <w:rsid w:val="00EE1D3A"/>
    <w:pPr>
      <w:spacing w:before="100" w:beforeAutospacing="1" w:afterLines="0" w:after="100" w:afterAutospacing="1" w:line="240" w:lineRule="auto"/>
      <w:jc w:val="left"/>
    </w:pPr>
    <w:rPr>
      <w:rFonts w:ascii="Times New Roman" w:eastAsia="Times New Roman" w:hAnsi="Times New Roman" w:cs="Times New Roman"/>
      <w:kern w:val="0"/>
      <w:szCs w:val="24"/>
      <w:lang w:eastAsia="zh-CN"/>
    </w:rPr>
  </w:style>
  <w:style w:type="paragraph" w:customStyle="1" w:styleId="a">
    <w:name w:val="Зураг"/>
    <w:basedOn w:val="Normal"/>
    <w:link w:val="Char"/>
    <w:qFormat/>
    <w:rsid w:val="00EE1D3A"/>
    <w:pPr>
      <w:spacing w:afterLines="0" w:after="0" w:line="240" w:lineRule="auto"/>
      <w:ind w:firstLine="720"/>
    </w:pPr>
    <w:rPr>
      <w:rFonts w:ascii="Times New Roman" w:eastAsia="Times New Roman" w:hAnsi="Times New Roman" w:cs="Times New Roman"/>
      <w:i/>
      <w:color w:val="721B00"/>
      <w:kern w:val="0"/>
      <w:sz w:val="18"/>
      <w:szCs w:val="24"/>
    </w:rPr>
  </w:style>
  <w:style w:type="character" w:customStyle="1" w:styleId="Char">
    <w:name w:val="Зураг Char"/>
    <w:basedOn w:val="DefaultParagraphFont"/>
    <w:link w:val="a"/>
    <w:rsid w:val="00EE1D3A"/>
    <w:rPr>
      <w:rFonts w:ascii="Times New Roman" w:eastAsia="Times New Roman" w:hAnsi="Times New Roman" w:cs="Times New Roman"/>
      <w:i/>
      <w:color w:val="721B00"/>
      <w:kern w:val="0"/>
      <w:sz w:val="18"/>
      <w:lang w:val="mn-MN" w:eastAsia="en-US"/>
    </w:rPr>
  </w:style>
  <w:style w:type="character" w:customStyle="1" w:styleId="normaltextrun">
    <w:name w:val="normaltextrun"/>
    <w:basedOn w:val="DefaultParagraphFont"/>
    <w:rsid w:val="00EE1D3A"/>
  </w:style>
  <w:style w:type="table" w:styleId="GridTable1Light">
    <w:name w:val="Grid Table 1 Light"/>
    <w:basedOn w:val="TableNormal"/>
    <w:uiPriority w:val="46"/>
    <w:rsid w:val="00EE1D3A"/>
    <w:pPr>
      <w:spacing w:after="0" w:line="240" w:lineRule="auto"/>
    </w:pPr>
    <w:rPr>
      <w:rFonts w:eastAsiaTheme="minorHAnsi"/>
      <w:kern w:val="0"/>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footer" Target="footer3.xml"/><Relationship Id="rId21" Type="http://schemas.openxmlformats.org/officeDocument/2006/relationships/chart" Target="charts/chart11.xml"/><Relationship Id="rId34" Type="http://schemas.openxmlformats.org/officeDocument/2006/relationships/header" Target="header1.xml"/><Relationship Id="rId42" Type="http://schemas.openxmlformats.org/officeDocument/2006/relationships/chart" Target="charts/chart2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6.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footer" Target="footer2.xml"/><Relationship Id="rId40" Type="http://schemas.openxmlformats.org/officeDocument/2006/relationships/chart" Target="charts/chart24.xml"/><Relationship Id="rId45" Type="http://schemas.openxmlformats.org/officeDocument/2006/relationships/chart" Target="charts/chart28.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header" Target="header2.xml"/><Relationship Id="rId43" Type="http://schemas.openxmlformats.org/officeDocument/2006/relationships/chart" Target="charts/chart27.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header" Target="header3.xml"/><Relationship Id="rId46" Type="http://schemas.openxmlformats.org/officeDocument/2006/relationships/chart" Target="charts/chart29.xml"/><Relationship Id="rId20" Type="http://schemas.openxmlformats.org/officeDocument/2006/relationships/chart" Target="charts/chart10.xml"/><Relationship Id="rId41" Type="http://schemas.openxmlformats.org/officeDocument/2006/relationships/chart" Target="charts/chart25.xml"/></Relationships>
</file>

<file path=word/charts/_rels/chart1.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medgov-my.sharepoint.com/personal/delgermaa_b_med_gov_mn/Documents/&#1058;&#1061;&#1052;%20Graphs%202024.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https://medgov.sharepoint.com/sites/PPD/Shared%20Documents/General/01.%20&#1044;&#1048;&#1040;&#1043;&#1053;&#1054;&#1057;&#1058;&#1048;&#1050;/2023Q4/Excel/External%202023Q4.xlsx" TargetMode="External"/><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khulan.g\AppData\Roaming\Microsoft\Excel\labor%2520q4%20(version%202).xlsb" TargetMode="External"/><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khulan.g\Downloads\&#1058;&#1072;&#1085;&#1080;&#1083;&#1094;&#1091;&#1091;&#1083;&#1075;&#1072;%20&#1061;&#1047;&#1047;%20Q42023.xlsx" TargetMode="External"/><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medgov.sharepoint.com/sites/msteams_ed8e14/Shared%20Documents/General/0.%20&#1043;&#1040;&#1044;&#1040;&#1040;&#1044;%20&#1061;&#1059;&#1044;&#1040;&#1051;&#1044;&#1040;&#1040;/1.%20&#1058;&#1086;&#1086;&#1094;&#1086;&#1086;&#1083;&#1086;&#1083;/2024/5.%20&#1041;&#1080;&#1088;&#1078;/MSE.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medgov.sharepoint.com/sites/msteams_ed8e14/Shared%20Documents/General/0.%20&#1043;&#1040;&#1044;&#1040;&#1040;&#1044;%20&#1061;&#1059;&#1044;&#1040;&#1051;&#1044;&#1040;&#1040;/1.%20&#1058;&#1086;&#1086;&#1094;&#1086;&#1086;&#1083;&#1086;&#1083;/2024/5.%20&#1041;&#1080;&#1088;&#1078;/MSE.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medgov.sharepoint.com/sites/msteams_ed8e14/Shared%20Documents/General/0.%20&#1043;&#1040;&#1044;&#1040;&#1040;&#1044;%20&#1061;&#1059;&#1044;&#1040;&#1051;&#1044;&#1040;&#1040;/1.%20&#1058;&#1086;&#1086;&#1094;&#1086;&#1086;&#1083;&#1086;&#1083;/2024/5.%20&#1041;&#1080;&#1088;&#1078;/MSE.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https://medgov.sharepoint.com/sites/msteams_ed8e14/Shared%20Documents/General/0.%20&#1043;&#1040;&#1044;&#1040;&#1040;&#1044;%20&#1061;&#1059;&#1044;&#1040;&#1051;&#1044;&#1040;&#1040;/1.%20&#1058;&#1086;&#1086;&#1094;&#1086;&#1086;&#1083;&#1086;&#1083;/2024/1.%20&#1069;&#1082;&#1089;&#1087;&#1086;&#1088;&#1090;/&#1069;&#1082;&#1089;&#1087;&#1086;&#1088;&#1090;.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https://medgov.sharepoint.com/sites/msteams_ed8e14/Shared%20Documents/General/0.%20&#1043;&#1040;&#1044;&#1040;&#1040;&#1044;%20&#1061;&#1059;&#1044;&#1040;&#1051;&#1044;&#1040;&#1040;/1.%20&#1058;&#1086;&#1086;&#1094;&#1086;&#1086;&#1083;&#1086;&#1083;/2024/1.%20&#1069;&#1082;&#1089;&#1087;&#1086;&#1088;&#1090;/&#1069;&#1082;&#1089;&#1087;&#1086;&#1088;&#1090;.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https://medgov.sharepoint.com/sites/msteams_ed8e14/Shared%20Documents/General/0.%20&#1043;&#1040;&#1044;&#1040;&#1040;&#1044;%20&#1061;&#1059;&#1044;&#1040;&#1051;&#1044;&#1040;&#1040;/1.%20&#1058;&#1086;&#1086;&#1094;&#1086;&#1086;&#1083;&#1086;&#1083;/2024/2.%20&#1048;&#1084;&#1087;&#1086;&#1088;&#1090;/&#1048;&#1084;&#1087;&#1086;&#1088;&#1090;.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oleObject" Target="https://medgov.sharepoint.com/sites/PPD/Shared%20Documents/General/01.%20&#1044;&#1048;&#1040;&#1043;&#1053;&#1054;&#1057;&#1058;&#1048;&#1050;/2023Q4/Excel/External%202023Q4.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1" Type="http://schemas.openxmlformats.org/officeDocument/2006/relationships/oleObject" Target="https://medgov.sharepoint.com/sites/msteams_ed8e14/Shared%20Documents/General/0.%20&#1043;&#1040;&#1044;&#1040;&#1040;&#1044;%20&#1061;&#1059;&#1044;&#1040;&#1051;&#1044;&#1040;&#1040;/1.%20&#1058;&#1086;&#1086;&#1094;&#1086;&#1086;&#1083;&#1086;&#1083;/2024/3.%20&#1198;&#1085;&#1101;/&#1044;&#1047;&#1047;%20&#1198;&#1085;&#1101;.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https://medgov.sharepoint.com/sites/PPD/Shared%20Documents/General/01.%20&#1044;&#1048;&#1040;&#1043;&#1053;&#1054;&#1057;&#1058;&#1048;&#1050;/2023Q4/Excel/External%202023Q4.xlsx" TargetMode="External"/><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oleObject" Target="https://medgov.sharepoint.com/sites/PPD/Shared%20Documents/General/01.%20&#1044;&#1048;&#1040;&#1043;&#1053;&#1054;&#1057;&#1058;&#1048;&#1050;/2023Q4/Excel/External%202023Q4.xlsx"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6.xml"/><Relationship Id="rId1" Type="http://schemas.microsoft.com/office/2011/relationships/chartStyle" Target="style16.xml"/><Relationship Id="rId5" Type="http://schemas.openxmlformats.org/officeDocument/2006/relationships/oleObject" Target="https://medgov.sharepoint.com/sites/PPD/Shared%20Documents/General/05.%20&#1058;&#1257;&#1089;&#1257;&#1257;&#1083;&#1257;&#1083;/01.%20GDP/AGDP%2020240402%20&#1058;&#1061;&#1052;%202025%20final.xlsx" TargetMode="External"/><Relationship Id="rId4" Type="http://schemas.openxmlformats.org/officeDocument/2006/relationships/image" Target="../media/image2.png"/></Relationships>
</file>

<file path=word/charts/_rels/chart23.xml.rels><?xml version="1.0" encoding="UTF-8" standalone="yes"?>
<Relationships xmlns="http://schemas.openxmlformats.org/package/2006/relationships"><Relationship Id="rId3" Type="http://schemas.openxmlformats.org/officeDocument/2006/relationships/oleObject" Target="https://medgov-my.sharepoint.com/personal/myagmarjav_t_med_gov_mn/Documents/&#1058;&#1086;&#1086;&#1085;%20&#1257;&#1075;&#1257;&#1075;&#1076;&#1257;&#1083;/&#1052;&#1072;&#1082;&#1088;&#1086;%20&#1090;&#1257;&#1089;&#1257;&#1257;&#1083;&#1257;&#1083;%202025%20&#1058;&#1061;&#1052;%20&#1057;&#1071;_2.xlsx" TargetMode="External"/><Relationship Id="rId2" Type="http://schemas.openxmlformats.org/officeDocument/2006/relationships/image" Target="../media/image3.png"/><Relationship Id="rId1" Type="http://schemas.openxmlformats.org/officeDocument/2006/relationships/themeOverride" Target="../theme/themeOverride2.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7.xml"/><Relationship Id="rId1" Type="http://schemas.microsoft.com/office/2011/relationships/chartStyle" Target="style17.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8.xml"/><Relationship Id="rId1" Type="http://schemas.microsoft.com/office/2011/relationships/chartStyle" Target="style18.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BAASANDORJ\Downloads\&#1052;&#1086;&#1085;&#1075;&#1086;&#1083;%20&#1059;&#1083;&#1089;&#1099;&#1085;%20&#1085;&#1080;&#1081;&#1090;%20&#1075;&#1072;&#1076;&#1072;&#1072;&#1076;%20&#1257;&#1088;%20-%20&#1053;&#1080;&#1081;&#1090;%20&#1075;&#1072;&#1076;&#1072;&#1072;&#1076;%20&#1257;&#1088;%20(&#1091;&#1083;&#1089;&#1072;&#1072;&#1088;,%20&#1199;&#1083;&#1076;&#1101;&#1075;&#1076;&#1101;&#1083;)_2023-10-01_2023-10-01.xlsx" TargetMode="External"/><Relationship Id="rId2" Type="http://schemas.microsoft.com/office/2011/relationships/chartColorStyle" Target="colors19.xml"/><Relationship Id="rId1" Type="http://schemas.microsoft.com/office/2011/relationships/chartStyle" Target="style19.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0.xml"/><Relationship Id="rId1" Type="http://schemas.microsoft.com/office/2011/relationships/chartStyle" Target="style20.xml"/></Relationships>
</file>

<file path=word/charts/_rels/chart28.xml.rels><?xml version="1.0" encoding="UTF-8" standalone="yes"?>
<Relationships xmlns="http://schemas.openxmlformats.org/package/2006/relationships"><Relationship Id="rId3" Type="http://schemas.openxmlformats.org/officeDocument/2006/relationships/oleObject" Target="https://mofgovmn.sharepoint.com/sites/-765/1/DocLib2/2.%20&#1044;&#1086;&#1090;&#1086;&#1086;&#1076;%20&#1199;&#1085;&#1101;&#1090;%20&#1094;&#1072;&#1072;&#1089;/1.%20&#1198;&#1085;&#1076;&#1089;&#1101;&#1085;%20&#1076;&#1072;&#1090;&#1072;/1.%20&#1069;&#1088;&#1075;&#1101;&#1085;%20&#1090;&#1257;&#1083;&#1257;&#1083;&#1090;&#1080;&#1081;&#1085;%20&#1092;&#1072;&#1081;&#1083;/2018-2019/DOMESTIC%20DEBT_v12.xlsx" TargetMode="External"/><Relationship Id="rId2" Type="http://schemas.microsoft.com/office/2011/relationships/chartColorStyle" Target="colors21.xml"/><Relationship Id="rId1" Type="http://schemas.microsoft.com/office/2011/relationships/chartStyle" Target="style21.xml"/></Relationships>
</file>

<file path=word/charts/_rels/chart29.xml.rels><?xml version="1.0" encoding="UTF-8" standalone="yes"?>
<Relationships xmlns="http://schemas.openxmlformats.org/package/2006/relationships"><Relationship Id="rId1" Type="http://schemas.openxmlformats.org/officeDocument/2006/relationships/oleObject" Target="file:///C:\Users\MOFDMDMO01-User\Documents\ddt\DDT%20&#1084;&#1086;&#1076;&#1077;&#1083;&#1100;.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medgov.sharepoint.com/sites/msteams_ed8e14/Shared%20Documents/General/0.%20&#1043;&#1040;&#1044;&#1040;&#1040;&#1044;%20&#1061;&#1059;&#1044;&#1040;&#1051;&#1044;&#1040;&#1040;/1.%20&#1058;&#1086;&#1086;&#1094;&#1086;&#1086;&#1083;&#1086;&#1083;/2024/3.%20&#1198;&#1085;&#1101;/&#1044;&#1047;&#1047;%20&#1198;&#1085;&#11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medgov.sharepoint.com/sites/msteams_ed8e14/Shared%20Documents/General/0.%20&#1043;&#1040;&#1044;&#1040;&#1040;&#1044;%20&#1061;&#1059;&#1044;&#1040;&#1051;&#1044;&#1040;&#1040;/1.%20&#1058;&#1086;&#1086;&#1094;&#1086;&#1086;&#1083;&#1086;&#1083;/2024/3.%20&#1198;&#1085;&#1101;/&#1044;&#1047;&#1047;%20&#1198;&#1085;&#1101;.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medgov.sharepoint.com/sites/msteams_ed8e14/Shared%20Documents/General/0.%20&#1043;&#1040;&#1044;&#1040;&#1040;&#1044;%20&#1061;&#1059;&#1044;&#1040;&#1051;&#1044;&#1040;&#1040;/1.%20&#1058;&#1086;&#1086;&#1094;&#1086;&#1086;&#1083;&#1086;&#1083;/2024/3.%20&#1198;&#1085;&#1101;/&#1044;&#1047;&#1047;%20&#1198;&#1085;&#1101;.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oleObject" Target="https://medgov.sharepoint.com/sites/msteams_ed8e14/Shared%20Documents/General/0.%20&#1043;&#1040;&#1044;&#1040;&#1040;&#1044;%20&#1061;&#1059;&#1044;&#1040;&#1051;&#1044;&#1040;&#1040;/1.%20&#1058;&#1086;&#1086;&#1094;&#1086;&#1086;&#1083;&#1086;&#1083;/2024/3.%20&#1198;&#1085;&#1101;/&#1044;&#1047;&#1047;%20&#1198;&#1085;&#1101;.xlsx" TargetMode="External"/></Relationships>
</file>

<file path=word/charts/_rels/chart7.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medgov.sharepoint.com/sites/PPD/Shared%20Documents/General/01.%20&#1044;&#1048;&#1040;&#1043;&#1053;&#1054;&#1057;&#1058;&#1048;&#1050;/2023Q4/Excel/0.%20DiagExcel.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https://medgov.sharepoint.com/sites/PPD/Shared%20Documents/General/01.%20&#1044;&#1048;&#1040;&#1043;&#1053;&#1054;&#1057;&#1058;&#1048;&#1050;/2023Q4/Excel/External%202023Q4.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https://medgov.sharepoint.com/sites/PPD/Shared%20Documents/General/01.%20&#1044;&#1048;&#1040;&#1043;&#1053;&#1054;&#1057;&#1058;&#1048;&#1050;/2023Q4/Excel/External%202023Q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814239808744657E-2"/>
          <c:y val="0.17058985479550556"/>
          <c:w val="0.85044583977209776"/>
          <c:h val="0.69650155310183104"/>
        </c:manualLayout>
      </c:layout>
      <c:lineChart>
        <c:grouping val="standard"/>
        <c:varyColors val="0"/>
        <c:ser>
          <c:idx val="2"/>
          <c:order val="0"/>
          <c:tx>
            <c:strRef>
              <c:f>'Sheet3 (2)'!$N$16</c:f>
              <c:strCache>
                <c:ptCount val="1"/>
                <c:pt idx="0">
                  <c:v>ОУВС</c:v>
                </c:pt>
              </c:strCache>
            </c:strRef>
          </c:tx>
          <c:spPr>
            <a:ln w="19050" cap="rnd">
              <a:solidFill>
                <a:srgbClr val="01B8AA"/>
              </a:solidFill>
              <a:round/>
            </a:ln>
            <a:effectLst/>
          </c:spPr>
          <c:marker>
            <c:symbol val="circle"/>
            <c:size val="5"/>
            <c:spPr>
              <a:solidFill>
                <a:srgbClr val="01B8AA"/>
              </a:solidFill>
              <a:ln w="19050">
                <a:solidFill>
                  <a:srgbClr val="01B8AA"/>
                </a:solidFill>
              </a:ln>
              <a:effectLst/>
            </c:spPr>
          </c:marker>
          <c:dLbls>
            <c:numFmt formatCode="0.0%" sourceLinked="0"/>
            <c:spPr>
              <a:noFill/>
              <a:ln>
                <a:noFill/>
              </a:ln>
              <a:effectLst/>
            </c:spPr>
            <c:txPr>
              <a:bodyPr rot="0" spcFirstLastPara="1" vertOverflow="ellipsis" vert="horz" wrap="square" anchor="ctr" anchorCtr="1"/>
              <a:lstStyle/>
              <a:p>
                <a:pPr>
                  <a:defRPr sz="600" b="0" i="0" u="none" strike="noStrike" kern="1200" baseline="0">
                    <a:solidFill>
                      <a:srgbClr val="05B8AA"/>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 (2)'!$O$15:$Q$15</c:f>
              <c:numCache>
                <c:formatCode>General</c:formatCode>
                <c:ptCount val="3"/>
                <c:pt idx="0">
                  <c:v>2023</c:v>
                </c:pt>
                <c:pt idx="1">
                  <c:v>2024</c:v>
                </c:pt>
                <c:pt idx="2">
                  <c:v>2025</c:v>
                </c:pt>
              </c:numCache>
            </c:numRef>
          </c:cat>
          <c:val>
            <c:numRef>
              <c:f>'Sheet3 (2)'!$O$16:$Q$16</c:f>
              <c:numCache>
                <c:formatCode>General</c:formatCode>
                <c:ptCount val="3"/>
                <c:pt idx="0">
                  <c:v>3.2</c:v>
                </c:pt>
                <c:pt idx="1">
                  <c:v>3.2</c:v>
                </c:pt>
                <c:pt idx="2">
                  <c:v>3.2</c:v>
                </c:pt>
              </c:numCache>
            </c:numRef>
          </c:val>
          <c:smooth val="0"/>
          <c:extLst>
            <c:ext xmlns:c16="http://schemas.microsoft.com/office/drawing/2014/chart" uri="{C3380CC4-5D6E-409C-BE32-E72D297353CC}">
              <c16:uniqueId val="{00000000-D87C-471B-A92C-3F6B9302AF88}"/>
            </c:ext>
          </c:extLst>
        </c:ser>
        <c:ser>
          <c:idx val="0"/>
          <c:order val="1"/>
          <c:tx>
            <c:strRef>
              <c:f>'Sheet3 (2)'!$N$17</c:f>
              <c:strCache>
                <c:ptCount val="1"/>
                <c:pt idx="0">
                  <c:v>Дэлхийн банк</c:v>
                </c:pt>
              </c:strCache>
            </c:strRef>
          </c:tx>
          <c:spPr>
            <a:ln w="19050" cap="rnd">
              <a:solidFill>
                <a:srgbClr val="0B1E31"/>
              </a:solidFill>
              <a:round/>
            </a:ln>
            <a:effectLst/>
          </c:spPr>
          <c:marker>
            <c:symbol val="circle"/>
            <c:size val="5"/>
            <c:spPr>
              <a:solidFill>
                <a:schemeClr val="tx2">
                  <a:lumMod val="75000"/>
                </a:schemeClr>
              </a:solidFill>
              <a:ln w="19050">
                <a:solidFill>
                  <a:schemeClr val="tx2">
                    <a:lumMod val="75000"/>
                  </a:schemeClr>
                </a:solidFill>
              </a:ln>
              <a:effectLst/>
            </c:spPr>
          </c:marker>
          <c:dLbls>
            <c:numFmt formatCode="0.0%" sourceLinked="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 (2)'!$O$15:$Q$15</c:f>
              <c:numCache>
                <c:formatCode>General</c:formatCode>
                <c:ptCount val="3"/>
                <c:pt idx="0">
                  <c:v>2023</c:v>
                </c:pt>
                <c:pt idx="1">
                  <c:v>2024</c:v>
                </c:pt>
                <c:pt idx="2">
                  <c:v>2025</c:v>
                </c:pt>
              </c:numCache>
            </c:numRef>
          </c:cat>
          <c:val>
            <c:numRef>
              <c:f>'Sheet3 (2)'!$O$17:$Q$17</c:f>
              <c:numCache>
                <c:formatCode>General</c:formatCode>
                <c:ptCount val="3"/>
                <c:pt idx="0">
                  <c:v>2.6</c:v>
                </c:pt>
                <c:pt idx="1">
                  <c:v>2.4</c:v>
                </c:pt>
                <c:pt idx="2">
                  <c:v>2.7</c:v>
                </c:pt>
              </c:numCache>
            </c:numRef>
          </c:val>
          <c:smooth val="0"/>
          <c:extLst>
            <c:ext xmlns:c16="http://schemas.microsoft.com/office/drawing/2014/chart" uri="{C3380CC4-5D6E-409C-BE32-E72D297353CC}">
              <c16:uniqueId val="{00000001-D87C-471B-A92C-3F6B9302AF88}"/>
            </c:ext>
          </c:extLst>
        </c:ser>
        <c:ser>
          <c:idx val="1"/>
          <c:order val="2"/>
          <c:tx>
            <c:strRef>
              <c:f>'Sheet3 (2)'!$N$18</c:f>
              <c:strCache>
                <c:ptCount val="1"/>
                <c:pt idx="0">
                  <c:v>OECD</c:v>
                </c:pt>
              </c:strCache>
            </c:strRef>
          </c:tx>
          <c:spPr>
            <a:ln w="19050" cap="rnd">
              <a:solidFill>
                <a:schemeClr val="accent5">
                  <a:lumMod val="75000"/>
                </a:schemeClr>
              </a:solidFill>
              <a:round/>
            </a:ln>
            <a:effectLst/>
          </c:spPr>
          <c:marker>
            <c:symbol val="circle"/>
            <c:size val="5"/>
            <c:spPr>
              <a:solidFill>
                <a:schemeClr val="accent5">
                  <a:lumMod val="75000"/>
                </a:schemeClr>
              </a:solidFill>
              <a:ln w="19050">
                <a:solidFill>
                  <a:schemeClr val="accent5">
                    <a:lumMod val="75000"/>
                  </a:schemeClr>
                </a:solidFill>
              </a:ln>
              <a:effectLst/>
            </c:spPr>
          </c:marker>
          <c:dLbls>
            <c:dLbl>
              <c:idx val="2"/>
              <c:layout>
                <c:manualLayout>
                  <c:x val="-2.2007042253521125E-2"/>
                  <c:y val="-3.2908268202385849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7030A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7C-471B-A92C-3F6B9302AF8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7030A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 (2)'!$O$15:$Q$15</c:f>
              <c:numCache>
                <c:formatCode>General</c:formatCode>
                <c:ptCount val="3"/>
                <c:pt idx="0">
                  <c:v>2023</c:v>
                </c:pt>
                <c:pt idx="1">
                  <c:v>2024</c:v>
                </c:pt>
                <c:pt idx="2">
                  <c:v>2025</c:v>
                </c:pt>
              </c:numCache>
            </c:numRef>
          </c:cat>
          <c:val>
            <c:numRef>
              <c:f>'Sheet3 (2)'!$O$18:$Q$18</c:f>
              <c:numCache>
                <c:formatCode>General</c:formatCode>
                <c:ptCount val="3"/>
                <c:pt idx="0">
                  <c:v>3.1</c:v>
                </c:pt>
                <c:pt idx="1">
                  <c:v>2.9</c:v>
                </c:pt>
                <c:pt idx="2" formatCode="0.0">
                  <c:v>3</c:v>
                </c:pt>
              </c:numCache>
            </c:numRef>
          </c:val>
          <c:smooth val="0"/>
          <c:extLst>
            <c:ext xmlns:c16="http://schemas.microsoft.com/office/drawing/2014/chart" uri="{C3380CC4-5D6E-409C-BE32-E72D297353CC}">
              <c16:uniqueId val="{00000003-D87C-471B-A92C-3F6B9302AF88}"/>
            </c:ext>
          </c:extLst>
        </c:ser>
        <c:ser>
          <c:idx val="3"/>
          <c:order val="3"/>
          <c:tx>
            <c:strRef>
              <c:f>'Sheet3 (2)'!$N$19</c:f>
              <c:strCache>
                <c:ptCount val="1"/>
                <c:pt idx="0">
                  <c:v>Блүүмберг</c:v>
                </c:pt>
              </c:strCache>
            </c:strRef>
          </c:tx>
          <c:spPr>
            <a:ln w="19050" cap="rnd">
              <a:solidFill>
                <a:srgbClr val="BC5966"/>
              </a:solidFill>
              <a:round/>
            </a:ln>
            <a:effectLst/>
          </c:spPr>
          <c:marker>
            <c:symbol val="circle"/>
            <c:size val="5"/>
            <c:spPr>
              <a:solidFill>
                <a:srgbClr val="BC5966"/>
              </a:solidFill>
              <a:ln w="19050">
                <a:solidFill>
                  <a:srgbClr val="BC5966"/>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4-D87C-471B-A92C-3F6B9302AF88}"/>
                </c:ext>
              </c:extLst>
            </c:dLbl>
            <c:dLbl>
              <c:idx val="1"/>
              <c:layout>
                <c:manualLayout>
                  <c:x val="-6.7495771875346569E-2"/>
                  <c:y val="6.94986347603299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7C-471B-A92C-3F6B9302AF88}"/>
                </c:ext>
              </c:extLst>
            </c:dLbl>
            <c:dLbl>
              <c:idx val="2"/>
              <c:layout>
                <c:manualLayout>
                  <c:x val="-1.8448832760341576E-2"/>
                  <c:y val="-1.53800807807292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7C-471B-A92C-3F6B9302AF88}"/>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rgbClr val="BC5965"/>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 (2)'!$O$15:$Q$15</c:f>
              <c:numCache>
                <c:formatCode>General</c:formatCode>
                <c:ptCount val="3"/>
                <c:pt idx="0">
                  <c:v>2023</c:v>
                </c:pt>
                <c:pt idx="1">
                  <c:v>2024</c:v>
                </c:pt>
                <c:pt idx="2">
                  <c:v>2025</c:v>
                </c:pt>
              </c:numCache>
            </c:numRef>
          </c:cat>
          <c:val>
            <c:numRef>
              <c:f>'Sheet3 (2)'!$O$19:$Q$19</c:f>
              <c:numCache>
                <c:formatCode>General</c:formatCode>
                <c:ptCount val="3"/>
                <c:pt idx="0">
                  <c:v>3.2</c:v>
                </c:pt>
                <c:pt idx="1">
                  <c:v>2.9</c:v>
                </c:pt>
                <c:pt idx="2" formatCode="0.0">
                  <c:v>2.9</c:v>
                </c:pt>
              </c:numCache>
            </c:numRef>
          </c:val>
          <c:smooth val="0"/>
          <c:extLst>
            <c:ext xmlns:c16="http://schemas.microsoft.com/office/drawing/2014/chart" uri="{C3380CC4-5D6E-409C-BE32-E72D297353CC}">
              <c16:uniqueId val="{00000007-D87C-471B-A92C-3F6B9302AF88}"/>
            </c:ext>
          </c:extLst>
        </c:ser>
        <c:dLbls>
          <c:showLegendKey val="0"/>
          <c:showVal val="1"/>
          <c:showCatName val="0"/>
          <c:showSerName val="0"/>
          <c:showPercent val="0"/>
          <c:showBubbleSize val="0"/>
        </c:dLbls>
        <c:marker val="1"/>
        <c:smooth val="0"/>
        <c:axId val="1092006416"/>
        <c:axId val="1092008912"/>
      </c:lineChart>
      <c:catAx>
        <c:axId val="10920064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2008912"/>
        <c:crosses val="autoZero"/>
        <c:auto val="1"/>
        <c:lblAlgn val="ctr"/>
        <c:lblOffset val="100"/>
        <c:noMultiLvlLbl val="0"/>
      </c:catAx>
      <c:valAx>
        <c:axId val="1092008912"/>
        <c:scaling>
          <c:orientation val="minMax"/>
          <c:max val="3.5"/>
          <c:min val="2"/>
        </c:scaling>
        <c:delete val="0"/>
        <c:axPos val="l"/>
        <c:majorGridlines>
          <c:spPr>
            <a:ln w="9525" cap="flat" cmpd="sng" algn="ctr">
              <a:solidFill>
                <a:schemeClr val="bg1">
                  <a:lumMod val="95000"/>
                </a:schemeClr>
              </a:solidFill>
              <a:round/>
            </a:ln>
            <a:effectLst/>
          </c:spPr>
        </c:majorGridlines>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2006416"/>
        <c:crosses val="autoZero"/>
        <c:crossBetween val="between"/>
        <c:majorUnit val="0.5"/>
        <c:dispUnits>
          <c:builtInUnit val="hundreds"/>
          <c:dispUnitsLbl>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ispUnitsLbl>
        </c:dispUnits>
      </c:valAx>
      <c:spPr>
        <a:blipFill>
          <a:blip xmlns:r="http://schemas.openxmlformats.org/officeDocument/2006/relationships" r:embed="rId3"/>
          <a:stretch>
            <a:fillRect/>
          </a:stretch>
        </a:blipFill>
        <a:ln>
          <a:noFill/>
        </a:ln>
        <a:effectLst/>
      </c:spPr>
    </c:plotArea>
    <c:legend>
      <c:legendPos val="t"/>
      <c:layout>
        <c:manualLayout>
          <c:xMode val="edge"/>
          <c:yMode val="edge"/>
          <c:x val="0.19466302932605864"/>
          <c:y val="3.5132005558128755E-3"/>
          <c:w val="0.71084874279925614"/>
          <c:h val="0.15322118477533839"/>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37270341207349"/>
          <c:y val="5.6178822717582844E-2"/>
          <c:w val="0.83174056312826805"/>
          <c:h val="0.54281314466687969"/>
        </c:manualLayout>
      </c:layout>
      <c:barChart>
        <c:barDir val="col"/>
        <c:grouping val="stacked"/>
        <c:varyColors val="0"/>
        <c:ser>
          <c:idx val="8"/>
          <c:order val="0"/>
          <c:tx>
            <c:strRef>
              <c:f>'[External 2023Q4.xlsx]ТХМ-Annual'!$A$127</c:f>
              <c:strCache>
                <c:ptCount val="1"/>
                <c:pt idx="0">
                  <c:v>Бусад</c:v>
                </c:pt>
              </c:strCache>
            </c:strRef>
          </c:tx>
          <c:spPr>
            <a:solidFill>
              <a:schemeClr val="bg1">
                <a:lumMod val="75000"/>
              </a:schemeClr>
            </a:solidFill>
            <a:ln>
              <a:noFill/>
            </a:ln>
            <a:effectLst/>
          </c:spPr>
          <c:invertIfNegative val="0"/>
          <c:cat>
            <c:numRef>
              <c:f>'[External 2023Q4.xlsx]ТХМ-Annual'!$C$88:$G$88</c:f>
              <c:numCache>
                <c:formatCode>General</c:formatCode>
                <c:ptCount val="5"/>
                <c:pt idx="0">
                  <c:v>2019</c:v>
                </c:pt>
                <c:pt idx="1">
                  <c:v>2020</c:v>
                </c:pt>
                <c:pt idx="2">
                  <c:v>2021</c:v>
                </c:pt>
                <c:pt idx="3">
                  <c:v>2022</c:v>
                </c:pt>
                <c:pt idx="4">
                  <c:v>2023</c:v>
                </c:pt>
              </c:numCache>
            </c:numRef>
          </c:cat>
          <c:val>
            <c:numRef>
              <c:f>'[External 2023Q4.xlsx]ТХМ-Annual'!$C$127:$G$127</c:f>
              <c:numCache>
                <c:formatCode>_(* #,##0.0_);_(* \(#,##0.0\);_(* "-"??_);_(@_)</c:formatCode>
                <c:ptCount val="5"/>
                <c:pt idx="0">
                  <c:v>1.9532213003102985</c:v>
                </c:pt>
                <c:pt idx="1">
                  <c:v>-0.8289479008344145</c:v>
                </c:pt>
                <c:pt idx="2">
                  <c:v>8.0710928521436749</c:v>
                </c:pt>
                <c:pt idx="3">
                  <c:v>1.9429833658235389</c:v>
                </c:pt>
                <c:pt idx="4">
                  <c:v>7.972423984054327</c:v>
                </c:pt>
              </c:numCache>
            </c:numRef>
          </c:val>
          <c:extLst>
            <c:ext xmlns:c16="http://schemas.microsoft.com/office/drawing/2014/chart" uri="{C3380CC4-5D6E-409C-BE32-E72D297353CC}">
              <c16:uniqueId val="{00000000-B549-47EB-AEAF-F4563D607928}"/>
            </c:ext>
          </c:extLst>
        </c:ser>
        <c:ser>
          <c:idx val="1"/>
          <c:order val="1"/>
          <c:tx>
            <c:strRef>
              <c:f>'[External 2023Q4.xlsx]ТХМ-Annual'!$A$123</c:f>
              <c:strCache>
                <c:ptCount val="1"/>
                <c:pt idx="0">
                  <c:v>Уул уурхай</c:v>
                </c:pt>
              </c:strCache>
            </c:strRef>
          </c:tx>
          <c:spPr>
            <a:solidFill>
              <a:schemeClr val="accent2">
                <a:lumMod val="75000"/>
              </a:schemeClr>
            </a:solidFill>
            <a:ln>
              <a:noFill/>
            </a:ln>
            <a:effectLst/>
          </c:spPr>
          <c:invertIfNegative val="0"/>
          <c:cat>
            <c:numRef>
              <c:f>'[External 2023Q4.xlsx]ТХМ-Annual'!$C$88:$G$88</c:f>
              <c:numCache>
                <c:formatCode>General</c:formatCode>
                <c:ptCount val="5"/>
                <c:pt idx="0">
                  <c:v>2019</c:v>
                </c:pt>
                <c:pt idx="1">
                  <c:v>2020</c:v>
                </c:pt>
                <c:pt idx="2">
                  <c:v>2021</c:v>
                </c:pt>
                <c:pt idx="3">
                  <c:v>2022</c:v>
                </c:pt>
                <c:pt idx="4">
                  <c:v>2023</c:v>
                </c:pt>
              </c:numCache>
            </c:numRef>
          </c:cat>
          <c:val>
            <c:numRef>
              <c:f>'[External 2023Q4.xlsx]ТХМ-Annual'!$C$123:$G$123</c:f>
              <c:numCache>
                <c:formatCode>_(* #,##0.0_);_(* \(#,##0.0\);_(* "-"??_);_(@_)</c:formatCode>
                <c:ptCount val="5"/>
                <c:pt idx="0">
                  <c:v>1.6684144806727506</c:v>
                </c:pt>
                <c:pt idx="1">
                  <c:v>1.3424094918870402</c:v>
                </c:pt>
                <c:pt idx="2">
                  <c:v>0.54195093707667774</c:v>
                </c:pt>
                <c:pt idx="3">
                  <c:v>-3.2800997983147333</c:v>
                </c:pt>
                <c:pt idx="4">
                  <c:v>1.1018226504565374</c:v>
                </c:pt>
              </c:numCache>
            </c:numRef>
          </c:val>
          <c:extLst>
            <c:ext xmlns:c16="http://schemas.microsoft.com/office/drawing/2014/chart" uri="{C3380CC4-5D6E-409C-BE32-E72D297353CC}">
              <c16:uniqueId val="{00000001-B549-47EB-AEAF-F4563D607928}"/>
            </c:ext>
          </c:extLst>
        </c:ser>
        <c:ser>
          <c:idx val="3"/>
          <c:order val="2"/>
          <c:tx>
            <c:strRef>
              <c:f>'[External 2023Q4.xlsx]ТХМ-Annual'!$A$124</c:f>
              <c:strCache>
                <c:ptCount val="1"/>
                <c:pt idx="0">
                  <c:v>Бөөний болон жижиглэн худалдаа</c:v>
                </c:pt>
              </c:strCache>
            </c:strRef>
          </c:tx>
          <c:spPr>
            <a:solidFill>
              <a:srgbClr val="11A795"/>
            </a:solidFill>
            <a:ln>
              <a:noFill/>
            </a:ln>
            <a:effectLst/>
          </c:spPr>
          <c:invertIfNegative val="0"/>
          <c:cat>
            <c:numRef>
              <c:f>'[External 2023Q4.xlsx]ТХМ-Annual'!$C$88:$G$88</c:f>
              <c:numCache>
                <c:formatCode>General</c:formatCode>
                <c:ptCount val="5"/>
                <c:pt idx="0">
                  <c:v>2019</c:v>
                </c:pt>
                <c:pt idx="1">
                  <c:v>2020</c:v>
                </c:pt>
                <c:pt idx="2">
                  <c:v>2021</c:v>
                </c:pt>
                <c:pt idx="3">
                  <c:v>2022</c:v>
                </c:pt>
                <c:pt idx="4">
                  <c:v>2023</c:v>
                </c:pt>
              </c:numCache>
            </c:numRef>
          </c:cat>
          <c:val>
            <c:numRef>
              <c:f>'[External 2023Q4.xlsx]ТХМ-Annual'!$C$124:$G$124</c:f>
              <c:numCache>
                <c:formatCode>_(* #,##0.0_);_(* \(#,##0.0\);_(* "-"??_);_(@_)</c:formatCode>
                <c:ptCount val="5"/>
                <c:pt idx="0">
                  <c:v>2.8211755829728693</c:v>
                </c:pt>
                <c:pt idx="1">
                  <c:v>-0.80871284810636723</c:v>
                </c:pt>
                <c:pt idx="2">
                  <c:v>8.0565688661922188</c:v>
                </c:pt>
                <c:pt idx="3">
                  <c:v>3.0550470038110578</c:v>
                </c:pt>
                <c:pt idx="4">
                  <c:v>3.1256524435367394</c:v>
                </c:pt>
              </c:numCache>
            </c:numRef>
          </c:val>
          <c:extLst>
            <c:ext xmlns:c16="http://schemas.microsoft.com/office/drawing/2014/chart" uri="{C3380CC4-5D6E-409C-BE32-E72D297353CC}">
              <c16:uniqueId val="{00000002-B549-47EB-AEAF-F4563D607928}"/>
            </c:ext>
          </c:extLst>
        </c:ser>
        <c:ser>
          <c:idx val="4"/>
          <c:order val="3"/>
          <c:tx>
            <c:strRef>
              <c:f>'[External 2023Q4.xlsx]ТХМ-Annual'!$A$125</c:f>
              <c:strCache>
                <c:ptCount val="1"/>
                <c:pt idx="0">
                  <c:v>Үл хөдлөх хөрөнгийн үйл ажиллагаа</c:v>
                </c:pt>
              </c:strCache>
            </c:strRef>
          </c:tx>
          <c:spPr>
            <a:solidFill>
              <a:schemeClr val="tx2">
                <a:lumMod val="75000"/>
              </a:schemeClr>
            </a:solidFill>
            <a:ln>
              <a:noFill/>
            </a:ln>
            <a:effectLst/>
          </c:spPr>
          <c:invertIfNegative val="0"/>
          <c:cat>
            <c:numRef>
              <c:f>'[External 2023Q4.xlsx]ТХМ-Annual'!$C$88:$G$88</c:f>
              <c:numCache>
                <c:formatCode>General</c:formatCode>
                <c:ptCount val="5"/>
                <c:pt idx="0">
                  <c:v>2019</c:v>
                </c:pt>
                <c:pt idx="1">
                  <c:v>2020</c:v>
                </c:pt>
                <c:pt idx="2">
                  <c:v>2021</c:v>
                </c:pt>
                <c:pt idx="3">
                  <c:v>2022</c:v>
                </c:pt>
                <c:pt idx="4">
                  <c:v>2023</c:v>
                </c:pt>
              </c:numCache>
            </c:numRef>
          </c:cat>
          <c:val>
            <c:numRef>
              <c:f>'[External 2023Q4.xlsx]ТХМ-Annual'!$C$125:$G$125</c:f>
              <c:numCache>
                <c:formatCode>_(* #,##0.0_);_(* \(#,##0.0\);_(* "-"??_);_(@_)</c:formatCode>
                <c:ptCount val="5"/>
                <c:pt idx="0">
                  <c:v>1.4218757345834216</c:v>
                </c:pt>
                <c:pt idx="1">
                  <c:v>1.2051207431384765</c:v>
                </c:pt>
                <c:pt idx="2">
                  <c:v>3.895336554489496</c:v>
                </c:pt>
                <c:pt idx="3">
                  <c:v>2.2689962492689579</c:v>
                </c:pt>
                <c:pt idx="4">
                  <c:v>2.3483328839788515</c:v>
                </c:pt>
              </c:numCache>
            </c:numRef>
          </c:val>
          <c:extLst>
            <c:ext xmlns:c16="http://schemas.microsoft.com/office/drawing/2014/chart" uri="{C3380CC4-5D6E-409C-BE32-E72D297353CC}">
              <c16:uniqueId val="{00000003-B549-47EB-AEAF-F4563D607928}"/>
            </c:ext>
          </c:extLst>
        </c:ser>
        <c:ser>
          <c:idx val="7"/>
          <c:order val="4"/>
          <c:tx>
            <c:strRef>
              <c:f>'[External 2023Q4.xlsx]ТХМ-Annual'!$A$126</c:f>
              <c:strCache>
                <c:ptCount val="1"/>
                <c:pt idx="0">
                  <c:v>Цалин, тэтгэвэр</c:v>
                </c:pt>
              </c:strCache>
            </c:strRef>
          </c:tx>
          <c:spPr>
            <a:solidFill>
              <a:srgbClr val="FFC000"/>
            </a:solidFill>
            <a:ln>
              <a:noFill/>
            </a:ln>
            <a:effectLst/>
          </c:spPr>
          <c:invertIfNegative val="0"/>
          <c:cat>
            <c:numRef>
              <c:f>'[External 2023Q4.xlsx]ТХМ-Annual'!$C$88:$G$88</c:f>
              <c:numCache>
                <c:formatCode>General</c:formatCode>
                <c:ptCount val="5"/>
                <c:pt idx="0">
                  <c:v>2019</c:v>
                </c:pt>
                <c:pt idx="1">
                  <c:v>2020</c:v>
                </c:pt>
                <c:pt idx="2">
                  <c:v>2021</c:v>
                </c:pt>
                <c:pt idx="3">
                  <c:v>2022</c:v>
                </c:pt>
                <c:pt idx="4">
                  <c:v>2023</c:v>
                </c:pt>
              </c:numCache>
            </c:numRef>
          </c:cat>
          <c:val>
            <c:numRef>
              <c:f>'[External 2023Q4.xlsx]ТХМ-Annual'!$C$126:$G$126</c:f>
              <c:numCache>
                <c:formatCode>_(* #,##0.0_);_(* \(#,##0.0\);_(* "-"??_);_(@_)</c:formatCode>
                <c:ptCount val="5"/>
                <c:pt idx="0">
                  <c:v>-2.8896039633433146</c:v>
                </c:pt>
                <c:pt idx="1">
                  <c:v>-5.9176803301992997</c:v>
                </c:pt>
                <c:pt idx="2">
                  <c:v>0.76338846244800984</c:v>
                </c:pt>
                <c:pt idx="3">
                  <c:v>2.5011756935025393</c:v>
                </c:pt>
                <c:pt idx="4">
                  <c:v>8.8218079856628719</c:v>
                </c:pt>
              </c:numCache>
            </c:numRef>
          </c:val>
          <c:extLst>
            <c:ext xmlns:c16="http://schemas.microsoft.com/office/drawing/2014/chart" uri="{C3380CC4-5D6E-409C-BE32-E72D297353CC}">
              <c16:uniqueId val="{00000004-B549-47EB-AEAF-F4563D607928}"/>
            </c:ext>
          </c:extLst>
        </c:ser>
        <c:dLbls>
          <c:showLegendKey val="0"/>
          <c:showVal val="0"/>
          <c:showCatName val="0"/>
          <c:showSerName val="0"/>
          <c:showPercent val="0"/>
          <c:showBubbleSize val="0"/>
        </c:dLbls>
        <c:gapWidth val="50"/>
        <c:overlap val="100"/>
        <c:axId val="163112320"/>
        <c:axId val="163113280"/>
      </c:barChart>
      <c:lineChart>
        <c:grouping val="standard"/>
        <c:varyColors val="0"/>
        <c:ser>
          <c:idx val="0"/>
          <c:order val="5"/>
          <c:tx>
            <c:strRef>
              <c:f>'[External 2023Q4.xlsx]ТХМ-Annual'!$A$122</c:f>
              <c:strCache>
                <c:ptCount val="1"/>
                <c:pt idx="0">
                  <c:v>Нийт зээлийн үлдэгдэл</c:v>
                </c:pt>
              </c:strCache>
            </c:strRef>
          </c:tx>
          <c:spPr>
            <a:ln w="22225" cap="rnd">
              <a:solidFill>
                <a:srgbClr val="BC5966"/>
              </a:solidFill>
              <a:round/>
            </a:ln>
            <a:effectLst/>
          </c:spPr>
          <c:marker>
            <c:symbol val="none"/>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49-47EB-AEAF-F4563D60792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'[External 2023Q4.xlsx]ТХМ-Annual'!$C$88:$G$88</c:f>
              <c:numCache>
                <c:formatCode>General</c:formatCode>
                <c:ptCount val="5"/>
                <c:pt idx="0">
                  <c:v>2019</c:v>
                </c:pt>
                <c:pt idx="1">
                  <c:v>2020</c:v>
                </c:pt>
                <c:pt idx="2">
                  <c:v>2021</c:v>
                </c:pt>
                <c:pt idx="3">
                  <c:v>2022</c:v>
                </c:pt>
                <c:pt idx="4">
                  <c:v>2023</c:v>
                </c:pt>
              </c:numCache>
            </c:numRef>
          </c:cat>
          <c:val>
            <c:numRef>
              <c:f>'[External 2023Q4.xlsx]ТХМ-Annual'!$C$122:$G$122</c:f>
              <c:numCache>
                <c:formatCode>_(* #,##0.0_);_(* \(#,##0.0\);_(* "-"??_);_(@_)</c:formatCode>
                <c:ptCount val="5"/>
                <c:pt idx="0">
                  <c:v>4.9750831351960256</c:v>
                </c:pt>
                <c:pt idx="1">
                  <c:v>-5.0078108441145641</c:v>
                </c:pt>
                <c:pt idx="2">
                  <c:v>21.328337672350077</c:v>
                </c:pt>
                <c:pt idx="3">
                  <c:v>6.4881025140913611</c:v>
                </c:pt>
                <c:pt idx="4">
                  <c:v>23.370039947689328</c:v>
                </c:pt>
              </c:numCache>
            </c:numRef>
          </c:val>
          <c:smooth val="1"/>
          <c:extLst>
            <c:ext xmlns:c16="http://schemas.microsoft.com/office/drawing/2014/chart" uri="{C3380CC4-5D6E-409C-BE32-E72D297353CC}">
              <c16:uniqueId val="{00000006-B549-47EB-AEAF-F4563D607928}"/>
            </c:ext>
          </c:extLst>
        </c:ser>
        <c:dLbls>
          <c:showLegendKey val="0"/>
          <c:showVal val="0"/>
          <c:showCatName val="0"/>
          <c:showSerName val="0"/>
          <c:showPercent val="0"/>
          <c:showBubbleSize val="0"/>
        </c:dLbls>
        <c:marker val="1"/>
        <c:smooth val="0"/>
        <c:axId val="163112320"/>
        <c:axId val="163113280"/>
      </c:lineChart>
      <c:catAx>
        <c:axId val="16311232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3113280"/>
        <c:crosses val="autoZero"/>
        <c:auto val="1"/>
        <c:lblAlgn val="ctr"/>
        <c:lblOffset val="100"/>
        <c:noMultiLvlLbl val="0"/>
      </c:catAx>
      <c:valAx>
        <c:axId val="163113280"/>
        <c:scaling>
          <c:orientation val="minMax"/>
          <c:max val="25"/>
          <c:min val="-10"/>
        </c:scaling>
        <c:delete val="0"/>
        <c:axPos val="l"/>
        <c:numFmt formatCode="#,##0" sourceLinked="0"/>
        <c:majorTickMark val="out"/>
        <c:minorTickMark val="none"/>
        <c:tickLblPos val="nextTo"/>
        <c:spPr>
          <a:noFill/>
          <a:ln>
            <a:solidFill>
              <a:schemeClr val="bg1">
                <a:lumMod val="95000"/>
              </a:schemeClr>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3112320"/>
        <c:crosses val="autoZero"/>
        <c:crossBetween val="between"/>
        <c:majorUnit val="15"/>
      </c:valAx>
      <c:spPr>
        <a:noFill/>
        <a:ln>
          <a:noFill/>
        </a:ln>
        <a:effectLst/>
      </c:spPr>
    </c:plotArea>
    <c:legend>
      <c:legendPos val="b"/>
      <c:layout>
        <c:manualLayout>
          <c:xMode val="edge"/>
          <c:yMode val="edge"/>
          <c:x val="3.8062608586140474E-2"/>
          <c:y val="0.69491999704975849"/>
          <c:w val="0.92109733158355223"/>
          <c:h val="0.30234164243520084"/>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Sheet1!$B$2</c:f>
              <c:strCache>
                <c:ptCount val="1"/>
                <c:pt idx="0">
                  <c:v>Эрэгтэй</c:v>
                </c:pt>
              </c:strCache>
            </c:strRef>
          </c:tx>
          <c:spPr>
            <a:solidFill>
              <a:srgbClr val="11A795"/>
            </a:solidFill>
            <a:ln>
              <a:noFill/>
            </a:ln>
            <a:effectLst/>
          </c:spPr>
          <c:invertIfNegative val="0"/>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73-4B66-A626-A29B9531B6E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Sheet1!$A$4:$A$8</c:f>
              <c:numCache>
                <c:formatCode>General</c:formatCode>
                <c:ptCount val="5"/>
                <c:pt idx="0">
                  <c:v>2019</c:v>
                </c:pt>
                <c:pt idx="1">
                  <c:v>2020</c:v>
                </c:pt>
                <c:pt idx="2">
                  <c:v>2021</c:v>
                </c:pt>
                <c:pt idx="3">
                  <c:v>2022</c:v>
                </c:pt>
                <c:pt idx="4">
                  <c:v>2023</c:v>
                </c:pt>
              </c:numCache>
            </c:numRef>
          </c:cat>
          <c:val>
            <c:numRef>
              <c:f>Sheet1!$B$4:$B$8</c:f>
              <c:numCache>
                <c:formatCode>0.0</c:formatCode>
                <c:ptCount val="5"/>
                <c:pt idx="0">
                  <c:v>606.81399999999996</c:v>
                </c:pt>
                <c:pt idx="1">
                  <c:v>611.80700000000002</c:v>
                </c:pt>
                <c:pt idx="2">
                  <c:v>592.80600000000004</c:v>
                </c:pt>
                <c:pt idx="3">
                  <c:v>628.29499999999996</c:v>
                </c:pt>
                <c:pt idx="4">
                  <c:v>634.77099999999996</c:v>
                </c:pt>
              </c:numCache>
            </c:numRef>
          </c:val>
          <c:extLst>
            <c:ext xmlns:c16="http://schemas.microsoft.com/office/drawing/2014/chart" uri="{C3380CC4-5D6E-409C-BE32-E72D297353CC}">
              <c16:uniqueId val="{00000001-6673-4B66-A626-A29B9531B6E0}"/>
            </c:ext>
          </c:extLst>
        </c:ser>
        <c:ser>
          <c:idx val="1"/>
          <c:order val="1"/>
          <c:tx>
            <c:strRef>
              <c:f>Sheet1!$C$2</c:f>
              <c:strCache>
                <c:ptCount val="1"/>
                <c:pt idx="0">
                  <c:v>Эмэгтэй</c:v>
                </c:pt>
              </c:strCache>
            </c:strRef>
          </c:tx>
          <c:spPr>
            <a:solidFill>
              <a:srgbClr val="FFC000"/>
            </a:solidFill>
            <a:ln>
              <a:noFill/>
            </a:ln>
            <a:effectLst/>
          </c:spPr>
          <c:invertIfNegative val="0"/>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73-4B66-A626-A29B9531B6E0}"/>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Sheet1!$A$4:$A$8</c:f>
              <c:numCache>
                <c:formatCode>General</c:formatCode>
                <c:ptCount val="5"/>
                <c:pt idx="0">
                  <c:v>2019</c:v>
                </c:pt>
                <c:pt idx="1">
                  <c:v>2020</c:v>
                </c:pt>
                <c:pt idx="2">
                  <c:v>2021</c:v>
                </c:pt>
                <c:pt idx="3">
                  <c:v>2022</c:v>
                </c:pt>
                <c:pt idx="4">
                  <c:v>2023</c:v>
                </c:pt>
              </c:numCache>
            </c:numRef>
          </c:cat>
          <c:val>
            <c:numRef>
              <c:f>Sheet1!$C$4:$C$8</c:f>
              <c:numCache>
                <c:formatCode>0.0</c:formatCode>
                <c:ptCount val="5"/>
                <c:pt idx="0">
                  <c:v>539.346</c:v>
                </c:pt>
                <c:pt idx="1">
                  <c:v>551.10500000000002</c:v>
                </c:pt>
                <c:pt idx="2">
                  <c:v>532.78700000000003</c:v>
                </c:pt>
                <c:pt idx="3">
                  <c:v>552.17899999999997</c:v>
                </c:pt>
                <c:pt idx="4">
                  <c:v>562.06600000000003</c:v>
                </c:pt>
              </c:numCache>
            </c:numRef>
          </c:val>
          <c:extLst>
            <c:ext xmlns:c16="http://schemas.microsoft.com/office/drawing/2014/chart" uri="{C3380CC4-5D6E-409C-BE32-E72D297353CC}">
              <c16:uniqueId val="{00000003-6673-4B66-A626-A29B9531B6E0}"/>
            </c:ext>
          </c:extLst>
        </c:ser>
        <c:dLbls>
          <c:showLegendKey val="0"/>
          <c:showVal val="0"/>
          <c:showCatName val="0"/>
          <c:showSerName val="0"/>
          <c:showPercent val="0"/>
          <c:showBubbleSize val="0"/>
        </c:dLbls>
        <c:gapWidth val="50"/>
        <c:overlap val="100"/>
        <c:axId val="1413960704"/>
        <c:axId val="1413963584"/>
      </c:barChart>
      <c:lineChart>
        <c:grouping val="standard"/>
        <c:varyColors val="0"/>
        <c:ser>
          <c:idx val="2"/>
          <c:order val="2"/>
          <c:tx>
            <c:v>Өөрчлөлт</c:v>
          </c:tx>
          <c:spPr>
            <a:ln w="22225" cap="rnd">
              <a:solidFill>
                <a:srgbClr val="BC5966"/>
              </a:solidFill>
              <a:round/>
            </a:ln>
            <a:effectLst/>
          </c:spPr>
          <c:marker>
            <c:symbol val="none"/>
          </c:marker>
          <c:cat>
            <c:numRef>
              <c:f>Sheet1!$A$4:$A$8</c:f>
              <c:numCache>
                <c:formatCode>General</c:formatCode>
                <c:ptCount val="5"/>
                <c:pt idx="0">
                  <c:v>2019</c:v>
                </c:pt>
                <c:pt idx="1">
                  <c:v>2020</c:v>
                </c:pt>
                <c:pt idx="2">
                  <c:v>2021</c:v>
                </c:pt>
                <c:pt idx="3">
                  <c:v>2022</c:v>
                </c:pt>
                <c:pt idx="4">
                  <c:v>2023</c:v>
                </c:pt>
              </c:numCache>
            </c:numRef>
          </c:cat>
          <c:val>
            <c:numRef>
              <c:f>Sheet1!$D$4:$D$8</c:f>
              <c:numCache>
                <c:formatCode>General</c:formatCode>
                <c:ptCount val="5"/>
                <c:pt idx="0">
                  <c:v>-8.5284148814507184</c:v>
                </c:pt>
                <c:pt idx="1">
                  <c:v>1.4615760452292959</c:v>
                </c:pt>
                <c:pt idx="2">
                  <c:v>-3.2090992267686635</c:v>
                </c:pt>
                <c:pt idx="3">
                  <c:v>4.8757410538267321</c:v>
                </c:pt>
                <c:pt idx="4">
                  <c:v>1.3861381106233583</c:v>
                </c:pt>
              </c:numCache>
            </c:numRef>
          </c:val>
          <c:smooth val="1"/>
          <c:extLst>
            <c:ext xmlns:c16="http://schemas.microsoft.com/office/drawing/2014/chart" uri="{C3380CC4-5D6E-409C-BE32-E72D297353CC}">
              <c16:uniqueId val="{00000004-6673-4B66-A626-A29B9531B6E0}"/>
            </c:ext>
          </c:extLst>
        </c:ser>
        <c:dLbls>
          <c:showLegendKey val="0"/>
          <c:showVal val="0"/>
          <c:showCatName val="0"/>
          <c:showSerName val="0"/>
          <c:showPercent val="0"/>
          <c:showBubbleSize val="0"/>
        </c:dLbls>
        <c:marker val="1"/>
        <c:smooth val="0"/>
        <c:axId val="985188416"/>
        <c:axId val="985187456"/>
      </c:lineChart>
      <c:catAx>
        <c:axId val="141396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13963584"/>
        <c:crosses val="autoZero"/>
        <c:auto val="1"/>
        <c:lblAlgn val="ctr"/>
        <c:lblOffset val="100"/>
        <c:noMultiLvlLbl val="0"/>
      </c:catAx>
      <c:valAx>
        <c:axId val="1413963584"/>
        <c:scaling>
          <c:orientation val="minMax"/>
          <c:max val="120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13960704"/>
        <c:crosses val="autoZero"/>
        <c:crossBetween val="between"/>
      </c:valAx>
      <c:valAx>
        <c:axId val="9851874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85188416"/>
        <c:crosses val="max"/>
        <c:crossBetween val="between"/>
      </c:valAx>
      <c:catAx>
        <c:axId val="985188416"/>
        <c:scaling>
          <c:orientation val="minMax"/>
        </c:scaling>
        <c:delete val="1"/>
        <c:axPos val="b"/>
        <c:numFmt formatCode="General" sourceLinked="1"/>
        <c:majorTickMark val="out"/>
        <c:minorTickMark val="none"/>
        <c:tickLblPos val="nextTo"/>
        <c:crossAx val="9851874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167104111986004"/>
          <c:y val="5.0925925925925923E-2"/>
          <c:w val="0.65957195975503058"/>
          <c:h val="0.82381347672291994"/>
        </c:manualLayout>
      </c:layout>
      <c:barChart>
        <c:barDir val="bar"/>
        <c:grouping val="clustered"/>
        <c:varyColors val="0"/>
        <c:ser>
          <c:idx val="0"/>
          <c:order val="0"/>
          <c:spPr>
            <a:solidFill>
              <a:srgbClr val="11A795"/>
            </a:solidFill>
            <a:ln>
              <a:noFill/>
            </a:ln>
            <a:effectLst/>
          </c:spPr>
          <c:invertIfNegative val="0"/>
          <c:dPt>
            <c:idx val="0"/>
            <c:invertIfNegative val="0"/>
            <c:bubble3D val="0"/>
            <c:spPr>
              <a:solidFill>
                <a:schemeClr val="tx2">
                  <a:lumMod val="75000"/>
                </a:schemeClr>
              </a:solidFill>
              <a:ln>
                <a:noFill/>
              </a:ln>
              <a:effectLst/>
            </c:spPr>
            <c:extLst>
              <c:ext xmlns:c16="http://schemas.microsoft.com/office/drawing/2014/chart" uri="{C3380CC4-5D6E-409C-BE32-E72D297353CC}">
                <c16:uniqueId val="{00000001-90B0-450E-A24F-D6CD0D62E424}"/>
              </c:ext>
            </c:extLst>
          </c:dPt>
          <c:dLbls>
            <c:dLbl>
              <c:idx val="0"/>
              <c:layout>
                <c:manualLayout>
                  <c:x val="-0.4003473013297473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B0-450E-A24F-D6CD0D62E424}"/>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'Fig2'!$F$14:$F$21</c:f>
              <c:strCache>
                <c:ptCount val="8"/>
                <c:pt idx="0">
                  <c:v>Хөдөө аж ахуй</c:v>
                </c:pt>
                <c:pt idx="1">
                  <c:v>Эрчим хүч</c:v>
                </c:pt>
                <c:pt idx="2">
                  <c:v>Уул уурхай</c:v>
                </c:pt>
                <c:pt idx="3">
                  <c:v>Үйлчилгээ</c:v>
                </c:pt>
                <c:pt idx="4">
                  <c:v>Тээвэр</c:v>
                </c:pt>
                <c:pt idx="5">
                  <c:v>Боловсруулах үйлдвэрлэл</c:v>
                </c:pt>
                <c:pt idx="6">
                  <c:v>Барилга</c:v>
                </c:pt>
                <c:pt idx="7">
                  <c:v>Худалдаа</c:v>
                </c:pt>
              </c:strCache>
            </c:strRef>
          </c:cat>
          <c:val>
            <c:numRef>
              <c:f>'Fig2'!$I$14:$I$21</c:f>
              <c:numCache>
                <c:formatCode>0.0</c:formatCode>
                <c:ptCount val="8"/>
                <c:pt idx="0">
                  <c:v>-29.120200000000011</c:v>
                </c:pt>
                <c:pt idx="1">
                  <c:v>0.12340000000000018</c:v>
                </c:pt>
                <c:pt idx="2">
                  <c:v>4.1894999999999953</c:v>
                </c:pt>
                <c:pt idx="3">
                  <c:v>5.1065000000000396</c:v>
                </c:pt>
                <c:pt idx="4">
                  <c:v>8.1063000000000045</c:v>
                </c:pt>
                <c:pt idx="5">
                  <c:v>13.408999999999992</c:v>
                </c:pt>
                <c:pt idx="6">
                  <c:v>16.631499999999996</c:v>
                </c:pt>
                <c:pt idx="7">
                  <c:v>20.14439999999999</c:v>
                </c:pt>
              </c:numCache>
            </c:numRef>
          </c:val>
          <c:extLst>
            <c:ext xmlns:c16="http://schemas.microsoft.com/office/drawing/2014/chart" uri="{C3380CC4-5D6E-409C-BE32-E72D297353CC}">
              <c16:uniqueId val="{00000002-90B0-450E-A24F-D6CD0D62E424}"/>
            </c:ext>
          </c:extLst>
        </c:ser>
        <c:dLbls>
          <c:showLegendKey val="0"/>
          <c:showVal val="0"/>
          <c:showCatName val="0"/>
          <c:showSerName val="0"/>
          <c:showPercent val="0"/>
          <c:showBubbleSize val="0"/>
        </c:dLbls>
        <c:gapWidth val="49"/>
        <c:axId val="580074048"/>
        <c:axId val="580072608"/>
      </c:barChart>
      <c:catAx>
        <c:axId val="58007404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80072608"/>
        <c:crosses val="autoZero"/>
        <c:auto val="1"/>
        <c:lblAlgn val="ctr"/>
        <c:lblOffset val="100"/>
        <c:noMultiLvlLbl val="0"/>
      </c:catAx>
      <c:valAx>
        <c:axId val="580072608"/>
        <c:scaling>
          <c:orientation val="minMax"/>
          <c:max val="35"/>
          <c:min val="-35"/>
        </c:scaling>
        <c:delete val="0"/>
        <c:axPos val="b"/>
        <c:numFmt formatCode="0" sourceLinked="0"/>
        <c:majorTickMark val="out"/>
        <c:minorTickMark val="none"/>
        <c:tickLblPos val="nextTo"/>
        <c:spPr>
          <a:noFill/>
          <a:ln w="9525">
            <a:solidFill>
              <a:schemeClr val="bg2">
                <a:lumMod val="90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80074048"/>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600">
          <a:solidFill>
            <a:schemeClr val="tx1"/>
          </a:solidFill>
          <a:latin typeface="Segoe UI Light" panose="020B0502040204020203" pitchFamily="34" charset="0"/>
          <a:cs typeface="Segoe UI Light" panose="020B0502040204020203"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38471318904684"/>
          <c:y val="0.10622862173380976"/>
          <c:w val="0.79148997352774508"/>
          <c:h val="0.72864381048942095"/>
        </c:manualLayout>
      </c:layout>
      <c:barChart>
        <c:barDir val="col"/>
        <c:grouping val="clustered"/>
        <c:varyColors val="0"/>
        <c:ser>
          <c:idx val="0"/>
          <c:order val="0"/>
          <c:spPr>
            <a:solidFill>
              <a:srgbClr val="11A795"/>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
                    <a:ea typeface="+mn-ea"/>
                    <a:cs typeface="Segoe UI Light"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Pivot!$AG$6:$AR$6</c:f>
              <c:numCache>
                <c:formatCode>_(* #,##0_);_(* \(#,##0\);_(* "-"??_);_(@_)</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Pivot!$AG$7:$AR$7</c:f>
              <c:numCache>
                <c:formatCode>_(* #,##0_);_(* \(#,##0\);_(* "-"??_);_(@_)</c:formatCode>
                <c:ptCount val="12"/>
                <c:pt idx="0">
                  <c:v>1</c:v>
                </c:pt>
                <c:pt idx="1">
                  <c:v>4</c:v>
                </c:pt>
                <c:pt idx="2">
                  <c:v>11</c:v>
                </c:pt>
                <c:pt idx="3">
                  <c:v>10</c:v>
                </c:pt>
                <c:pt idx="4">
                  <c:v>9</c:v>
                </c:pt>
                <c:pt idx="5">
                  <c:v>19</c:v>
                </c:pt>
                <c:pt idx="6">
                  <c:v>5</c:v>
                </c:pt>
                <c:pt idx="7">
                  <c:v>22</c:v>
                </c:pt>
                <c:pt idx="8">
                  <c:v>36</c:v>
                </c:pt>
                <c:pt idx="9">
                  <c:v>64</c:v>
                </c:pt>
                <c:pt idx="10">
                  <c:v>62</c:v>
                </c:pt>
                <c:pt idx="11">
                  <c:v>56</c:v>
                </c:pt>
              </c:numCache>
            </c:numRef>
          </c:val>
          <c:extLst>
            <c:ext xmlns:c16="http://schemas.microsoft.com/office/drawing/2014/chart" uri="{C3380CC4-5D6E-409C-BE32-E72D297353CC}">
              <c16:uniqueId val="{00000000-5F45-4848-9747-E03EC9CB7D47}"/>
            </c:ext>
          </c:extLst>
        </c:ser>
        <c:dLbls>
          <c:showLegendKey val="0"/>
          <c:showVal val="0"/>
          <c:showCatName val="0"/>
          <c:showSerName val="0"/>
          <c:showPercent val="0"/>
          <c:showBubbleSize val="0"/>
        </c:dLbls>
        <c:gapWidth val="50"/>
        <c:overlap val="-27"/>
        <c:axId val="805833647"/>
        <c:axId val="967888719"/>
      </c:barChart>
      <c:catAx>
        <c:axId val="805833647"/>
        <c:scaling>
          <c:orientation val="minMax"/>
        </c:scaling>
        <c:delete val="0"/>
        <c:axPos val="b"/>
        <c:majorGridlines>
          <c:spPr>
            <a:ln w="6350" cap="flat" cmpd="sng" algn="ctr">
              <a:solidFill>
                <a:schemeClr val="bg1"/>
              </a:solidFill>
              <a:round/>
            </a:ln>
            <a:effectLst/>
          </c:spPr>
        </c:majorGridlines>
        <c:title>
          <c:tx>
            <c:rich>
              <a:bodyPr rot="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mn-MN" sz="600">
                    <a:latin typeface="Arial" panose="020B0604020202020204" pitchFamily="34" charset="0"/>
                    <a:cs typeface="Arial" panose="020B0604020202020204" pitchFamily="34" charset="0"/>
                  </a:rPr>
                  <a:t>сар</a:t>
                </a:r>
                <a:endParaRPr lang="en-US" sz="6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_(* #,##0_);_(* \(#,##0\);_(* &quot;-&quot;??_);_(@_)"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
                <a:ea typeface="+mn-ea"/>
                <a:cs typeface="Segoe UI Light" panose="020B0502040204020203" pitchFamily="34" charset="0"/>
              </a:defRPr>
            </a:pPr>
            <a:endParaRPr lang="en-US"/>
          </a:p>
        </c:txPr>
        <c:crossAx val="967888719"/>
        <c:crosses val="autoZero"/>
        <c:auto val="1"/>
        <c:lblAlgn val="ctr"/>
        <c:lblOffset val="100"/>
        <c:noMultiLvlLbl val="0"/>
      </c:catAx>
      <c:valAx>
        <c:axId val="967888719"/>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
                <a:ea typeface="+mn-ea"/>
                <a:cs typeface="Segoe UI Light" panose="020B0502040204020203" pitchFamily="34" charset="0"/>
              </a:defRPr>
            </a:pPr>
            <a:endParaRPr lang="en-US"/>
          </a:p>
        </c:txPr>
        <c:crossAx val="805833647"/>
        <c:crosses val="autoZero"/>
        <c:crossBetween val="between"/>
      </c:valAx>
      <c:spPr>
        <a:blipFill>
          <a:blip xmlns:r="http://schemas.openxmlformats.org/officeDocument/2006/relationships" r:embed="rId3"/>
          <a:stretch>
            <a:fillRect l="75000"/>
          </a:stretch>
        </a:blip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600">
          <a:solidFill>
            <a:sysClr val="windowText" lastClr="000000"/>
          </a:solidFill>
          <a:latin typeface="Segoe UI Light" panose="020B0502040204020203" pitchFamily="34" charset="0"/>
          <a:cs typeface="Segoe UI Light" panose="020B0502040204020203" pitchFamily="34" charset="0"/>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92902797978279"/>
          <c:y val="0.1770838801399825"/>
          <c:w val="0.89102963692038495"/>
          <c:h val="0.63154565478310187"/>
        </c:manualLayout>
      </c:layout>
      <c:lineChart>
        <c:grouping val="standard"/>
        <c:varyColors val="0"/>
        <c:ser>
          <c:idx val="0"/>
          <c:order val="0"/>
          <c:tx>
            <c:strRef>
              <c:f>Sheet1!$G$13</c:f>
              <c:strCache>
                <c:ptCount val="1"/>
                <c:pt idx="0">
                  <c:v> Дуудах дундаж үнэ $ </c:v>
                </c:pt>
              </c:strCache>
            </c:strRef>
          </c:tx>
          <c:spPr>
            <a:ln w="12700" cap="rnd">
              <a:solidFill>
                <a:srgbClr val="BC5966"/>
              </a:solidFill>
              <a:round/>
            </a:ln>
            <a:effectLst/>
          </c:spPr>
          <c:marker>
            <c:symbol val="none"/>
          </c:marker>
          <c:dPt>
            <c:idx val="11"/>
            <c:bubble3D val="0"/>
            <c:extLst>
              <c:ext xmlns:c16="http://schemas.microsoft.com/office/drawing/2014/chart" uri="{C3380CC4-5D6E-409C-BE32-E72D297353CC}">
                <c16:uniqueId val="{00000000-F3AF-40CA-8EA7-C40D37498F5F}"/>
              </c:ext>
            </c:extLst>
          </c:dPt>
          <c:dLbls>
            <c:dLbl>
              <c:idx val="1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AF-40CA-8EA7-C40D37498F5F}"/>
                </c:ext>
              </c:extLst>
            </c:dLbl>
            <c:spPr>
              <a:noFill/>
              <a:ln>
                <a:noFill/>
              </a:ln>
              <a:effectLst/>
            </c:spPr>
            <c:txPr>
              <a:bodyPr wrap="square" lIns="38100" tIns="19050" rIns="38100" bIns="19050" anchor="ctr">
                <a:spAutoFit/>
              </a:bodyPr>
              <a:lstStyle/>
              <a:p>
                <a:pPr>
                  <a:defRPr sz="700">
                    <a:latin typeface="Arial  "/>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1"/>
              </c:ext>
            </c:extLst>
          </c:dLbls>
          <c:cat>
            <c:numRef>
              <c:f>Sheet1!$I$4:$AB$4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Sheet1!$I$7:$AB$7</c:f>
              <c:numCache>
                <c:formatCode>_(* #,##0.00_);_(* \(#,##0.00\);_(* "-"??_);_(@_)</c:formatCode>
                <c:ptCount val="12"/>
                <c:pt idx="0">
                  <c:v>169.777742429939</c:v>
                </c:pt>
                <c:pt idx="1">
                  <c:v>177.95376100521412</c:v>
                </c:pt>
                <c:pt idx="2">
                  <c:v>158.17527183136761</c:v>
                </c:pt>
                <c:pt idx="3">
                  <c:v>150.06207004570842</c:v>
                </c:pt>
                <c:pt idx="4" formatCode="_(* #,##0_);_(* \(#,##0\);_(* &quot;-&quot;??_);_(@_)">
                  <c:v>117.21976182068622</c:v>
                </c:pt>
                <c:pt idx="5" formatCode="_(* #,##0_);_(* \(#,##0\);_(* &quot;-&quot;??_);_(@_)">
                  <c:v>94.656840019782422</c:v>
                </c:pt>
                <c:pt idx="6" formatCode="_(* #,##0_);_(* \(#,##0\);_(* &quot;-&quot;??_);_(@_)">
                  <c:v>108.36824624422793</c:v>
                </c:pt>
                <c:pt idx="7" formatCode="_(* #,##0_);_(* \(#,##0\);_(* &quot;-&quot;??_);_(@_)">
                  <c:v>124.36910897174299</c:v>
                </c:pt>
                <c:pt idx="8" formatCode="_(* #,##0_);_(* \(#,##0\);_(* &quot;-&quot;??_);_(@_)">
                  <c:v>129.20893305583078</c:v>
                </c:pt>
                <c:pt idx="9" formatCode="_(* #,##0_);_(* \(#,##0\);_(* &quot;-&quot;??_);_(@_)">
                  <c:v>150.27705436645155</c:v>
                </c:pt>
                <c:pt idx="10" formatCode="_(* #,##0_);_(* \(#,##0\);_(* &quot;-&quot;??_);_(@_)">
                  <c:v>168.29575237021143</c:v>
                </c:pt>
                <c:pt idx="11" formatCode="_(* #,##0_);_(* \(#,##0\);_(* &quot;-&quot;??_);_(@_)">
                  <c:v>163.83060277226292</c:v>
                </c:pt>
              </c:numCache>
            </c:numRef>
          </c:val>
          <c:smooth val="1"/>
          <c:extLst>
            <c:ext xmlns:c16="http://schemas.microsoft.com/office/drawing/2014/chart" uri="{C3380CC4-5D6E-409C-BE32-E72D297353CC}">
              <c16:uniqueId val="{00000001-F3AF-40CA-8EA7-C40D37498F5F}"/>
            </c:ext>
          </c:extLst>
        </c:ser>
        <c:ser>
          <c:idx val="1"/>
          <c:order val="1"/>
          <c:tx>
            <c:strRef>
              <c:f>Sheet1!$G$14</c:f>
              <c:strCache>
                <c:ptCount val="1"/>
                <c:pt idx="0">
                  <c:v> Хэлцлийн дундаж үнэ $ </c:v>
                </c:pt>
              </c:strCache>
            </c:strRef>
          </c:tx>
          <c:spPr>
            <a:ln w="12700" cap="rnd">
              <a:solidFill>
                <a:srgbClr val="11A795"/>
              </a:solidFill>
              <a:round/>
            </a:ln>
            <a:effectLst/>
          </c:spPr>
          <c:marker>
            <c:symbol val="none"/>
          </c:marker>
          <c:dPt>
            <c:idx val="11"/>
            <c:bubble3D val="0"/>
            <c:extLst>
              <c:ext xmlns:c16="http://schemas.microsoft.com/office/drawing/2014/chart" uri="{C3380CC4-5D6E-409C-BE32-E72D297353CC}">
                <c16:uniqueId val="{00000002-F3AF-40CA-8EA7-C40D37498F5F}"/>
              </c:ext>
            </c:extLst>
          </c:dPt>
          <c:dLbls>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AF-40CA-8EA7-C40D37498F5F}"/>
                </c:ext>
              </c:extLst>
            </c:dLbl>
            <c:spPr>
              <a:noFill/>
              <a:ln>
                <a:noFill/>
              </a:ln>
              <a:effectLst/>
            </c:spPr>
            <c:txPr>
              <a:bodyPr wrap="square" lIns="38100" tIns="19050" rIns="38100" bIns="19050" anchor="ctr">
                <a:spAutoFit/>
              </a:bodyPr>
              <a:lstStyle/>
              <a:p>
                <a:pPr>
                  <a:defRPr sz="700">
                    <a:latin typeface="Arial  "/>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ext>
            </c:extLst>
          </c:dLbls>
          <c:cat>
            <c:numRef>
              <c:f>Sheet1!$I$4:$AB$4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Sheet1!$I$8:$AB$8</c:f>
              <c:numCache>
                <c:formatCode>_(* #,##0.00_);_(* \(#,##0.00\);_(* "-"??_);_(@_)</c:formatCode>
                <c:ptCount val="12"/>
                <c:pt idx="0">
                  <c:v>190.44633716054025</c:v>
                </c:pt>
                <c:pt idx="1">
                  <c:v>183.21253312248911</c:v>
                </c:pt>
                <c:pt idx="2">
                  <c:v>165.96468554939284</c:v>
                </c:pt>
                <c:pt idx="3">
                  <c:v>154.5105928384516</c:v>
                </c:pt>
                <c:pt idx="4" formatCode="_(* #,##0_);_(* \(#,##0\);_(* &quot;-&quot;??_);_(@_)">
                  <c:v>117.60073346929428</c:v>
                </c:pt>
                <c:pt idx="5" formatCode="_(* #,##0_);_(* \(#,##0\);_(* &quot;-&quot;??_);_(@_)">
                  <c:v>103.64797075866902</c:v>
                </c:pt>
                <c:pt idx="6" formatCode="_(* #,##0_);_(* \(#,##0\);_(* &quot;-&quot;??_);_(@_)">
                  <c:v>129.50692205069745</c:v>
                </c:pt>
                <c:pt idx="7" formatCode="_(* #,##0_);_(* \(#,##0\);_(* &quot;-&quot;??_);_(@_)">
                  <c:v>140.50707690062856</c:v>
                </c:pt>
                <c:pt idx="8" formatCode="_(* #,##0_);_(* \(#,##0\);_(* &quot;-&quot;??_);_(@_)">
                  <c:v>144.29224568768771</c:v>
                </c:pt>
                <c:pt idx="9" formatCode="_(* #,##0_);_(* \(#,##0\);_(* &quot;-&quot;??_);_(@_)">
                  <c:v>157.26501853672997</c:v>
                </c:pt>
                <c:pt idx="10" formatCode="_(* #,##0_);_(* \(#,##0\);_(* &quot;-&quot;??_);_(@_)">
                  <c:v>186.14771615216739</c:v>
                </c:pt>
                <c:pt idx="11" formatCode="_(* #,##0_);_(* \(#,##0\);_(* &quot;-&quot;??_);_(@_)">
                  <c:v>174.83178227129207</c:v>
                </c:pt>
              </c:numCache>
            </c:numRef>
          </c:val>
          <c:smooth val="1"/>
          <c:extLst>
            <c:ext xmlns:c16="http://schemas.microsoft.com/office/drawing/2014/chart" uri="{C3380CC4-5D6E-409C-BE32-E72D297353CC}">
              <c16:uniqueId val="{00000003-F3AF-40CA-8EA7-C40D37498F5F}"/>
            </c:ext>
          </c:extLst>
        </c:ser>
        <c:dLbls>
          <c:showLegendKey val="0"/>
          <c:showVal val="0"/>
          <c:showCatName val="0"/>
          <c:showSerName val="0"/>
          <c:showPercent val="0"/>
          <c:showBubbleSize val="0"/>
        </c:dLbls>
        <c:smooth val="0"/>
        <c:axId val="2043702927"/>
        <c:axId val="2013504223"/>
      </c:lineChart>
      <c:catAx>
        <c:axId val="2043702927"/>
        <c:scaling>
          <c:orientation val="minMax"/>
        </c:scaling>
        <c:delete val="0"/>
        <c:axPos val="b"/>
        <c:title>
          <c:tx>
            <c:rich>
              <a:bodyPr/>
              <a:lstStyle/>
              <a:p>
                <a:pPr>
                  <a:defRPr b="0">
                    <a:latin typeface="Arial" panose="020B0604020202020204" pitchFamily="34" charset="0"/>
                    <a:cs typeface="Arial" panose="020B0604020202020204" pitchFamily="34" charset="0"/>
                  </a:defRPr>
                </a:pPr>
                <a:r>
                  <a:rPr lang="mn-MN" b="0">
                    <a:latin typeface="Arial" panose="020B0604020202020204" pitchFamily="34" charset="0"/>
                    <a:cs typeface="Arial" panose="020B0604020202020204" pitchFamily="34" charset="0"/>
                  </a:rPr>
                  <a:t>сар</a:t>
                </a:r>
                <a:endParaRPr lang="en-US" b="0">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600">
                <a:latin typeface="Arial  "/>
              </a:defRPr>
            </a:pPr>
            <a:endParaRPr lang="en-US"/>
          </a:p>
        </c:txPr>
        <c:crossAx val="2013504223"/>
        <c:crosses val="autoZero"/>
        <c:auto val="1"/>
        <c:lblAlgn val="ctr"/>
        <c:lblOffset val="100"/>
        <c:noMultiLvlLbl val="0"/>
      </c:catAx>
      <c:valAx>
        <c:axId val="2013504223"/>
        <c:scaling>
          <c:orientation val="minMax"/>
          <c:min val="40"/>
        </c:scaling>
        <c:delete val="0"/>
        <c:axPos val="l"/>
        <c:numFmt formatCode="#,##0" sourceLinked="0"/>
        <c:majorTickMark val="none"/>
        <c:minorTickMark val="none"/>
        <c:tickLblPos val="nextTo"/>
        <c:spPr>
          <a:noFill/>
          <a:ln>
            <a:noFill/>
          </a:ln>
          <a:effectLst/>
        </c:spPr>
        <c:txPr>
          <a:bodyPr rot="-60000000" vert="horz"/>
          <a:lstStyle/>
          <a:p>
            <a:pPr>
              <a:defRPr sz="700">
                <a:latin typeface="Arial  "/>
              </a:defRPr>
            </a:pPr>
            <a:endParaRPr lang="en-US"/>
          </a:p>
        </c:txPr>
        <c:crossAx val="2043702927"/>
        <c:crosses val="autoZero"/>
        <c:crossBetween val="between"/>
        <c:majorUnit val="40"/>
      </c:valAx>
      <c:spPr>
        <a:noFill/>
      </c:spPr>
    </c:plotArea>
    <c:legend>
      <c:legendPos val="t"/>
      <c:layout>
        <c:manualLayout>
          <c:xMode val="edge"/>
          <c:yMode val="edge"/>
          <c:x val="0.12215145081387122"/>
          <c:y val="0"/>
          <c:w val="0.74154281670205235"/>
          <c:h val="0.14059378256109942"/>
        </c:manualLayout>
      </c:layout>
      <c:overlay val="0"/>
      <c:spPr>
        <a:noFill/>
        <a:ln>
          <a:noFill/>
        </a:ln>
        <a:effectLst/>
      </c:spPr>
      <c:txPr>
        <a:bodyPr rot="0" vert="horz"/>
        <a:lstStyle/>
        <a:p>
          <a:pPr>
            <a:defRPr sz="700">
              <a:latin typeface="Arial  "/>
            </a:defRPr>
          </a:pPr>
          <a:endParaRPr lang="en-US"/>
        </a:p>
      </c:txPr>
    </c:legend>
    <c:plotVisOnly val="1"/>
    <c:dispBlanksAs val="gap"/>
    <c:showDLblsOverMax val="0"/>
    <c:extLst/>
  </c:chart>
  <c:spPr>
    <a:noFill/>
    <a:ln w="9525" cap="flat" cmpd="sng" algn="ctr">
      <a:noFill/>
      <a:round/>
    </a:ln>
    <a:effectLst/>
  </c:spPr>
  <c:txPr>
    <a:bodyPr/>
    <a:lstStyle/>
    <a:p>
      <a:pPr>
        <a:defRPr sz="600">
          <a:solidFill>
            <a:schemeClr val="tx1"/>
          </a:solidFill>
          <a:latin typeface="Segoe UI Light" panose="020B0502040204020203" pitchFamily="34" charset="0"/>
          <a:cs typeface="Segoe UI Light" panose="020B0502040204020203"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14900412115607"/>
          <c:y val="0.2057442038495188"/>
          <c:w val="0.8831869315530877"/>
          <c:h val="0.59970192168190029"/>
        </c:manualLayout>
      </c:layout>
      <c:lineChart>
        <c:grouping val="standard"/>
        <c:varyColors val="0"/>
        <c:ser>
          <c:idx val="0"/>
          <c:order val="0"/>
          <c:tx>
            <c:strRef>
              <c:f>Sheet1!$G$13</c:f>
              <c:strCache>
                <c:ptCount val="1"/>
                <c:pt idx="0">
                  <c:v> Дуудах дундаж үнэ $ </c:v>
                </c:pt>
              </c:strCache>
            </c:strRef>
          </c:tx>
          <c:spPr>
            <a:ln w="12700" cap="rnd">
              <a:solidFill>
                <a:srgbClr val="BC5966"/>
              </a:solidFill>
              <a:round/>
            </a:ln>
            <a:effectLst/>
          </c:spPr>
          <c:marker>
            <c:symbol val="none"/>
          </c:marker>
          <c:dPt>
            <c:idx val="11"/>
            <c:bubble3D val="0"/>
            <c:extLst>
              <c:ext xmlns:c16="http://schemas.microsoft.com/office/drawing/2014/chart" uri="{C3380CC4-5D6E-409C-BE32-E72D297353CC}">
                <c16:uniqueId val="{00000000-08D6-423C-8043-C14F8D3FD992}"/>
              </c:ext>
            </c:extLst>
          </c:dPt>
          <c:dPt>
            <c:idx val="13"/>
            <c:marker>
              <c:symbol val="circle"/>
              <c:size val="5"/>
              <c:spPr>
                <a:solidFill>
                  <a:srgbClr val="EA3A81"/>
                </a:solidFill>
                <a:ln>
                  <a:solidFill>
                    <a:srgbClr val="BC5966"/>
                  </a:solidFill>
                </a:ln>
              </c:spPr>
            </c:marker>
            <c:bubble3D val="0"/>
            <c:extLst>
              <c:ext xmlns:c16="http://schemas.microsoft.com/office/drawing/2014/chart" uri="{C3380CC4-5D6E-409C-BE32-E72D297353CC}">
                <c16:uniqueId val="{00000001-08D6-423C-8043-C14F8D3FD992}"/>
              </c:ext>
            </c:extLst>
          </c:dPt>
          <c:dLbls>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D6-423C-8043-C14F8D3FD992}"/>
                </c:ext>
              </c:extLst>
            </c:dLbl>
            <c:dLbl>
              <c:idx val="1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D6-423C-8043-C14F8D3FD992}"/>
                </c:ext>
              </c:extLst>
            </c:dLbl>
            <c:numFmt formatCode="#,##0" sourceLinked="0"/>
            <c:spPr>
              <a:noFill/>
              <a:ln>
                <a:noFill/>
              </a:ln>
              <a:effectLst/>
            </c:sp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Sheet1!$Y$2:$AB$2</c:f>
              <c:numCache>
                <c:formatCode>General</c:formatCode>
                <c:ptCount val="4"/>
                <c:pt idx="0">
                  <c:v>9</c:v>
                </c:pt>
                <c:pt idx="1">
                  <c:v>10</c:v>
                </c:pt>
                <c:pt idx="2">
                  <c:v>11</c:v>
                </c:pt>
                <c:pt idx="3">
                  <c:v>12</c:v>
                </c:pt>
              </c:numCache>
            </c:numRef>
          </c:cat>
          <c:val>
            <c:numRef>
              <c:f>Sheet1!$Y$9:$AB$9</c:f>
              <c:numCache>
                <c:formatCode>_(* #,##0_);_(* \(#,##0\);_(* "-"??_);_(@_)</c:formatCode>
                <c:ptCount val="4"/>
                <c:pt idx="0">
                  <c:v>86.888888888888886</c:v>
                </c:pt>
                <c:pt idx="1">
                  <c:v>78.1875</c:v>
                </c:pt>
                <c:pt idx="2">
                  <c:v>74.483870967741936</c:v>
                </c:pt>
                <c:pt idx="3">
                  <c:v>81.347826086956516</c:v>
                </c:pt>
              </c:numCache>
            </c:numRef>
          </c:val>
          <c:smooth val="1"/>
          <c:extLst>
            <c:ext xmlns:c16="http://schemas.microsoft.com/office/drawing/2014/chart" uri="{C3380CC4-5D6E-409C-BE32-E72D297353CC}">
              <c16:uniqueId val="{00000003-08D6-423C-8043-C14F8D3FD992}"/>
            </c:ext>
          </c:extLst>
        </c:ser>
        <c:ser>
          <c:idx val="1"/>
          <c:order val="1"/>
          <c:tx>
            <c:strRef>
              <c:f>Sheet1!$G$14</c:f>
              <c:strCache>
                <c:ptCount val="1"/>
                <c:pt idx="0">
                  <c:v> Хэлцлийн дундаж үнэ $ </c:v>
                </c:pt>
              </c:strCache>
            </c:strRef>
          </c:tx>
          <c:spPr>
            <a:ln w="12700" cap="rnd">
              <a:solidFill>
                <a:srgbClr val="11A795"/>
              </a:solidFill>
              <a:round/>
            </a:ln>
            <a:effectLst/>
          </c:spPr>
          <c:marker>
            <c:symbol val="none"/>
          </c:marker>
          <c:dPt>
            <c:idx val="11"/>
            <c:bubble3D val="0"/>
            <c:extLst>
              <c:ext xmlns:c16="http://schemas.microsoft.com/office/drawing/2014/chart" uri="{C3380CC4-5D6E-409C-BE32-E72D297353CC}">
                <c16:uniqueId val="{00000004-08D6-423C-8043-C14F8D3FD992}"/>
              </c:ext>
            </c:extLst>
          </c:dPt>
          <c:dPt>
            <c:idx val="13"/>
            <c:marker>
              <c:symbol val="circle"/>
              <c:size val="5"/>
              <c:spPr>
                <a:solidFill>
                  <a:srgbClr val="089090"/>
                </a:solidFill>
                <a:ln>
                  <a:solidFill>
                    <a:srgbClr val="11A795"/>
                  </a:solidFill>
                </a:ln>
              </c:spPr>
            </c:marker>
            <c:bubble3D val="0"/>
            <c:extLst>
              <c:ext xmlns:c16="http://schemas.microsoft.com/office/drawing/2014/chart" uri="{C3380CC4-5D6E-409C-BE32-E72D297353CC}">
                <c16:uniqueId val="{00000005-08D6-423C-8043-C14F8D3FD992}"/>
              </c:ext>
            </c:extLst>
          </c:dPt>
          <c:dLbls>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D6-423C-8043-C14F8D3FD992}"/>
                </c:ext>
              </c:extLst>
            </c:dLbl>
            <c:dLbl>
              <c:idx val="1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D6-423C-8043-C14F8D3FD992}"/>
                </c:ext>
              </c:extLst>
            </c:dLbl>
            <c:numFmt formatCode="#,##0" sourceLinked="0"/>
            <c:spPr>
              <a:noFill/>
              <a:ln>
                <a:noFill/>
              </a:ln>
              <a:effectLst/>
            </c:sp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Sheet1!$Y$2:$AB$2</c:f>
              <c:numCache>
                <c:formatCode>General</c:formatCode>
                <c:ptCount val="4"/>
                <c:pt idx="0">
                  <c:v>9</c:v>
                </c:pt>
                <c:pt idx="1">
                  <c:v>10</c:v>
                </c:pt>
                <c:pt idx="2">
                  <c:v>11</c:v>
                </c:pt>
                <c:pt idx="3">
                  <c:v>12</c:v>
                </c:pt>
              </c:numCache>
            </c:numRef>
          </c:cat>
          <c:val>
            <c:numRef>
              <c:f>Sheet1!$Y$10:$AB$10</c:f>
              <c:numCache>
                <c:formatCode>_(* #,##0_);_(* \(#,##0\);_(* "-"??_);_(@_)</c:formatCode>
                <c:ptCount val="4"/>
                <c:pt idx="0">
                  <c:v>95.666666666666671</c:v>
                </c:pt>
                <c:pt idx="1">
                  <c:v>83.359375</c:v>
                </c:pt>
                <c:pt idx="2">
                  <c:v>84.193548387096769</c:v>
                </c:pt>
                <c:pt idx="3">
                  <c:v>84.021739130434781</c:v>
                </c:pt>
              </c:numCache>
            </c:numRef>
          </c:val>
          <c:smooth val="1"/>
          <c:extLst>
            <c:ext xmlns:c16="http://schemas.microsoft.com/office/drawing/2014/chart" uri="{C3380CC4-5D6E-409C-BE32-E72D297353CC}">
              <c16:uniqueId val="{00000007-08D6-423C-8043-C14F8D3FD992}"/>
            </c:ext>
          </c:extLst>
        </c:ser>
        <c:dLbls>
          <c:showLegendKey val="0"/>
          <c:showVal val="0"/>
          <c:showCatName val="0"/>
          <c:showSerName val="0"/>
          <c:showPercent val="0"/>
          <c:showBubbleSize val="0"/>
        </c:dLbls>
        <c:smooth val="0"/>
        <c:axId val="2043702927"/>
        <c:axId val="2013504223"/>
      </c:lineChart>
      <c:catAx>
        <c:axId val="2043702927"/>
        <c:scaling>
          <c:orientation val="minMax"/>
        </c:scaling>
        <c:delete val="0"/>
        <c:axPos val="b"/>
        <c:title>
          <c:tx>
            <c:rich>
              <a:bodyPr/>
              <a:lstStyle/>
              <a:p>
                <a:pPr>
                  <a:defRPr/>
                </a:pPr>
                <a:r>
                  <a:rPr lang="mn-MN" sz="600" b="0"/>
                  <a:t>сар</a:t>
                </a:r>
                <a:endParaRPr lang="en-US" sz="600" b="0"/>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600"/>
            </a:pPr>
            <a:endParaRPr lang="en-US"/>
          </a:p>
        </c:txPr>
        <c:crossAx val="2013504223"/>
        <c:crosses val="autoZero"/>
        <c:auto val="1"/>
        <c:lblAlgn val="ctr"/>
        <c:lblOffset val="100"/>
        <c:noMultiLvlLbl val="0"/>
      </c:catAx>
      <c:valAx>
        <c:axId val="2013504223"/>
        <c:scaling>
          <c:orientation val="minMax"/>
          <c:min val="60"/>
        </c:scaling>
        <c:delete val="0"/>
        <c:axPos val="l"/>
        <c:numFmt formatCode="#,##0" sourceLinked="0"/>
        <c:majorTickMark val="none"/>
        <c:minorTickMark val="none"/>
        <c:tickLblPos val="nextTo"/>
        <c:spPr>
          <a:noFill/>
          <a:ln>
            <a:noFill/>
          </a:ln>
          <a:effectLst/>
        </c:spPr>
        <c:txPr>
          <a:bodyPr rot="-60000000" vert="horz"/>
          <a:lstStyle/>
          <a:p>
            <a:pPr>
              <a:defRPr/>
            </a:pPr>
            <a:endParaRPr lang="en-US"/>
          </a:p>
        </c:txPr>
        <c:crossAx val="2043702927"/>
        <c:crosses val="autoZero"/>
        <c:crossBetween val="between"/>
        <c:majorUnit val="10"/>
      </c:valAx>
      <c:spPr>
        <a:noFill/>
      </c:spPr>
    </c:plotArea>
    <c:legend>
      <c:legendPos val="t"/>
      <c:layout>
        <c:manualLayout>
          <c:xMode val="edge"/>
          <c:yMode val="edge"/>
          <c:x val="0.14226671648973205"/>
          <c:y val="4.0201005025125629E-2"/>
          <c:w val="0.7154660293615569"/>
          <c:h val="0.10709294504016144"/>
        </c:manualLayout>
      </c:layout>
      <c:overlay val="0"/>
      <c:spPr>
        <a:noFill/>
        <a:ln>
          <a:noFill/>
        </a:ln>
        <a:effectLst/>
      </c:spPr>
      <c:txPr>
        <a:bodyPr rot="0" vert="horz"/>
        <a:lstStyle/>
        <a:p>
          <a:pPr>
            <a:defRPr/>
          </a:pPr>
          <a:endParaRPr lang="en-US"/>
        </a:p>
      </c:txPr>
    </c:legend>
    <c:plotVisOnly val="1"/>
    <c:dispBlanksAs val="gap"/>
    <c:showDLblsOverMax val="0"/>
    <c:extLst/>
  </c:chart>
  <c:spPr>
    <a:no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24570967090652"/>
          <c:y val="5.5913973330195425E-2"/>
          <c:w val="0.85870095564977456"/>
          <c:h val="0.65839873393091097"/>
        </c:manualLayout>
      </c:layout>
      <c:barChart>
        <c:barDir val="col"/>
        <c:grouping val="clustered"/>
        <c:varyColors val="0"/>
        <c:ser>
          <c:idx val="2"/>
          <c:order val="1"/>
          <c:tx>
            <c:strRef>
              <c:f>'[Экспорт.xlsx]Сарын мэдээ'!$G$125</c:f>
              <c:strCache>
                <c:ptCount val="1"/>
                <c:pt idx="0">
                  <c:v>Импорт</c:v>
                </c:pt>
              </c:strCache>
            </c:strRef>
          </c:tx>
          <c:spPr>
            <a:solidFill>
              <a:srgbClr val="333F50"/>
            </a:solidFill>
            <a:ln>
              <a:noFill/>
            </a:ln>
            <a:effectLst/>
          </c:spPr>
          <c:invertIfNegative val="0"/>
          <c:cat>
            <c:numRef>
              <c:f>'[Экспорт.xlsx]Сарын мэдээ'!$I$122:$Q$122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'[Экспорт.xlsx]Сарын мэдээ'!$I$125:$Q$125</c:f>
              <c:numCache>
                <c:formatCode>_(* #,##0_);_(* \(#,##0\);_(* "-"??_);_(@_)</c:formatCode>
                <c:ptCount val="9"/>
                <c:pt idx="0">
                  <c:v>3797.5491091740005</c:v>
                </c:pt>
                <c:pt idx="1">
                  <c:v>3339.6184607290002</c:v>
                </c:pt>
                <c:pt idx="2">
                  <c:v>4337.2616862069999</c:v>
                </c:pt>
                <c:pt idx="3">
                  <c:v>5874.615808908</c:v>
                </c:pt>
                <c:pt idx="4">
                  <c:v>6058.0505691490007</c:v>
                </c:pt>
                <c:pt idx="5">
                  <c:v>5301.2448988470005</c:v>
                </c:pt>
                <c:pt idx="6">
                  <c:v>6849.1929128500014</c:v>
                </c:pt>
                <c:pt idx="7">
                  <c:v>8746.8461676420011</c:v>
                </c:pt>
                <c:pt idx="8">
                  <c:v>9256.2970026290022</c:v>
                </c:pt>
              </c:numCache>
            </c:numRef>
          </c:val>
          <c:extLst>
            <c:ext xmlns:c16="http://schemas.microsoft.com/office/drawing/2014/chart" uri="{C3380CC4-5D6E-409C-BE32-E72D297353CC}">
              <c16:uniqueId val="{00000000-9553-473B-ABFE-7696ED483F4B}"/>
            </c:ext>
          </c:extLst>
        </c:ser>
        <c:ser>
          <c:idx val="1"/>
          <c:order val="2"/>
          <c:tx>
            <c:strRef>
              <c:f>'[Экспорт.xlsx]Сарын мэдээ'!$G$124</c:f>
              <c:strCache>
                <c:ptCount val="1"/>
                <c:pt idx="0">
                  <c:v>Экспорт </c:v>
                </c:pt>
              </c:strCache>
            </c:strRef>
          </c:tx>
          <c:spPr>
            <a:solidFill>
              <a:srgbClr val="11A795"/>
            </a:solidFill>
            <a:ln>
              <a:noFill/>
            </a:ln>
            <a:effectLst/>
          </c:spPr>
          <c:invertIfNegative val="0"/>
          <c:cat>
            <c:numRef>
              <c:f>'[Экспорт.xlsx]Сарын мэдээ'!$I$122:$Q$122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'[Экспорт.xlsx]Сарын мэдээ'!$I$124:$Q$124</c:f>
              <c:numCache>
                <c:formatCode>_(* #,##0_);_(* \(#,##0\);_(* "-"??_);_(@_)</c:formatCode>
                <c:ptCount val="9"/>
                <c:pt idx="0">
                  <c:v>4669.2804790034997</c:v>
                </c:pt>
                <c:pt idx="1">
                  <c:v>4916.32</c:v>
                </c:pt>
                <c:pt idx="2">
                  <c:v>6200.6607686924972</c:v>
                </c:pt>
                <c:pt idx="3">
                  <c:v>7011.7649531369998</c:v>
                </c:pt>
                <c:pt idx="4">
                  <c:v>7620.2344683701876</c:v>
                </c:pt>
                <c:pt idx="5">
                  <c:v>7576.3194513440012</c:v>
                </c:pt>
                <c:pt idx="6">
                  <c:v>9247.1097345039998</c:v>
                </c:pt>
                <c:pt idx="7">
                  <c:v>12540.382300000001</c:v>
                </c:pt>
                <c:pt idx="8">
                  <c:v>15184.462711120999</c:v>
                </c:pt>
              </c:numCache>
            </c:numRef>
          </c:val>
          <c:extLst>
            <c:ext xmlns:c16="http://schemas.microsoft.com/office/drawing/2014/chart" uri="{C3380CC4-5D6E-409C-BE32-E72D297353CC}">
              <c16:uniqueId val="{00000001-9553-473B-ABFE-7696ED483F4B}"/>
            </c:ext>
          </c:extLst>
        </c:ser>
        <c:dLbls>
          <c:showLegendKey val="0"/>
          <c:showVal val="0"/>
          <c:showCatName val="0"/>
          <c:showSerName val="0"/>
          <c:showPercent val="0"/>
          <c:showBubbleSize val="0"/>
        </c:dLbls>
        <c:gapWidth val="50"/>
        <c:overlap val="30"/>
        <c:axId val="1726822224"/>
        <c:axId val="1726806864"/>
      </c:barChart>
      <c:lineChart>
        <c:grouping val="standard"/>
        <c:varyColors val="0"/>
        <c:ser>
          <c:idx val="0"/>
          <c:order val="0"/>
          <c:tx>
            <c:strRef>
              <c:f>'[Экспорт.xlsx]Сарын мэдээ'!$G$123</c:f>
              <c:strCache>
                <c:ptCount val="1"/>
                <c:pt idx="0">
                  <c:v>Бараа эргэлт </c:v>
                </c:pt>
              </c:strCache>
            </c:strRef>
          </c:tx>
          <c:spPr>
            <a:ln w="22225" cap="rnd">
              <a:solidFill>
                <a:srgbClr val="BC5966"/>
              </a:solidFill>
              <a:round/>
            </a:ln>
            <a:effectLst/>
          </c:spPr>
          <c:marker>
            <c:symbol val="none"/>
          </c:marker>
          <c:dPt>
            <c:idx val="8"/>
            <c:marker>
              <c:symbol val="circle"/>
              <c:size val="5"/>
              <c:spPr>
                <a:solidFill>
                  <a:srgbClr val="C00000"/>
                </a:solidFill>
                <a:ln w="9525">
                  <a:noFill/>
                </a:ln>
                <a:effectLst/>
              </c:spPr>
            </c:marker>
            <c:bubble3D val="0"/>
            <c:extLst>
              <c:ext xmlns:c16="http://schemas.microsoft.com/office/drawing/2014/chart" uri="{C3380CC4-5D6E-409C-BE32-E72D297353CC}">
                <c16:uniqueId val="{00000002-9553-473B-ABFE-7696ED483F4B}"/>
              </c:ext>
            </c:extLst>
          </c:dPt>
          <c:dLbls>
            <c:dLbl>
              <c:idx val="8"/>
              <c:layout>
                <c:manualLayout>
                  <c:x val="-4.576100720699125E-2"/>
                  <c:y val="-5.73722147993444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53-473B-ABFE-7696ED483F4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'[Экспорт.xlsx]Сарын мэдээ'!$I$122:$Q$122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'[Экспорт.xlsx]Сарын мэдээ'!$I$123:$Q$123</c:f>
              <c:numCache>
                <c:formatCode>_(* #,##0_);_(* \(#,##0\);_(* "-"??_);_(@_)</c:formatCode>
                <c:ptCount val="9"/>
                <c:pt idx="0">
                  <c:v>8466.8295881775011</c:v>
                </c:pt>
                <c:pt idx="1">
                  <c:v>8255.9384607289994</c:v>
                </c:pt>
                <c:pt idx="2">
                  <c:v>10537.922454899497</c:v>
                </c:pt>
                <c:pt idx="3">
                  <c:v>12886.380762044999</c:v>
                </c:pt>
                <c:pt idx="4">
                  <c:v>13678.285037519188</c:v>
                </c:pt>
                <c:pt idx="5">
                  <c:v>12877.564350191002</c:v>
                </c:pt>
                <c:pt idx="6">
                  <c:v>16096.302647354001</c:v>
                </c:pt>
                <c:pt idx="7">
                  <c:v>21287.228467642002</c:v>
                </c:pt>
                <c:pt idx="8">
                  <c:v>24440.759713750002</c:v>
                </c:pt>
              </c:numCache>
            </c:numRef>
          </c:val>
          <c:smooth val="1"/>
          <c:extLst>
            <c:ext xmlns:c16="http://schemas.microsoft.com/office/drawing/2014/chart" uri="{C3380CC4-5D6E-409C-BE32-E72D297353CC}">
              <c16:uniqueId val="{00000003-9553-473B-ABFE-7696ED483F4B}"/>
            </c:ext>
          </c:extLst>
        </c:ser>
        <c:dLbls>
          <c:showLegendKey val="0"/>
          <c:showVal val="0"/>
          <c:showCatName val="0"/>
          <c:showSerName val="0"/>
          <c:showPercent val="0"/>
          <c:showBubbleSize val="0"/>
        </c:dLbls>
        <c:marker val="1"/>
        <c:smooth val="0"/>
        <c:axId val="1726822224"/>
        <c:axId val="1726806864"/>
      </c:lineChart>
      <c:catAx>
        <c:axId val="172682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26806864"/>
        <c:crosses val="autoZero"/>
        <c:auto val="1"/>
        <c:lblAlgn val="ctr"/>
        <c:lblOffset val="100"/>
        <c:noMultiLvlLbl val="0"/>
      </c:catAx>
      <c:valAx>
        <c:axId val="1726806864"/>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26822224"/>
        <c:crosses val="autoZero"/>
        <c:crossBetween val="between"/>
        <c:dispUnits>
          <c:builtInUnit val="thousands"/>
        </c:dispUnits>
      </c:valAx>
      <c:spPr>
        <a:noFill/>
        <a:ln>
          <a:noFill/>
        </a:ln>
        <a:effectLst/>
      </c:spPr>
    </c:plotArea>
    <c:legend>
      <c:legendPos val="b"/>
      <c:layout>
        <c:manualLayout>
          <c:xMode val="edge"/>
          <c:yMode val="edge"/>
          <c:x val="8.9276175213675216E-2"/>
          <c:y val="0.82922077079738998"/>
          <c:w val="0.80100105785916398"/>
          <c:h val="0.14184384283101353"/>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6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621238728416"/>
          <c:y val="6.3657407407407413E-2"/>
          <c:w val="0.86654907999155439"/>
          <c:h val="0.64358550233304168"/>
        </c:manualLayout>
      </c:layout>
      <c:barChart>
        <c:barDir val="col"/>
        <c:grouping val="stacked"/>
        <c:varyColors val="0"/>
        <c:ser>
          <c:idx val="0"/>
          <c:order val="0"/>
          <c:tx>
            <c:strRef>
              <c:f>'[Экспорт.xlsx]Сарын мэдээ'!$H$149</c:f>
              <c:strCache>
                <c:ptCount val="1"/>
                <c:pt idx="0">
                  <c:v>Зэсийн баяжмал</c:v>
                </c:pt>
              </c:strCache>
            </c:strRef>
          </c:tx>
          <c:spPr>
            <a:solidFill>
              <a:schemeClr val="accent6">
                <a:lumMod val="60000"/>
                <a:lumOff val="40000"/>
              </a:schemeClr>
            </a:solidFill>
            <a:ln>
              <a:noFill/>
            </a:ln>
            <a:effectLst/>
          </c:spPr>
          <c:invertIfNegative val="0"/>
          <c:cat>
            <c:numRef>
              <c:f>'[Экспорт.xlsx]Сарын мэдээ'!$I$148:$Q$148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'[Экспорт.xlsx]Сарын мэдээ'!$I$149:$Q$149</c:f>
              <c:numCache>
                <c:formatCode>_(* #,##0.0_);_(* \(#,##0.0\);_(* "-"??_);_(@_)</c:formatCode>
                <c:ptCount val="9"/>
                <c:pt idx="0">
                  <c:v>-5.1013844194658189</c:v>
                </c:pt>
                <c:pt idx="1">
                  <c:v>-14.400098270826014</c:v>
                </c:pt>
                <c:pt idx="2">
                  <c:v>0.10908464587332514</c:v>
                </c:pt>
                <c:pt idx="3">
                  <c:v>6.4360419876695136</c:v>
                </c:pt>
                <c:pt idx="4">
                  <c:v>-3.1885209957726297</c:v>
                </c:pt>
                <c:pt idx="5">
                  <c:v>-0.2294194045283619</c:v>
                </c:pt>
                <c:pt idx="6">
                  <c:v>14.921760951571958</c:v>
                </c:pt>
                <c:pt idx="7">
                  <c:v>-1.8039651324733366</c:v>
                </c:pt>
                <c:pt idx="8">
                  <c:v>-0.88524757225304451</c:v>
                </c:pt>
              </c:numCache>
            </c:numRef>
          </c:val>
          <c:extLst>
            <c:ext xmlns:c16="http://schemas.microsoft.com/office/drawing/2014/chart" uri="{C3380CC4-5D6E-409C-BE32-E72D297353CC}">
              <c16:uniqueId val="{00000000-EFF5-4AC0-A009-25D171EAC961}"/>
            </c:ext>
          </c:extLst>
        </c:ser>
        <c:ser>
          <c:idx val="1"/>
          <c:order val="1"/>
          <c:tx>
            <c:strRef>
              <c:f>'[Экспорт.xlsx]Сарын мэдээ'!$H$150</c:f>
              <c:strCache>
                <c:ptCount val="1"/>
                <c:pt idx="0">
                  <c:v>Чулуун нүүрс</c:v>
                </c:pt>
              </c:strCache>
            </c:strRef>
          </c:tx>
          <c:spPr>
            <a:solidFill>
              <a:srgbClr val="11A795"/>
            </a:solidFill>
            <a:ln>
              <a:noFill/>
            </a:ln>
            <a:effectLst/>
          </c:spPr>
          <c:invertIfNegative val="0"/>
          <c:cat>
            <c:numRef>
              <c:f>'[Экспорт.xlsx]Сарын мэдээ'!$I$148:$Q$148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'[Экспорт.xlsx]Сарын мэдээ'!$I$150:$Q$150</c:f>
              <c:numCache>
                <c:formatCode>_(* #,##0.0_);_(* \(#,##0.0\);_(* "-"??_);_(@_)</c:formatCode>
                <c:ptCount val="9"/>
                <c:pt idx="0">
                  <c:v>-5.1838119236637477</c:v>
                </c:pt>
                <c:pt idx="1">
                  <c:v>9.0482098349586728</c:v>
                </c:pt>
                <c:pt idx="2">
                  <c:v>26.135364081670847</c:v>
                </c:pt>
                <c:pt idx="3">
                  <c:v>8.5405048738808311</c:v>
                </c:pt>
                <c:pt idx="4">
                  <c:v>3.9096708741834583</c:v>
                </c:pt>
                <c:pt idx="5">
                  <c:v>-12.614370267816586</c:v>
                </c:pt>
                <c:pt idx="6">
                  <c:v>8.9851512166668179</c:v>
                </c:pt>
                <c:pt idx="7">
                  <c:v>40.382415702632471</c:v>
                </c:pt>
                <c:pt idx="8">
                  <c:v>17.276698478825498</c:v>
                </c:pt>
              </c:numCache>
            </c:numRef>
          </c:val>
          <c:extLst>
            <c:ext xmlns:c16="http://schemas.microsoft.com/office/drawing/2014/chart" uri="{C3380CC4-5D6E-409C-BE32-E72D297353CC}">
              <c16:uniqueId val="{00000001-EFF5-4AC0-A009-25D171EAC961}"/>
            </c:ext>
          </c:extLst>
        </c:ser>
        <c:ser>
          <c:idx val="2"/>
          <c:order val="2"/>
          <c:tx>
            <c:strRef>
              <c:f>'[Экспорт.xlsx]Сарын мэдээ'!$H$151</c:f>
              <c:strCache>
                <c:ptCount val="1"/>
                <c:pt idx="0">
                  <c:v>Алт</c:v>
                </c:pt>
              </c:strCache>
            </c:strRef>
          </c:tx>
          <c:spPr>
            <a:solidFill>
              <a:srgbClr val="333F50"/>
            </a:solidFill>
            <a:ln>
              <a:noFill/>
            </a:ln>
            <a:effectLst/>
          </c:spPr>
          <c:invertIfNegative val="0"/>
          <c:cat>
            <c:numRef>
              <c:f>'[Экспорт.xlsx]Сарын мэдээ'!$I$148:$Q$148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'[Экспорт.xlsx]Сарын мэдээ'!$I$151:$Q$151</c:f>
              <c:numCache>
                <c:formatCode>_(* #,##0.0_);_(* \(#,##0.0\);_(* "-"??_);_(@_)</c:formatCode>
                <c:ptCount val="9"/>
                <c:pt idx="0">
                  <c:v>0.25048666452419749</c:v>
                </c:pt>
                <c:pt idx="1">
                  <c:v>7.2538044237509398</c:v>
                </c:pt>
                <c:pt idx="2">
                  <c:v>-3.3165983687655611</c:v>
                </c:pt>
                <c:pt idx="3">
                  <c:v>-7.2710615329319062</c:v>
                </c:pt>
                <c:pt idx="4">
                  <c:v>3.9062087588583849</c:v>
                </c:pt>
                <c:pt idx="5">
                  <c:v>17.968710685786231</c:v>
                </c:pt>
                <c:pt idx="6">
                  <c:v>-10.3365795255779</c:v>
                </c:pt>
                <c:pt idx="7">
                  <c:v>1.3290541967013025</c:v>
                </c:pt>
                <c:pt idx="8">
                  <c:v>-2.9441204041283493</c:v>
                </c:pt>
              </c:numCache>
            </c:numRef>
          </c:val>
          <c:extLst>
            <c:ext xmlns:c16="http://schemas.microsoft.com/office/drawing/2014/chart" uri="{C3380CC4-5D6E-409C-BE32-E72D297353CC}">
              <c16:uniqueId val="{00000002-EFF5-4AC0-A009-25D171EAC961}"/>
            </c:ext>
          </c:extLst>
        </c:ser>
        <c:ser>
          <c:idx val="3"/>
          <c:order val="3"/>
          <c:tx>
            <c:strRef>
              <c:f>'[Экспорт.xlsx]Сарын мэдээ'!$H$152</c:f>
              <c:strCache>
                <c:ptCount val="1"/>
                <c:pt idx="0">
                  <c:v>Малын гаралтай</c:v>
                </c:pt>
              </c:strCache>
            </c:strRef>
          </c:tx>
          <c:spPr>
            <a:solidFill>
              <a:schemeClr val="accent5">
                <a:lumMod val="40000"/>
                <a:lumOff val="60000"/>
              </a:schemeClr>
            </a:solidFill>
            <a:ln>
              <a:noFill/>
            </a:ln>
            <a:effectLst/>
          </c:spPr>
          <c:invertIfNegative val="0"/>
          <c:cat>
            <c:numRef>
              <c:f>'[Экспорт.xlsx]Сарын мэдээ'!$I$148:$Q$148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'[Экспорт.xlsx]Сарын мэдээ'!$I$152:$Q$152</c:f>
              <c:numCache>
                <c:formatCode>_(* #,##0.0_);_(* \(#,##0.0\);_(* "-"??_);_(@_)</c:formatCode>
                <c:ptCount val="9"/>
                <c:pt idx="0">
                  <c:v>-0.5202698016145918</c:v>
                </c:pt>
                <c:pt idx="1">
                  <c:v>-0.13744204446183894</c:v>
                </c:pt>
                <c:pt idx="2">
                  <c:v>1.165574329254403</c:v>
                </c:pt>
                <c:pt idx="3">
                  <c:v>1.5781565902473051</c:v>
                </c:pt>
                <c:pt idx="4">
                  <c:v>3.2652579461834155E-2</c:v>
                </c:pt>
                <c:pt idx="5">
                  <c:v>-2.487674938361109</c:v>
                </c:pt>
                <c:pt idx="6">
                  <c:v>1.6450555407598406</c:v>
                </c:pt>
                <c:pt idx="7">
                  <c:v>1.133727739585684</c:v>
                </c:pt>
                <c:pt idx="8">
                  <c:v>0.47022468186635852</c:v>
                </c:pt>
              </c:numCache>
            </c:numRef>
          </c:val>
          <c:extLst>
            <c:ext xmlns:c16="http://schemas.microsoft.com/office/drawing/2014/chart" uri="{C3380CC4-5D6E-409C-BE32-E72D297353CC}">
              <c16:uniqueId val="{00000003-EFF5-4AC0-A009-25D171EAC961}"/>
            </c:ext>
          </c:extLst>
        </c:ser>
        <c:ser>
          <c:idx val="4"/>
          <c:order val="4"/>
          <c:tx>
            <c:strRef>
              <c:f>'[Экспорт.xlsx]Сарын мэдээ'!$H$153</c:f>
              <c:strCache>
                <c:ptCount val="1"/>
                <c:pt idx="0">
                  <c:v>Аж үйлдвэрлэл</c:v>
                </c:pt>
              </c:strCache>
            </c:strRef>
          </c:tx>
          <c:spPr>
            <a:solidFill>
              <a:schemeClr val="accent6">
                <a:lumMod val="50000"/>
              </a:schemeClr>
            </a:solidFill>
            <a:ln>
              <a:noFill/>
            </a:ln>
            <a:effectLst/>
          </c:spPr>
          <c:invertIfNegative val="0"/>
          <c:cat>
            <c:numRef>
              <c:f>'[Экспорт.xlsx]Сарын мэдээ'!$I$148:$Q$148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'[Экспорт.xlsx]Сарын мэдээ'!$I$153:$Q$153</c:f>
              <c:numCache>
                <c:formatCode>_(* #,##0.0_);_(* \(#,##0.0\);_(* "-"??_);_(@_)</c:formatCode>
                <c:ptCount val="9"/>
                <c:pt idx="0">
                  <c:v>-1.0360758559923139E-2</c:v>
                </c:pt>
                <c:pt idx="1">
                  <c:v>2.080445457856317</c:v>
                </c:pt>
                <c:pt idx="2">
                  <c:v>-1.4814530650771298</c:v>
                </c:pt>
                <c:pt idx="3">
                  <c:v>1.1861931082146489</c:v>
                </c:pt>
                <c:pt idx="4">
                  <c:v>0.46676929768385217</c:v>
                </c:pt>
                <c:pt idx="5">
                  <c:v>-1.3081856721440348</c:v>
                </c:pt>
                <c:pt idx="6">
                  <c:v>0.23754921391028813</c:v>
                </c:pt>
                <c:pt idx="7">
                  <c:v>0.26562800799635528</c:v>
                </c:pt>
                <c:pt idx="8">
                  <c:v>2.0133129732894997</c:v>
                </c:pt>
              </c:numCache>
            </c:numRef>
          </c:val>
          <c:extLst>
            <c:ext xmlns:c16="http://schemas.microsoft.com/office/drawing/2014/chart" uri="{C3380CC4-5D6E-409C-BE32-E72D297353CC}">
              <c16:uniqueId val="{00000004-EFF5-4AC0-A009-25D171EAC961}"/>
            </c:ext>
          </c:extLst>
        </c:ser>
        <c:dLbls>
          <c:showLegendKey val="0"/>
          <c:showVal val="0"/>
          <c:showCatName val="0"/>
          <c:showSerName val="0"/>
          <c:showPercent val="0"/>
          <c:showBubbleSize val="0"/>
        </c:dLbls>
        <c:gapWidth val="50"/>
        <c:overlap val="100"/>
        <c:axId val="6127823"/>
        <c:axId val="6101423"/>
      </c:barChart>
      <c:lineChart>
        <c:grouping val="standard"/>
        <c:varyColors val="0"/>
        <c:ser>
          <c:idx val="5"/>
          <c:order val="5"/>
          <c:tx>
            <c:strRef>
              <c:f>'[Экспорт.xlsx]Сарын мэдээ'!$H$154</c:f>
              <c:strCache>
                <c:ptCount val="1"/>
                <c:pt idx="0">
                  <c:v>Нийт</c:v>
                </c:pt>
              </c:strCache>
            </c:strRef>
          </c:tx>
          <c:spPr>
            <a:ln w="22225" cap="rnd">
              <a:solidFill>
                <a:srgbClr val="BC5966"/>
              </a:solidFill>
              <a:round/>
            </a:ln>
            <a:effectLst/>
          </c:spPr>
          <c:marker>
            <c:symbol val="none"/>
          </c:marker>
          <c:dPt>
            <c:idx val="8"/>
            <c:marker>
              <c:symbol val="circle"/>
              <c:size val="5"/>
              <c:spPr>
                <a:solidFill>
                  <a:srgbClr val="BC5966"/>
                </a:solidFill>
                <a:ln w="9525">
                  <a:noFill/>
                </a:ln>
                <a:effectLst/>
              </c:spPr>
            </c:marker>
            <c:bubble3D val="0"/>
            <c:extLst>
              <c:ext xmlns:c16="http://schemas.microsoft.com/office/drawing/2014/chart" uri="{C3380CC4-5D6E-409C-BE32-E72D297353CC}">
                <c16:uniqueId val="{00000005-EFF5-4AC0-A009-25D171EAC961}"/>
              </c:ext>
            </c:extLst>
          </c:dPt>
          <c:dLbls>
            <c:dLbl>
              <c:idx val="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F5-4AC0-A009-25D171EAC961}"/>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'[Экспорт.xlsx]Сарын мэдээ'!$I$148:$Q$148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'[Экспорт.xlsx]Сарын мэдээ'!$I$154:$Q$154</c:f>
              <c:numCache>
                <c:formatCode>_(* #,##0.0_);_(* \(#,##0.0\);_(* "-"??_);_(@_)</c:formatCode>
                <c:ptCount val="9"/>
                <c:pt idx="0">
                  <c:v>-19.137289499576482</c:v>
                </c:pt>
                <c:pt idx="1">
                  <c:v>5.2907406635212926</c:v>
                </c:pt>
                <c:pt idx="2">
                  <c:v>26.124027091249097</c:v>
                </c:pt>
                <c:pt idx="3">
                  <c:v>13.080931447496944</c:v>
                </c:pt>
                <c:pt idx="4">
                  <c:v>8.6778367401058425</c:v>
                </c:pt>
                <c:pt idx="5">
                  <c:v>-0.5762948267335789</c:v>
                </c:pt>
                <c:pt idx="6">
                  <c:v>22.052796135247554</c:v>
                </c:pt>
                <c:pt idx="7">
                  <c:v>35.614074668193034</c:v>
                </c:pt>
                <c:pt idx="8">
                  <c:v>21.084527950324112</c:v>
                </c:pt>
              </c:numCache>
            </c:numRef>
          </c:val>
          <c:smooth val="1"/>
          <c:extLst>
            <c:ext xmlns:c16="http://schemas.microsoft.com/office/drawing/2014/chart" uri="{C3380CC4-5D6E-409C-BE32-E72D297353CC}">
              <c16:uniqueId val="{00000006-EFF5-4AC0-A009-25D171EAC961}"/>
            </c:ext>
          </c:extLst>
        </c:ser>
        <c:dLbls>
          <c:showLegendKey val="0"/>
          <c:showVal val="0"/>
          <c:showCatName val="0"/>
          <c:showSerName val="0"/>
          <c:showPercent val="0"/>
          <c:showBubbleSize val="0"/>
        </c:dLbls>
        <c:marker val="1"/>
        <c:smooth val="0"/>
        <c:axId val="6127823"/>
        <c:axId val="6101423"/>
      </c:lineChart>
      <c:catAx>
        <c:axId val="6127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101423"/>
        <c:crosses val="autoZero"/>
        <c:auto val="1"/>
        <c:lblAlgn val="ctr"/>
        <c:lblOffset val="100"/>
        <c:noMultiLvlLbl val="0"/>
      </c:catAx>
      <c:valAx>
        <c:axId val="6101423"/>
        <c:scaling>
          <c:orientation val="minMax"/>
          <c:min val="-3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127823"/>
        <c:crosses val="autoZero"/>
        <c:crossBetween val="between"/>
        <c:majorUnit val="20"/>
      </c:valAx>
      <c:spPr>
        <a:noFill/>
        <a:ln>
          <a:noFill/>
        </a:ln>
        <a:effectLst/>
      </c:spPr>
    </c:plotArea>
    <c:legend>
      <c:legendPos val="b"/>
      <c:layout>
        <c:manualLayout>
          <c:xMode val="edge"/>
          <c:yMode val="edge"/>
          <c:x val="0"/>
          <c:y val="0.81371358646067105"/>
          <c:w val="1"/>
          <c:h val="0.1847449052393986"/>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6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621594402132429E-2"/>
          <c:y val="1.8064168239417634E-2"/>
          <c:w val="0.87670545455654747"/>
          <c:h val="0.68187405396110345"/>
        </c:manualLayout>
      </c:layout>
      <c:barChart>
        <c:barDir val="col"/>
        <c:grouping val="stacked"/>
        <c:varyColors val="0"/>
        <c:ser>
          <c:idx val="0"/>
          <c:order val="0"/>
          <c:tx>
            <c:strRef>
              <c:f>[Импорт.xlsx]Танилцуулга!$U$62</c:f>
              <c:strCache>
                <c:ptCount val="1"/>
                <c:pt idx="0">
                  <c:v> Хэрэглээний бүтээгдэхүүн </c:v>
                </c:pt>
              </c:strCache>
            </c:strRef>
          </c:tx>
          <c:spPr>
            <a:solidFill>
              <a:srgbClr val="333F50"/>
            </a:solidFill>
            <a:ln>
              <a:noFill/>
            </a:ln>
            <a:effectLst/>
          </c:spPr>
          <c:invertIfNegative val="0"/>
          <c:cat>
            <c:numRef>
              <c:f>[Импорт.xlsx]Танилцуулга!$V$61:$AD$61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[Импорт.xlsx]Танилцуулга!$V$62:$AD$62</c:f>
              <c:numCache>
                <c:formatCode>0.0</c:formatCode>
                <c:ptCount val="9"/>
                <c:pt idx="0">
                  <c:v>-5.4421144932621086</c:v>
                </c:pt>
                <c:pt idx="1">
                  <c:v>1.2486692191668314</c:v>
                </c:pt>
                <c:pt idx="2">
                  <c:v>4.0899469606232843</c:v>
                </c:pt>
                <c:pt idx="3">
                  <c:v>14.752711451970757</c:v>
                </c:pt>
                <c:pt idx="4">
                  <c:v>0.3143980401917269</c:v>
                </c:pt>
                <c:pt idx="5">
                  <c:v>-2.9112123177897846</c:v>
                </c:pt>
                <c:pt idx="6">
                  <c:v>14.695824881216927</c:v>
                </c:pt>
                <c:pt idx="7">
                  <c:v>9.6991790375571885</c:v>
                </c:pt>
                <c:pt idx="8">
                  <c:v>-0.4435168381663479</c:v>
                </c:pt>
              </c:numCache>
            </c:numRef>
          </c:val>
          <c:extLst>
            <c:ext xmlns:c16="http://schemas.microsoft.com/office/drawing/2014/chart" uri="{C3380CC4-5D6E-409C-BE32-E72D297353CC}">
              <c16:uniqueId val="{00000000-762D-4AD0-B52C-E0541A3D9E40}"/>
            </c:ext>
          </c:extLst>
        </c:ser>
        <c:ser>
          <c:idx val="1"/>
          <c:order val="1"/>
          <c:tx>
            <c:strRef>
              <c:f>[Импорт.xlsx]Танилцуулга!$U$63</c:f>
              <c:strCache>
                <c:ptCount val="1"/>
                <c:pt idx="0">
                  <c:v> Аж үйлдвэрлэлийн орц </c:v>
                </c:pt>
              </c:strCache>
            </c:strRef>
          </c:tx>
          <c:spPr>
            <a:solidFill>
              <a:schemeClr val="accent6">
                <a:lumMod val="60000"/>
                <a:lumOff val="40000"/>
              </a:schemeClr>
            </a:solidFill>
            <a:ln>
              <a:noFill/>
            </a:ln>
            <a:effectLst/>
          </c:spPr>
          <c:invertIfNegative val="0"/>
          <c:cat>
            <c:numRef>
              <c:f>[Импорт.xlsx]Танилцуулга!$V$61:$AD$61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[Импорт.xlsx]Танилцуулга!$V$63:$AD$63</c:f>
              <c:numCache>
                <c:formatCode>0.0</c:formatCode>
                <c:ptCount val="9"/>
                <c:pt idx="0">
                  <c:v>-10.129807005064176</c:v>
                </c:pt>
                <c:pt idx="1">
                  <c:v>-5.9850019510988295</c:v>
                </c:pt>
                <c:pt idx="2">
                  <c:v>9.8135166925762931</c:v>
                </c:pt>
                <c:pt idx="3">
                  <c:v>3.9241435648270198</c:v>
                </c:pt>
                <c:pt idx="4">
                  <c:v>-0.45505032735015039</c:v>
                </c:pt>
                <c:pt idx="5">
                  <c:v>-4.8406367255563172</c:v>
                </c:pt>
                <c:pt idx="6">
                  <c:v>5.6209641746188632</c:v>
                </c:pt>
                <c:pt idx="7">
                  <c:v>9.299200038752776</c:v>
                </c:pt>
                <c:pt idx="8">
                  <c:v>0.74183804592384328</c:v>
                </c:pt>
              </c:numCache>
            </c:numRef>
          </c:val>
          <c:extLst>
            <c:ext xmlns:c16="http://schemas.microsoft.com/office/drawing/2014/chart" uri="{C3380CC4-5D6E-409C-BE32-E72D297353CC}">
              <c16:uniqueId val="{00000001-762D-4AD0-B52C-E0541A3D9E40}"/>
            </c:ext>
          </c:extLst>
        </c:ser>
        <c:ser>
          <c:idx val="2"/>
          <c:order val="2"/>
          <c:tx>
            <c:strRef>
              <c:f>[Импорт.xlsx]Танилцуулга!$U$64</c:f>
              <c:strCache>
                <c:ptCount val="1"/>
                <c:pt idx="0">
                  <c:v> Хөрөнгө оруулалтын бүтээгдэхүүнүүд </c:v>
                </c:pt>
              </c:strCache>
            </c:strRef>
          </c:tx>
          <c:spPr>
            <a:solidFill>
              <a:srgbClr val="11A795"/>
            </a:solidFill>
            <a:ln>
              <a:noFill/>
            </a:ln>
            <a:effectLst/>
          </c:spPr>
          <c:invertIfNegative val="0"/>
          <c:cat>
            <c:numRef>
              <c:f>[Импорт.xlsx]Танилцуулга!$V$61:$AD$61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[Импорт.xlsx]Танилцуулга!$V$64:$AD$64</c:f>
              <c:numCache>
                <c:formatCode>0.0</c:formatCode>
                <c:ptCount val="9"/>
                <c:pt idx="0">
                  <c:v>-11.906050674916353</c:v>
                </c:pt>
                <c:pt idx="1">
                  <c:v>-7.3394237643874334</c:v>
                </c:pt>
                <c:pt idx="2">
                  <c:v>15.877414577450063</c:v>
                </c:pt>
                <c:pt idx="3">
                  <c:v>16.765861923815105</c:v>
                </c:pt>
                <c:pt idx="4">
                  <c:v>3.2778982318470167</c:v>
                </c:pt>
                <c:pt idx="5">
                  <c:v>-4.900240928356955</c:v>
                </c:pt>
                <c:pt idx="6">
                  <c:v>8.9571985281282966</c:v>
                </c:pt>
                <c:pt idx="7">
                  <c:v>8.6952848706546924</c:v>
                </c:pt>
                <c:pt idx="8">
                  <c:v>5.4627738296878343</c:v>
                </c:pt>
              </c:numCache>
            </c:numRef>
          </c:val>
          <c:extLst>
            <c:ext xmlns:c16="http://schemas.microsoft.com/office/drawing/2014/chart" uri="{C3380CC4-5D6E-409C-BE32-E72D297353CC}">
              <c16:uniqueId val="{00000002-762D-4AD0-B52C-E0541A3D9E40}"/>
            </c:ext>
          </c:extLst>
        </c:ser>
        <c:dLbls>
          <c:showLegendKey val="0"/>
          <c:showVal val="0"/>
          <c:showCatName val="0"/>
          <c:showSerName val="0"/>
          <c:showPercent val="0"/>
          <c:showBubbleSize val="0"/>
        </c:dLbls>
        <c:gapWidth val="50"/>
        <c:overlap val="100"/>
        <c:axId val="2003236735"/>
        <c:axId val="1365788959"/>
      </c:barChart>
      <c:lineChart>
        <c:grouping val="standard"/>
        <c:varyColors val="0"/>
        <c:ser>
          <c:idx val="4"/>
          <c:order val="3"/>
          <c:tx>
            <c:strRef>
              <c:f>[Импорт.xlsx]Танилцуулга!$U$66</c:f>
              <c:strCache>
                <c:ptCount val="1"/>
                <c:pt idx="0">
                  <c:v> Нийт  </c:v>
                </c:pt>
              </c:strCache>
            </c:strRef>
          </c:tx>
          <c:spPr>
            <a:ln w="22225" cap="rnd">
              <a:solidFill>
                <a:srgbClr val="BC5966"/>
              </a:solidFill>
              <a:round/>
            </a:ln>
            <a:effectLst/>
          </c:spPr>
          <c:marker>
            <c:symbol val="none"/>
          </c:marker>
          <c:dPt>
            <c:idx val="8"/>
            <c:marker>
              <c:symbol val="circle"/>
              <c:size val="5"/>
              <c:spPr>
                <a:solidFill>
                  <a:srgbClr val="BC5966"/>
                </a:solidFill>
                <a:ln w="9525">
                  <a:noFill/>
                </a:ln>
                <a:effectLst/>
              </c:spPr>
            </c:marker>
            <c:bubble3D val="0"/>
            <c:extLst>
              <c:ext xmlns:c16="http://schemas.microsoft.com/office/drawing/2014/chart" uri="{C3380CC4-5D6E-409C-BE32-E72D297353CC}">
                <c16:uniqueId val="{00000003-762D-4AD0-B52C-E0541A3D9E40}"/>
              </c:ext>
            </c:extLst>
          </c:dPt>
          <c:dLbls>
            <c:dLbl>
              <c:idx val="8"/>
              <c:layout>
                <c:manualLayout>
                  <c:x val="-2.3422894142658461E-2"/>
                  <c:y val="-6.71204115123248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2D-4AD0-B52C-E0541A3D9E4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[Импорт.xlsx]Танилцуулга!$V$61:$AD$61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[Импорт.xlsx]Танилцуулга!$V$66:$AD$66</c:f>
              <c:numCache>
                <c:formatCode>0.0</c:formatCode>
                <c:ptCount val="9"/>
                <c:pt idx="0">
                  <c:v>-27.481568158477749</c:v>
                </c:pt>
                <c:pt idx="1">
                  <c:v>-12.058583978249143</c:v>
                </c:pt>
                <c:pt idx="2">
                  <c:v>29.872970137439719</c:v>
                </c:pt>
                <c:pt idx="3">
                  <c:v>35.445270171038274</c:v>
                </c:pt>
                <c:pt idx="4">
                  <c:v>3.1224979846826511</c:v>
                </c:pt>
                <c:pt idx="5">
                  <c:v>-12.492561124466015</c:v>
                </c:pt>
                <c:pt idx="6">
                  <c:v>29.199707682617593</c:v>
                </c:pt>
                <c:pt idx="7">
                  <c:v>27.706231652954976</c:v>
                </c:pt>
                <c:pt idx="8">
                  <c:v>5.8243945900370226</c:v>
                </c:pt>
              </c:numCache>
            </c:numRef>
          </c:val>
          <c:smooth val="1"/>
          <c:extLst>
            <c:ext xmlns:c16="http://schemas.microsoft.com/office/drawing/2014/chart" uri="{C3380CC4-5D6E-409C-BE32-E72D297353CC}">
              <c16:uniqueId val="{00000004-762D-4AD0-B52C-E0541A3D9E40}"/>
            </c:ext>
          </c:extLst>
        </c:ser>
        <c:dLbls>
          <c:showLegendKey val="0"/>
          <c:showVal val="0"/>
          <c:showCatName val="0"/>
          <c:showSerName val="0"/>
          <c:showPercent val="0"/>
          <c:showBubbleSize val="0"/>
        </c:dLbls>
        <c:marker val="1"/>
        <c:smooth val="0"/>
        <c:axId val="2003236735"/>
        <c:axId val="1365788959"/>
      </c:lineChart>
      <c:catAx>
        <c:axId val="2003236735"/>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65788959"/>
        <c:crosses val="autoZero"/>
        <c:auto val="1"/>
        <c:lblAlgn val="ctr"/>
        <c:lblOffset val="100"/>
        <c:noMultiLvlLbl val="0"/>
      </c:catAx>
      <c:valAx>
        <c:axId val="1365788959"/>
        <c:scaling>
          <c:orientation val="minMax"/>
          <c:max val="40"/>
          <c:min val="-3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3236735"/>
        <c:crosses val="autoZero"/>
        <c:crossBetween val="between"/>
        <c:majorUnit val="20"/>
      </c:valAx>
      <c:spPr>
        <a:noFill/>
        <a:ln>
          <a:noFill/>
        </a:ln>
        <a:effectLst/>
      </c:spPr>
    </c:plotArea>
    <c:legend>
      <c:legendPos val="b"/>
      <c:layout>
        <c:manualLayout>
          <c:xMode val="edge"/>
          <c:yMode val="edge"/>
          <c:x val="7.7122038531146316E-4"/>
          <c:y val="0.80902210626206095"/>
          <c:w val="0.97393633573229843"/>
          <c:h val="0.1871107308674579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6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51983338473369"/>
          <c:y val="9.6892743479528823E-2"/>
          <c:w val="0.74025416900516228"/>
          <c:h val="0.60713606451367497"/>
        </c:manualLayout>
      </c:layout>
      <c:barChart>
        <c:barDir val="col"/>
        <c:grouping val="stacked"/>
        <c:varyColors val="0"/>
        <c:ser>
          <c:idx val="0"/>
          <c:order val="0"/>
          <c:tx>
            <c:strRef>
              <c:f>'[External 2023Q4.xlsx]ТХМ-Annual'!$A$44</c:f>
              <c:strCache>
                <c:ptCount val="1"/>
                <c:pt idx="0">
                  <c:v>Санхүү, хөрөнгийн данс</c:v>
                </c:pt>
              </c:strCache>
            </c:strRef>
          </c:tx>
          <c:spPr>
            <a:solidFill>
              <a:srgbClr val="11A795"/>
            </a:solidFill>
            <a:ln>
              <a:noFill/>
            </a:ln>
            <a:effectLst/>
          </c:spPr>
          <c:invertIfNegative val="0"/>
          <c:cat>
            <c:numRef>
              <c:f>'[External 2023Q4.xlsx]ТХМ-Annual'!$C$43:$G$43</c:f>
              <c:numCache>
                <c:formatCode>General</c:formatCode>
                <c:ptCount val="5"/>
                <c:pt idx="0">
                  <c:v>2019</c:v>
                </c:pt>
                <c:pt idx="1">
                  <c:v>2020</c:v>
                </c:pt>
                <c:pt idx="2">
                  <c:v>2021</c:v>
                </c:pt>
                <c:pt idx="3">
                  <c:v>2022</c:v>
                </c:pt>
                <c:pt idx="4">
                  <c:v>2023</c:v>
                </c:pt>
              </c:numCache>
            </c:numRef>
          </c:cat>
          <c:val>
            <c:numRef>
              <c:f>'[External 2023Q4.xlsx]ТХМ-Annual'!$C$44:$G$44</c:f>
              <c:numCache>
                <c:formatCode>#,##0</c:formatCode>
                <c:ptCount val="5"/>
                <c:pt idx="0">
                  <c:v>2838.4500000000003</c:v>
                </c:pt>
                <c:pt idx="1">
                  <c:v>1607.08</c:v>
                </c:pt>
                <c:pt idx="2">
                  <c:v>2096.19</c:v>
                </c:pt>
                <c:pt idx="3">
                  <c:v>1798.32</c:v>
                </c:pt>
                <c:pt idx="4">
                  <c:v>1596.0800000000002</c:v>
                </c:pt>
              </c:numCache>
            </c:numRef>
          </c:val>
          <c:extLst>
            <c:ext xmlns:c16="http://schemas.microsoft.com/office/drawing/2014/chart" uri="{C3380CC4-5D6E-409C-BE32-E72D297353CC}">
              <c16:uniqueId val="{00000000-9812-4C56-B533-B694D13C6F16}"/>
            </c:ext>
          </c:extLst>
        </c:ser>
        <c:ser>
          <c:idx val="1"/>
          <c:order val="1"/>
          <c:tx>
            <c:strRef>
              <c:f>'[External 2023Q4.xlsx]ТХМ-Annual'!$A$45</c:f>
              <c:strCache>
                <c:ptCount val="1"/>
                <c:pt idx="0">
                  <c:v>Урсгал данс</c:v>
                </c:pt>
              </c:strCache>
            </c:strRef>
          </c:tx>
          <c:spPr>
            <a:solidFill>
              <a:srgbClr val="333F50"/>
            </a:solidFill>
            <a:ln>
              <a:noFill/>
            </a:ln>
            <a:effectLst/>
          </c:spPr>
          <c:invertIfNegative val="0"/>
          <c:cat>
            <c:numRef>
              <c:f>'[External 2023Q4.xlsx]ТХМ-Annual'!$C$43:$G$43</c:f>
              <c:numCache>
                <c:formatCode>General</c:formatCode>
                <c:ptCount val="5"/>
                <c:pt idx="0">
                  <c:v>2019</c:v>
                </c:pt>
                <c:pt idx="1">
                  <c:v>2020</c:v>
                </c:pt>
                <c:pt idx="2">
                  <c:v>2021</c:v>
                </c:pt>
                <c:pt idx="3">
                  <c:v>2022</c:v>
                </c:pt>
                <c:pt idx="4">
                  <c:v>2023</c:v>
                </c:pt>
              </c:numCache>
            </c:numRef>
          </c:cat>
          <c:val>
            <c:numRef>
              <c:f>'[External 2023Q4.xlsx]ТХМ-Annual'!$C$45:$G$45</c:f>
              <c:numCache>
                <c:formatCode>#,##0</c:formatCode>
                <c:ptCount val="5"/>
                <c:pt idx="0">
                  <c:v>-2161.69</c:v>
                </c:pt>
                <c:pt idx="1">
                  <c:v>-674.61</c:v>
                </c:pt>
                <c:pt idx="2">
                  <c:v>-2108.44</c:v>
                </c:pt>
                <c:pt idx="3">
                  <c:v>-2303.5</c:v>
                </c:pt>
                <c:pt idx="4">
                  <c:v>147.31999999999994</c:v>
                </c:pt>
              </c:numCache>
            </c:numRef>
          </c:val>
          <c:extLst>
            <c:ext xmlns:c16="http://schemas.microsoft.com/office/drawing/2014/chart" uri="{C3380CC4-5D6E-409C-BE32-E72D297353CC}">
              <c16:uniqueId val="{00000001-9812-4C56-B533-B694D13C6F16}"/>
            </c:ext>
          </c:extLst>
        </c:ser>
        <c:dLbls>
          <c:showLegendKey val="0"/>
          <c:showVal val="0"/>
          <c:showCatName val="0"/>
          <c:showSerName val="0"/>
          <c:showPercent val="0"/>
          <c:showBubbleSize val="0"/>
        </c:dLbls>
        <c:gapWidth val="50"/>
        <c:overlap val="100"/>
        <c:axId val="820888752"/>
        <c:axId val="820881552"/>
      </c:barChart>
      <c:lineChart>
        <c:grouping val="standard"/>
        <c:varyColors val="0"/>
        <c:ser>
          <c:idx val="2"/>
          <c:order val="2"/>
          <c:tx>
            <c:strRef>
              <c:f>'[External 2023Q4.xlsx]ТХМ-Annual'!$A$46</c:f>
              <c:strCache>
                <c:ptCount val="1"/>
                <c:pt idx="0">
                  <c:v>Төлбөрийн тэнцэл</c:v>
                </c:pt>
              </c:strCache>
            </c:strRef>
          </c:tx>
          <c:spPr>
            <a:ln w="22225" cap="rnd">
              <a:solidFill>
                <a:srgbClr val="BC5966"/>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2-9812-4C56-B533-B694D13C6F16}"/>
                </c:ext>
              </c:extLst>
            </c:dLbl>
            <c:dLbl>
              <c:idx val="1"/>
              <c:delete val="1"/>
              <c:extLst>
                <c:ext xmlns:c15="http://schemas.microsoft.com/office/drawing/2012/chart" uri="{CE6537A1-D6FC-4f65-9D91-7224C49458BB}"/>
                <c:ext xmlns:c16="http://schemas.microsoft.com/office/drawing/2014/chart" uri="{C3380CC4-5D6E-409C-BE32-E72D297353CC}">
                  <c16:uniqueId val="{00000003-9812-4C56-B533-B694D13C6F16}"/>
                </c:ext>
              </c:extLst>
            </c:dLbl>
            <c:dLbl>
              <c:idx val="2"/>
              <c:delete val="1"/>
              <c:extLst>
                <c:ext xmlns:c15="http://schemas.microsoft.com/office/drawing/2012/chart" uri="{CE6537A1-D6FC-4f65-9D91-7224C49458BB}"/>
                <c:ext xmlns:c16="http://schemas.microsoft.com/office/drawing/2014/chart" uri="{C3380CC4-5D6E-409C-BE32-E72D297353CC}">
                  <c16:uniqueId val="{00000004-9812-4C56-B533-B694D13C6F16}"/>
                </c:ext>
              </c:extLst>
            </c:dLbl>
            <c:dLbl>
              <c:idx val="3"/>
              <c:delete val="1"/>
              <c:extLst>
                <c:ext xmlns:c15="http://schemas.microsoft.com/office/drawing/2012/chart" uri="{CE6537A1-D6FC-4f65-9D91-7224C49458BB}"/>
                <c:ext xmlns:c16="http://schemas.microsoft.com/office/drawing/2014/chart" uri="{C3380CC4-5D6E-409C-BE32-E72D297353CC}">
                  <c16:uniqueId val="{00000005-9812-4C56-B533-B694D13C6F1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'[External 2023Q4.xlsx]ТХМ-Annual'!$C$43:$G$43</c:f>
              <c:numCache>
                <c:formatCode>General</c:formatCode>
                <c:ptCount val="5"/>
                <c:pt idx="0">
                  <c:v>2019</c:v>
                </c:pt>
                <c:pt idx="1">
                  <c:v>2020</c:v>
                </c:pt>
                <c:pt idx="2">
                  <c:v>2021</c:v>
                </c:pt>
                <c:pt idx="3">
                  <c:v>2022</c:v>
                </c:pt>
                <c:pt idx="4">
                  <c:v>2023</c:v>
                </c:pt>
              </c:numCache>
            </c:numRef>
          </c:cat>
          <c:val>
            <c:numRef>
              <c:f>'[External 2023Q4.xlsx]ТХМ-Annual'!$C$46:$G$46</c:f>
              <c:numCache>
                <c:formatCode>#,##0</c:formatCode>
                <c:ptCount val="5"/>
                <c:pt idx="0">
                  <c:v>452.86</c:v>
                </c:pt>
                <c:pt idx="1">
                  <c:v>786.89</c:v>
                </c:pt>
                <c:pt idx="2">
                  <c:v>-221.63</c:v>
                </c:pt>
                <c:pt idx="3">
                  <c:v>-727.25</c:v>
                </c:pt>
                <c:pt idx="4">
                  <c:v>1457.0300000000002</c:v>
                </c:pt>
              </c:numCache>
            </c:numRef>
          </c:val>
          <c:smooth val="1"/>
          <c:extLst>
            <c:ext xmlns:c16="http://schemas.microsoft.com/office/drawing/2014/chart" uri="{C3380CC4-5D6E-409C-BE32-E72D297353CC}">
              <c16:uniqueId val="{00000006-9812-4C56-B533-B694D13C6F16}"/>
            </c:ext>
          </c:extLst>
        </c:ser>
        <c:dLbls>
          <c:showLegendKey val="0"/>
          <c:showVal val="0"/>
          <c:showCatName val="0"/>
          <c:showSerName val="0"/>
          <c:showPercent val="0"/>
          <c:showBubbleSize val="0"/>
        </c:dLbls>
        <c:marker val="1"/>
        <c:smooth val="0"/>
        <c:axId val="820888752"/>
        <c:axId val="820881552"/>
      </c:lineChart>
      <c:catAx>
        <c:axId val="8208887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20881552"/>
        <c:crosses val="autoZero"/>
        <c:auto val="1"/>
        <c:lblAlgn val="ctr"/>
        <c:lblOffset val="100"/>
        <c:noMultiLvlLbl val="0"/>
      </c:catAx>
      <c:valAx>
        <c:axId val="82088155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20888752"/>
        <c:crosses val="autoZero"/>
        <c:crossBetween val="between"/>
      </c:valAx>
      <c:spPr>
        <a:noFill/>
        <a:ln>
          <a:noFill/>
        </a:ln>
        <a:effectLst/>
      </c:spPr>
    </c:plotArea>
    <c:legend>
      <c:legendPos val="b"/>
      <c:layout>
        <c:manualLayout>
          <c:xMode val="edge"/>
          <c:yMode val="edge"/>
          <c:x val="7.4341377758267158E-2"/>
          <c:y val="0.8294095993072903"/>
          <c:w val="0.91826138175917849"/>
          <c:h val="0.1683011682363234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162997096774525E-2"/>
          <c:y val="0.28829978834930803"/>
          <c:w val="0.90367400580645096"/>
          <c:h val="0.56159328586782287"/>
        </c:manualLayout>
      </c:layout>
      <c:lineChart>
        <c:grouping val="standard"/>
        <c:varyColors val="0"/>
        <c:ser>
          <c:idx val="0"/>
          <c:order val="0"/>
          <c:tx>
            <c:strRef>
              <c:f>'[ДЗЗ Үнэ.xlsx]Dashboard'!$C$14</c:f>
              <c:strCache>
                <c:ptCount val="1"/>
                <c:pt idx="0">
                  <c:v>Гүйцэтгэл</c:v>
                </c:pt>
              </c:strCache>
            </c:strRef>
          </c:tx>
          <c:spPr>
            <a:ln w="38100" cap="rnd">
              <a:solidFill>
                <a:srgbClr val="01B8AA"/>
              </a:solidFill>
              <a:round/>
            </a:ln>
            <a:effectLst/>
          </c:spPr>
          <c:marker>
            <c:symbol val="circle"/>
            <c:size val="5"/>
            <c:spPr>
              <a:solidFill>
                <a:srgbClr val="01B8AA"/>
              </a:solidFill>
              <a:ln w="9525">
                <a:solidFill>
                  <a:srgbClr val="01B8AA"/>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5FAA-4167-AD86-55702A18C755}"/>
                </c:ext>
              </c:extLst>
            </c:dLbl>
            <c:numFmt formatCode="#,##0" sourceLinked="0"/>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'[ДЗЗ Үнэ.xlsx]Dashboard'!$D$5:$J$5</c:f>
              <c:strCache>
                <c:ptCount val="7"/>
                <c:pt idx="0">
                  <c:v>2019</c:v>
                </c:pt>
                <c:pt idx="1">
                  <c:v>2020</c:v>
                </c:pt>
                <c:pt idx="2">
                  <c:v>2021</c:v>
                </c:pt>
                <c:pt idx="3">
                  <c:v>2022</c:v>
                </c:pt>
                <c:pt idx="4">
                  <c:v>2023</c:v>
                </c:pt>
                <c:pt idx="5">
                  <c:v>2024*</c:v>
                </c:pt>
                <c:pt idx="6">
                  <c:v>2025*</c:v>
                </c:pt>
              </c:strCache>
            </c:strRef>
          </c:cat>
          <c:val>
            <c:numRef>
              <c:f>'[ДЗЗ Үнэ.xlsx]Dashboard'!$D$14:$J$14</c:f>
              <c:numCache>
                <c:formatCode>0</c:formatCode>
                <c:ptCount val="7"/>
                <c:pt idx="0" formatCode="General">
                  <c:v>6020</c:v>
                </c:pt>
                <c:pt idx="1">
                  <c:v>6178.419847328244</c:v>
                </c:pt>
                <c:pt idx="2">
                  <c:v>9315.0440613026822</c:v>
                </c:pt>
                <c:pt idx="3">
                  <c:v>8815.2269230769234</c:v>
                </c:pt>
                <c:pt idx="4">
                  <c:v>8478.8461538461543</c:v>
                </c:pt>
              </c:numCache>
            </c:numRef>
          </c:val>
          <c:smooth val="1"/>
          <c:extLst>
            <c:ext xmlns:c16="http://schemas.microsoft.com/office/drawing/2014/chart" uri="{C3380CC4-5D6E-409C-BE32-E72D297353CC}">
              <c16:uniqueId val="{00000001-5FAA-4167-AD86-55702A18C755}"/>
            </c:ext>
          </c:extLst>
        </c:ser>
        <c:ser>
          <c:idx val="2"/>
          <c:order val="1"/>
          <c:tx>
            <c:strRef>
              <c:f>'[ДЗЗ Үнэ.xlsx]Dashboard'!$C$18</c:f>
              <c:strCache>
                <c:ptCount val="1"/>
                <c:pt idx="0">
                  <c:v>Төсөөлөл </c:v>
                </c:pt>
              </c:strCache>
            </c:strRef>
          </c:tx>
          <c:spPr>
            <a:ln w="12700" cap="rnd">
              <a:solidFill>
                <a:srgbClr val="EA3A81"/>
              </a:solidFill>
              <a:prstDash val="dash"/>
              <a:round/>
            </a:ln>
            <a:effectLst/>
          </c:spPr>
          <c:marker>
            <c:symbol val="circle"/>
            <c:size val="5"/>
            <c:spPr>
              <a:solidFill>
                <a:srgbClr val="EA3A81"/>
              </a:solidFill>
              <a:ln w="9525">
                <a:solidFill>
                  <a:srgbClr val="EA3A81"/>
                </a:solidFill>
              </a:ln>
              <a:effectLst/>
            </c:spPr>
          </c:marker>
          <c:dPt>
            <c:idx val="4"/>
            <c:marker>
              <c:spPr>
                <a:solidFill>
                  <a:srgbClr val="01B8AA"/>
                </a:solidFill>
                <a:ln w="9525">
                  <a:noFill/>
                </a:ln>
                <a:effectLst/>
              </c:spPr>
            </c:marker>
            <c:bubble3D val="0"/>
            <c:spPr>
              <a:ln w="12700" cap="rnd">
                <a:noFill/>
                <a:prstDash val="dash"/>
                <a:round/>
              </a:ln>
              <a:effectLst/>
            </c:spPr>
            <c:extLst>
              <c:ext xmlns:c16="http://schemas.microsoft.com/office/drawing/2014/chart" uri="{C3380CC4-5D6E-409C-BE32-E72D297353CC}">
                <c16:uniqueId val="{00000003-5FAA-4167-AD86-55702A18C755}"/>
              </c:ext>
            </c:extLst>
          </c:dPt>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AA-4167-AD86-55702A18C755}"/>
                </c:ext>
              </c:extLst>
            </c:dLbl>
            <c:numFmt formatCode="#,##0" sourceLinked="0"/>
            <c:spPr>
              <a:noFill/>
              <a:ln>
                <a:noFill/>
              </a:ln>
              <a:effectLst/>
            </c:spPr>
            <c:txPr>
              <a:bodyPr rot="0" vert="horz"/>
              <a:lstStyle/>
              <a:p>
                <a:pPr>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'[ДЗЗ Үнэ.xlsx]Dashboard'!$D$5:$J$5</c:f>
              <c:strCache>
                <c:ptCount val="7"/>
                <c:pt idx="0">
                  <c:v>2019</c:v>
                </c:pt>
                <c:pt idx="1">
                  <c:v>2020</c:v>
                </c:pt>
                <c:pt idx="2">
                  <c:v>2021</c:v>
                </c:pt>
                <c:pt idx="3">
                  <c:v>2022</c:v>
                </c:pt>
                <c:pt idx="4">
                  <c:v>2023</c:v>
                </c:pt>
                <c:pt idx="5">
                  <c:v>2024*</c:v>
                </c:pt>
                <c:pt idx="6">
                  <c:v>2025*</c:v>
                </c:pt>
              </c:strCache>
            </c:strRef>
          </c:cat>
          <c:val>
            <c:numRef>
              <c:f>'[ДЗЗ Үнэ.xlsx]Dashboard'!$D$18:$J$18</c:f>
              <c:numCache>
                <c:formatCode>General</c:formatCode>
                <c:ptCount val="7"/>
                <c:pt idx="4" formatCode="0">
                  <c:v>8478.8461538461543</c:v>
                </c:pt>
                <c:pt idx="5" formatCode="0">
                  <c:v>8800</c:v>
                </c:pt>
                <c:pt idx="6" formatCode="0">
                  <c:v>9000</c:v>
                </c:pt>
              </c:numCache>
            </c:numRef>
          </c:val>
          <c:smooth val="1"/>
          <c:extLst>
            <c:ext xmlns:c16="http://schemas.microsoft.com/office/drawing/2014/chart" uri="{C3380CC4-5D6E-409C-BE32-E72D297353CC}">
              <c16:uniqueId val="{00000004-5FAA-4167-AD86-55702A18C755}"/>
            </c:ext>
          </c:extLst>
        </c:ser>
        <c:ser>
          <c:idx val="3"/>
          <c:order val="2"/>
          <c:tx>
            <c:strRef>
              <c:f>'[ДЗЗ Үнэ.xlsx]Dashboard'!$C$17</c:f>
              <c:strCache>
                <c:ptCount val="1"/>
                <c:pt idx="0">
                  <c:v>I-III сарын дундаж</c:v>
                </c:pt>
              </c:strCache>
            </c:strRef>
          </c:tx>
          <c:spPr>
            <a:ln w="28575" cap="rnd">
              <a:noFill/>
              <a:round/>
            </a:ln>
            <a:effectLst/>
          </c:spPr>
          <c:marker>
            <c:symbol val="circle"/>
            <c:size val="5"/>
            <c:spPr>
              <a:solidFill>
                <a:srgbClr val="0B1E31"/>
              </a:solidFill>
              <a:ln w="9525">
                <a:noFill/>
              </a:ln>
              <a:effectLst/>
            </c:spPr>
          </c:marker>
          <c:cat>
            <c:strRef>
              <c:f>'[ДЗЗ Үнэ.xlsx]Dashboard'!$D$5:$J$5</c:f>
              <c:strCache>
                <c:ptCount val="7"/>
                <c:pt idx="0">
                  <c:v>2019</c:v>
                </c:pt>
                <c:pt idx="1">
                  <c:v>2020</c:v>
                </c:pt>
                <c:pt idx="2">
                  <c:v>2021</c:v>
                </c:pt>
                <c:pt idx="3">
                  <c:v>2022</c:v>
                </c:pt>
                <c:pt idx="4">
                  <c:v>2023</c:v>
                </c:pt>
                <c:pt idx="5">
                  <c:v>2024*</c:v>
                </c:pt>
                <c:pt idx="6">
                  <c:v>2025*</c:v>
                </c:pt>
              </c:strCache>
            </c:strRef>
          </c:cat>
          <c:val>
            <c:numRef>
              <c:f>'[ДЗЗ Үнэ.xlsx]Dashboard'!$D$17:$J$17</c:f>
              <c:numCache>
                <c:formatCode>General</c:formatCode>
                <c:ptCount val="7"/>
                <c:pt idx="5" formatCode="0">
                  <c:v>8665.8529411764703</c:v>
                </c:pt>
              </c:numCache>
            </c:numRef>
          </c:val>
          <c:smooth val="0"/>
          <c:extLst>
            <c:ext xmlns:c16="http://schemas.microsoft.com/office/drawing/2014/chart" uri="{C3380CC4-5D6E-409C-BE32-E72D297353CC}">
              <c16:uniqueId val="{00000005-5FAA-4167-AD86-55702A18C755}"/>
            </c:ext>
          </c:extLst>
        </c:ser>
        <c:dLbls>
          <c:showLegendKey val="0"/>
          <c:showVal val="0"/>
          <c:showCatName val="0"/>
          <c:showSerName val="0"/>
          <c:showPercent val="0"/>
          <c:showBubbleSize val="0"/>
        </c:dLbls>
        <c:marker val="1"/>
        <c:smooth val="0"/>
        <c:axId val="1976636432"/>
        <c:axId val="1345705232"/>
      </c:lineChart>
      <c:catAx>
        <c:axId val="1976636432"/>
        <c:scaling>
          <c:orientation val="minMax"/>
        </c:scaling>
        <c:delete val="0"/>
        <c:axPos val="b"/>
        <c:majorGridlines>
          <c:spPr>
            <a:ln w="3175" cap="flat" cmpd="sng" algn="ctr">
              <a:solidFill>
                <a:schemeClr val="tx1">
                  <a:lumMod val="15000"/>
                  <a:lumOff val="85000"/>
                  <a:alpha val="90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alpha val="90000"/>
              </a:schemeClr>
            </a:solidFill>
            <a:round/>
          </a:ln>
          <a:effectLst/>
        </c:spPr>
        <c:txPr>
          <a:bodyPr rot="-60000000" vert="horz"/>
          <a:lstStyle/>
          <a:p>
            <a:pPr>
              <a:defRPr/>
            </a:pPr>
            <a:endParaRPr lang="en-US"/>
          </a:p>
        </c:txPr>
        <c:crossAx val="1345705232"/>
        <c:crosses val="autoZero"/>
        <c:auto val="1"/>
        <c:lblAlgn val="ctr"/>
        <c:lblOffset val="100"/>
        <c:noMultiLvlLbl val="0"/>
      </c:catAx>
      <c:valAx>
        <c:axId val="1345705232"/>
        <c:scaling>
          <c:orientation val="minMax"/>
          <c:min val="5500"/>
        </c:scaling>
        <c:delete val="1"/>
        <c:axPos val="l"/>
        <c:majorGridlines>
          <c:spPr>
            <a:ln w="3175" cap="flat" cmpd="sng" algn="ctr">
              <a:solidFill>
                <a:schemeClr val="tx1">
                  <a:lumMod val="15000"/>
                  <a:lumOff val="85000"/>
                  <a:alpha val="90000"/>
                </a:schemeClr>
              </a:solidFill>
              <a:round/>
            </a:ln>
            <a:effectLst/>
          </c:spPr>
        </c:majorGridlines>
        <c:numFmt formatCode="0" sourceLinked="0"/>
        <c:majorTickMark val="out"/>
        <c:minorTickMark val="none"/>
        <c:tickLblPos val="nextTo"/>
        <c:crossAx val="1976636432"/>
        <c:crosses val="autoZero"/>
        <c:crossBetween val="between"/>
      </c:valAx>
    </c:plotArea>
    <c:legend>
      <c:legendPos val="t"/>
      <c:overlay val="0"/>
      <c:spPr>
        <a:noFill/>
        <a:ln>
          <a:noFill/>
        </a:ln>
        <a:effectLst/>
      </c:spPr>
      <c:txPr>
        <a:bodyPr rot="0" vert="horz"/>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extLst/>
  </c:chart>
  <c:spPr>
    <a:noFill/>
    <a:ln w="9525" cap="flat" cmpd="sng" algn="ctr">
      <a:noFill/>
      <a:round/>
    </a:ln>
    <a:effectLst/>
  </c:spPr>
  <c:txPr>
    <a:bodyPr/>
    <a:lstStyle/>
    <a:p>
      <a:pPr>
        <a:defRPr sz="700">
          <a:solidFill>
            <a:sysClr val="windowText" lastClr="000000"/>
          </a:solidFill>
          <a:latin typeface="Roboto" panose="02000000000000000000" pitchFamily="2" charset="0"/>
          <a:ea typeface="Roboto" panose="02000000000000000000" pitchFamily="2" charset="0"/>
          <a:cs typeface="Roboto" panose="02000000000000000000" pitchFamily="2"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51983338473369"/>
          <c:y val="6.4686856806821527E-2"/>
          <c:w val="0.78494372635745768"/>
          <c:h val="0.65692257217847771"/>
        </c:manualLayout>
      </c:layout>
      <c:barChart>
        <c:barDir val="col"/>
        <c:grouping val="clustered"/>
        <c:varyColors val="0"/>
        <c:ser>
          <c:idx val="0"/>
          <c:order val="0"/>
          <c:tx>
            <c:strRef>
              <c:f>'[External 2023Q4.xlsx]ТХМ-Annual'!$A$47</c:f>
              <c:strCache>
                <c:ptCount val="1"/>
                <c:pt idx="0">
                  <c:v>ГВАН</c:v>
                </c:pt>
              </c:strCache>
            </c:strRef>
          </c:tx>
          <c:spPr>
            <a:solidFill>
              <a:srgbClr val="11A795"/>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76-4032-A60C-BFF468862BE5}"/>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76-4032-A60C-BFF468862BE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'[External 2023Q4.xlsx]ТХМ-Annual'!$C$43:$G$43</c:f>
              <c:numCache>
                <c:formatCode>General</c:formatCode>
                <c:ptCount val="5"/>
                <c:pt idx="0">
                  <c:v>2019</c:v>
                </c:pt>
                <c:pt idx="1">
                  <c:v>2020</c:v>
                </c:pt>
                <c:pt idx="2">
                  <c:v>2021</c:v>
                </c:pt>
                <c:pt idx="3">
                  <c:v>2022</c:v>
                </c:pt>
                <c:pt idx="4">
                  <c:v>2023</c:v>
                </c:pt>
              </c:numCache>
            </c:numRef>
          </c:cat>
          <c:val>
            <c:numRef>
              <c:f>'[External 2023Q4.xlsx]ТХМ-Annual'!$C$47:$G$47</c:f>
              <c:numCache>
                <c:formatCode>#,##0</c:formatCode>
                <c:ptCount val="5"/>
                <c:pt idx="0">
                  <c:v>4348.6000000000004</c:v>
                </c:pt>
                <c:pt idx="1">
                  <c:v>4534.2</c:v>
                </c:pt>
                <c:pt idx="2">
                  <c:v>4366.1000000000004</c:v>
                </c:pt>
                <c:pt idx="3">
                  <c:v>3399.5947174601583</c:v>
                </c:pt>
                <c:pt idx="4">
                  <c:v>4921.47</c:v>
                </c:pt>
              </c:numCache>
            </c:numRef>
          </c:val>
          <c:extLst>
            <c:ext xmlns:c16="http://schemas.microsoft.com/office/drawing/2014/chart" uri="{C3380CC4-5D6E-409C-BE32-E72D297353CC}">
              <c16:uniqueId val="{00000002-9076-4032-A60C-BFF468862BE5}"/>
            </c:ext>
          </c:extLst>
        </c:ser>
        <c:dLbls>
          <c:showLegendKey val="0"/>
          <c:showVal val="0"/>
          <c:showCatName val="0"/>
          <c:showSerName val="0"/>
          <c:showPercent val="0"/>
          <c:showBubbleSize val="0"/>
        </c:dLbls>
        <c:gapWidth val="50"/>
        <c:axId val="820888752"/>
        <c:axId val="820881552"/>
      </c:barChart>
      <c:catAx>
        <c:axId val="8208887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20881552"/>
        <c:crosses val="autoZero"/>
        <c:auto val="1"/>
        <c:lblAlgn val="ctr"/>
        <c:lblOffset val="100"/>
        <c:noMultiLvlLbl val="0"/>
      </c:catAx>
      <c:valAx>
        <c:axId val="82088155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208887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34320595246694"/>
          <c:y val="7.0558050032071842E-2"/>
          <c:w val="0.77902800082240953"/>
          <c:h val="0.63431282924143784"/>
        </c:manualLayout>
      </c:layout>
      <c:barChart>
        <c:barDir val="col"/>
        <c:grouping val="clustered"/>
        <c:varyColors val="0"/>
        <c:ser>
          <c:idx val="3"/>
          <c:order val="0"/>
          <c:tx>
            <c:strRef>
              <c:f>'[External 2023Q4.xlsx]ТХМ-Annual'!$A$138</c:f>
              <c:strCache>
                <c:ptCount val="1"/>
                <c:pt idx="0">
                  <c:v>Өдрийн дундаж өөрчлөлт (баруун)</c:v>
                </c:pt>
              </c:strCache>
            </c:strRef>
          </c:tx>
          <c:spPr>
            <a:solidFill>
              <a:schemeClr val="tx2">
                <a:lumMod val="75000"/>
              </a:schemeClr>
            </a:solidFill>
            <a:ln>
              <a:noFill/>
            </a:ln>
            <a:effectLst/>
          </c:spPr>
          <c:invertIfNegative val="0"/>
          <c:dPt>
            <c:idx val="4"/>
            <c:invertIfNegative val="0"/>
            <c:bubble3D val="0"/>
            <c:spPr>
              <a:solidFill>
                <a:srgbClr val="11A795"/>
              </a:solidFill>
              <a:ln>
                <a:noFill/>
              </a:ln>
              <a:effectLst/>
            </c:spPr>
            <c:extLst>
              <c:ext xmlns:c16="http://schemas.microsoft.com/office/drawing/2014/chart" uri="{C3380CC4-5D6E-409C-BE32-E72D297353CC}">
                <c16:uniqueId val="{00000001-F084-4FFF-A1C6-EC4F353F5489}"/>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'[External 2023Q4.xlsx]ТХМ-Annual'!$C$131:$G$131</c:f>
              <c:numCache>
                <c:formatCode>General</c:formatCode>
                <c:ptCount val="5"/>
                <c:pt idx="0">
                  <c:v>2019</c:v>
                </c:pt>
                <c:pt idx="1">
                  <c:v>2020</c:v>
                </c:pt>
                <c:pt idx="2">
                  <c:v>2021</c:v>
                </c:pt>
                <c:pt idx="3">
                  <c:v>2022</c:v>
                </c:pt>
                <c:pt idx="4">
                  <c:v>2023</c:v>
                </c:pt>
              </c:numCache>
            </c:numRef>
          </c:cat>
          <c:val>
            <c:numRef>
              <c:f>'[External 2023Q4.xlsx]ТХМ-Annual'!$C$138:$G$138</c:f>
              <c:numCache>
                <c:formatCode>0.0</c:formatCode>
                <c:ptCount val="5"/>
                <c:pt idx="0">
                  <c:v>0.35268482490272324</c:v>
                </c:pt>
                <c:pt idx="1">
                  <c:v>0.44617760617760599</c:v>
                </c:pt>
                <c:pt idx="2">
                  <c:v>-2.1484374999989342E-3</c:v>
                </c:pt>
                <c:pt idx="3">
                  <c:v>2.3528063241106709</c:v>
                </c:pt>
                <c:pt idx="4">
                  <c:v>-0.13673387096774134</c:v>
                </c:pt>
              </c:numCache>
            </c:numRef>
          </c:val>
          <c:extLst>
            <c:ext xmlns:c16="http://schemas.microsoft.com/office/drawing/2014/chart" uri="{C3380CC4-5D6E-409C-BE32-E72D297353CC}">
              <c16:uniqueId val="{00000002-F084-4FFF-A1C6-EC4F353F5489}"/>
            </c:ext>
          </c:extLst>
        </c:ser>
        <c:dLbls>
          <c:showLegendKey val="0"/>
          <c:showVal val="0"/>
          <c:showCatName val="0"/>
          <c:showSerName val="0"/>
          <c:showPercent val="0"/>
          <c:showBubbleSize val="0"/>
        </c:dLbls>
        <c:gapWidth val="50"/>
        <c:axId val="633831472"/>
        <c:axId val="633829552"/>
      </c:barChart>
      <c:lineChart>
        <c:grouping val="standard"/>
        <c:varyColors val="0"/>
        <c:ser>
          <c:idx val="0"/>
          <c:order val="1"/>
          <c:tx>
            <c:strRef>
              <c:f>'[External 2023Q4.xlsx]ТХМ-Annual'!$A$139</c:f>
              <c:strCache>
                <c:ptCount val="1"/>
                <c:pt idx="0">
                  <c:v>Дундаж ханш (зүүн)</c:v>
                </c:pt>
              </c:strCache>
            </c:strRef>
          </c:tx>
          <c:spPr>
            <a:ln w="19050" cap="rnd">
              <a:solidFill>
                <a:srgbClr val="BC5966"/>
              </a:solidFill>
              <a:round/>
            </a:ln>
            <a:effectLst/>
          </c:spPr>
          <c:marker>
            <c:symbol val="circle"/>
            <c:size val="4"/>
            <c:spPr>
              <a:solidFill>
                <a:srgbClr val="BC5966"/>
              </a:solidFill>
              <a:ln w="12700">
                <a:solidFill>
                  <a:srgbClr val="BC5966"/>
                </a:solidFill>
              </a:ln>
              <a:effectLst/>
            </c:spPr>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84-4FFF-A1C6-EC4F353F548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'[External 2023Q4.xlsx]ТХМ-Annual'!$C$131:$G$131</c:f>
              <c:numCache>
                <c:formatCode>General</c:formatCode>
                <c:ptCount val="5"/>
                <c:pt idx="0">
                  <c:v>2019</c:v>
                </c:pt>
                <c:pt idx="1">
                  <c:v>2020</c:v>
                </c:pt>
                <c:pt idx="2">
                  <c:v>2021</c:v>
                </c:pt>
                <c:pt idx="3">
                  <c:v>2022</c:v>
                </c:pt>
                <c:pt idx="4">
                  <c:v>2023</c:v>
                </c:pt>
              </c:numCache>
            </c:numRef>
          </c:cat>
          <c:val>
            <c:numRef>
              <c:f>'[External 2023Q4.xlsx]ТХМ-Annual'!$C$139:$G$139</c:f>
              <c:numCache>
                <c:formatCode>#,##0</c:formatCode>
                <c:ptCount val="5"/>
                <c:pt idx="0">
                  <c:v>2663.8054474708165</c:v>
                </c:pt>
                <c:pt idx="1">
                  <c:v>2813.1558301158288</c:v>
                </c:pt>
                <c:pt idx="2">
                  <c:v>2849.2896875000001</c:v>
                </c:pt>
                <c:pt idx="3">
                  <c:v>3140.0859288537545</c:v>
                </c:pt>
                <c:pt idx="4">
                  <c:v>3465.7819354838716</c:v>
                </c:pt>
              </c:numCache>
            </c:numRef>
          </c:val>
          <c:smooth val="0"/>
          <c:extLst>
            <c:ext xmlns:c16="http://schemas.microsoft.com/office/drawing/2014/chart" uri="{C3380CC4-5D6E-409C-BE32-E72D297353CC}">
              <c16:uniqueId val="{00000004-F084-4FFF-A1C6-EC4F353F5489}"/>
            </c:ext>
          </c:extLst>
        </c:ser>
        <c:dLbls>
          <c:showLegendKey val="0"/>
          <c:showVal val="0"/>
          <c:showCatName val="0"/>
          <c:showSerName val="0"/>
          <c:showPercent val="0"/>
          <c:showBubbleSize val="0"/>
        </c:dLbls>
        <c:marker val="1"/>
        <c:smooth val="0"/>
        <c:axId val="640999376"/>
        <c:axId val="640997936"/>
      </c:lineChart>
      <c:catAx>
        <c:axId val="64099937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0997936"/>
        <c:crosses val="autoZero"/>
        <c:auto val="1"/>
        <c:lblAlgn val="ctr"/>
        <c:lblOffset val="100"/>
        <c:noMultiLvlLbl val="0"/>
      </c:catAx>
      <c:valAx>
        <c:axId val="64099793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0999376"/>
        <c:crosses val="autoZero"/>
        <c:crossBetween val="between"/>
      </c:valAx>
      <c:valAx>
        <c:axId val="63382955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3831472"/>
        <c:crosses val="max"/>
        <c:crossBetween val="between"/>
      </c:valAx>
      <c:catAx>
        <c:axId val="633831472"/>
        <c:scaling>
          <c:orientation val="minMax"/>
        </c:scaling>
        <c:delete val="1"/>
        <c:axPos val="b"/>
        <c:numFmt formatCode="General" sourceLinked="1"/>
        <c:majorTickMark val="out"/>
        <c:minorTickMark val="none"/>
        <c:tickLblPos val="nextTo"/>
        <c:crossAx val="633829552"/>
        <c:crosses val="autoZero"/>
        <c:auto val="1"/>
        <c:lblAlgn val="ctr"/>
        <c:lblOffset val="100"/>
        <c:noMultiLvlLbl val="0"/>
      </c:catAx>
      <c:spPr>
        <a:noFill/>
        <a:ln>
          <a:noFill/>
        </a:ln>
        <a:effectLst/>
      </c:spPr>
    </c:plotArea>
    <c:legend>
      <c:legendPos val="b"/>
      <c:layout>
        <c:manualLayout>
          <c:xMode val="edge"/>
          <c:yMode val="edge"/>
          <c:x val="1.4060980556682347E-2"/>
          <c:y val="0.81574449601753596"/>
          <c:w val="0.98593901944331763"/>
          <c:h val="0.14576929487406118"/>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17013284298367"/>
          <c:y val="7.5170805406118077E-2"/>
          <c:w val="0.80309002470581592"/>
          <c:h val="0.72708426521264335"/>
        </c:manualLayout>
      </c:layout>
      <c:barChart>
        <c:barDir val="col"/>
        <c:grouping val="clustered"/>
        <c:varyColors val="0"/>
        <c:ser>
          <c:idx val="0"/>
          <c:order val="0"/>
          <c:tx>
            <c:v>Нэрлэсэн ДНБ</c:v>
          </c:tx>
          <c:spPr>
            <a:solidFill>
              <a:srgbClr val="333F50"/>
            </a:solidFill>
            <a:ln>
              <a:noFill/>
            </a:ln>
            <a:effectLst/>
          </c:spPr>
          <c:invertIfNegative val="0"/>
          <c:cat>
            <c:strRef>
              <c:f>'[AGDP 20240402 ТХМ 2025 final.xlsx]Results'!$H$3:$N$3</c:f>
              <c:strCache>
                <c:ptCount val="6"/>
                <c:pt idx="0">
                  <c:v>2022</c:v>
                </c:pt>
                <c:pt idx="1">
                  <c:v>2023</c:v>
                </c:pt>
                <c:pt idx="2">
                  <c:v>2024*</c:v>
                </c:pt>
                <c:pt idx="3">
                  <c:v>2025*</c:v>
                </c:pt>
                <c:pt idx="4">
                  <c:v>2026*</c:v>
                </c:pt>
                <c:pt idx="5">
                  <c:v>2027*</c:v>
                </c:pt>
              </c:strCache>
              <c:extLst/>
            </c:strRef>
          </c:cat>
          <c:val>
            <c:numRef>
              <c:f>'[AGDP 20240402 ТХМ 2025 final.xlsx]Results'!$H$4:$N$4</c:f>
              <c:numCache>
                <c:formatCode>_(* #,##0_);_(* \(#,##0\);_(* "-"??_);_(@_)</c:formatCode>
                <c:ptCount val="6"/>
                <c:pt idx="0">
                  <c:v>53851.544458852171</c:v>
                </c:pt>
                <c:pt idx="1">
                  <c:v>68871.741556592344</c:v>
                </c:pt>
                <c:pt idx="2">
                  <c:v>79215.619268287584</c:v>
                </c:pt>
                <c:pt idx="3">
                  <c:v>95014.19040184957</c:v>
                </c:pt>
                <c:pt idx="4">
                  <c:v>104705.77064748094</c:v>
                </c:pt>
                <c:pt idx="5">
                  <c:v>116771.61997722696</c:v>
                </c:pt>
              </c:numCache>
              <c:extLst/>
            </c:numRef>
          </c:val>
          <c:extLst>
            <c:ext xmlns:c16="http://schemas.microsoft.com/office/drawing/2014/chart" uri="{C3380CC4-5D6E-409C-BE32-E72D297353CC}">
              <c16:uniqueId val="{00000000-95F8-4131-82AB-651E8A7803A5}"/>
            </c:ext>
          </c:extLst>
        </c:ser>
        <c:dLbls>
          <c:showLegendKey val="0"/>
          <c:showVal val="0"/>
          <c:showCatName val="0"/>
          <c:showSerName val="0"/>
          <c:showPercent val="0"/>
          <c:showBubbleSize val="0"/>
        </c:dLbls>
        <c:gapWidth val="50"/>
        <c:axId val="1821302367"/>
        <c:axId val="1821302783"/>
      </c:barChart>
      <c:lineChart>
        <c:grouping val="standard"/>
        <c:varyColors val="0"/>
        <c:ser>
          <c:idx val="1"/>
          <c:order val="1"/>
          <c:tx>
            <c:v>Бодит ДНБ-ий өсөлт (баруун тэнхлэг)</c:v>
          </c:tx>
          <c:spPr>
            <a:ln w="22225" cap="rnd">
              <a:solidFill>
                <a:srgbClr val="11A795"/>
              </a:solidFill>
              <a:round/>
            </a:ln>
            <a:effectLst/>
          </c:spPr>
          <c:marker>
            <c:symbol val="circle"/>
            <c:size val="6"/>
            <c:spPr>
              <a:solidFill>
                <a:sysClr val="window" lastClr="FFFFFF"/>
              </a:solidFill>
              <a:ln w="9525">
                <a:solidFill>
                  <a:srgbClr val="11A795"/>
                </a:solidFill>
              </a:ln>
              <a:effectLst/>
            </c:spPr>
          </c:marker>
          <c:dLbls>
            <c:dLbl>
              <c:idx val="3"/>
              <c:layout>
                <c:manualLayout>
                  <c:x val="-5.5957731310983388E-2"/>
                  <c:y val="-4.13118892666552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F8-4131-82AB-651E8A7803A5}"/>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6"/>
              <c:pt idx="0">
                <c:v>1</c:v>
              </c:pt>
              <c:pt idx="1">
                <c:v>2</c:v>
              </c:pt>
              <c:pt idx="2">
                <c:v>3</c:v>
              </c:pt>
              <c:pt idx="3">
                <c:v>4</c:v>
              </c:pt>
              <c:pt idx="4">
                <c:v>5</c:v>
              </c:pt>
              <c:pt idx="5">
                <c:v>6</c:v>
              </c:pt>
              <c:extLst>
                <c:ext xmlns:c15="http://schemas.microsoft.com/office/drawing/2012/chart" uri="{02D57815-91ED-43cb-92C2-25804820EDAC}">
                  <c15:autoCat val="1"/>
                </c:ext>
              </c:extLst>
            </c:strLit>
          </c:cat>
          <c:val>
            <c:numRef>
              <c:f>'[AGDP 20240402 ТХМ 2025 final.xlsx]Results'!$H$6:$N$6</c:f>
              <c:numCache>
                <c:formatCode>0.0</c:formatCode>
                <c:ptCount val="6"/>
                <c:pt idx="0">
                  <c:v>5.0327097642287129</c:v>
                </c:pt>
                <c:pt idx="1">
                  <c:v>7.0229917452206365</c:v>
                </c:pt>
                <c:pt idx="2">
                  <c:v>6.0106540611140673</c:v>
                </c:pt>
                <c:pt idx="3">
                  <c:v>7.980579617550589</c:v>
                </c:pt>
                <c:pt idx="4">
                  <c:v>6.4542281957363059</c:v>
                </c:pt>
                <c:pt idx="5">
                  <c:v>6.4871685757414355</c:v>
                </c:pt>
              </c:numCache>
              <c:extLst/>
            </c:numRef>
          </c:val>
          <c:smooth val="0"/>
          <c:extLst>
            <c:ext xmlns:c16="http://schemas.microsoft.com/office/drawing/2014/chart" uri="{C3380CC4-5D6E-409C-BE32-E72D297353CC}">
              <c16:uniqueId val="{00000002-95F8-4131-82AB-651E8A7803A5}"/>
            </c:ext>
          </c:extLst>
        </c:ser>
        <c:dLbls>
          <c:showLegendKey val="0"/>
          <c:showVal val="0"/>
          <c:showCatName val="0"/>
          <c:showSerName val="0"/>
          <c:showPercent val="0"/>
          <c:showBubbleSize val="0"/>
        </c:dLbls>
        <c:marker val="1"/>
        <c:smooth val="0"/>
        <c:axId val="1028800808"/>
        <c:axId val="1028799496"/>
      </c:lineChart>
      <c:catAx>
        <c:axId val="1821302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21302783"/>
        <c:crosses val="autoZero"/>
        <c:auto val="1"/>
        <c:lblAlgn val="ctr"/>
        <c:lblOffset val="100"/>
        <c:noMultiLvlLbl val="0"/>
      </c:catAx>
      <c:valAx>
        <c:axId val="1821302783"/>
        <c:scaling>
          <c:orientation val="minMax"/>
          <c:max val="150000"/>
          <c:min val="2000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21302367"/>
        <c:crosses val="autoZero"/>
        <c:crossBetween val="between"/>
        <c:dispUnits>
          <c:builtInUnit val="thousands"/>
        </c:dispUnits>
      </c:valAx>
      <c:valAx>
        <c:axId val="1028799496"/>
        <c:scaling>
          <c:orientation val="minMax"/>
          <c:min val="-1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28800808"/>
        <c:crosses val="max"/>
        <c:crossBetween val="between"/>
        <c:majorUnit val="5"/>
      </c:valAx>
      <c:catAx>
        <c:axId val="1028800808"/>
        <c:scaling>
          <c:orientation val="minMax"/>
        </c:scaling>
        <c:delete val="1"/>
        <c:axPos val="b"/>
        <c:numFmt formatCode="General" sourceLinked="1"/>
        <c:majorTickMark val="out"/>
        <c:minorTickMark val="none"/>
        <c:tickLblPos val="nextTo"/>
        <c:crossAx val="1028799496"/>
        <c:crosses val="autoZero"/>
        <c:auto val="1"/>
        <c:lblAlgn val="ctr"/>
        <c:lblOffset val="100"/>
        <c:noMultiLvlLbl val="0"/>
      </c:catAx>
      <c:spPr>
        <a:blipFill dpi="0" rotWithShape="1">
          <a:blip xmlns:r="http://schemas.openxmlformats.org/officeDocument/2006/relationships" r:embed="rId4"/>
          <a:srcRect/>
          <a:stretch>
            <a:fillRect l="36000"/>
          </a:stretch>
        </a:blipFill>
        <a:ln>
          <a:noFill/>
        </a:ln>
        <a:effectLst/>
      </c:spPr>
    </c:plotArea>
    <c:legend>
      <c:legendPos val="b"/>
      <c:layout>
        <c:manualLayout>
          <c:xMode val="edge"/>
          <c:yMode val="edge"/>
          <c:x val="0.12910098566446318"/>
          <c:y val="0.89041399180862468"/>
          <c:w val="0.78025657751685129"/>
          <c:h val="0.1083821631821139"/>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5">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485107120921058E-2"/>
          <c:y val="8.2582582582582581E-2"/>
          <c:w val="0.88145733114727509"/>
          <c:h val="0.69519367312135671"/>
        </c:manualLayout>
      </c:layout>
      <c:barChart>
        <c:barDir val="col"/>
        <c:grouping val="clustered"/>
        <c:varyColors val="0"/>
        <c:ser>
          <c:idx val="1"/>
          <c:order val="0"/>
          <c:tx>
            <c:strRef>
              <c:f>'[Макро төсөөлөл 2025 ТХМ СЯ_2.xlsx]Гадаад худалдаа СЯ by comp шинэ'!$B$8</c:f>
              <c:strCache>
                <c:ptCount val="1"/>
                <c:pt idx="0">
                  <c:v>Нийт экспорт</c:v>
                </c:pt>
              </c:strCache>
            </c:strRef>
          </c:tx>
          <c:spPr>
            <a:solidFill>
              <a:srgbClr val="333F50"/>
            </a:solidFill>
            <a:ln>
              <a:noFill/>
            </a:ln>
            <a:effectLst/>
          </c:spPr>
          <c:invertIfNegative val="0"/>
          <c:cat>
            <c:strRef>
              <c:f>'[Макро төсөөлөл 2025 ТХМ СЯ_2.xlsx]Гадаад худалдаа СЯ by comp шинэ'!$L$5:$Q$5</c:f>
              <c:strCache>
                <c:ptCount val="6"/>
                <c:pt idx="0">
                  <c:v>2022</c:v>
                </c:pt>
                <c:pt idx="1">
                  <c:v>2023</c:v>
                </c:pt>
                <c:pt idx="2">
                  <c:v>2024*</c:v>
                </c:pt>
                <c:pt idx="3">
                  <c:v>2025*</c:v>
                </c:pt>
                <c:pt idx="4">
                  <c:v>2026*</c:v>
                </c:pt>
                <c:pt idx="5">
                  <c:v>2027*</c:v>
                </c:pt>
              </c:strCache>
            </c:strRef>
          </c:cat>
          <c:val>
            <c:numRef>
              <c:f>'[Макро төсөөлөл 2025 ТХМ СЯ_2.xlsx]Гадаад худалдаа СЯ by comp шинэ'!$L$8:$Q$8</c:f>
              <c:numCache>
                <c:formatCode>#,##0</c:formatCode>
                <c:ptCount val="6"/>
                <c:pt idx="0">
                  <c:v>12540</c:v>
                </c:pt>
                <c:pt idx="1">
                  <c:v>15184.462711120999</c:v>
                </c:pt>
                <c:pt idx="2">
                  <c:v>17360.158559792282</c:v>
                </c:pt>
                <c:pt idx="3">
                  <c:v>19249.821644389453</c:v>
                </c:pt>
                <c:pt idx="4">
                  <c:v>21049.547285438704</c:v>
                </c:pt>
                <c:pt idx="5">
                  <c:v>22750.475442279203</c:v>
                </c:pt>
              </c:numCache>
            </c:numRef>
          </c:val>
          <c:extLst>
            <c:ext xmlns:c16="http://schemas.microsoft.com/office/drawing/2014/chart" uri="{C3380CC4-5D6E-409C-BE32-E72D297353CC}">
              <c16:uniqueId val="{00000002-2C46-4FF0-93B8-FA42E6B89063}"/>
            </c:ext>
          </c:extLst>
        </c:ser>
        <c:ser>
          <c:idx val="2"/>
          <c:order val="1"/>
          <c:tx>
            <c:strRef>
              <c:f>'[Макро төсөөлөл 2025 ТХМ СЯ_2.xlsx]Гадаад худалдаа СЯ by comp шинэ'!$B$9</c:f>
              <c:strCache>
                <c:ptCount val="1"/>
                <c:pt idx="0">
                  <c:v>Нийт импорт </c:v>
                </c:pt>
              </c:strCache>
            </c:strRef>
          </c:tx>
          <c:spPr>
            <a:solidFill>
              <a:schemeClr val="accent3"/>
            </a:solidFill>
            <a:ln>
              <a:noFill/>
            </a:ln>
            <a:effectLst/>
          </c:spPr>
          <c:invertIfNegative val="0"/>
          <c:cat>
            <c:strRef>
              <c:f>'[Макро төсөөлөл 2025 ТХМ СЯ_2.xlsx]Гадаад худалдаа СЯ by comp шинэ'!$L$5:$Q$5</c:f>
              <c:strCache>
                <c:ptCount val="6"/>
                <c:pt idx="0">
                  <c:v>2022</c:v>
                </c:pt>
                <c:pt idx="1">
                  <c:v>2023</c:v>
                </c:pt>
                <c:pt idx="2">
                  <c:v>2024*</c:v>
                </c:pt>
                <c:pt idx="3">
                  <c:v>2025*</c:v>
                </c:pt>
                <c:pt idx="4">
                  <c:v>2026*</c:v>
                </c:pt>
                <c:pt idx="5">
                  <c:v>2027*</c:v>
                </c:pt>
              </c:strCache>
            </c:strRef>
          </c:cat>
          <c:val>
            <c:numRef>
              <c:f>'[Макро төсөөлөл 2025 ТХМ СЯ_2.xlsx]Гадаад худалдаа СЯ by comp шинэ'!$L$7:$Q$7</c:f>
              <c:numCache>
                <c:formatCode>#,##0</c:formatCode>
                <c:ptCount val="6"/>
                <c:pt idx="0">
                  <c:v>8704</c:v>
                </c:pt>
                <c:pt idx="1">
                  <c:v>9252</c:v>
                </c:pt>
                <c:pt idx="2">
                  <c:v>11310</c:v>
                </c:pt>
                <c:pt idx="3">
                  <c:v>12060</c:v>
                </c:pt>
                <c:pt idx="4">
                  <c:v>12850</c:v>
                </c:pt>
                <c:pt idx="5">
                  <c:v>13700</c:v>
                </c:pt>
              </c:numCache>
            </c:numRef>
          </c:val>
          <c:extLst>
            <c:ext xmlns:c16="http://schemas.microsoft.com/office/drawing/2014/chart" uri="{C3380CC4-5D6E-409C-BE32-E72D297353CC}">
              <c16:uniqueId val="{00000005-2C46-4FF0-93B8-FA42E6B89063}"/>
            </c:ext>
          </c:extLst>
        </c:ser>
        <c:ser>
          <c:idx val="3"/>
          <c:order val="2"/>
          <c:tx>
            <c:strRef>
              <c:f>'[Макро төсөөлөл 2025 ТХМ СЯ_2.xlsx]Гадаад худалдаа СЯ by comp шинэ'!$B$6</c:f>
              <c:strCache>
                <c:ptCount val="1"/>
                <c:pt idx="0">
                  <c:v>Тэнцэл</c:v>
                </c:pt>
              </c:strCache>
            </c:strRef>
          </c:tx>
          <c:spPr>
            <a:solidFill>
              <a:schemeClr val="accent4"/>
            </a:solidFill>
            <a:ln>
              <a:noFill/>
            </a:ln>
            <a:effectLst/>
          </c:spPr>
          <c:invertIfNegative val="0"/>
          <c:cat>
            <c:strRef>
              <c:f>'[Макро төсөөлөл 2025 ТХМ СЯ_2.xlsx]Гадаад худалдаа СЯ by comp шинэ'!$L$5:$Q$5</c:f>
              <c:strCache>
                <c:ptCount val="6"/>
                <c:pt idx="0">
                  <c:v>2022</c:v>
                </c:pt>
                <c:pt idx="1">
                  <c:v>2023</c:v>
                </c:pt>
                <c:pt idx="2">
                  <c:v>2024*</c:v>
                </c:pt>
                <c:pt idx="3">
                  <c:v>2025*</c:v>
                </c:pt>
                <c:pt idx="4">
                  <c:v>2026*</c:v>
                </c:pt>
                <c:pt idx="5">
                  <c:v>2027*</c:v>
                </c:pt>
              </c:strCache>
            </c:strRef>
          </c:cat>
          <c:val>
            <c:numRef>
              <c:f>'[Макро төсөөлөл 2025 ТХМ СЯ_2.xlsx]Гадаад худалдаа СЯ by comp шинэ'!$L$9:$Q$9</c:f>
              <c:numCache>
                <c:formatCode>#,##0</c:formatCode>
                <c:ptCount val="6"/>
                <c:pt idx="0">
                  <c:v>3836</c:v>
                </c:pt>
                <c:pt idx="1">
                  <c:v>5932.4627111209993</c:v>
                </c:pt>
                <c:pt idx="2">
                  <c:v>6050.1585597922822</c:v>
                </c:pt>
                <c:pt idx="3">
                  <c:v>7189.8216443894526</c:v>
                </c:pt>
                <c:pt idx="4">
                  <c:v>8199.5472854387044</c:v>
                </c:pt>
                <c:pt idx="5">
                  <c:v>9050.475442279203</c:v>
                </c:pt>
              </c:numCache>
            </c:numRef>
          </c:val>
          <c:extLst>
            <c:ext xmlns:c16="http://schemas.microsoft.com/office/drawing/2014/chart" uri="{C3380CC4-5D6E-409C-BE32-E72D297353CC}">
              <c16:uniqueId val="{00000008-2C46-4FF0-93B8-FA42E6B89063}"/>
            </c:ext>
          </c:extLst>
        </c:ser>
        <c:dLbls>
          <c:showLegendKey val="0"/>
          <c:showVal val="0"/>
          <c:showCatName val="0"/>
          <c:showSerName val="0"/>
          <c:showPercent val="0"/>
          <c:showBubbleSize val="0"/>
        </c:dLbls>
        <c:gapWidth val="50"/>
        <c:axId val="1346166272"/>
        <c:axId val="1346165792"/>
      </c:barChart>
      <c:lineChart>
        <c:grouping val="standard"/>
        <c:varyColors val="0"/>
        <c:ser>
          <c:idx val="0"/>
          <c:order val="3"/>
          <c:tx>
            <c:strRef>
              <c:f>'[Макро төсөөлөл 2025 ТХМ СЯ_2.xlsx]Гадаад худалдаа СЯ by comp шинэ'!$B$7</c:f>
              <c:strCache>
                <c:ptCount val="1"/>
                <c:pt idx="0">
                  <c:v>Нийт эргэлт</c:v>
                </c:pt>
              </c:strCache>
            </c:strRef>
          </c:tx>
          <c:spPr>
            <a:ln w="22225" cap="rnd">
              <a:solidFill>
                <a:srgbClr val="11A795"/>
              </a:solidFill>
              <a:round/>
            </a:ln>
            <a:effectLst/>
          </c:spPr>
          <c:marker>
            <c:symbol val="circle"/>
            <c:size val="6"/>
            <c:spPr>
              <a:solidFill>
                <a:schemeClr val="bg1"/>
              </a:solidFill>
              <a:ln>
                <a:solidFill>
                  <a:srgbClr val="11A795"/>
                </a:solidFill>
              </a:ln>
            </c:spPr>
          </c:marker>
          <c:dPt>
            <c:idx val="6"/>
            <c:bubble3D val="0"/>
            <c:extLst>
              <c:ext xmlns:c16="http://schemas.microsoft.com/office/drawing/2014/chart" uri="{C3380CC4-5D6E-409C-BE32-E72D297353CC}">
                <c16:uniqueId val="{00000009-2C46-4FF0-93B8-FA42E6B89063}"/>
              </c:ext>
            </c:extLst>
          </c:dPt>
          <c:cat>
            <c:strRef>
              <c:f>'[Макро төсөөлөл 2025 ТХМ СЯ_2.xlsx]Гадаад худалдаа СЯ by comp шинэ'!$L$5:$Q$5</c:f>
              <c:strCache>
                <c:ptCount val="6"/>
                <c:pt idx="0">
                  <c:v>2022</c:v>
                </c:pt>
                <c:pt idx="1">
                  <c:v>2023</c:v>
                </c:pt>
                <c:pt idx="2">
                  <c:v>2024*</c:v>
                </c:pt>
                <c:pt idx="3">
                  <c:v>2025*</c:v>
                </c:pt>
                <c:pt idx="4">
                  <c:v>2026*</c:v>
                </c:pt>
                <c:pt idx="5">
                  <c:v>2027*</c:v>
                </c:pt>
              </c:strCache>
            </c:strRef>
          </c:cat>
          <c:val>
            <c:numRef>
              <c:f>'[Макро төсөөлөл 2025 ТХМ СЯ_2.xlsx]Гадаад худалдаа СЯ by comp шинэ'!$L$6:$Q$6</c:f>
              <c:numCache>
                <c:formatCode>#,##0</c:formatCode>
                <c:ptCount val="6"/>
                <c:pt idx="0">
                  <c:v>21244</c:v>
                </c:pt>
                <c:pt idx="1">
                  <c:v>24436.462711120999</c:v>
                </c:pt>
                <c:pt idx="2">
                  <c:v>28670.158559792282</c:v>
                </c:pt>
                <c:pt idx="3">
                  <c:v>31309.821644389453</c:v>
                </c:pt>
                <c:pt idx="4">
                  <c:v>33899.547285438704</c:v>
                </c:pt>
                <c:pt idx="5">
                  <c:v>36450.475442279203</c:v>
                </c:pt>
              </c:numCache>
            </c:numRef>
          </c:val>
          <c:smooth val="0"/>
          <c:extLst>
            <c:ext xmlns:c16="http://schemas.microsoft.com/office/drawing/2014/chart" uri="{C3380CC4-5D6E-409C-BE32-E72D297353CC}">
              <c16:uniqueId val="{0000000B-2C46-4FF0-93B8-FA42E6B89063}"/>
            </c:ext>
          </c:extLst>
        </c:ser>
        <c:dLbls>
          <c:showLegendKey val="0"/>
          <c:showVal val="0"/>
          <c:showCatName val="0"/>
          <c:showSerName val="0"/>
          <c:showPercent val="0"/>
          <c:showBubbleSize val="0"/>
        </c:dLbls>
        <c:marker val="1"/>
        <c:smooth val="0"/>
        <c:axId val="1346166272"/>
        <c:axId val="1346165792"/>
      </c:lineChart>
      <c:catAx>
        <c:axId val="134616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46165792"/>
        <c:crosses val="autoZero"/>
        <c:auto val="1"/>
        <c:lblAlgn val="ctr"/>
        <c:lblOffset val="100"/>
        <c:noMultiLvlLbl val="0"/>
      </c:catAx>
      <c:valAx>
        <c:axId val="1346165792"/>
        <c:scaling>
          <c:orientation val="minMax"/>
        </c:scaling>
        <c:delete val="0"/>
        <c:axPos val="l"/>
        <c:numFmt formatCode="#,##0" sourceLinked="1"/>
        <c:majorTickMark val="none"/>
        <c:minorTickMark val="none"/>
        <c:tickLblPos val="nextTo"/>
        <c:spPr>
          <a:noFill/>
          <a:ln>
            <a:noFill/>
          </a:ln>
          <a:effectLst/>
        </c:spPr>
        <c:txPr>
          <a:bodyPr rot="-60000000" vert="horz"/>
          <a:lstStyle/>
          <a:p>
            <a:pPr>
              <a:defRPr/>
            </a:pPr>
            <a:endParaRPr lang="en-US"/>
          </a:p>
        </c:txPr>
        <c:crossAx val="1346166272"/>
        <c:crosses val="autoZero"/>
        <c:crossBetween val="between"/>
        <c:majorUnit val="10000"/>
        <c:dispUnits>
          <c:builtInUnit val="thousands"/>
        </c:dispUnits>
      </c:valAx>
      <c:spPr>
        <a:blipFill dpi="0" rotWithShape="1">
          <a:blip xmlns:r="http://schemas.openxmlformats.org/officeDocument/2006/relationships" r:embed="rId2"/>
          <a:srcRect/>
          <a:stretch>
            <a:fillRect l="34000"/>
          </a:stretch>
        </a:blipFill>
      </c:spPr>
    </c:plotArea>
    <c:legend>
      <c:legendPos val="b"/>
      <c:layout>
        <c:manualLayout>
          <c:xMode val="edge"/>
          <c:yMode val="edge"/>
          <c:x val="0.14123187208234042"/>
          <c:y val="0.85735041423418012"/>
          <c:w val="0.69045397761298788"/>
          <c:h val="0.10970970105541637"/>
        </c:manualLayout>
      </c:layout>
      <c:overlay val="0"/>
      <c:spPr>
        <a:noFill/>
        <a:ln>
          <a:noFill/>
        </a:ln>
        <a:effectLst/>
      </c:spPr>
      <c:txPr>
        <a:bodyPr rot="0" vert="horz"/>
        <a:lstStyle/>
        <a:p>
          <a:pPr>
            <a:defRPr/>
          </a:pPr>
          <a:endParaRPr lang="en-US"/>
        </a:p>
      </c:txPr>
    </c:legend>
    <c:plotVisOnly val="1"/>
    <c:dispBlanksAs val="gap"/>
    <c:showDLblsOverMax val="0"/>
    <c:extLst/>
  </c:chart>
  <c:spPr>
    <a:noFill/>
    <a:ln>
      <a:noFill/>
    </a:ln>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88864142538977E-2"/>
          <c:y val="4.4444444444444453E-2"/>
          <c:w val="0.87435558790445322"/>
          <c:h val="0.8574747474747475"/>
        </c:manualLayout>
      </c:layout>
      <c:barChart>
        <c:barDir val="col"/>
        <c:grouping val="clustered"/>
        <c:varyColors val="0"/>
        <c:ser>
          <c:idx val="0"/>
          <c:order val="0"/>
          <c:tx>
            <c:strRef>
              <c:f>Sheet1!$B$1</c:f>
              <c:strCache>
                <c:ptCount val="1"/>
                <c:pt idx="0">
                  <c:v>Батлагдсан</c:v>
                </c:pt>
              </c:strCache>
            </c:strRef>
          </c:tx>
          <c:spPr>
            <a:solidFill>
              <a:srgbClr val="11A795"/>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_(* #,##0.0_);_(* \(#,##0.0\);_(* "-"??_);_(@_)</c:formatCode>
                <c:ptCount val="6"/>
                <c:pt idx="0">
                  <c:v>1698.1</c:v>
                </c:pt>
                <c:pt idx="1">
                  <c:v>1654.3</c:v>
                </c:pt>
                <c:pt idx="2">
                  <c:v>1685.2</c:v>
                </c:pt>
                <c:pt idx="3">
                  <c:v>1697.3</c:v>
                </c:pt>
                <c:pt idx="4">
                  <c:v>2965.6</c:v>
                </c:pt>
                <c:pt idx="5">
                  <c:v>3384.4</c:v>
                </c:pt>
              </c:numCache>
            </c:numRef>
          </c:val>
          <c:extLst>
            <c:ext xmlns:c16="http://schemas.microsoft.com/office/drawing/2014/chart" uri="{C3380CC4-5D6E-409C-BE32-E72D297353CC}">
              <c16:uniqueId val="{00000000-C5EB-41CD-B5FB-DF0582C7DFD9}"/>
            </c:ext>
          </c:extLst>
        </c:ser>
        <c:ser>
          <c:idx val="1"/>
          <c:order val="1"/>
          <c:tx>
            <c:strRef>
              <c:f>Sheet1!$C$1</c:f>
              <c:strCache>
                <c:ptCount val="1"/>
                <c:pt idx="0">
                  <c:v>Санхүүжсэн</c:v>
                </c:pt>
              </c:strCache>
            </c:strRef>
          </c:tx>
          <c:spPr>
            <a:solidFill>
              <a:srgbClr val="FFC000"/>
            </a:solidFill>
            <a:ln>
              <a:noFill/>
            </a:ln>
            <a:effectLst/>
          </c:spPr>
          <c:invertIfNegative val="0"/>
          <c:dLbls>
            <c:dLbl>
              <c:idx val="0"/>
              <c:layout>
                <c:manualLayout>
                  <c:x val="6.9444444444444232E-3"/>
                  <c:y val="1.19047619047619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EB-41CD-B5FB-DF0582C7DFD9}"/>
                </c:ext>
              </c:extLst>
            </c:dLbl>
            <c:dLbl>
              <c:idx val="1"/>
              <c:layout>
                <c:manualLayout>
                  <c:x val="1.388888888888884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EB-41CD-B5FB-DF0582C7DFD9}"/>
                </c:ext>
              </c:extLst>
            </c:dLbl>
            <c:dLbl>
              <c:idx val="2"/>
              <c:layout>
                <c:manualLayout>
                  <c:x val="6.9444444444443599E-3"/>
                  <c:y val="1.19047619047619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EB-41CD-B5FB-DF0582C7DFD9}"/>
                </c:ext>
              </c:extLst>
            </c:dLbl>
            <c:dLbl>
              <c:idx val="3"/>
              <c:layout>
                <c:manualLayout>
                  <c:x val="4.6296296296296294E-3"/>
                  <c:y val="7.9365079365079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EB-41CD-B5FB-DF0582C7DFD9}"/>
                </c:ext>
              </c:extLst>
            </c:dLbl>
            <c:dLbl>
              <c:idx val="4"/>
              <c:layout>
                <c:manualLayout>
                  <c:x val="1.6203703703703703E-2"/>
                  <c:y val="1.19047619047619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EB-41CD-B5FB-DF0582C7DFD9}"/>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Sheet1!$C$2:$C$7</c:f>
              <c:numCache>
                <c:formatCode>_(* #,##0.0_);_(* \(#,##0.0\);_(* "-"??_);_(@_)</c:formatCode>
                <c:ptCount val="6"/>
                <c:pt idx="0">
                  <c:v>1559.9</c:v>
                </c:pt>
                <c:pt idx="1">
                  <c:v>1414.6</c:v>
                </c:pt>
                <c:pt idx="2">
                  <c:v>1577.8</c:v>
                </c:pt>
                <c:pt idx="3">
                  <c:v>1539.7</c:v>
                </c:pt>
                <c:pt idx="4">
                  <c:v>2857.4</c:v>
                </c:pt>
              </c:numCache>
            </c:numRef>
          </c:val>
          <c:extLst>
            <c:ext xmlns:c16="http://schemas.microsoft.com/office/drawing/2014/chart" uri="{C3380CC4-5D6E-409C-BE32-E72D297353CC}">
              <c16:uniqueId val="{00000006-C5EB-41CD-B5FB-DF0582C7DFD9}"/>
            </c:ext>
          </c:extLst>
        </c:ser>
        <c:dLbls>
          <c:showLegendKey val="0"/>
          <c:showVal val="0"/>
          <c:showCatName val="0"/>
          <c:showSerName val="0"/>
          <c:showPercent val="0"/>
          <c:showBubbleSize val="0"/>
        </c:dLbls>
        <c:gapWidth val="100"/>
        <c:axId val="14870496"/>
        <c:axId val="14885856"/>
      </c:barChart>
      <c:catAx>
        <c:axId val="1487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885856"/>
        <c:crosses val="autoZero"/>
        <c:auto val="1"/>
        <c:lblAlgn val="ctr"/>
        <c:lblOffset val="100"/>
        <c:noMultiLvlLbl val="0"/>
      </c:catAx>
      <c:valAx>
        <c:axId val="14885856"/>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870496"/>
        <c:crosses val="autoZero"/>
        <c:crossBetween val="between"/>
        <c:dispUnits>
          <c:builtInUnit val="thousands"/>
        </c:dispUnits>
      </c:valAx>
      <c:spPr>
        <a:noFill/>
        <a:ln>
          <a:noFill/>
        </a:ln>
        <a:effectLst/>
      </c:spPr>
    </c:plotArea>
    <c:legend>
      <c:legendPos val="b"/>
      <c:layout>
        <c:manualLayout>
          <c:xMode val="edge"/>
          <c:yMode val="edge"/>
          <c:x val="8.0780520082048557E-2"/>
          <c:y val="4.666847986017602E-2"/>
          <c:w val="0.26676106663137694"/>
          <c:h val="0.1169677881173944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085797668515256E-2"/>
          <c:y val="5.6122448979591837E-2"/>
          <c:w val="0.87768011608918495"/>
          <c:h val="0.68335728599477763"/>
        </c:manualLayout>
      </c:layout>
      <c:barChart>
        <c:barDir val="col"/>
        <c:grouping val="stacked"/>
        <c:varyColors val="0"/>
        <c:ser>
          <c:idx val="0"/>
          <c:order val="0"/>
          <c:tx>
            <c:strRef>
              <c:f>Sheet1!$B$1</c:f>
              <c:strCache>
                <c:ptCount val="1"/>
                <c:pt idx="0">
                  <c:v>Засгийн газар</c:v>
                </c:pt>
              </c:strCache>
            </c:strRef>
          </c:tx>
          <c:spPr>
            <a:solidFill>
              <a:schemeClr val="bg2">
                <a:lumMod val="9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c:v>
                </c:pt>
                <c:pt idx="1">
                  <c:v>2019</c:v>
                </c:pt>
                <c:pt idx="2">
                  <c:v>2020</c:v>
                </c:pt>
                <c:pt idx="3">
                  <c:v>2021</c:v>
                </c:pt>
                <c:pt idx="4">
                  <c:v>2022</c:v>
                </c:pt>
                <c:pt idx="5">
                  <c:v>2023*</c:v>
                </c:pt>
              </c:strCache>
            </c:strRef>
          </c:cat>
          <c:val>
            <c:numRef>
              <c:f>Sheet1!$B$2:$B$7</c:f>
              <c:numCache>
                <c:formatCode>General</c:formatCode>
                <c:ptCount val="6"/>
                <c:pt idx="0">
                  <c:v>7184.2</c:v>
                </c:pt>
                <c:pt idx="1">
                  <c:v>7806.2</c:v>
                </c:pt>
                <c:pt idx="2">
                  <c:v>8653.7999999999993</c:v>
                </c:pt>
                <c:pt idx="3">
                  <c:v>8454.2000000000007</c:v>
                </c:pt>
                <c:pt idx="4">
                  <c:v>8009.41</c:v>
                </c:pt>
                <c:pt idx="5">
                  <c:v>7925.28</c:v>
                </c:pt>
              </c:numCache>
            </c:numRef>
          </c:val>
          <c:extLst>
            <c:ext xmlns:c16="http://schemas.microsoft.com/office/drawing/2014/chart" uri="{C3380CC4-5D6E-409C-BE32-E72D297353CC}">
              <c16:uniqueId val="{00000000-CC35-4CAE-BE8C-2B51114B86B3}"/>
            </c:ext>
          </c:extLst>
        </c:ser>
        <c:ser>
          <c:idx val="1"/>
          <c:order val="1"/>
          <c:tx>
            <c:strRef>
              <c:f>Sheet1!$C$1</c:f>
              <c:strCache>
                <c:ptCount val="1"/>
                <c:pt idx="0">
                  <c:v>Төвбанк</c:v>
                </c:pt>
              </c:strCache>
            </c:strRef>
          </c:tx>
          <c:spPr>
            <a:solidFill>
              <a:srgbClr val="FFC00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c:v>
                </c:pt>
                <c:pt idx="1">
                  <c:v>2019</c:v>
                </c:pt>
                <c:pt idx="2">
                  <c:v>2020</c:v>
                </c:pt>
                <c:pt idx="3">
                  <c:v>2021</c:v>
                </c:pt>
                <c:pt idx="4">
                  <c:v>2022</c:v>
                </c:pt>
                <c:pt idx="5">
                  <c:v>2023*</c:v>
                </c:pt>
              </c:strCache>
            </c:strRef>
          </c:cat>
          <c:val>
            <c:numRef>
              <c:f>Sheet1!$C$2:$C$7</c:f>
              <c:numCache>
                <c:formatCode>General</c:formatCode>
                <c:ptCount val="6"/>
                <c:pt idx="0">
                  <c:v>2030.2</c:v>
                </c:pt>
                <c:pt idx="1">
                  <c:v>1984.7</c:v>
                </c:pt>
                <c:pt idx="2">
                  <c:v>2221</c:v>
                </c:pt>
                <c:pt idx="3">
                  <c:v>2610</c:v>
                </c:pt>
                <c:pt idx="4">
                  <c:v>2178.23</c:v>
                </c:pt>
                <c:pt idx="5">
                  <c:v>1784.78</c:v>
                </c:pt>
              </c:numCache>
            </c:numRef>
          </c:val>
          <c:extLst>
            <c:ext xmlns:c16="http://schemas.microsoft.com/office/drawing/2014/chart" uri="{C3380CC4-5D6E-409C-BE32-E72D297353CC}">
              <c16:uniqueId val="{00000001-CC35-4CAE-BE8C-2B51114B86B3}"/>
            </c:ext>
          </c:extLst>
        </c:ser>
        <c:ser>
          <c:idx val="2"/>
          <c:order val="2"/>
          <c:tx>
            <c:strRef>
              <c:f>Sheet1!$D$1</c:f>
              <c:strCache>
                <c:ptCount val="1"/>
                <c:pt idx="0">
                  <c:v>Арилжааны банк</c:v>
                </c:pt>
              </c:strCache>
            </c:strRef>
          </c:tx>
          <c:spPr>
            <a:solidFill>
              <a:schemeClr val="accent2">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c:v>
                </c:pt>
                <c:pt idx="1">
                  <c:v>2019</c:v>
                </c:pt>
                <c:pt idx="2">
                  <c:v>2020</c:v>
                </c:pt>
                <c:pt idx="3">
                  <c:v>2021</c:v>
                </c:pt>
                <c:pt idx="4">
                  <c:v>2022</c:v>
                </c:pt>
                <c:pt idx="5">
                  <c:v>2023*</c:v>
                </c:pt>
              </c:strCache>
            </c:strRef>
          </c:cat>
          <c:val>
            <c:numRef>
              <c:f>Sheet1!$D$2:$D$7</c:f>
              <c:numCache>
                <c:formatCode>General</c:formatCode>
                <c:ptCount val="6"/>
                <c:pt idx="0">
                  <c:v>2230.4</c:v>
                </c:pt>
                <c:pt idx="1">
                  <c:v>2138</c:v>
                </c:pt>
                <c:pt idx="2">
                  <c:v>1650.9</c:v>
                </c:pt>
                <c:pt idx="3">
                  <c:v>1626.5</c:v>
                </c:pt>
                <c:pt idx="4">
                  <c:v>1560.05</c:v>
                </c:pt>
                <c:pt idx="5">
                  <c:v>1735.97</c:v>
                </c:pt>
              </c:numCache>
            </c:numRef>
          </c:val>
          <c:extLst>
            <c:ext xmlns:c16="http://schemas.microsoft.com/office/drawing/2014/chart" uri="{C3380CC4-5D6E-409C-BE32-E72D297353CC}">
              <c16:uniqueId val="{00000002-CC35-4CAE-BE8C-2B51114B86B3}"/>
            </c:ext>
          </c:extLst>
        </c:ser>
        <c:ser>
          <c:idx val="3"/>
          <c:order val="3"/>
          <c:tx>
            <c:strRef>
              <c:f>Sheet1!$E$1</c:f>
              <c:strCache>
                <c:ptCount val="1"/>
                <c:pt idx="0">
                  <c:v>Бусад салбар</c:v>
                </c:pt>
              </c:strCache>
            </c:strRef>
          </c:tx>
          <c:spPr>
            <a:solidFill>
              <a:schemeClr val="tx2">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c:v>
                </c:pt>
                <c:pt idx="1">
                  <c:v>2019</c:v>
                </c:pt>
                <c:pt idx="2">
                  <c:v>2020</c:v>
                </c:pt>
                <c:pt idx="3">
                  <c:v>2021</c:v>
                </c:pt>
                <c:pt idx="4">
                  <c:v>2022</c:v>
                </c:pt>
                <c:pt idx="5">
                  <c:v>2023*</c:v>
                </c:pt>
              </c:strCache>
            </c:strRef>
          </c:cat>
          <c:val>
            <c:numRef>
              <c:f>Sheet1!$E$2:$E$7</c:f>
              <c:numCache>
                <c:formatCode>General</c:formatCode>
                <c:ptCount val="6"/>
                <c:pt idx="0">
                  <c:v>8041.9</c:v>
                </c:pt>
                <c:pt idx="1">
                  <c:v>8407.2000000000007</c:v>
                </c:pt>
                <c:pt idx="2">
                  <c:v>8430.2000000000007</c:v>
                </c:pt>
                <c:pt idx="3">
                  <c:v>8842.5</c:v>
                </c:pt>
                <c:pt idx="4">
                  <c:v>9697.4699999999993</c:v>
                </c:pt>
                <c:pt idx="5">
                  <c:v>8297.5</c:v>
                </c:pt>
              </c:numCache>
            </c:numRef>
          </c:val>
          <c:extLst>
            <c:ext xmlns:c16="http://schemas.microsoft.com/office/drawing/2014/chart" uri="{C3380CC4-5D6E-409C-BE32-E72D297353CC}">
              <c16:uniqueId val="{00000003-CC35-4CAE-BE8C-2B51114B86B3}"/>
            </c:ext>
          </c:extLst>
        </c:ser>
        <c:ser>
          <c:idx val="4"/>
          <c:order val="4"/>
          <c:tx>
            <c:strRef>
              <c:f>Sheet1!$F$1</c:f>
              <c:strCache>
                <c:ptCount val="1"/>
                <c:pt idx="0">
                  <c:v>Компани хоорондын зээллэг</c:v>
                </c:pt>
              </c:strCache>
            </c:strRef>
          </c:tx>
          <c:spPr>
            <a:solidFill>
              <a:srgbClr val="11A795"/>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c:v>
                </c:pt>
                <c:pt idx="1">
                  <c:v>2019</c:v>
                </c:pt>
                <c:pt idx="2">
                  <c:v>2020</c:v>
                </c:pt>
                <c:pt idx="3">
                  <c:v>2021</c:v>
                </c:pt>
                <c:pt idx="4">
                  <c:v>2022</c:v>
                </c:pt>
                <c:pt idx="5">
                  <c:v>2023*</c:v>
                </c:pt>
              </c:strCache>
            </c:strRef>
          </c:cat>
          <c:val>
            <c:numRef>
              <c:f>Sheet1!$F$2:$F$7</c:f>
              <c:numCache>
                <c:formatCode>General</c:formatCode>
                <c:ptCount val="6"/>
                <c:pt idx="0">
                  <c:v>9228.2000000000007</c:v>
                </c:pt>
                <c:pt idx="1">
                  <c:v>10366.200000000001</c:v>
                </c:pt>
                <c:pt idx="2">
                  <c:v>11405.9</c:v>
                </c:pt>
                <c:pt idx="3">
                  <c:v>12272.2</c:v>
                </c:pt>
                <c:pt idx="4">
                  <c:v>12140.6</c:v>
                </c:pt>
                <c:pt idx="5">
                  <c:v>14826.27</c:v>
                </c:pt>
              </c:numCache>
            </c:numRef>
          </c:val>
          <c:extLst>
            <c:ext xmlns:c16="http://schemas.microsoft.com/office/drawing/2014/chart" uri="{C3380CC4-5D6E-409C-BE32-E72D297353CC}">
              <c16:uniqueId val="{00000004-CC35-4CAE-BE8C-2B51114B86B3}"/>
            </c:ext>
          </c:extLst>
        </c:ser>
        <c:dLbls>
          <c:dLblPos val="ctr"/>
          <c:showLegendKey val="0"/>
          <c:showVal val="1"/>
          <c:showCatName val="0"/>
          <c:showSerName val="0"/>
          <c:showPercent val="0"/>
          <c:showBubbleSize val="0"/>
        </c:dLbls>
        <c:gapWidth val="70"/>
        <c:overlap val="100"/>
        <c:axId val="89538464"/>
        <c:axId val="89533056"/>
      </c:barChart>
      <c:lineChart>
        <c:grouping val="standard"/>
        <c:varyColors val="0"/>
        <c:ser>
          <c:idx val="5"/>
          <c:order val="5"/>
          <c:tx>
            <c:strRef>
              <c:f>Sheet1!$G$1</c:f>
              <c:strCache>
                <c:ptCount val="1"/>
                <c:pt idx="0">
                  <c:v>     </c:v>
                </c:pt>
              </c:strCache>
            </c:strRef>
          </c:tx>
          <c:spPr>
            <a:ln w="28575" cap="rnd">
              <a:noFill/>
              <a:round/>
            </a:ln>
            <a:effectLst/>
          </c:spPr>
          <c:marker>
            <c:symbol val="circle"/>
            <c:size val="5"/>
            <c:spPr>
              <a:noFill/>
              <a:ln w="9525">
                <a:noFill/>
              </a:ln>
              <a:effectLst/>
            </c:spPr>
          </c:marker>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c:v>
                </c:pt>
                <c:pt idx="1">
                  <c:v>2019</c:v>
                </c:pt>
                <c:pt idx="2">
                  <c:v>2020</c:v>
                </c:pt>
                <c:pt idx="3">
                  <c:v>2021</c:v>
                </c:pt>
                <c:pt idx="4">
                  <c:v>2022</c:v>
                </c:pt>
                <c:pt idx="5">
                  <c:v>2023*</c:v>
                </c:pt>
              </c:strCache>
            </c:strRef>
          </c:cat>
          <c:val>
            <c:numRef>
              <c:f>Sheet1!$G$2:$G$7</c:f>
              <c:numCache>
                <c:formatCode>General</c:formatCode>
                <c:ptCount val="6"/>
                <c:pt idx="0">
                  <c:v>28714.899999999998</c:v>
                </c:pt>
                <c:pt idx="1">
                  <c:v>30702.3</c:v>
                </c:pt>
                <c:pt idx="2">
                  <c:v>32361.800000000003</c:v>
                </c:pt>
                <c:pt idx="3">
                  <c:v>33805.4</c:v>
                </c:pt>
                <c:pt idx="4">
                  <c:v>33585.759999999995</c:v>
                </c:pt>
                <c:pt idx="5">
                  <c:v>34569.800000000003</c:v>
                </c:pt>
              </c:numCache>
            </c:numRef>
          </c:val>
          <c:smooth val="0"/>
          <c:extLst>
            <c:ext xmlns:c16="http://schemas.microsoft.com/office/drawing/2014/chart" uri="{C3380CC4-5D6E-409C-BE32-E72D297353CC}">
              <c16:uniqueId val="{00000005-CC35-4CAE-BE8C-2B51114B86B3}"/>
            </c:ext>
          </c:extLst>
        </c:ser>
        <c:dLbls>
          <c:showLegendKey val="0"/>
          <c:showVal val="0"/>
          <c:showCatName val="0"/>
          <c:showSerName val="0"/>
          <c:showPercent val="0"/>
          <c:showBubbleSize val="0"/>
        </c:dLbls>
        <c:marker val="1"/>
        <c:smooth val="0"/>
        <c:axId val="89538464"/>
        <c:axId val="89533056"/>
      </c:lineChart>
      <c:catAx>
        <c:axId val="895384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533056"/>
        <c:crosses val="autoZero"/>
        <c:auto val="1"/>
        <c:lblAlgn val="ctr"/>
        <c:lblOffset val="100"/>
        <c:noMultiLvlLbl val="0"/>
      </c:catAx>
      <c:valAx>
        <c:axId val="89533056"/>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538464"/>
        <c:crosses val="autoZero"/>
        <c:crossBetween val="between"/>
      </c:valAx>
      <c:spPr>
        <a:noFill/>
        <a:ln>
          <a:noFill/>
        </a:ln>
        <a:effectLst/>
      </c:spPr>
    </c:plotArea>
    <c:legend>
      <c:legendPos val="b"/>
      <c:layout>
        <c:manualLayout>
          <c:xMode val="edge"/>
          <c:yMode val="edge"/>
          <c:x val="4.6305250182385349E-2"/>
          <c:y val="0.86143999352266054"/>
          <c:w val="0.95369474981761471"/>
          <c:h val="0.13856000647733943"/>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69631743630299"/>
          <c:y val="6.7155646640060407E-2"/>
          <c:w val="0.48397116299327214"/>
          <c:h val="0.84818415555198456"/>
        </c:manualLayout>
      </c:layout>
      <c:pieChart>
        <c:varyColors val="1"/>
        <c:ser>
          <c:idx val="0"/>
          <c:order val="0"/>
          <c:dPt>
            <c:idx val="0"/>
            <c:bubble3D val="0"/>
            <c:spPr>
              <a:solidFill>
                <a:srgbClr val="11A795"/>
              </a:solidFill>
              <a:ln w="19050">
                <a:solidFill>
                  <a:schemeClr val="lt1"/>
                </a:solidFill>
              </a:ln>
              <a:effectLst/>
            </c:spPr>
            <c:extLst>
              <c:ext xmlns:c16="http://schemas.microsoft.com/office/drawing/2014/chart" uri="{C3380CC4-5D6E-409C-BE32-E72D297353CC}">
                <c16:uniqueId val="{00000001-653B-4867-A619-8EC1C6CB6967}"/>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653B-4867-A619-8EC1C6CB6967}"/>
              </c:ext>
            </c:extLst>
          </c:dPt>
          <c:dPt>
            <c:idx val="2"/>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5-653B-4867-A619-8EC1C6CB6967}"/>
              </c:ext>
            </c:extLst>
          </c:dPt>
          <c:dPt>
            <c:idx val="3"/>
            <c:bubble3D val="0"/>
            <c:spPr>
              <a:solidFill>
                <a:srgbClr val="EA3A81"/>
              </a:solidFill>
              <a:ln w="19050">
                <a:solidFill>
                  <a:schemeClr val="lt1"/>
                </a:solidFill>
              </a:ln>
              <a:effectLst/>
            </c:spPr>
            <c:extLst>
              <c:ext xmlns:c16="http://schemas.microsoft.com/office/drawing/2014/chart" uri="{C3380CC4-5D6E-409C-BE32-E72D297353CC}">
                <c16:uniqueId val="{00000007-653B-4867-A619-8EC1C6CB6967}"/>
              </c:ext>
            </c:extLst>
          </c:dPt>
          <c:dPt>
            <c:idx val="4"/>
            <c:bubble3D val="0"/>
            <c:spPr>
              <a:solidFill>
                <a:schemeClr val="accent1"/>
              </a:solidFill>
              <a:ln w="19050">
                <a:solidFill>
                  <a:schemeClr val="lt1"/>
                </a:solidFill>
              </a:ln>
              <a:effectLst/>
            </c:spPr>
            <c:extLst>
              <c:ext xmlns:c16="http://schemas.microsoft.com/office/drawing/2014/chart" uri="{C3380CC4-5D6E-409C-BE32-E72D297353CC}">
                <c16:uniqueId val="{00000009-653B-4867-A619-8EC1C6CB6967}"/>
              </c:ext>
            </c:extLst>
          </c:dPt>
          <c:dPt>
            <c:idx val="5"/>
            <c:bubble3D val="0"/>
            <c:spPr>
              <a:solidFill>
                <a:srgbClr val="055957"/>
              </a:solidFill>
              <a:ln w="19050">
                <a:solidFill>
                  <a:schemeClr val="lt1"/>
                </a:solidFill>
              </a:ln>
              <a:effectLst/>
            </c:spPr>
            <c:extLst>
              <c:ext xmlns:c16="http://schemas.microsoft.com/office/drawing/2014/chart" uri="{C3380CC4-5D6E-409C-BE32-E72D297353CC}">
                <c16:uniqueId val="{0000000B-653B-4867-A619-8EC1C6CB6967}"/>
              </c:ext>
            </c:extLst>
          </c:dPt>
          <c:dPt>
            <c:idx val="6"/>
            <c:bubble3D val="0"/>
            <c:spPr>
              <a:solidFill>
                <a:schemeClr val="bg2">
                  <a:lumMod val="90000"/>
                </a:schemeClr>
              </a:solidFill>
              <a:ln w="19050">
                <a:solidFill>
                  <a:schemeClr val="lt1"/>
                </a:solidFill>
              </a:ln>
              <a:effectLst/>
            </c:spPr>
            <c:extLst>
              <c:ext xmlns:c16="http://schemas.microsoft.com/office/drawing/2014/chart" uri="{C3380CC4-5D6E-409C-BE32-E72D297353CC}">
                <c16:uniqueId val="{0000000D-653B-4867-A619-8EC1C6CB6967}"/>
              </c:ext>
            </c:extLst>
          </c:dPt>
          <c:dLbls>
            <c:dLbl>
              <c:idx val="0"/>
              <c:layout>
                <c:manualLayout>
                  <c:x val="6.5546205145636194E-2"/>
                  <c:y val="-6.57534246575342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501106734489127"/>
                      <c:h val="0.22560317059701082"/>
                    </c:manualLayout>
                  </c15:layout>
                </c:ext>
                <c:ext xmlns:c16="http://schemas.microsoft.com/office/drawing/2014/chart" uri="{C3380CC4-5D6E-409C-BE32-E72D297353CC}">
                  <c16:uniqueId val="{00000001-653B-4867-A619-8EC1C6CB6967}"/>
                </c:ext>
              </c:extLst>
            </c:dLbl>
            <c:dLbl>
              <c:idx val="1"/>
              <c:layout>
                <c:manualLayout>
                  <c:x val="0.31343130633707972"/>
                  <c:y val="-1.557085989449680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5967"/>
                        <a:gd name="adj2" fmla="val -63870"/>
                      </a:avLst>
                    </a:prstGeom>
                    <a:noFill/>
                    <a:ln>
                      <a:noFill/>
                    </a:ln>
                  </c15:spPr>
                  <c15:layout>
                    <c:manualLayout>
                      <c:w val="0.23828832873332573"/>
                      <c:h val="0.12323147007449201"/>
                    </c:manualLayout>
                  </c15:layout>
                </c:ext>
                <c:ext xmlns:c16="http://schemas.microsoft.com/office/drawing/2014/chart" uri="{C3380CC4-5D6E-409C-BE32-E72D297353CC}">
                  <c16:uniqueId val="{00000003-653B-4867-A619-8EC1C6CB6967}"/>
                </c:ext>
              </c:extLst>
            </c:dLbl>
            <c:dLbl>
              <c:idx val="2"/>
              <c:layout>
                <c:manualLayout>
                  <c:x val="-6.6957787481804962E-2"/>
                  <c:y val="6.02739726027397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53B-4867-A619-8EC1C6CB6967}"/>
                </c:ext>
              </c:extLst>
            </c:dLbl>
            <c:dLbl>
              <c:idx val="3"/>
              <c:layout>
                <c:manualLayout>
                  <c:x val="-7.8602620087336247E-2"/>
                  <c:y val="6.02739726027397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53B-4867-A619-8EC1C6CB6967}"/>
                </c:ext>
              </c:extLst>
            </c:dLbl>
            <c:dLbl>
              <c:idx val="4"/>
              <c:layout>
                <c:manualLayout>
                  <c:x val="-0.15429403202328967"/>
                  <c:y val="-4.38356164383561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53B-4867-A619-8EC1C6CB6967}"/>
                </c:ext>
              </c:extLst>
            </c:dLbl>
            <c:dLbl>
              <c:idx val="5"/>
              <c:layout>
                <c:manualLayout>
                  <c:x val="-6.3817004282496412E-2"/>
                  <c:y val="-8.077825562188732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53B-4867-A619-8EC1C6CB6967}"/>
                </c:ext>
              </c:extLst>
            </c:dLbl>
            <c:dLbl>
              <c:idx val="6"/>
              <c:layout>
                <c:manualLayout>
                  <c:x val="-3.2023289665211119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53B-4867-A619-8EC1C6CB696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Sheet1!$I$6:$I$12</c:f>
              <c:strCache>
                <c:ptCount val="7"/>
                <c:pt idx="0">
                  <c:v>Олон зээлдэгч оролцсон</c:v>
                </c:pt>
                <c:pt idx="1">
                  <c:v>Нидерланд</c:v>
                </c:pt>
                <c:pt idx="2">
                  <c:v>БНХАУ</c:v>
                </c:pt>
                <c:pt idx="3">
                  <c:v>Сингапур</c:v>
                </c:pt>
                <c:pt idx="4">
                  <c:v>Япон</c:v>
                </c:pt>
                <c:pt idx="5">
                  <c:v>ИБУИНВУ</c:v>
                </c:pt>
                <c:pt idx="6">
                  <c:v>Бусад</c:v>
                </c:pt>
              </c:strCache>
            </c:strRef>
          </c:cat>
          <c:val>
            <c:numRef>
              <c:f>Sheet1!$K$6:$K$12</c:f>
              <c:numCache>
                <c:formatCode>0%</c:formatCode>
                <c:ptCount val="7"/>
                <c:pt idx="0">
                  <c:v>0.3486372498539187</c:v>
                </c:pt>
                <c:pt idx="1">
                  <c:v>0.34697336981990057</c:v>
                </c:pt>
                <c:pt idx="2">
                  <c:v>9.5561443803551069E-2</c:v>
                </c:pt>
                <c:pt idx="3">
                  <c:v>3.6685199220128549E-2</c:v>
                </c:pt>
                <c:pt idx="4">
                  <c:v>3.4982267759720909E-2</c:v>
                </c:pt>
                <c:pt idx="5">
                  <c:v>3.0312584973011127E-2</c:v>
                </c:pt>
                <c:pt idx="6">
                  <c:v>0.10684817383959407</c:v>
                </c:pt>
              </c:numCache>
            </c:numRef>
          </c:val>
          <c:extLst>
            <c:ext xmlns:c16="http://schemas.microsoft.com/office/drawing/2014/chart" uri="{C3380CC4-5D6E-409C-BE32-E72D297353CC}">
              <c16:uniqueId val="{0000000E-653B-4867-A619-8EC1C6CB696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2060"/>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1D-57FE-46FF-869C-D61106C885E6}"/>
              </c:ext>
            </c:extLst>
          </c:dPt>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1C-57FE-46FF-869C-D61106C885E6}"/>
              </c:ext>
            </c:extLst>
          </c:dPt>
          <c:dPt>
            <c:idx val="2"/>
            <c:invertIfNegative val="0"/>
            <c:bubble3D val="0"/>
            <c:spPr>
              <a:solidFill>
                <a:schemeClr val="accent1">
                  <a:lumMod val="75000"/>
                </a:schemeClr>
              </a:solidFill>
              <a:ln>
                <a:noFill/>
              </a:ln>
              <a:effectLst/>
            </c:spPr>
            <c:extLst>
              <c:ext xmlns:c16="http://schemas.microsoft.com/office/drawing/2014/chart" uri="{C3380CC4-5D6E-409C-BE32-E72D297353CC}">
                <c16:uniqueId val="{0000001B-57FE-46FF-869C-D61106C885E6}"/>
              </c:ext>
            </c:extLst>
          </c:dPt>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1A-57FE-46FF-869C-D61106C885E6}"/>
              </c:ext>
            </c:extLst>
          </c:dPt>
          <c:dPt>
            <c:idx val="4"/>
            <c:invertIfNegative val="0"/>
            <c:bubble3D val="0"/>
            <c:spPr>
              <a:solidFill>
                <a:schemeClr val="accent1">
                  <a:lumMod val="75000"/>
                </a:schemeClr>
              </a:solidFill>
              <a:ln>
                <a:noFill/>
              </a:ln>
              <a:effectLst/>
            </c:spPr>
            <c:extLst>
              <c:ext xmlns:c16="http://schemas.microsoft.com/office/drawing/2014/chart" uri="{C3380CC4-5D6E-409C-BE32-E72D297353CC}">
                <c16:uniqueId val="{00000019-57FE-46FF-869C-D61106C885E6}"/>
              </c:ext>
            </c:extLst>
          </c:dPt>
          <c:dPt>
            <c:idx val="5"/>
            <c:invertIfNegative val="0"/>
            <c:bubble3D val="0"/>
            <c:spPr>
              <a:solidFill>
                <a:schemeClr val="accent1">
                  <a:lumMod val="75000"/>
                </a:schemeClr>
              </a:solidFill>
              <a:ln>
                <a:noFill/>
              </a:ln>
              <a:effectLst/>
            </c:spPr>
            <c:extLst>
              <c:ext xmlns:c16="http://schemas.microsoft.com/office/drawing/2014/chart" uri="{C3380CC4-5D6E-409C-BE32-E72D297353CC}">
                <c16:uniqueId val="{00000018-57FE-46FF-869C-D61106C885E6}"/>
              </c:ext>
            </c:extLst>
          </c:dPt>
          <c:dPt>
            <c:idx val="6"/>
            <c:invertIfNegative val="0"/>
            <c:bubble3D val="0"/>
            <c:spPr>
              <a:solidFill>
                <a:schemeClr val="accent1">
                  <a:lumMod val="75000"/>
                </a:schemeClr>
              </a:solidFill>
              <a:ln>
                <a:noFill/>
              </a:ln>
              <a:effectLst/>
            </c:spPr>
            <c:extLst>
              <c:ext xmlns:c16="http://schemas.microsoft.com/office/drawing/2014/chart" uri="{C3380CC4-5D6E-409C-BE32-E72D297353CC}">
                <c16:uniqueId val="{00000017-57FE-46FF-869C-D61106C885E6}"/>
              </c:ext>
            </c:extLst>
          </c:dPt>
          <c:dPt>
            <c:idx val="7"/>
            <c:invertIfNegative val="0"/>
            <c:bubble3D val="0"/>
            <c:spPr>
              <a:solidFill>
                <a:schemeClr val="accent1">
                  <a:lumMod val="75000"/>
                </a:schemeClr>
              </a:solidFill>
              <a:ln>
                <a:noFill/>
              </a:ln>
              <a:effectLst/>
            </c:spPr>
            <c:extLst>
              <c:ext xmlns:c16="http://schemas.microsoft.com/office/drawing/2014/chart" uri="{C3380CC4-5D6E-409C-BE32-E72D297353CC}">
                <c16:uniqueId val="{00000016-57FE-46FF-869C-D61106C885E6}"/>
              </c:ext>
            </c:extLst>
          </c:dPt>
          <c:dPt>
            <c:idx val="8"/>
            <c:invertIfNegative val="0"/>
            <c:bubble3D val="0"/>
            <c:spPr>
              <a:solidFill>
                <a:schemeClr val="accent1">
                  <a:lumMod val="75000"/>
                </a:schemeClr>
              </a:solidFill>
              <a:ln>
                <a:noFill/>
              </a:ln>
              <a:effectLst/>
            </c:spPr>
            <c:extLst>
              <c:ext xmlns:c16="http://schemas.microsoft.com/office/drawing/2014/chart" uri="{C3380CC4-5D6E-409C-BE32-E72D297353CC}">
                <c16:uniqueId val="{00000014-57FE-46FF-869C-D61106C885E6}"/>
              </c:ext>
            </c:extLst>
          </c:dPt>
          <c:dPt>
            <c:idx val="9"/>
            <c:invertIfNegative val="0"/>
            <c:bubble3D val="0"/>
            <c:spPr>
              <a:solidFill>
                <a:srgbClr val="11A795"/>
              </a:solidFill>
              <a:ln>
                <a:noFill/>
              </a:ln>
              <a:effectLst/>
            </c:spPr>
            <c:extLst>
              <c:ext xmlns:c16="http://schemas.microsoft.com/office/drawing/2014/chart" uri="{C3380CC4-5D6E-409C-BE32-E72D297353CC}">
                <c16:uniqueId val="{00000001-57FE-46FF-869C-D61106C885E6}"/>
              </c:ext>
            </c:extLst>
          </c:dPt>
          <c:dPt>
            <c:idx val="10"/>
            <c:invertIfNegative val="0"/>
            <c:bubble3D val="0"/>
            <c:spPr>
              <a:solidFill>
                <a:srgbClr val="11A795"/>
              </a:solidFill>
              <a:ln>
                <a:noFill/>
              </a:ln>
              <a:effectLst/>
            </c:spPr>
            <c:extLst>
              <c:ext xmlns:c16="http://schemas.microsoft.com/office/drawing/2014/chart" uri="{C3380CC4-5D6E-409C-BE32-E72D297353CC}">
                <c16:uniqueId val="{00000003-57FE-46FF-869C-D61106C885E6}"/>
              </c:ext>
            </c:extLst>
          </c:dPt>
          <c:dPt>
            <c:idx val="11"/>
            <c:invertIfNegative val="0"/>
            <c:bubble3D val="0"/>
            <c:spPr>
              <a:solidFill>
                <a:srgbClr val="11A795"/>
              </a:solidFill>
              <a:ln>
                <a:noFill/>
              </a:ln>
              <a:effectLst/>
            </c:spPr>
            <c:extLst>
              <c:ext xmlns:c16="http://schemas.microsoft.com/office/drawing/2014/chart" uri="{C3380CC4-5D6E-409C-BE32-E72D297353CC}">
                <c16:uniqueId val="{00000005-57FE-46FF-869C-D61106C885E6}"/>
              </c:ext>
            </c:extLst>
          </c:dPt>
          <c:dPt>
            <c:idx val="12"/>
            <c:invertIfNegative val="0"/>
            <c:bubble3D val="0"/>
            <c:spPr>
              <a:solidFill>
                <a:srgbClr val="11A795"/>
              </a:solidFill>
              <a:ln>
                <a:noFill/>
              </a:ln>
              <a:effectLst/>
            </c:spPr>
            <c:extLst>
              <c:ext xmlns:c16="http://schemas.microsoft.com/office/drawing/2014/chart" uri="{C3380CC4-5D6E-409C-BE32-E72D297353CC}">
                <c16:uniqueId val="{00000007-57FE-46FF-869C-D61106C885E6}"/>
              </c:ext>
            </c:extLst>
          </c:dPt>
          <c:dPt>
            <c:idx val="13"/>
            <c:invertIfNegative val="0"/>
            <c:bubble3D val="0"/>
            <c:spPr>
              <a:solidFill>
                <a:srgbClr val="FFC000"/>
              </a:solidFill>
              <a:ln>
                <a:noFill/>
              </a:ln>
              <a:effectLst/>
            </c:spPr>
            <c:extLst>
              <c:ext xmlns:c16="http://schemas.microsoft.com/office/drawing/2014/chart" uri="{C3380CC4-5D6E-409C-BE32-E72D297353CC}">
                <c16:uniqueId val="{00000009-57FE-46FF-869C-D61106C885E6}"/>
              </c:ext>
            </c:extLst>
          </c:dPt>
          <c:dPt>
            <c:idx val="14"/>
            <c:invertIfNegative val="0"/>
            <c:bubble3D val="0"/>
            <c:spPr>
              <a:solidFill>
                <a:srgbClr val="FFC000"/>
              </a:solidFill>
              <a:ln>
                <a:noFill/>
              </a:ln>
              <a:effectLst/>
            </c:spPr>
            <c:extLst>
              <c:ext xmlns:c16="http://schemas.microsoft.com/office/drawing/2014/chart" uri="{C3380CC4-5D6E-409C-BE32-E72D297353CC}">
                <c16:uniqueId val="{0000000B-57FE-46FF-869C-D61106C885E6}"/>
              </c:ext>
            </c:extLst>
          </c:dPt>
          <c:dPt>
            <c:idx val="15"/>
            <c:invertIfNegative val="0"/>
            <c:bubble3D val="0"/>
            <c:spPr>
              <a:solidFill>
                <a:srgbClr val="FFC000"/>
              </a:solidFill>
              <a:ln>
                <a:noFill/>
              </a:ln>
              <a:effectLst/>
            </c:spPr>
            <c:extLst>
              <c:ext xmlns:c16="http://schemas.microsoft.com/office/drawing/2014/chart" uri="{C3380CC4-5D6E-409C-BE32-E72D297353CC}">
                <c16:uniqueId val="{0000000D-57FE-46FF-869C-D61106C885E6}"/>
              </c:ext>
            </c:extLst>
          </c:dPt>
          <c:dPt>
            <c:idx val="16"/>
            <c:invertIfNegative val="0"/>
            <c:bubble3D val="0"/>
            <c:spPr>
              <a:solidFill>
                <a:srgbClr val="FFC000"/>
              </a:solidFill>
              <a:ln>
                <a:noFill/>
              </a:ln>
              <a:effectLst/>
            </c:spPr>
            <c:extLst>
              <c:ext xmlns:c16="http://schemas.microsoft.com/office/drawing/2014/chart" uri="{C3380CC4-5D6E-409C-BE32-E72D297353CC}">
                <c16:uniqueId val="{0000000F-57FE-46FF-869C-D61106C885E6}"/>
              </c:ext>
            </c:extLst>
          </c:dPt>
          <c:dPt>
            <c:idx val="17"/>
            <c:invertIfNegative val="0"/>
            <c:bubble3D val="0"/>
            <c:spPr>
              <a:solidFill>
                <a:srgbClr val="FFC000"/>
              </a:solidFill>
              <a:ln>
                <a:noFill/>
              </a:ln>
              <a:effectLst/>
            </c:spPr>
            <c:extLst>
              <c:ext xmlns:c16="http://schemas.microsoft.com/office/drawing/2014/chart" uri="{C3380CC4-5D6E-409C-BE32-E72D297353CC}">
                <c16:uniqueId val="{00000011-57FE-46FF-869C-D61106C885E6}"/>
              </c:ext>
            </c:extLst>
          </c:dPt>
          <c:dPt>
            <c:idx val="18"/>
            <c:invertIfNegative val="0"/>
            <c:bubble3D val="0"/>
            <c:spPr>
              <a:solidFill>
                <a:srgbClr val="FFC000"/>
              </a:solidFill>
              <a:ln>
                <a:noFill/>
              </a:ln>
              <a:effectLst/>
            </c:spPr>
            <c:extLst>
              <c:ext xmlns:c16="http://schemas.microsoft.com/office/drawing/2014/chart" uri="{C3380CC4-5D6E-409C-BE32-E72D297353CC}">
                <c16:uniqueId val="{00000013-57FE-46FF-869C-D61106C885E6}"/>
              </c:ext>
            </c:extLst>
          </c:dPt>
          <c:dLbls>
            <c:dLbl>
              <c:idx val="8"/>
              <c:layout>
                <c:manualLayout>
                  <c:x val="-2.8490028490028681E-2"/>
                  <c:y val="-3.77595972309628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7FE-46FF-869C-D61106C885E6}"/>
                </c:ext>
              </c:extLst>
            </c:dLbl>
            <c:numFmt formatCode="_(&quot;$&quot;* #,##0_);_(&quot;$&quot;* \(#,##0\);_(&quot;$&quot;* &quot;-&quot;_);_(@_)"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Sheet1!$A$1:$B$19</c:f>
              <c:multiLvlStrCache>
                <c:ptCount val="19"/>
                <c:lvl>
                  <c:pt idx="0">
                    <c:v>Төмөр зам​</c:v>
                  </c:pt>
                  <c:pt idx="1">
                    <c:v>Эрчим хүч​</c:v>
                  </c:pt>
                  <c:pt idx="2">
                    <c:v>Тээвэр ложистик​</c:v>
                  </c:pt>
                  <c:pt idx="3">
                    <c:v>Харилцаа холбоо​</c:v>
                  </c:pt>
                  <c:pt idx="4">
                    <c:v>Боомт​</c:v>
                  </c:pt>
                  <c:pt idx="5">
                    <c:v>Орон сууц, НАА​</c:v>
                  </c:pt>
                  <c:pt idx="6">
                    <c:v>Уул уурхай​</c:v>
                  </c:pt>
                  <c:pt idx="7">
                    <c:v>Агаарын тээвэр​</c:v>
                  </c:pt>
                  <c:pt idx="8">
                    <c:v>Авто зам​</c:v>
                  </c:pt>
                  <c:pt idx="9">
                    <c:v>Жижиг дунд​</c:v>
                  </c:pt>
                  <c:pt idx="10">
                    <c:v>Хөдөө аж ахуй ​</c:v>
                  </c:pt>
                  <c:pt idx="11">
                    <c:v>Банк санхүү​</c:v>
                  </c:pt>
                  <c:pt idx="12">
                    <c:v>Барааны зээл​</c:v>
                  </c:pt>
                  <c:pt idx="13">
                    <c:v>Эрүүл мэнд​</c:v>
                  </c:pt>
                  <c:pt idx="14">
                    <c:v>Боловсрол​</c:v>
                  </c:pt>
                  <c:pt idx="15">
                    <c:v>Нийгмийн халамж​</c:v>
                  </c:pt>
                  <c:pt idx="16">
                    <c:v>Байгаль.О, Аялал.Ж​</c:v>
                  </c:pt>
                  <c:pt idx="17">
                    <c:v>Засаглал​</c:v>
                  </c:pt>
                  <c:pt idx="18">
                    <c:v>Онцгой байдал​</c:v>
                  </c:pt>
                </c:lvl>
                <c:lvl>
                  <c:pt idx="0">
                    <c:v>Дэд бүтэц</c:v>
                  </c:pt>
                  <c:pt idx="9">
                    <c:v>Эргэлтийн хөрөнгө</c:v>
                  </c:pt>
                  <c:pt idx="13">
                    <c:v>Нийгэм</c:v>
                  </c:pt>
                </c:lvl>
              </c:multiLvlStrCache>
            </c:multiLvlStrRef>
          </c:cat>
          <c:val>
            <c:numRef>
              <c:f>Sheet1!$C$1:$C$19</c:f>
              <c:numCache>
                <c:formatCode>_(* #,##0.0_);_(* \(#,##0.0\);_(* "-"??_);_(@_)</c:formatCode>
                <c:ptCount val="19"/>
                <c:pt idx="0">
                  <c:v>24.587120820995199</c:v>
                </c:pt>
                <c:pt idx="1">
                  <c:v>178.05001149153455</c:v>
                </c:pt>
                <c:pt idx="2">
                  <c:v>134.83659704018041</c:v>
                </c:pt>
                <c:pt idx="3">
                  <c:v>134.71262836377204</c:v>
                </c:pt>
                <c:pt idx="4">
                  <c:v>174.44458915265756</c:v>
                </c:pt>
                <c:pt idx="5">
                  <c:v>342.26718484050082</c:v>
                </c:pt>
                <c:pt idx="6">
                  <c:v>399.74732780185263</c:v>
                </c:pt>
                <c:pt idx="7">
                  <c:v>669.22423814456681</c:v>
                </c:pt>
                <c:pt idx="8">
                  <c:v>952.64762458322366</c:v>
                </c:pt>
                <c:pt idx="9">
                  <c:v>170.48792223062344</c:v>
                </c:pt>
                <c:pt idx="10">
                  <c:v>210.90171073975506</c:v>
                </c:pt>
                <c:pt idx="11">
                  <c:v>529.96609164582094</c:v>
                </c:pt>
                <c:pt idx="12">
                  <c:v>641.43459318302178</c:v>
                </c:pt>
                <c:pt idx="13">
                  <c:v>120.85912877513564</c:v>
                </c:pt>
                <c:pt idx="14">
                  <c:v>170.14700837050037</c:v>
                </c:pt>
                <c:pt idx="15">
                  <c:v>187.5749381289117</c:v>
                </c:pt>
                <c:pt idx="16">
                  <c:v>265.04503016111465</c:v>
                </c:pt>
                <c:pt idx="17">
                  <c:v>455.45058640135096</c:v>
                </c:pt>
                <c:pt idx="18">
                  <c:v>440.6156681244816</c:v>
                </c:pt>
              </c:numCache>
            </c:numRef>
          </c:val>
          <c:extLst>
            <c:ext xmlns:c16="http://schemas.microsoft.com/office/drawing/2014/chart" uri="{C3380CC4-5D6E-409C-BE32-E72D297353CC}">
              <c16:uniqueId val="{00000015-57FE-46FF-869C-D61106C885E6}"/>
            </c:ext>
          </c:extLst>
        </c:ser>
        <c:dLbls>
          <c:showLegendKey val="0"/>
          <c:showVal val="0"/>
          <c:showCatName val="0"/>
          <c:showSerName val="0"/>
          <c:showPercent val="0"/>
          <c:showBubbleSize val="0"/>
        </c:dLbls>
        <c:gapWidth val="50"/>
        <c:axId val="1684240"/>
        <c:axId val="1688816"/>
      </c:barChart>
      <c:catAx>
        <c:axId val="1684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88816"/>
        <c:crosses val="autoZero"/>
        <c:auto val="1"/>
        <c:lblAlgn val="ctr"/>
        <c:lblOffset val="100"/>
        <c:noMultiLvlLbl val="0"/>
      </c:catAx>
      <c:valAx>
        <c:axId val="1688816"/>
        <c:scaling>
          <c:orientation val="minMax"/>
          <c:max val="800"/>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84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890249829882376E-2"/>
          <c:y val="0.13456020163544541"/>
          <c:w val="0.86029599957289082"/>
          <c:h val="0.7594985644844936"/>
        </c:manualLayout>
      </c:layout>
      <c:barChart>
        <c:barDir val="col"/>
        <c:grouping val="stacked"/>
        <c:varyColors val="0"/>
        <c:ser>
          <c:idx val="0"/>
          <c:order val="0"/>
          <c:tx>
            <c:strRef>
              <c:f>Sheet1!$C$3</c:f>
              <c:strCache>
                <c:ptCount val="1"/>
                <c:pt idx="0">
                  <c:v>Бөөний арилжаа</c:v>
                </c:pt>
              </c:strCache>
            </c:strRef>
          </c:tx>
          <c:spPr>
            <a:solidFill>
              <a:srgbClr val="11A795"/>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Sheet1!$D$2:$J$2</c:f>
              <c:numCache>
                <c:formatCode>General</c:formatCode>
                <c:ptCount val="7"/>
                <c:pt idx="0">
                  <c:v>2012</c:v>
                </c:pt>
                <c:pt idx="1">
                  <c:v>2013</c:v>
                </c:pt>
                <c:pt idx="2">
                  <c:v>2014</c:v>
                </c:pt>
                <c:pt idx="3">
                  <c:v>2015</c:v>
                </c:pt>
                <c:pt idx="4">
                  <c:v>2016</c:v>
                </c:pt>
                <c:pt idx="5">
                  <c:v>2017</c:v>
                </c:pt>
                <c:pt idx="6">
                  <c:v>2018</c:v>
                </c:pt>
              </c:numCache>
            </c:numRef>
          </c:cat>
          <c:val>
            <c:numRef>
              <c:f>Sheet1!$D$3:$J$3</c:f>
              <c:numCache>
                <c:formatCode>_-* #,##0.0_₮_-;\-* #,##0.0_₮_-;_-* "-"??_₮_-;_-@_-</c:formatCode>
                <c:ptCount val="7"/>
                <c:pt idx="0">
                  <c:v>269.99999999999994</c:v>
                </c:pt>
                <c:pt idx="1">
                  <c:v>2648.7</c:v>
                </c:pt>
                <c:pt idx="2">
                  <c:v>1979.2950000000001</c:v>
                </c:pt>
                <c:pt idx="3">
                  <c:v>1790.0150000000001</c:v>
                </c:pt>
                <c:pt idx="4">
                  <c:v>1764.8</c:v>
                </c:pt>
                <c:pt idx="5">
                  <c:v>2701.8</c:v>
                </c:pt>
              </c:numCache>
            </c:numRef>
          </c:val>
          <c:extLst>
            <c:ext xmlns:c16="http://schemas.microsoft.com/office/drawing/2014/chart" uri="{C3380CC4-5D6E-409C-BE32-E72D297353CC}">
              <c16:uniqueId val="{00000000-E768-4CF7-A5E9-243BF5909AFB}"/>
            </c:ext>
          </c:extLst>
        </c:ser>
        <c:ser>
          <c:idx val="1"/>
          <c:order val="1"/>
          <c:tx>
            <c:strRef>
              <c:f>Sheet1!$C$4</c:f>
              <c:strCache>
                <c:ptCount val="1"/>
                <c:pt idx="0">
                  <c:v>Жижиглэнгийн арилжаа</c:v>
                </c:pt>
              </c:strCache>
            </c:strRef>
          </c:tx>
          <c:spPr>
            <a:solidFill>
              <a:srgbClr val="A6A6A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A2E7-4569-B60F-5589F958E63B}"/>
                </c:ext>
              </c:extLst>
            </c:dLbl>
            <c:dLbl>
              <c:idx val="1"/>
              <c:delete val="1"/>
              <c:extLst>
                <c:ext xmlns:c15="http://schemas.microsoft.com/office/drawing/2012/chart" uri="{CE6537A1-D6FC-4f65-9D91-7224C49458BB}"/>
                <c:ext xmlns:c16="http://schemas.microsoft.com/office/drawing/2014/chart" uri="{C3380CC4-5D6E-409C-BE32-E72D297353CC}">
                  <c16:uniqueId val="{00000003-A2E7-4569-B60F-5589F958E63B}"/>
                </c:ext>
              </c:extLst>
            </c:dLbl>
            <c:spPr>
              <a:noFill/>
              <a:ln>
                <a:noFill/>
              </a:ln>
              <a:effectLst/>
            </c:spPr>
            <c:txPr>
              <a:bodyPr rot="0" spcFirstLastPara="1" vertOverflow="ellipsis" vert="horz" wrap="square" anchor="ctr" anchorCtr="1"/>
              <a:lstStyle/>
              <a:p>
                <a:pPr algn="ct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Sheet1!$D$2:$J$2</c:f>
              <c:numCache>
                <c:formatCode>General</c:formatCode>
                <c:ptCount val="7"/>
                <c:pt idx="0">
                  <c:v>2012</c:v>
                </c:pt>
                <c:pt idx="1">
                  <c:v>2013</c:v>
                </c:pt>
                <c:pt idx="2">
                  <c:v>2014</c:v>
                </c:pt>
                <c:pt idx="3">
                  <c:v>2015</c:v>
                </c:pt>
                <c:pt idx="4">
                  <c:v>2016</c:v>
                </c:pt>
                <c:pt idx="5">
                  <c:v>2017</c:v>
                </c:pt>
                <c:pt idx="6">
                  <c:v>2018</c:v>
                </c:pt>
              </c:numCache>
            </c:numRef>
          </c:cat>
          <c:val>
            <c:numRef>
              <c:f>Sheet1!$D$4:$J$4</c:f>
              <c:numCache>
                <c:formatCode>_-* #,##0.0_₮_-;\-* #,##0.0_₮_-;_-* "-"??_₮_-;_-@_-</c:formatCode>
                <c:ptCount val="7"/>
                <c:pt idx="0">
                  <c:v>0</c:v>
                </c:pt>
                <c:pt idx="1">
                  <c:v>0</c:v>
                </c:pt>
                <c:pt idx="2">
                  <c:v>37.553899999999999</c:v>
                </c:pt>
                <c:pt idx="3">
                  <c:v>538.78949999999998</c:v>
                </c:pt>
                <c:pt idx="4">
                  <c:v>305.36829999999998</c:v>
                </c:pt>
                <c:pt idx="5">
                  <c:v>674.84029999999996</c:v>
                </c:pt>
              </c:numCache>
            </c:numRef>
          </c:val>
          <c:extLst>
            <c:ext xmlns:c16="http://schemas.microsoft.com/office/drawing/2014/chart" uri="{C3380CC4-5D6E-409C-BE32-E72D297353CC}">
              <c16:uniqueId val="{00000001-E768-4CF7-A5E9-243BF5909AFB}"/>
            </c:ext>
          </c:extLst>
        </c:ser>
        <c:ser>
          <c:idx val="2"/>
          <c:order val="2"/>
          <c:tx>
            <c:strRef>
              <c:f>Sheet1!$C$5</c:f>
              <c:strCache>
                <c:ptCount val="1"/>
                <c:pt idx="0">
                  <c:v>Хаалттай арилжаа</c:v>
                </c:pt>
              </c:strCache>
            </c:strRef>
          </c:tx>
          <c:spPr>
            <a:solidFill>
              <a:srgbClr val="FFC000"/>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A2E7-4569-B60F-5589F958E63B}"/>
                </c:ext>
              </c:extLst>
            </c:dLbl>
            <c:dLbl>
              <c:idx val="3"/>
              <c:layout>
                <c:manualLayout>
                  <c:x val="-1.49685317000143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68-4CF7-A5E9-243BF5909AFB}"/>
                </c:ext>
              </c:extLst>
            </c:dLbl>
            <c:dLbl>
              <c:idx val="5"/>
              <c:delete val="1"/>
              <c:extLst>
                <c:ext xmlns:c15="http://schemas.microsoft.com/office/drawing/2012/chart" uri="{CE6537A1-D6FC-4f65-9D91-7224C49458BB}"/>
                <c:ext xmlns:c16="http://schemas.microsoft.com/office/drawing/2014/chart" uri="{C3380CC4-5D6E-409C-BE32-E72D297353CC}">
                  <c16:uniqueId val="{00000002-A2E7-4569-B60F-5589F958E63B}"/>
                </c:ext>
              </c:extLst>
            </c:dLbl>
            <c:spPr>
              <a:noFill/>
              <a:ln>
                <a:noFill/>
              </a:ln>
              <a:effectLst/>
            </c:spPr>
            <c:txPr>
              <a:bodyPr rot="0" spcFirstLastPara="1" vertOverflow="ellipsis" vert="horz" wrap="square" anchor="ctr" anchorCtr="1"/>
              <a:lstStyle/>
              <a:p>
                <a:pPr algn="ct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Sheet1!$D$2:$J$2</c:f>
              <c:numCache>
                <c:formatCode>General</c:formatCode>
                <c:ptCount val="7"/>
                <c:pt idx="0">
                  <c:v>2012</c:v>
                </c:pt>
                <c:pt idx="1">
                  <c:v>2013</c:v>
                </c:pt>
                <c:pt idx="2">
                  <c:v>2014</c:v>
                </c:pt>
                <c:pt idx="3">
                  <c:v>2015</c:v>
                </c:pt>
                <c:pt idx="4">
                  <c:v>2016</c:v>
                </c:pt>
                <c:pt idx="5">
                  <c:v>2017</c:v>
                </c:pt>
                <c:pt idx="6">
                  <c:v>2018</c:v>
                </c:pt>
              </c:numCache>
            </c:numRef>
          </c:cat>
          <c:val>
            <c:numRef>
              <c:f>Sheet1!$D$5:$J$5</c:f>
              <c:numCache>
                <c:formatCode>_-* #,##0.0_₮_-;\-* #,##0.0_₮_-;_-* "-"??_₮_-;_-@_-</c:formatCode>
                <c:ptCount val="7"/>
                <c:pt idx="0">
                  <c:v>611.62876000000006</c:v>
                </c:pt>
                <c:pt idx="1">
                  <c:v>0</c:v>
                </c:pt>
                <c:pt idx="2">
                  <c:v>571.71294999999998</c:v>
                </c:pt>
                <c:pt idx="3">
                  <c:v>216.64895000000001</c:v>
                </c:pt>
                <c:pt idx="4">
                  <c:v>1832.3650000000148</c:v>
                </c:pt>
                <c:pt idx="5">
                  <c:v>0</c:v>
                </c:pt>
              </c:numCache>
            </c:numRef>
          </c:val>
          <c:extLst>
            <c:ext xmlns:c16="http://schemas.microsoft.com/office/drawing/2014/chart" uri="{C3380CC4-5D6E-409C-BE32-E72D297353CC}">
              <c16:uniqueId val="{00000003-E768-4CF7-A5E9-243BF5909AFB}"/>
            </c:ext>
          </c:extLst>
        </c:ser>
        <c:dLbls>
          <c:showLegendKey val="0"/>
          <c:showVal val="0"/>
          <c:showCatName val="0"/>
          <c:showSerName val="0"/>
          <c:showPercent val="0"/>
          <c:showBubbleSize val="0"/>
        </c:dLbls>
        <c:gapWidth val="68"/>
        <c:overlap val="100"/>
        <c:axId val="770393839"/>
        <c:axId val="805136127"/>
      </c:barChart>
      <c:lineChart>
        <c:grouping val="standard"/>
        <c:varyColors val="0"/>
        <c:ser>
          <c:idx val="3"/>
          <c:order val="3"/>
          <c:tx>
            <c:strRef>
              <c:f>Sheet1!$C$6</c:f>
              <c:strCache>
                <c:ptCount val="1"/>
                <c:pt idx="0">
                  <c:v>Дундаж хүүгийн түвшин</c:v>
                </c:pt>
              </c:strCache>
            </c:strRef>
          </c:tx>
          <c:spPr>
            <a:ln w="28575" cap="rnd">
              <a:solidFill>
                <a:srgbClr val="AF2900"/>
              </a:solidFill>
              <a:round/>
            </a:ln>
            <a:effectLst/>
          </c:spPr>
          <c:marker>
            <c:symbol val="none"/>
          </c:marker>
          <c:dLbls>
            <c:dLbl>
              <c:idx val="1"/>
              <c:layout>
                <c:manualLayout>
                  <c:x val="-3.7943197851713656E-2"/>
                  <c:y val="-7.5206135971725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68-4CF7-A5E9-243BF5909AFB}"/>
                </c:ext>
              </c:extLst>
            </c:dLbl>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Sheet1!$D$2:$J$2</c:f>
              <c:numCache>
                <c:formatCode>General</c:formatCode>
                <c:ptCount val="7"/>
                <c:pt idx="0">
                  <c:v>2012</c:v>
                </c:pt>
                <c:pt idx="1">
                  <c:v>2013</c:v>
                </c:pt>
                <c:pt idx="2">
                  <c:v>2014</c:v>
                </c:pt>
                <c:pt idx="3">
                  <c:v>2015</c:v>
                </c:pt>
                <c:pt idx="4">
                  <c:v>2016</c:v>
                </c:pt>
                <c:pt idx="5">
                  <c:v>2017</c:v>
                </c:pt>
                <c:pt idx="6">
                  <c:v>2018</c:v>
                </c:pt>
              </c:numCache>
            </c:numRef>
          </c:cat>
          <c:val>
            <c:numRef>
              <c:f>Sheet1!$D$6:$J$6</c:f>
              <c:numCache>
                <c:formatCode>0.00%</c:formatCode>
                <c:ptCount val="7"/>
                <c:pt idx="0">
                  <c:v>0.128</c:v>
                </c:pt>
                <c:pt idx="1">
                  <c:v>9.6000000000000002E-2</c:v>
                </c:pt>
                <c:pt idx="2">
                  <c:v>0.123</c:v>
                </c:pt>
                <c:pt idx="3">
                  <c:v>0.14599999999999999</c:v>
                </c:pt>
                <c:pt idx="4">
                  <c:v>0.16900000000000001</c:v>
                </c:pt>
                <c:pt idx="5">
                  <c:v>0.13300000000000001</c:v>
                </c:pt>
              </c:numCache>
            </c:numRef>
          </c:val>
          <c:smooth val="0"/>
          <c:extLst>
            <c:ext xmlns:c16="http://schemas.microsoft.com/office/drawing/2014/chart" uri="{C3380CC4-5D6E-409C-BE32-E72D297353CC}">
              <c16:uniqueId val="{00000005-E768-4CF7-A5E9-243BF5909AFB}"/>
            </c:ext>
          </c:extLst>
        </c:ser>
        <c:dLbls>
          <c:showLegendKey val="0"/>
          <c:showVal val="0"/>
          <c:showCatName val="0"/>
          <c:showSerName val="0"/>
          <c:showPercent val="0"/>
          <c:showBubbleSize val="0"/>
        </c:dLbls>
        <c:marker val="1"/>
        <c:smooth val="0"/>
        <c:axId val="341931327"/>
        <c:axId val="341937983"/>
      </c:lineChart>
      <c:catAx>
        <c:axId val="77039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05136127"/>
        <c:crosses val="autoZero"/>
        <c:auto val="1"/>
        <c:lblAlgn val="ctr"/>
        <c:lblOffset val="100"/>
        <c:noMultiLvlLbl val="0"/>
      </c:catAx>
      <c:valAx>
        <c:axId val="805136127"/>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70393839"/>
        <c:crosses val="autoZero"/>
        <c:crossBetween val="between"/>
      </c:valAx>
      <c:valAx>
        <c:axId val="341937983"/>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1931327"/>
        <c:crosses val="max"/>
        <c:crossBetween val="between"/>
      </c:valAx>
      <c:catAx>
        <c:axId val="341931327"/>
        <c:scaling>
          <c:orientation val="minMax"/>
        </c:scaling>
        <c:delete val="1"/>
        <c:axPos val="b"/>
        <c:numFmt formatCode="General" sourceLinked="1"/>
        <c:majorTickMark val="out"/>
        <c:minorTickMark val="none"/>
        <c:tickLblPos val="nextTo"/>
        <c:crossAx val="341937983"/>
        <c:crosses val="autoZero"/>
        <c:auto val="1"/>
        <c:lblAlgn val="ctr"/>
        <c:lblOffset val="100"/>
        <c:noMultiLvlLbl val="0"/>
      </c:catAx>
      <c:spPr>
        <a:noFill/>
        <a:ln>
          <a:noFill/>
        </a:ln>
        <a:effectLst/>
      </c:spPr>
    </c:plotArea>
    <c:legend>
      <c:legendPos val="b"/>
      <c:layout>
        <c:manualLayout>
          <c:xMode val="edge"/>
          <c:yMode val="edge"/>
          <c:x val="1.2664629289117543E-2"/>
          <c:y val="3.6201774250514202E-4"/>
          <c:w val="0.98733534476414753"/>
          <c:h val="0.1179005190020154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034910834383588E-2"/>
          <c:y val="3.8417046632828168E-2"/>
          <c:w val="0.70748667429787138"/>
          <c:h val="0.85756310548531811"/>
        </c:manualLayout>
      </c:layout>
      <c:barChart>
        <c:barDir val="col"/>
        <c:grouping val="stacked"/>
        <c:varyColors val="0"/>
        <c:ser>
          <c:idx val="1"/>
          <c:order val="1"/>
          <c:tx>
            <c:v>Төсвийн тэнцэл /хүүгийн зардлыг цэвэрлэсэн/</c:v>
          </c:tx>
          <c:spPr>
            <a:solidFill>
              <a:srgbClr val="FFC000"/>
            </a:solidFill>
            <a:ln>
              <a:noFill/>
              <a:prstDash val="solid"/>
            </a:ln>
            <a:effectLst/>
          </c:spPr>
          <c:invertIfNegative val="0"/>
          <c:cat>
            <c:numRef>
              <c:f>(Baseline!$D$54:$O$54,Baseline!$R$54)</c:f>
              <c:numCache>
                <c:formatCode>General</c:formatCode>
                <c:ptCount val="13"/>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2030</c:v>
                </c:pt>
              </c:numCache>
              <c:extLst/>
            </c:numRef>
          </c:cat>
          <c:val>
            <c:numRef>
              <c:f>Baseline!$D$63:$O$63</c:f>
              <c:numCache>
                <c:formatCode>0.00</c:formatCode>
                <c:ptCount val="12"/>
                <c:pt idx="0">
                  <c:v>11.169028314733559</c:v>
                </c:pt>
                <c:pt idx="1">
                  <c:v>-0.34944084130314734</c:v>
                </c:pt>
                <c:pt idx="2">
                  <c:v>-5.8682164833178856</c:v>
                </c:pt>
                <c:pt idx="3">
                  <c:v>-3.3250554422517702</c:v>
                </c:pt>
                <c:pt idx="4">
                  <c:v>7.0332799806453972</c:v>
                </c:pt>
                <c:pt idx="5">
                  <c:v>3.1</c:v>
                </c:pt>
                <c:pt idx="6">
                  <c:v>0.4254644639229469</c:v>
                </c:pt>
                <c:pt idx="7">
                  <c:v>-2.6961727385849343</c:v>
                </c:pt>
                <c:pt idx="8">
                  <c:v>1.1804822889301698</c:v>
                </c:pt>
                <c:pt idx="9">
                  <c:v>0.62675619181602671</c:v>
                </c:pt>
                <c:pt idx="10">
                  <c:v>0.57060154227040971</c:v>
                </c:pt>
                <c:pt idx="11">
                  <c:v>0.55519809980855284</c:v>
                </c:pt>
              </c:numCache>
              <c:extLst/>
            </c:numRef>
          </c:val>
          <c:extLst>
            <c:ext xmlns:c16="http://schemas.microsoft.com/office/drawing/2014/chart" uri="{C3380CC4-5D6E-409C-BE32-E72D297353CC}">
              <c16:uniqueId val="{00000000-F451-4808-AFBE-4B0BF504401B}"/>
            </c:ext>
          </c:extLst>
        </c:ser>
        <c:ser>
          <c:idx val="3"/>
          <c:order val="2"/>
          <c:tx>
            <c:v>Бодит ДНБ-ний өсөлт</c:v>
          </c:tx>
          <c:spPr>
            <a:solidFill>
              <a:schemeClr val="accent1">
                <a:lumMod val="75000"/>
              </a:schemeClr>
            </a:solidFill>
            <a:ln>
              <a:noFill/>
              <a:prstDash val="solid"/>
            </a:ln>
            <a:effectLst/>
          </c:spPr>
          <c:invertIfNegative val="0"/>
          <c:cat>
            <c:numRef>
              <c:f>(Baseline!$D$54:$O$54,Baseline!$R$54)</c:f>
              <c:numCache>
                <c:formatCode>General</c:formatCode>
                <c:ptCount val="13"/>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2030</c:v>
                </c:pt>
              </c:numCache>
              <c:extLst/>
            </c:numRef>
          </c:cat>
          <c:val>
            <c:numRef>
              <c:f>Baseline!$D$67:$O$67</c:f>
              <c:numCache>
                <c:formatCode>0.00</c:formatCode>
                <c:ptCount val="12"/>
                <c:pt idx="0">
                  <c:v>-0.71915576324644626</c:v>
                </c:pt>
                <c:pt idx="1">
                  <c:v>-3.7872534045156292</c:v>
                </c:pt>
                <c:pt idx="2">
                  <c:v>-5.0367626209812286</c:v>
                </c:pt>
                <c:pt idx="3">
                  <c:v>-3.1607443013312468</c:v>
                </c:pt>
                <c:pt idx="4">
                  <c:v>2.8560755741378934</c:v>
                </c:pt>
                <c:pt idx="5">
                  <c:v>-0.99962972632037839</c:v>
                </c:pt>
                <c:pt idx="6">
                  <c:v>-2.464104689655124</c:v>
                </c:pt>
                <c:pt idx="7">
                  <c:v>-3.2392817844937145</c:v>
                </c:pt>
                <c:pt idx="8">
                  <c:v>-2.3409367967230748</c:v>
                </c:pt>
                <c:pt idx="9">
                  <c:v>-2.746154818048006</c:v>
                </c:pt>
                <c:pt idx="10">
                  <c:v>-2.3311189616003731</c:v>
                </c:pt>
                <c:pt idx="11">
                  <c:v>-1.9693307597951875</c:v>
                </c:pt>
              </c:numCache>
              <c:extLst/>
            </c:numRef>
          </c:val>
          <c:extLst>
            <c:ext xmlns:c16="http://schemas.microsoft.com/office/drawing/2014/chart" uri="{C3380CC4-5D6E-409C-BE32-E72D297353CC}">
              <c16:uniqueId val="{00000001-F451-4808-AFBE-4B0BF504401B}"/>
            </c:ext>
          </c:extLst>
        </c:ser>
        <c:ser>
          <c:idx val="2"/>
          <c:order val="3"/>
          <c:tx>
            <c:v>Бодит хүүгийн түвшин</c:v>
          </c:tx>
          <c:spPr>
            <a:solidFill>
              <a:schemeClr val="accent2"/>
            </a:solidFill>
            <a:ln>
              <a:noFill/>
              <a:prstDash val="solid"/>
            </a:ln>
            <a:effectLst/>
          </c:spPr>
          <c:invertIfNegative val="0"/>
          <c:cat>
            <c:numRef>
              <c:f>(Baseline!$D$54:$O$54,Baseline!$R$54)</c:f>
              <c:numCache>
                <c:formatCode>General</c:formatCode>
                <c:ptCount val="13"/>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2030</c:v>
                </c:pt>
              </c:numCache>
              <c:extLst/>
            </c:numRef>
          </c:cat>
          <c:val>
            <c:numRef>
              <c:f>Baseline!$D$66:$O$66</c:f>
              <c:numCache>
                <c:formatCode>0.00</c:formatCode>
                <c:ptCount val="12"/>
                <c:pt idx="0">
                  <c:v>2.6475956722597269</c:v>
                </c:pt>
                <c:pt idx="1">
                  <c:v>-2.6979584222707973</c:v>
                </c:pt>
                <c:pt idx="2">
                  <c:v>-1.8744403494232025</c:v>
                </c:pt>
                <c:pt idx="3">
                  <c:v>-3.1029568657120041</c:v>
                </c:pt>
                <c:pt idx="4">
                  <c:v>0.90365788478393438</c:v>
                </c:pt>
                <c:pt idx="5">
                  <c:v>-6.6139753911002135</c:v>
                </c:pt>
                <c:pt idx="6">
                  <c:v>-7.2393330779310388</c:v>
                </c:pt>
                <c:pt idx="7">
                  <c:v>-7.8694922509552283</c:v>
                </c:pt>
                <c:pt idx="8">
                  <c:v>-1.9066286757698694</c:v>
                </c:pt>
                <c:pt idx="9">
                  <c:v>-2.9329295740545889</c:v>
                </c:pt>
                <c:pt idx="10">
                  <c:v>0.16876801501850472</c:v>
                </c:pt>
                <c:pt idx="11">
                  <c:v>0.15428711868643805</c:v>
                </c:pt>
              </c:numCache>
              <c:extLst/>
            </c:numRef>
          </c:val>
          <c:extLst>
            <c:ext xmlns:c16="http://schemas.microsoft.com/office/drawing/2014/chart" uri="{C3380CC4-5D6E-409C-BE32-E72D297353CC}">
              <c16:uniqueId val="{00000002-F451-4808-AFBE-4B0BF504401B}"/>
            </c:ext>
          </c:extLst>
        </c:ser>
        <c:ser>
          <c:idx val="6"/>
          <c:order val="4"/>
          <c:tx>
            <c:v>Валютын ханшийн сулрал</c:v>
          </c:tx>
          <c:spPr>
            <a:solidFill>
              <a:srgbClr val="A6A6A6"/>
            </a:solidFill>
            <a:ln>
              <a:noFill/>
            </a:ln>
          </c:spPr>
          <c:invertIfNegative val="0"/>
          <c:cat>
            <c:numRef>
              <c:f>(Baseline!$D$54:$O$54,Baseline!$R$54)</c:f>
              <c:numCache>
                <c:formatCode>General</c:formatCode>
                <c:ptCount val="13"/>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2030</c:v>
                </c:pt>
              </c:numCache>
              <c:extLst/>
            </c:numRef>
          </c:cat>
          <c:val>
            <c:numRef>
              <c:f>Baseline!$D$68:$O$68</c:f>
              <c:numCache>
                <c:formatCode>0.00</c:formatCode>
                <c:ptCount val="12"/>
                <c:pt idx="0">
                  <c:v>6.6153364855027252</c:v>
                </c:pt>
                <c:pt idx="1">
                  <c:v>-0.96754120479439765</c:v>
                </c:pt>
                <c:pt idx="2">
                  <c:v>4.3320089531758255</c:v>
                </c:pt>
                <c:pt idx="3">
                  <c:v>1.6439648126548712</c:v>
                </c:pt>
                <c:pt idx="4">
                  <c:v>2.3217211847546522</c:v>
                </c:pt>
                <c:pt idx="5">
                  <c:v>9.8820119107447483E-3</c:v>
                </c:pt>
                <c:pt idx="6">
                  <c:v>9.4135193569289211</c:v>
                </c:pt>
                <c:pt idx="7">
                  <c:v>-0.41118676058960663</c:v>
                </c:pt>
                <c:pt idx="8">
                  <c:v>-0.33992513936498603</c:v>
                </c:pt>
                <c:pt idx="9">
                  <c:v>0.81103704121824927</c:v>
                </c:pt>
                <c:pt idx="10">
                  <c:v>0.82116327832854763</c:v>
                </c:pt>
                <c:pt idx="11">
                  <c:v>0.59983078243722188</c:v>
                </c:pt>
              </c:numCache>
              <c:extLst/>
            </c:numRef>
          </c:val>
          <c:extLst>
            <c:ext xmlns:c16="http://schemas.microsoft.com/office/drawing/2014/chart" uri="{C3380CC4-5D6E-409C-BE32-E72D297353CC}">
              <c16:uniqueId val="{00000003-F451-4808-AFBE-4B0BF504401B}"/>
            </c:ext>
          </c:extLst>
        </c:ser>
        <c:ser>
          <c:idx val="4"/>
          <c:order val="5"/>
          <c:tx>
            <c:v>Бусад өр үүсгэгч хүчин зүйлс</c:v>
          </c:tx>
          <c:spPr>
            <a:solidFill>
              <a:srgbClr val="055957"/>
            </a:solidFill>
            <a:ln>
              <a:noFill/>
              <a:prstDash val="solid"/>
            </a:ln>
            <a:effectLst/>
          </c:spPr>
          <c:invertIfNegative val="0"/>
          <c:cat>
            <c:numRef>
              <c:f>(Baseline!$D$54:$O$54,Baseline!$R$54)</c:f>
              <c:numCache>
                <c:formatCode>General</c:formatCode>
                <c:ptCount val="13"/>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2030</c:v>
                </c:pt>
              </c:numCache>
              <c:extLst/>
            </c:numRef>
          </c:cat>
          <c:val>
            <c:numRef>
              <c:f>Baseline!$D$70:$O$70</c:f>
              <c:numCache>
                <c:formatCode>0.00</c:formatCode>
                <c:ptCount val="12"/>
                <c:pt idx="0">
                  <c:v>8.5901000906936087</c:v>
                </c:pt>
                <c:pt idx="1">
                  <c:v>3.7146894888614348</c:v>
                </c:pt>
                <c:pt idx="2">
                  <c:v>-0.1497632143282166</c:v>
                </c:pt>
                <c:pt idx="3">
                  <c:v>4.6449300591045191</c:v>
                </c:pt>
                <c:pt idx="4">
                  <c:v>-3.1878420591284184</c:v>
                </c:pt>
                <c:pt idx="5">
                  <c:v>-1.5358226090707872</c:v>
                </c:pt>
                <c:pt idx="6">
                  <c:v>-1.42185921758967</c:v>
                </c:pt>
                <c:pt idx="7">
                  <c:v>-0.72831075753901797</c:v>
                </c:pt>
                <c:pt idx="8">
                  <c:v>0</c:v>
                </c:pt>
                <c:pt idx="9">
                  <c:v>0</c:v>
                </c:pt>
                <c:pt idx="10">
                  <c:v>0</c:v>
                </c:pt>
                <c:pt idx="11">
                  <c:v>0</c:v>
                </c:pt>
              </c:numCache>
              <c:extLst/>
            </c:numRef>
          </c:val>
          <c:extLst>
            <c:ext xmlns:c16="http://schemas.microsoft.com/office/drawing/2014/chart" uri="{C3380CC4-5D6E-409C-BE32-E72D297353CC}">
              <c16:uniqueId val="{00000004-F451-4808-AFBE-4B0BF504401B}"/>
            </c:ext>
          </c:extLst>
        </c:ser>
        <c:ser>
          <c:idx val="7"/>
          <c:order val="6"/>
          <c:tx>
            <c:v>Баталгааны үлдэгдлийн өөрчлөлт</c:v>
          </c:tx>
          <c:spPr>
            <a:solidFill>
              <a:srgbClr val="11A795"/>
            </a:solidFill>
            <a:ln>
              <a:noFill/>
            </a:ln>
          </c:spPr>
          <c:invertIfNegative val="0"/>
          <c:cat>
            <c:numRef>
              <c:f>Baseline!$D$54:$O$54</c:f>
              <c:numCache>
                <c:formatCode>General</c:formatCode>
                <c:ptCount val="12"/>
                <c:pt idx="0">
                  <c:v>2016</c:v>
                </c:pt>
                <c:pt idx="1">
                  <c:v>2017</c:v>
                </c:pt>
                <c:pt idx="2">
                  <c:v>2018</c:v>
                </c:pt>
                <c:pt idx="3">
                  <c:v>2019</c:v>
                </c:pt>
                <c:pt idx="4">
                  <c:v>2020</c:v>
                </c:pt>
                <c:pt idx="5">
                  <c:v>2021</c:v>
                </c:pt>
                <c:pt idx="6">
                  <c:v>2022</c:v>
                </c:pt>
                <c:pt idx="7">
                  <c:v>2023</c:v>
                </c:pt>
                <c:pt idx="8">
                  <c:v>2024</c:v>
                </c:pt>
                <c:pt idx="9">
                  <c:v>2025</c:v>
                </c:pt>
                <c:pt idx="10">
                  <c:v>2026</c:v>
                </c:pt>
                <c:pt idx="11">
                  <c:v>2027</c:v>
                </c:pt>
              </c:numCache>
              <c:extLst/>
            </c:numRef>
          </c:cat>
          <c:val>
            <c:numRef>
              <c:f>Baseline!$D$71:$O$71</c:f>
              <c:numCache>
                <c:formatCode>0.00</c:formatCode>
                <c:ptCount val="12"/>
                <c:pt idx="0">
                  <c:v>2.5645454825134522</c:v>
                </c:pt>
                <c:pt idx="1">
                  <c:v>-8.4473914787895321</c:v>
                </c:pt>
                <c:pt idx="2">
                  <c:v>-2.4793044536442248</c:v>
                </c:pt>
                <c:pt idx="3">
                  <c:v>-0.60165563097091512</c:v>
                </c:pt>
                <c:pt idx="4">
                  <c:v>-1.7878578195232198E-2</c:v>
                </c:pt>
                <c:pt idx="5">
                  <c:v>-0.83175033377896401</c:v>
                </c:pt>
                <c:pt idx="6">
                  <c:v>-0.56447351797088618</c:v>
                </c:pt>
                <c:pt idx="7">
                  <c:v>-1.4301596446597078</c:v>
                </c:pt>
                <c:pt idx="8">
                  <c:v>4.4936679786780651</c:v>
                </c:pt>
                <c:pt idx="9">
                  <c:v>1.0543682337894005</c:v>
                </c:pt>
                <c:pt idx="10">
                  <c:v>1.1168237133167578</c:v>
                </c:pt>
                <c:pt idx="11">
                  <c:v>0.91228007610942274</c:v>
                </c:pt>
              </c:numCache>
              <c:extLst/>
            </c:numRef>
          </c:val>
          <c:extLst>
            <c:ext xmlns:c16="http://schemas.microsoft.com/office/drawing/2014/chart" uri="{C3380CC4-5D6E-409C-BE32-E72D297353CC}">
              <c16:uniqueId val="{00000005-F451-4808-AFBE-4B0BF504401B}"/>
            </c:ext>
          </c:extLst>
        </c:ser>
        <c:dLbls>
          <c:showLegendKey val="0"/>
          <c:showVal val="0"/>
          <c:showCatName val="0"/>
          <c:showSerName val="0"/>
          <c:showPercent val="0"/>
          <c:showBubbleSize val="0"/>
        </c:dLbls>
        <c:gapWidth val="44"/>
        <c:overlap val="100"/>
        <c:axId val="138743168"/>
        <c:axId val="138744960"/>
      </c:barChart>
      <c:lineChart>
        <c:grouping val="stacked"/>
        <c:varyColors val="0"/>
        <c:ser>
          <c:idx val="0"/>
          <c:order val="0"/>
          <c:tx>
            <c:v>ЗГ-ын өрийн өөрчлөлт</c:v>
          </c:tx>
          <c:spPr>
            <a:ln w="22225">
              <a:solidFill>
                <a:srgbClr val="AF2900"/>
              </a:solidFill>
              <a:prstDash val="solid"/>
            </a:ln>
            <a:effectLst/>
          </c:spPr>
          <c:marker>
            <c:symbol val="none"/>
          </c:marker>
          <c:dLbls>
            <c:dLbl>
              <c:idx val="1"/>
              <c:layout>
                <c:manualLayout>
                  <c:x val="-5.0771111205548038E-2"/>
                  <c:y val="9.71697148491087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51-4808-AFBE-4B0BF504401B}"/>
                </c:ext>
              </c:extLst>
            </c:dLbl>
            <c:dLbl>
              <c:idx val="2"/>
              <c:layout>
                <c:manualLayout>
                  <c:x val="-4.8201077795113699E-2"/>
                  <c:y val="0.1020704744668494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51-4808-AFBE-4B0BF504401B}"/>
                </c:ext>
              </c:extLst>
            </c:dLbl>
            <c:dLbl>
              <c:idx val="3"/>
              <c:layout>
                <c:manualLayout>
                  <c:x val="-4.4339552004727265E-2"/>
                  <c:y val="0.1216735129378124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451-4808-AFBE-4B0BF504401B}"/>
                </c:ext>
              </c:extLst>
            </c:dLbl>
            <c:dLbl>
              <c:idx val="5"/>
              <c:layout>
                <c:manualLayout>
                  <c:x val="-5.3341144615982369E-2"/>
                  <c:y val="7.75666763781456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451-4808-AFBE-4B0BF504401B}"/>
                </c:ext>
              </c:extLst>
            </c:dLbl>
            <c:dLbl>
              <c:idx val="6"/>
              <c:layout>
                <c:manualLayout>
                  <c:x val="-4.1769518594292905E-2"/>
                  <c:y val="-0.1772728237443733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451-4808-AFBE-4B0BF504401B}"/>
                </c:ext>
              </c:extLst>
            </c:dLbl>
            <c:dLbl>
              <c:idx val="7"/>
              <c:layout>
                <c:manualLayout>
                  <c:x val="-4.8201077795113699E-2"/>
                  <c:y val="2.8559080200738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51-4808-AFBE-4B0BF504401B}"/>
                </c:ext>
              </c:extLst>
            </c:dLbl>
            <c:dLbl>
              <c:idx val="8"/>
              <c:layout>
                <c:manualLayout>
                  <c:x val="-3.7920944153376358E-2"/>
                  <c:y val="-8.90591506250398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451-4808-AFBE-4B0BF504401B}"/>
                </c:ext>
              </c:extLst>
            </c:dLbl>
            <c:dLbl>
              <c:idx val="9"/>
              <c:layout>
                <c:manualLayout>
                  <c:x val="-4.1769518594293002E-2"/>
                  <c:y val="6.28643975249233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451-4808-AFBE-4B0BF504401B}"/>
                </c:ext>
              </c:extLst>
            </c:dLbl>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Baseline!$D$54:$O$54</c:f>
              <c:numCache>
                <c:formatCode>General</c:formatCode>
                <c:ptCount val="12"/>
                <c:pt idx="0">
                  <c:v>2016</c:v>
                </c:pt>
                <c:pt idx="1">
                  <c:v>2017</c:v>
                </c:pt>
                <c:pt idx="2">
                  <c:v>2018</c:v>
                </c:pt>
                <c:pt idx="3">
                  <c:v>2019</c:v>
                </c:pt>
                <c:pt idx="4">
                  <c:v>2020</c:v>
                </c:pt>
                <c:pt idx="5">
                  <c:v>2021</c:v>
                </c:pt>
                <c:pt idx="6">
                  <c:v>2022</c:v>
                </c:pt>
                <c:pt idx="7">
                  <c:v>2023</c:v>
                </c:pt>
                <c:pt idx="8">
                  <c:v>2024</c:v>
                </c:pt>
                <c:pt idx="9">
                  <c:v>2025</c:v>
                </c:pt>
                <c:pt idx="10">
                  <c:v>2026</c:v>
                </c:pt>
                <c:pt idx="11">
                  <c:v>2027</c:v>
                </c:pt>
              </c:numCache>
              <c:extLst/>
            </c:numRef>
          </c:cat>
          <c:val>
            <c:numRef>
              <c:f>Baseline!$D$61:$O$61</c:f>
              <c:numCache>
                <c:formatCode>0.00</c:formatCode>
                <c:ptCount val="12"/>
                <c:pt idx="0">
                  <c:v>30.746449687813509</c:v>
                </c:pt>
                <c:pt idx="1">
                  <c:v>-11.439044828710422</c:v>
                </c:pt>
                <c:pt idx="2">
                  <c:v>-12.606114468323781</c:v>
                </c:pt>
                <c:pt idx="3">
                  <c:v>-4.0980988409383059</c:v>
                </c:pt>
                <c:pt idx="4">
                  <c:v>10.574234502615951</c:v>
                </c:pt>
                <c:pt idx="5">
                  <c:v>-12.913010505129222</c:v>
                </c:pt>
                <c:pt idx="6">
                  <c:v>-2.1115272494183586</c:v>
                </c:pt>
                <c:pt idx="7">
                  <c:v>-15.712516949127831</c:v>
                </c:pt>
                <c:pt idx="8">
                  <c:v>1.0866596557503172</c:v>
                </c:pt>
                <c:pt idx="9">
                  <c:v>-3.1869229252789282</c:v>
                </c:pt>
                <c:pt idx="10">
                  <c:v>0.34623758733384591</c:v>
                </c:pt>
                <c:pt idx="11">
                  <c:v>0.25226531724643309</c:v>
                </c:pt>
              </c:numCache>
              <c:extLst/>
            </c:numRef>
          </c:val>
          <c:smooth val="1"/>
          <c:extLst>
            <c:ext xmlns:c16="http://schemas.microsoft.com/office/drawing/2014/chart" uri="{C3380CC4-5D6E-409C-BE32-E72D297353CC}">
              <c16:uniqueId val="{0000000E-F451-4808-AFBE-4B0BF504401B}"/>
            </c:ext>
          </c:extLst>
        </c:ser>
        <c:dLbls>
          <c:showLegendKey val="0"/>
          <c:showVal val="0"/>
          <c:showCatName val="0"/>
          <c:showSerName val="0"/>
          <c:showPercent val="0"/>
          <c:showBubbleSize val="0"/>
        </c:dLbls>
        <c:marker val="1"/>
        <c:smooth val="0"/>
        <c:axId val="138743168"/>
        <c:axId val="138744960"/>
      </c:lineChart>
      <c:catAx>
        <c:axId val="138743168"/>
        <c:scaling>
          <c:orientation val="minMax"/>
        </c:scaling>
        <c:delete val="0"/>
        <c:axPos val="b"/>
        <c:numFmt formatCode="General" sourceLinked="1"/>
        <c:majorTickMark val="in"/>
        <c:minorTickMark val="none"/>
        <c:tickLblPos val="low"/>
        <c:spPr>
          <a:ln w="6350">
            <a:solidFill>
              <a:schemeClr val="tx1">
                <a:lumMod val="50000"/>
                <a:lumOff val="50000"/>
              </a:schemeClr>
            </a:solidFill>
            <a:prstDash val="solid"/>
          </a:ln>
        </c:spPr>
        <c:crossAx val="138744960"/>
        <c:crossesAt val="0"/>
        <c:auto val="1"/>
        <c:lblAlgn val="ctr"/>
        <c:lblOffset val="100"/>
        <c:tickLblSkip val="1"/>
        <c:tickMarkSkip val="2"/>
        <c:noMultiLvlLbl val="0"/>
      </c:catAx>
      <c:valAx>
        <c:axId val="138744960"/>
        <c:scaling>
          <c:orientation val="minMax"/>
          <c:max val="40"/>
          <c:min val="-25"/>
        </c:scaling>
        <c:delete val="0"/>
        <c:axPos val="l"/>
        <c:numFmt formatCode="#,##0" sourceLinked="0"/>
        <c:majorTickMark val="in"/>
        <c:minorTickMark val="none"/>
        <c:tickLblPos val="nextTo"/>
        <c:spPr>
          <a:ln w="6350">
            <a:solidFill>
              <a:schemeClr val="tx1">
                <a:lumMod val="50000"/>
                <a:lumOff val="50000"/>
              </a:schemeClr>
            </a:solidFill>
            <a:prstDash val="solid"/>
          </a:ln>
        </c:spPr>
        <c:crossAx val="138743168"/>
        <c:crosses val="autoZero"/>
        <c:crossBetween val="between"/>
      </c:valAx>
      <c:spPr>
        <a:noFill/>
        <a:ln w="25400">
          <a:noFill/>
          <a:prstDash val="solid"/>
        </a:ln>
      </c:spPr>
    </c:plotArea>
    <c:legend>
      <c:legendPos val="b"/>
      <c:layout>
        <c:manualLayout>
          <c:xMode val="edge"/>
          <c:yMode val="edge"/>
          <c:x val="0.72931962799804217"/>
          <c:y val="1.47565831204131E-2"/>
          <c:w val="0.26774120195328005"/>
          <c:h val="0.98365587672618249"/>
        </c:manualLayout>
      </c:layout>
      <c:overlay val="0"/>
    </c:legend>
    <c:plotVisOnly val="1"/>
    <c:dispBlanksAs val="zero"/>
    <c:showDLblsOverMax val="0"/>
  </c:chart>
  <c:spPr>
    <a:noFill/>
    <a:ln w="9525">
      <a:noFill/>
    </a:ln>
  </c:spPr>
  <c:txPr>
    <a:bodyPr/>
    <a:lstStyle/>
    <a:p>
      <a:pPr>
        <a:defRPr sz="7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'[ДЗЗ Үнэ.xlsx]Dashboard'!$C$35</c:f>
              <c:strCache>
                <c:ptCount val="1"/>
                <c:pt idx="0">
                  <c:v>Гүйцэтгэл</c:v>
                </c:pt>
              </c:strCache>
            </c:strRef>
          </c:tx>
          <c:spPr>
            <a:ln w="38100" cap="rnd">
              <a:solidFill>
                <a:srgbClr val="01B8AA"/>
              </a:solidFill>
              <a:round/>
            </a:ln>
            <a:effectLst/>
          </c:spPr>
          <c:marker>
            <c:symbol val="circle"/>
            <c:size val="5"/>
            <c:spPr>
              <a:solidFill>
                <a:srgbClr val="01B8AA"/>
              </a:solidFill>
              <a:ln w="9525">
                <a:solidFill>
                  <a:srgbClr val="01B8AA"/>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DFD0-474A-85B3-F9B21DA4A6BC}"/>
                </c:ext>
              </c:extLst>
            </c:dLbl>
            <c:numFmt formatCode="#,##0" sourceLinked="0"/>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'[ДЗЗ Үнэ.xlsx]Dashboard'!$D$5:$K$5</c:f>
              <c:strCache>
                <c:ptCount val="8"/>
                <c:pt idx="0">
                  <c:v>2019</c:v>
                </c:pt>
                <c:pt idx="1">
                  <c:v>2020</c:v>
                </c:pt>
                <c:pt idx="2">
                  <c:v>2021</c:v>
                </c:pt>
                <c:pt idx="3">
                  <c:v>2022</c:v>
                </c:pt>
                <c:pt idx="4">
                  <c:v>2023</c:v>
                </c:pt>
                <c:pt idx="5">
                  <c:v>2024*</c:v>
                </c:pt>
                <c:pt idx="6">
                  <c:v>2025*</c:v>
                </c:pt>
                <c:pt idx="7">
                  <c:v>2026*</c:v>
                </c:pt>
              </c:strCache>
            </c:strRef>
          </c:cat>
          <c:val>
            <c:numRef>
              <c:f>'[ДЗЗ Үнэ.xlsx]Dashboard'!$D$35:$J$35</c:f>
              <c:numCache>
                <c:formatCode>0</c:formatCode>
                <c:ptCount val="7"/>
                <c:pt idx="0" formatCode="General">
                  <c:v>1393</c:v>
                </c:pt>
                <c:pt idx="1">
                  <c:v>1771.6501526717564</c:v>
                </c:pt>
                <c:pt idx="2">
                  <c:v>1799.3473946360152</c:v>
                </c:pt>
                <c:pt idx="3">
                  <c:v>1802.4408076923064</c:v>
                </c:pt>
                <c:pt idx="4">
                  <c:v>1943.3448076923073</c:v>
                </c:pt>
              </c:numCache>
            </c:numRef>
          </c:val>
          <c:smooth val="1"/>
          <c:extLst>
            <c:ext xmlns:c16="http://schemas.microsoft.com/office/drawing/2014/chart" uri="{C3380CC4-5D6E-409C-BE32-E72D297353CC}">
              <c16:uniqueId val="{00000001-DFD0-474A-85B3-F9B21DA4A6BC}"/>
            </c:ext>
          </c:extLst>
        </c:ser>
        <c:ser>
          <c:idx val="2"/>
          <c:order val="1"/>
          <c:tx>
            <c:strRef>
              <c:f>'[ДЗЗ Үнэ.xlsx]Dashboard'!$C$39</c:f>
              <c:strCache>
                <c:ptCount val="1"/>
                <c:pt idx="0">
                  <c:v>Төсөөлөл </c:v>
                </c:pt>
              </c:strCache>
            </c:strRef>
          </c:tx>
          <c:spPr>
            <a:ln w="12700" cap="rnd">
              <a:solidFill>
                <a:srgbClr val="EA3A81"/>
              </a:solidFill>
              <a:prstDash val="dash"/>
              <a:round/>
            </a:ln>
            <a:effectLst/>
          </c:spPr>
          <c:marker>
            <c:symbol val="circle"/>
            <c:size val="5"/>
            <c:spPr>
              <a:solidFill>
                <a:srgbClr val="EA3A81"/>
              </a:solidFill>
              <a:ln w="9525">
                <a:solidFill>
                  <a:srgbClr val="EA3A81"/>
                </a:solidFill>
              </a:ln>
              <a:effectLst/>
            </c:spPr>
          </c:marker>
          <c:dPt>
            <c:idx val="4"/>
            <c:marker>
              <c:spPr>
                <a:solidFill>
                  <a:srgbClr val="01B8AA"/>
                </a:solidFill>
                <a:ln w="9525">
                  <a:noFill/>
                </a:ln>
                <a:effectLst/>
              </c:spPr>
            </c:marker>
            <c:bubble3D val="0"/>
            <c:spPr>
              <a:ln w="12700" cap="rnd">
                <a:noFill/>
                <a:prstDash val="dash"/>
                <a:round/>
              </a:ln>
              <a:effectLst/>
            </c:spPr>
            <c:extLst>
              <c:ext xmlns:c16="http://schemas.microsoft.com/office/drawing/2014/chart" uri="{C3380CC4-5D6E-409C-BE32-E72D297353CC}">
                <c16:uniqueId val="{00000003-DFD0-474A-85B3-F9B21DA4A6BC}"/>
              </c:ext>
            </c:extLst>
          </c:dPt>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D0-474A-85B3-F9B21DA4A6BC}"/>
                </c:ext>
              </c:extLst>
            </c:dLbl>
            <c:numFmt formatCode="#,##0" sourceLinked="0"/>
            <c:spPr>
              <a:noFill/>
              <a:ln>
                <a:noFill/>
              </a:ln>
              <a:effectLst/>
            </c:spPr>
            <c:txPr>
              <a:bodyPr rot="0" vert="horz"/>
              <a:lstStyle/>
              <a:p>
                <a:pPr>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'[ДЗЗ Үнэ.xlsx]Dashboard'!$D$5:$K$5</c:f>
              <c:strCache>
                <c:ptCount val="8"/>
                <c:pt idx="0">
                  <c:v>2019</c:v>
                </c:pt>
                <c:pt idx="1">
                  <c:v>2020</c:v>
                </c:pt>
                <c:pt idx="2">
                  <c:v>2021</c:v>
                </c:pt>
                <c:pt idx="3">
                  <c:v>2022</c:v>
                </c:pt>
                <c:pt idx="4">
                  <c:v>2023</c:v>
                </c:pt>
                <c:pt idx="5">
                  <c:v>2024*</c:v>
                </c:pt>
                <c:pt idx="6">
                  <c:v>2025*</c:v>
                </c:pt>
                <c:pt idx="7">
                  <c:v>2026*</c:v>
                </c:pt>
              </c:strCache>
            </c:strRef>
          </c:cat>
          <c:val>
            <c:numRef>
              <c:f>'[ДЗЗ Үнэ.xlsx]Dashboard'!$D$39:$J$39</c:f>
              <c:numCache>
                <c:formatCode>General</c:formatCode>
                <c:ptCount val="7"/>
                <c:pt idx="4" formatCode="0">
                  <c:v>1943.3448076923073</c:v>
                </c:pt>
                <c:pt idx="5" formatCode="0">
                  <c:v>1950</c:v>
                </c:pt>
                <c:pt idx="6" formatCode="0">
                  <c:v>1850</c:v>
                </c:pt>
              </c:numCache>
            </c:numRef>
          </c:val>
          <c:smooth val="1"/>
          <c:extLst>
            <c:ext xmlns:c16="http://schemas.microsoft.com/office/drawing/2014/chart" uri="{C3380CC4-5D6E-409C-BE32-E72D297353CC}">
              <c16:uniqueId val="{00000004-DFD0-474A-85B3-F9B21DA4A6BC}"/>
            </c:ext>
          </c:extLst>
        </c:ser>
        <c:ser>
          <c:idx val="3"/>
          <c:order val="2"/>
          <c:tx>
            <c:strRef>
              <c:f>'[ДЗЗ Үнэ.xlsx]Dashboard'!$C$38</c:f>
              <c:strCache>
                <c:ptCount val="1"/>
                <c:pt idx="0">
                  <c:v>I-III сарын дундаж</c:v>
                </c:pt>
              </c:strCache>
            </c:strRef>
          </c:tx>
          <c:spPr>
            <a:ln w="28575" cap="rnd">
              <a:noFill/>
              <a:round/>
            </a:ln>
            <a:effectLst/>
          </c:spPr>
          <c:marker>
            <c:symbol val="circle"/>
            <c:size val="5"/>
            <c:spPr>
              <a:solidFill>
                <a:srgbClr val="0B1E31"/>
              </a:solidFill>
              <a:ln w="9525">
                <a:noFill/>
              </a:ln>
              <a:effectLst/>
            </c:spPr>
          </c:marker>
          <c:cat>
            <c:strRef>
              <c:f>'[ДЗЗ Үнэ.xlsx]Dashboard'!$D$5:$K$5</c:f>
              <c:strCache>
                <c:ptCount val="8"/>
                <c:pt idx="0">
                  <c:v>2019</c:v>
                </c:pt>
                <c:pt idx="1">
                  <c:v>2020</c:v>
                </c:pt>
                <c:pt idx="2">
                  <c:v>2021</c:v>
                </c:pt>
                <c:pt idx="3">
                  <c:v>2022</c:v>
                </c:pt>
                <c:pt idx="4">
                  <c:v>2023</c:v>
                </c:pt>
                <c:pt idx="5">
                  <c:v>2024*</c:v>
                </c:pt>
                <c:pt idx="6">
                  <c:v>2025*</c:v>
                </c:pt>
                <c:pt idx="7">
                  <c:v>2026*</c:v>
                </c:pt>
              </c:strCache>
            </c:strRef>
          </c:cat>
          <c:val>
            <c:numRef>
              <c:f>'[ДЗЗ Үнэ.xlsx]Dashboard'!$D$38:$J$38</c:f>
              <c:numCache>
                <c:formatCode>General</c:formatCode>
                <c:ptCount val="7"/>
                <c:pt idx="5" formatCode="0">
                  <c:v>2157.0047058823529</c:v>
                </c:pt>
              </c:numCache>
            </c:numRef>
          </c:val>
          <c:smooth val="0"/>
          <c:extLst>
            <c:ext xmlns:c16="http://schemas.microsoft.com/office/drawing/2014/chart" uri="{C3380CC4-5D6E-409C-BE32-E72D297353CC}">
              <c16:uniqueId val="{00000005-DFD0-474A-85B3-F9B21DA4A6BC}"/>
            </c:ext>
          </c:extLst>
        </c:ser>
        <c:dLbls>
          <c:showLegendKey val="0"/>
          <c:showVal val="0"/>
          <c:showCatName val="0"/>
          <c:showSerName val="0"/>
          <c:showPercent val="0"/>
          <c:showBubbleSize val="0"/>
        </c:dLbls>
        <c:marker val="1"/>
        <c:smooth val="0"/>
        <c:axId val="1976636432"/>
        <c:axId val="1345705232"/>
      </c:lineChart>
      <c:catAx>
        <c:axId val="1976636432"/>
        <c:scaling>
          <c:orientation val="minMax"/>
        </c:scaling>
        <c:delete val="0"/>
        <c:axPos val="b"/>
        <c:majorGridlines>
          <c:spPr>
            <a:ln w="3175" cap="flat" cmpd="sng" algn="ctr">
              <a:solidFill>
                <a:schemeClr val="tx1">
                  <a:lumMod val="15000"/>
                  <a:lumOff val="85000"/>
                  <a:alpha val="90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alpha val="90000"/>
              </a:schemeClr>
            </a:solidFill>
            <a:round/>
          </a:ln>
          <a:effectLst/>
        </c:spPr>
        <c:txPr>
          <a:bodyPr rot="-60000000" vert="horz"/>
          <a:lstStyle/>
          <a:p>
            <a:pPr>
              <a:defRPr/>
            </a:pPr>
            <a:endParaRPr lang="en-US"/>
          </a:p>
        </c:txPr>
        <c:crossAx val="1345705232"/>
        <c:crosses val="autoZero"/>
        <c:auto val="1"/>
        <c:lblAlgn val="ctr"/>
        <c:lblOffset val="100"/>
        <c:noMultiLvlLbl val="0"/>
      </c:catAx>
      <c:valAx>
        <c:axId val="1345705232"/>
        <c:scaling>
          <c:orientation val="minMax"/>
          <c:max val="2200"/>
          <c:min val="1300"/>
        </c:scaling>
        <c:delete val="1"/>
        <c:axPos val="l"/>
        <c:majorGridlines>
          <c:spPr>
            <a:ln w="3175" cap="flat" cmpd="sng" algn="ctr">
              <a:solidFill>
                <a:schemeClr val="tx1">
                  <a:lumMod val="15000"/>
                  <a:lumOff val="85000"/>
                  <a:alpha val="90000"/>
                </a:schemeClr>
              </a:solidFill>
              <a:round/>
            </a:ln>
            <a:effectLst/>
          </c:spPr>
        </c:majorGridlines>
        <c:numFmt formatCode="0" sourceLinked="0"/>
        <c:majorTickMark val="out"/>
        <c:minorTickMark val="none"/>
        <c:tickLblPos val="nextTo"/>
        <c:crossAx val="1976636432"/>
        <c:crosses val="autoZero"/>
        <c:crossBetween val="between"/>
      </c:valAx>
    </c:plotArea>
    <c:legend>
      <c:legendPos val="t"/>
      <c:overlay val="0"/>
      <c:spPr>
        <a:noFill/>
        <a:ln>
          <a:noFill/>
        </a:ln>
        <a:effectLst/>
      </c:spPr>
      <c:txPr>
        <a:bodyPr rot="0" vert="horz"/>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700">
          <a:solidFill>
            <a:sysClr val="windowText" lastClr="000000"/>
          </a:solidFill>
          <a:latin typeface="Roboto" panose="02000000000000000000" pitchFamily="2" charset="0"/>
          <a:ea typeface="Roboto" panose="02000000000000000000" pitchFamily="2" charset="0"/>
          <a:cs typeface="Roboto" panose="02000000000000000000" pitchFamily="2"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'[ДЗЗ Үнэ.xlsx]Dashboard'!$C$22</c:f>
              <c:strCache>
                <c:ptCount val="1"/>
                <c:pt idx="0">
                  <c:v>Гүйцэтгэл</c:v>
                </c:pt>
              </c:strCache>
            </c:strRef>
          </c:tx>
          <c:spPr>
            <a:ln w="38100" cap="rnd">
              <a:solidFill>
                <a:srgbClr val="01B8AA"/>
              </a:solidFill>
              <a:round/>
            </a:ln>
            <a:effectLst/>
          </c:spPr>
          <c:marker>
            <c:symbol val="circle"/>
            <c:size val="5"/>
            <c:spPr>
              <a:solidFill>
                <a:srgbClr val="01B8AA"/>
              </a:solidFill>
              <a:ln w="9525">
                <a:solidFill>
                  <a:srgbClr val="01B8AA"/>
                </a:solidFill>
              </a:ln>
              <a:effectLst/>
            </c:spPr>
          </c:marker>
          <c:dLbls>
            <c:numFmt formatCode="#,##0" sourceLinked="0"/>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'[ДЗЗ Үнэ.xlsx]Dashboard'!$D$5:$K$5</c:f>
              <c:strCache>
                <c:ptCount val="8"/>
                <c:pt idx="0">
                  <c:v>2019</c:v>
                </c:pt>
                <c:pt idx="1">
                  <c:v>2020</c:v>
                </c:pt>
                <c:pt idx="2">
                  <c:v>2021</c:v>
                </c:pt>
                <c:pt idx="3">
                  <c:v>2022</c:v>
                </c:pt>
                <c:pt idx="4">
                  <c:v>2023</c:v>
                </c:pt>
                <c:pt idx="5">
                  <c:v>2024*</c:v>
                </c:pt>
                <c:pt idx="6">
                  <c:v>2025*</c:v>
                </c:pt>
                <c:pt idx="7">
                  <c:v>2026*</c:v>
                </c:pt>
              </c:strCache>
            </c:strRef>
          </c:cat>
          <c:val>
            <c:numRef>
              <c:f>'[ДЗЗ Үнэ.xlsx]Dashboard'!$D$22:$J$22</c:f>
              <c:numCache>
                <c:formatCode>0</c:formatCode>
                <c:ptCount val="7"/>
                <c:pt idx="0" formatCode="General">
                  <c:v>93</c:v>
                </c:pt>
                <c:pt idx="1">
                  <c:v>108.37446564885488</c:v>
                </c:pt>
                <c:pt idx="2">
                  <c:v>159.43203065134097</c:v>
                </c:pt>
                <c:pt idx="3">
                  <c:v>119.21545639999999</c:v>
                </c:pt>
                <c:pt idx="4">
                  <c:v>119.63419230769227</c:v>
                </c:pt>
              </c:numCache>
            </c:numRef>
          </c:val>
          <c:smooth val="1"/>
          <c:extLst>
            <c:ext xmlns:c16="http://schemas.microsoft.com/office/drawing/2014/chart" uri="{C3380CC4-5D6E-409C-BE32-E72D297353CC}">
              <c16:uniqueId val="{00000000-FCC7-41C7-B61E-D3A0A46F43F5}"/>
            </c:ext>
          </c:extLst>
        </c:ser>
        <c:ser>
          <c:idx val="2"/>
          <c:order val="1"/>
          <c:tx>
            <c:strRef>
              <c:f>'[ДЗЗ Үнэ.xlsx]Dashboard'!$C$26</c:f>
              <c:strCache>
                <c:ptCount val="1"/>
                <c:pt idx="0">
                  <c:v>Төсөөлөл </c:v>
                </c:pt>
              </c:strCache>
            </c:strRef>
          </c:tx>
          <c:spPr>
            <a:ln w="12700" cap="rnd">
              <a:solidFill>
                <a:srgbClr val="EA3A81"/>
              </a:solidFill>
              <a:prstDash val="dash"/>
              <a:round/>
            </a:ln>
            <a:effectLst/>
          </c:spPr>
          <c:marker>
            <c:symbol val="circle"/>
            <c:size val="5"/>
            <c:spPr>
              <a:solidFill>
                <a:srgbClr val="EA3A81"/>
              </a:solidFill>
              <a:ln w="9525">
                <a:solidFill>
                  <a:srgbClr val="EA3A81"/>
                </a:solidFill>
              </a:ln>
              <a:effectLst/>
            </c:spPr>
          </c:marker>
          <c:dPt>
            <c:idx val="4"/>
            <c:marker>
              <c:spPr>
                <a:solidFill>
                  <a:srgbClr val="01B8AA"/>
                </a:solidFill>
                <a:ln w="9525">
                  <a:noFill/>
                </a:ln>
                <a:effectLst/>
              </c:spPr>
            </c:marker>
            <c:bubble3D val="0"/>
            <c:spPr>
              <a:ln w="12700" cap="rnd">
                <a:noFill/>
                <a:prstDash val="dash"/>
                <a:round/>
              </a:ln>
              <a:effectLst/>
            </c:spPr>
            <c:extLst>
              <c:ext xmlns:c16="http://schemas.microsoft.com/office/drawing/2014/chart" uri="{C3380CC4-5D6E-409C-BE32-E72D297353CC}">
                <c16:uniqueId val="{00000002-FCC7-41C7-B61E-D3A0A46F43F5}"/>
              </c:ext>
            </c:extLst>
          </c:dPt>
          <c:dLbls>
            <c:dLbl>
              <c:idx val="4"/>
              <c:delete val="1"/>
              <c:extLst>
                <c:ext xmlns:c15="http://schemas.microsoft.com/office/drawing/2012/chart" uri="{CE6537A1-D6FC-4f65-9D91-7224C49458BB}"/>
                <c:ext xmlns:c16="http://schemas.microsoft.com/office/drawing/2014/chart" uri="{C3380CC4-5D6E-409C-BE32-E72D297353CC}">
                  <c16:uniqueId val="{00000002-FCC7-41C7-B61E-D3A0A46F43F5}"/>
                </c:ext>
              </c:extLst>
            </c:dLbl>
            <c:numFmt formatCode="#,##0" sourceLinked="0"/>
            <c:spPr>
              <a:noFill/>
              <a:ln>
                <a:noFill/>
              </a:ln>
              <a:effectLst/>
            </c:spPr>
            <c:txPr>
              <a:bodyPr rot="0" vert="horz"/>
              <a:lstStyle/>
              <a:p>
                <a:pPr>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'[ДЗЗ Үнэ.xlsx]Dashboard'!$D$5:$K$5</c:f>
              <c:strCache>
                <c:ptCount val="8"/>
                <c:pt idx="0">
                  <c:v>2019</c:v>
                </c:pt>
                <c:pt idx="1">
                  <c:v>2020</c:v>
                </c:pt>
                <c:pt idx="2">
                  <c:v>2021</c:v>
                </c:pt>
                <c:pt idx="3">
                  <c:v>2022</c:v>
                </c:pt>
                <c:pt idx="4">
                  <c:v>2023</c:v>
                </c:pt>
                <c:pt idx="5">
                  <c:v>2024*</c:v>
                </c:pt>
                <c:pt idx="6">
                  <c:v>2025*</c:v>
                </c:pt>
                <c:pt idx="7">
                  <c:v>2026*</c:v>
                </c:pt>
              </c:strCache>
            </c:strRef>
          </c:cat>
          <c:val>
            <c:numRef>
              <c:f>'[ДЗЗ Үнэ.xlsx]Dashboard'!$D$26:$J$26</c:f>
              <c:numCache>
                <c:formatCode>General</c:formatCode>
                <c:ptCount val="7"/>
                <c:pt idx="4" formatCode="0">
                  <c:v>119.63419230769227</c:v>
                </c:pt>
                <c:pt idx="5" formatCode="0">
                  <c:v>120</c:v>
                </c:pt>
                <c:pt idx="6" formatCode="0">
                  <c:v>100</c:v>
                </c:pt>
              </c:numCache>
            </c:numRef>
          </c:val>
          <c:smooth val="1"/>
          <c:extLst>
            <c:ext xmlns:c16="http://schemas.microsoft.com/office/drawing/2014/chart" uri="{C3380CC4-5D6E-409C-BE32-E72D297353CC}">
              <c16:uniqueId val="{00000003-FCC7-41C7-B61E-D3A0A46F43F5}"/>
            </c:ext>
          </c:extLst>
        </c:ser>
        <c:ser>
          <c:idx val="3"/>
          <c:order val="2"/>
          <c:tx>
            <c:strRef>
              <c:f>'[ДЗЗ Үнэ.xlsx]Dashboard'!$C$25</c:f>
              <c:strCache>
                <c:ptCount val="1"/>
                <c:pt idx="0">
                  <c:v>I-III сарын дундаж</c:v>
                </c:pt>
              </c:strCache>
            </c:strRef>
          </c:tx>
          <c:spPr>
            <a:ln w="28575" cap="rnd">
              <a:noFill/>
              <a:round/>
            </a:ln>
            <a:effectLst/>
          </c:spPr>
          <c:marker>
            <c:symbol val="circle"/>
            <c:size val="5"/>
            <c:spPr>
              <a:solidFill>
                <a:srgbClr val="0B1E31"/>
              </a:solidFill>
              <a:ln w="9525">
                <a:noFill/>
              </a:ln>
              <a:effectLst/>
            </c:spPr>
          </c:marker>
          <c:cat>
            <c:strRef>
              <c:f>'[ДЗЗ Үнэ.xlsx]Dashboard'!$D$5:$K$5</c:f>
              <c:strCache>
                <c:ptCount val="8"/>
                <c:pt idx="0">
                  <c:v>2019</c:v>
                </c:pt>
                <c:pt idx="1">
                  <c:v>2020</c:v>
                </c:pt>
                <c:pt idx="2">
                  <c:v>2021</c:v>
                </c:pt>
                <c:pt idx="3">
                  <c:v>2022</c:v>
                </c:pt>
                <c:pt idx="4">
                  <c:v>2023</c:v>
                </c:pt>
                <c:pt idx="5">
                  <c:v>2024*</c:v>
                </c:pt>
                <c:pt idx="6">
                  <c:v>2025*</c:v>
                </c:pt>
                <c:pt idx="7">
                  <c:v>2026*</c:v>
                </c:pt>
              </c:strCache>
            </c:strRef>
          </c:cat>
          <c:val>
            <c:numRef>
              <c:f>'[ДЗЗ Үнэ.xlsx]Dashboard'!$D$25:$J$25</c:f>
              <c:numCache>
                <c:formatCode>General</c:formatCode>
                <c:ptCount val="7"/>
                <c:pt idx="5" formatCode="0">
                  <c:v>102.52000000000001</c:v>
                </c:pt>
              </c:numCache>
            </c:numRef>
          </c:val>
          <c:smooth val="0"/>
          <c:extLst>
            <c:ext xmlns:c16="http://schemas.microsoft.com/office/drawing/2014/chart" uri="{C3380CC4-5D6E-409C-BE32-E72D297353CC}">
              <c16:uniqueId val="{00000004-FCC7-41C7-B61E-D3A0A46F43F5}"/>
            </c:ext>
          </c:extLst>
        </c:ser>
        <c:dLbls>
          <c:showLegendKey val="0"/>
          <c:showVal val="0"/>
          <c:showCatName val="0"/>
          <c:showSerName val="0"/>
          <c:showPercent val="0"/>
          <c:showBubbleSize val="0"/>
        </c:dLbls>
        <c:marker val="1"/>
        <c:smooth val="0"/>
        <c:axId val="1976636432"/>
        <c:axId val="1345705232"/>
      </c:lineChart>
      <c:catAx>
        <c:axId val="1976636432"/>
        <c:scaling>
          <c:orientation val="minMax"/>
        </c:scaling>
        <c:delete val="0"/>
        <c:axPos val="b"/>
        <c:majorGridlines>
          <c:spPr>
            <a:ln w="3175" cap="flat" cmpd="sng" algn="ctr">
              <a:solidFill>
                <a:schemeClr val="tx1">
                  <a:lumMod val="15000"/>
                  <a:lumOff val="85000"/>
                  <a:alpha val="90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alpha val="90000"/>
              </a:schemeClr>
            </a:solidFill>
            <a:round/>
          </a:ln>
          <a:effectLst/>
        </c:spPr>
        <c:txPr>
          <a:bodyPr rot="-60000000" vert="horz"/>
          <a:lstStyle/>
          <a:p>
            <a:pPr>
              <a:defRPr/>
            </a:pPr>
            <a:endParaRPr lang="en-US"/>
          </a:p>
        </c:txPr>
        <c:crossAx val="1345705232"/>
        <c:crosses val="autoZero"/>
        <c:auto val="1"/>
        <c:lblAlgn val="ctr"/>
        <c:lblOffset val="100"/>
        <c:noMultiLvlLbl val="0"/>
      </c:catAx>
      <c:valAx>
        <c:axId val="1345705232"/>
        <c:scaling>
          <c:orientation val="minMax"/>
          <c:min val="70"/>
        </c:scaling>
        <c:delete val="1"/>
        <c:axPos val="l"/>
        <c:majorGridlines>
          <c:spPr>
            <a:ln w="3175" cap="flat" cmpd="sng" algn="ctr">
              <a:solidFill>
                <a:schemeClr val="tx1">
                  <a:lumMod val="15000"/>
                  <a:lumOff val="85000"/>
                  <a:alpha val="90000"/>
                </a:schemeClr>
              </a:solidFill>
              <a:round/>
            </a:ln>
            <a:effectLst/>
          </c:spPr>
        </c:majorGridlines>
        <c:numFmt formatCode="0" sourceLinked="0"/>
        <c:majorTickMark val="out"/>
        <c:minorTickMark val="none"/>
        <c:tickLblPos val="nextTo"/>
        <c:crossAx val="1976636432"/>
        <c:crosses val="autoZero"/>
        <c:crossBetween val="between"/>
      </c:valAx>
    </c:plotArea>
    <c:legend>
      <c:legendPos val="t"/>
      <c:overlay val="0"/>
      <c:spPr>
        <a:noFill/>
        <a:ln>
          <a:noFill/>
        </a:ln>
        <a:effectLst/>
      </c:spPr>
      <c:txPr>
        <a:bodyPr rot="0" vert="horz"/>
        <a:lstStyle/>
        <a:p>
          <a:pPr>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163095211984294E-2"/>
          <c:y val="0.28608679241326523"/>
          <c:w val="0.90367397259707238"/>
          <c:h val="0.57712167285968097"/>
        </c:manualLayout>
      </c:layout>
      <c:lineChart>
        <c:grouping val="standard"/>
        <c:varyColors val="0"/>
        <c:ser>
          <c:idx val="0"/>
          <c:order val="0"/>
          <c:tx>
            <c:strRef>
              <c:f>'[ДЗЗ Үнэ.xlsx]Dashboard'!$C$7</c:f>
              <c:strCache>
                <c:ptCount val="1"/>
                <c:pt idx="0">
                  <c:v>Гүйцэтгэл</c:v>
                </c:pt>
              </c:strCache>
            </c:strRef>
          </c:tx>
          <c:spPr>
            <a:ln w="38100" cap="rnd">
              <a:solidFill>
                <a:srgbClr val="01B8AA"/>
              </a:solidFill>
              <a:round/>
            </a:ln>
            <a:effectLst/>
          </c:spPr>
          <c:marker>
            <c:symbol val="circle"/>
            <c:size val="5"/>
            <c:spPr>
              <a:solidFill>
                <a:srgbClr val="01B8AA"/>
              </a:solidFill>
              <a:ln w="9525">
                <a:solidFill>
                  <a:srgbClr val="01B8AA"/>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39EC-497E-8DA6-BFD0725C572C}"/>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Roboto" panose="02000000000000000000" pitchFamily="2" charset="0"/>
                    <a:ea typeface="Roboto" panose="02000000000000000000" pitchFamily="2" charset="0"/>
                    <a:cs typeface="Roboto" panose="02000000000000000000" pitchFamily="2"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'[ДЗЗ Үнэ.xlsx]Dashboard'!$D$5:$J$5</c:f>
              <c:strCache>
                <c:ptCount val="7"/>
                <c:pt idx="0">
                  <c:v>2019</c:v>
                </c:pt>
                <c:pt idx="1">
                  <c:v>2020</c:v>
                </c:pt>
                <c:pt idx="2">
                  <c:v>2021</c:v>
                </c:pt>
                <c:pt idx="3">
                  <c:v>2022</c:v>
                </c:pt>
                <c:pt idx="4">
                  <c:v>2023</c:v>
                </c:pt>
                <c:pt idx="5">
                  <c:v>2024*</c:v>
                </c:pt>
                <c:pt idx="6">
                  <c:v>2025*</c:v>
                </c:pt>
              </c:strCache>
            </c:strRef>
          </c:cat>
          <c:val>
            <c:numRef>
              <c:f>'[ДЗЗ Үнэ.xlsx]Dashboard'!$D$7:$J$7</c:f>
              <c:numCache>
                <c:formatCode>0</c:formatCode>
                <c:ptCount val="7"/>
                <c:pt idx="0" formatCode="General">
                  <c:v>93</c:v>
                </c:pt>
                <c:pt idx="1">
                  <c:v>124.89797709923673</c:v>
                </c:pt>
                <c:pt idx="2">
                  <c:v>219.9401915708813</c:v>
                </c:pt>
                <c:pt idx="3">
                  <c:v>364.37776923076933</c:v>
                </c:pt>
                <c:pt idx="4">
                  <c:v>296.08311538461538</c:v>
                </c:pt>
              </c:numCache>
            </c:numRef>
          </c:val>
          <c:smooth val="1"/>
          <c:extLst>
            <c:ext xmlns:c16="http://schemas.microsoft.com/office/drawing/2014/chart" uri="{C3380CC4-5D6E-409C-BE32-E72D297353CC}">
              <c16:uniqueId val="{00000001-39EC-497E-8DA6-BFD0725C572C}"/>
            </c:ext>
          </c:extLst>
        </c:ser>
        <c:ser>
          <c:idx val="2"/>
          <c:order val="1"/>
          <c:tx>
            <c:strRef>
              <c:f>'[ДЗЗ Үнэ.xlsx]Dashboard'!$C$11</c:f>
              <c:strCache>
                <c:ptCount val="1"/>
                <c:pt idx="0">
                  <c:v>Төсөөлөл </c:v>
                </c:pt>
              </c:strCache>
            </c:strRef>
          </c:tx>
          <c:spPr>
            <a:ln w="12700" cap="rnd">
              <a:solidFill>
                <a:srgbClr val="EA3A81"/>
              </a:solidFill>
              <a:prstDash val="dash"/>
              <a:round/>
            </a:ln>
            <a:effectLst/>
          </c:spPr>
          <c:marker>
            <c:symbol val="circle"/>
            <c:size val="5"/>
            <c:spPr>
              <a:solidFill>
                <a:srgbClr val="EA3A81"/>
              </a:solidFill>
              <a:ln w="9525">
                <a:solidFill>
                  <a:srgbClr val="EA3A81"/>
                </a:solidFill>
              </a:ln>
              <a:effectLst/>
            </c:spPr>
          </c:marker>
          <c:dPt>
            <c:idx val="4"/>
            <c:marker>
              <c:symbol val="circle"/>
              <c:size val="5"/>
              <c:spPr>
                <a:solidFill>
                  <a:srgbClr val="01B8AA"/>
                </a:solidFill>
                <a:ln w="9525">
                  <a:noFill/>
                </a:ln>
                <a:effectLst/>
              </c:spPr>
            </c:marker>
            <c:bubble3D val="0"/>
            <c:spPr>
              <a:ln w="12700" cap="rnd">
                <a:noFill/>
                <a:prstDash val="dash"/>
                <a:round/>
              </a:ln>
              <a:effectLst/>
            </c:spPr>
            <c:extLst>
              <c:ext xmlns:c16="http://schemas.microsoft.com/office/drawing/2014/chart" uri="{C3380CC4-5D6E-409C-BE32-E72D297353CC}">
                <c16:uniqueId val="{00000003-39EC-497E-8DA6-BFD0725C572C}"/>
              </c:ext>
            </c:extLst>
          </c:dPt>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EC-497E-8DA6-BFD0725C572C}"/>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Roboto" panose="02000000000000000000" pitchFamily="2" charset="0"/>
                    <a:ea typeface="Roboto" panose="02000000000000000000" pitchFamily="2" charset="0"/>
                    <a:cs typeface="Roboto" panose="02000000000000000000" pitchFamily="2"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'[ДЗЗ Үнэ.xlsx]Dashboard'!$D$5:$J$5</c:f>
              <c:strCache>
                <c:ptCount val="7"/>
                <c:pt idx="0">
                  <c:v>2019</c:v>
                </c:pt>
                <c:pt idx="1">
                  <c:v>2020</c:v>
                </c:pt>
                <c:pt idx="2">
                  <c:v>2021</c:v>
                </c:pt>
                <c:pt idx="3">
                  <c:v>2022</c:v>
                </c:pt>
                <c:pt idx="4">
                  <c:v>2023</c:v>
                </c:pt>
                <c:pt idx="5">
                  <c:v>2024*</c:v>
                </c:pt>
                <c:pt idx="6">
                  <c:v>2025*</c:v>
                </c:pt>
              </c:strCache>
            </c:strRef>
          </c:cat>
          <c:val>
            <c:numRef>
              <c:f>'[ДЗЗ Үнэ.xlsx]Dashboard'!$D$11:$J$11</c:f>
              <c:numCache>
                <c:formatCode>General</c:formatCode>
                <c:ptCount val="7"/>
                <c:pt idx="4" formatCode="0">
                  <c:v>296.08311538461538</c:v>
                </c:pt>
                <c:pt idx="5" formatCode="0">
                  <c:v>250</c:v>
                </c:pt>
                <c:pt idx="6" formatCode="0">
                  <c:v>215</c:v>
                </c:pt>
              </c:numCache>
            </c:numRef>
          </c:val>
          <c:smooth val="1"/>
          <c:extLst>
            <c:ext xmlns:c16="http://schemas.microsoft.com/office/drawing/2014/chart" uri="{C3380CC4-5D6E-409C-BE32-E72D297353CC}">
              <c16:uniqueId val="{00000004-39EC-497E-8DA6-BFD0725C572C}"/>
            </c:ext>
          </c:extLst>
        </c:ser>
        <c:ser>
          <c:idx val="3"/>
          <c:order val="2"/>
          <c:tx>
            <c:strRef>
              <c:f>'[ДЗЗ Үнэ.xlsx]Dashboard'!$C$10</c:f>
              <c:strCache>
                <c:ptCount val="1"/>
                <c:pt idx="0">
                  <c:v>I-III сарын дундаж</c:v>
                </c:pt>
              </c:strCache>
            </c:strRef>
          </c:tx>
          <c:spPr>
            <a:ln w="28575" cap="rnd">
              <a:noFill/>
              <a:round/>
            </a:ln>
            <a:effectLst/>
          </c:spPr>
          <c:marker>
            <c:symbol val="circle"/>
            <c:size val="5"/>
            <c:spPr>
              <a:solidFill>
                <a:srgbClr val="0B1E31"/>
              </a:solidFill>
              <a:ln w="9525">
                <a:noFill/>
              </a:ln>
              <a:effectLst/>
            </c:spPr>
          </c:marker>
          <c:cat>
            <c:strRef>
              <c:f>'[ДЗЗ Үнэ.xlsx]Dashboard'!$D$5:$J$5</c:f>
              <c:strCache>
                <c:ptCount val="7"/>
                <c:pt idx="0">
                  <c:v>2019</c:v>
                </c:pt>
                <c:pt idx="1">
                  <c:v>2020</c:v>
                </c:pt>
                <c:pt idx="2">
                  <c:v>2021</c:v>
                </c:pt>
                <c:pt idx="3">
                  <c:v>2022</c:v>
                </c:pt>
                <c:pt idx="4">
                  <c:v>2023</c:v>
                </c:pt>
                <c:pt idx="5">
                  <c:v>2024*</c:v>
                </c:pt>
                <c:pt idx="6">
                  <c:v>2025*</c:v>
                </c:pt>
              </c:strCache>
            </c:strRef>
          </c:cat>
          <c:val>
            <c:numRef>
              <c:f>'[ДЗЗ Үнэ.xlsx]Dashboard'!$D$10:$J$10</c:f>
              <c:numCache>
                <c:formatCode>General</c:formatCode>
                <c:ptCount val="7"/>
                <c:pt idx="5" formatCode="0">
                  <c:v>290.19117647058823</c:v>
                </c:pt>
              </c:numCache>
            </c:numRef>
          </c:val>
          <c:smooth val="0"/>
          <c:extLst>
            <c:ext xmlns:c16="http://schemas.microsoft.com/office/drawing/2014/chart" uri="{C3380CC4-5D6E-409C-BE32-E72D297353CC}">
              <c16:uniqueId val="{00000005-39EC-497E-8DA6-BFD0725C572C}"/>
            </c:ext>
          </c:extLst>
        </c:ser>
        <c:dLbls>
          <c:showLegendKey val="0"/>
          <c:showVal val="0"/>
          <c:showCatName val="0"/>
          <c:showSerName val="0"/>
          <c:showPercent val="0"/>
          <c:showBubbleSize val="0"/>
        </c:dLbls>
        <c:marker val="1"/>
        <c:smooth val="0"/>
        <c:axId val="1976636432"/>
        <c:axId val="1345705232"/>
      </c:lineChart>
      <c:catAx>
        <c:axId val="1976636432"/>
        <c:scaling>
          <c:orientation val="minMax"/>
        </c:scaling>
        <c:delete val="0"/>
        <c:axPos val="b"/>
        <c:majorGridlines>
          <c:spPr>
            <a:ln w="3175" cap="flat" cmpd="sng" algn="ctr">
              <a:solidFill>
                <a:schemeClr val="tx1">
                  <a:lumMod val="15000"/>
                  <a:lumOff val="85000"/>
                  <a:alpha val="90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alpha val="90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Roboto" panose="02000000000000000000" pitchFamily="2" charset="0"/>
                <a:ea typeface="Roboto" panose="02000000000000000000" pitchFamily="2" charset="0"/>
                <a:cs typeface="Roboto" panose="02000000000000000000" pitchFamily="2" charset="0"/>
              </a:defRPr>
            </a:pPr>
            <a:endParaRPr lang="en-US"/>
          </a:p>
        </c:txPr>
        <c:crossAx val="1345705232"/>
        <c:crosses val="autoZero"/>
        <c:auto val="1"/>
        <c:lblAlgn val="ctr"/>
        <c:lblOffset val="100"/>
        <c:noMultiLvlLbl val="0"/>
      </c:catAx>
      <c:valAx>
        <c:axId val="1345705232"/>
        <c:scaling>
          <c:orientation val="minMax"/>
          <c:max val="420"/>
          <c:min val="70"/>
        </c:scaling>
        <c:delete val="1"/>
        <c:axPos val="l"/>
        <c:majorGridlines>
          <c:spPr>
            <a:ln w="3175" cap="flat" cmpd="sng" algn="ctr">
              <a:solidFill>
                <a:schemeClr val="tx1">
                  <a:lumMod val="15000"/>
                  <a:lumOff val="85000"/>
                  <a:alpha val="90000"/>
                </a:schemeClr>
              </a:solidFill>
              <a:round/>
            </a:ln>
            <a:effectLst/>
          </c:spPr>
        </c:majorGridlines>
        <c:numFmt formatCode="0" sourceLinked="0"/>
        <c:majorTickMark val="out"/>
        <c:minorTickMark val="none"/>
        <c:tickLblPos val="nextTo"/>
        <c:crossAx val="1976636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ysClr val="windowText" lastClr="000000"/>
          </a:solidFill>
          <a:latin typeface="Roboto" panose="02000000000000000000" pitchFamily="2" charset="0"/>
          <a:ea typeface="Roboto" panose="02000000000000000000" pitchFamily="2" charset="0"/>
          <a:cs typeface="Roboto" panose="02000000000000000000" pitchFamily="2"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'[ДЗЗ Үнэ.xlsx]Dashboard'!$C$28</c:f>
              <c:strCache>
                <c:ptCount val="1"/>
                <c:pt idx="0">
                  <c:v>Гүйцэтгэл</c:v>
                </c:pt>
              </c:strCache>
            </c:strRef>
          </c:tx>
          <c:spPr>
            <a:ln w="38100" cap="rnd">
              <a:solidFill>
                <a:srgbClr val="01B8AA"/>
              </a:solidFill>
              <a:round/>
            </a:ln>
            <a:effectLst/>
          </c:spPr>
          <c:marker>
            <c:symbol val="circle"/>
            <c:size val="5"/>
            <c:spPr>
              <a:solidFill>
                <a:srgbClr val="01B8AA"/>
              </a:solidFill>
              <a:ln w="9525">
                <a:solidFill>
                  <a:srgbClr val="01B8AA"/>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8C32-42DF-B8B4-67B2AE5D433E}"/>
                </c:ext>
              </c:extLst>
            </c:dLbl>
            <c:numFmt formatCode="#,##0" sourceLinked="0"/>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'[ДЗЗ Үнэ.xlsx]Dashboard'!$D$5:$K$5</c:f>
              <c:strCache>
                <c:ptCount val="8"/>
                <c:pt idx="0">
                  <c:v>2019</c:v>
                </c:pt>
                <c:pt idx="1">
                  <c:v>2020</c:v>
                </c:pt>
                <c:pt idx="2">
                  <c:v>2021</c:v>
                </c:pt>
                <c:pt idx="3">
                  <c:v>2022</c:v>
                </c:pt>
                <c:pt idx="4">
                  <c:v>2023</c:v>
                </c:pt>
                <c:pt idx="5">
                  <c:v>2024*</c:v>
                </c:pt>
                <c:pt idx="6">
                  <c:v>2025*</c:v>
                </c:pt>
                <c:pt idx="7">
                  <c:v>2026*</c:v>
                </c:pt>
              </c:strCache>
            </c:strRef>
          </c:cat>
          <c:val>
            <c:numRef>
              <c:f>'[ДЗЗ Үнэ.xlsx]Dashboard'!$D$28:$J$28</c:f>
              <c:numCache>
                <c:formatCode>0</c:formatCode>
                <c:ptCount val="7"/>
                <c:pt idx="0" formatCode="General">
                  <c:v>64</c:v>
                </c:pt>
                <c:pt idx="1">
                  <c:v>50.142290076335868</c:v>
                </c:pt>
                <c:pt idx="2">
                  <c:v>60.976551724137948</c:v>
                </c:pt>
                <c:pt idx="3">
                  <c:v>81.364269230769253</c:v>
                </c:pt>
                <c:pt idx="4">
                  <c:v>78.720884615384662</c:v>
                </c:pt>
              </c:numCache>
            </c:numRef>
          </c:val>
          <c:smooth val="1"/>
          <c:extLst>
            <c:ext xmlns:c16="http://schemas.microsoft.com/office/drawing/2014/chart" uri="{C3380CC4-5D6E-409C-BE32-E72D297353CC}">
              <c16:uniqueId val="{00000001-8C32-42DF-B8B4-67B2AE5D433E}"/>
            </c:ext>
          </c:extLst>
        </c:ser>
        <c:ser>
          <c:idx val="2"/>
          <c:order val="1"/>
          <c:tx>
            <c:strRef>
              <c:f>'[ДЗЗ Үнэ.xlsx]Dashboard'!$C$32</c:f>
              <c:strCache>
                <c:ptCount val="1"/>
                <c:pt idx="0">
                  <c:v>Төсөөлөл </c:v>
                </c:pt>
              </c:strCache>
            </c:strRef>
          </c:tx>
          <c:spPr>
            <a:ln w="12700" cap="rnd">
              <a:solidFill>
                <a:srgbClr val="EA3A81"/>
              </a:solidFill>
              <a:prstDash val="dash"/>
              <a:round/>
            </a:ln>
            <a:effectLst/>
          </c:spPr>
          <c:marker>
            <c:symbol val="circle"/>
            <c:size val="5"/>
            <c:spPr>
              <a:solidFill>
                <a:srgbClr val="EA3A81"/>
              </a:solidFill>
              <a:ln w="9525">
                <a:solidFill>
                  <a:srgbClr val="EA3A81"/>
                </a:solidFill>
              </a:ln>
              <a:effectLst/>
            </c:spPr>
          </c:marker>
          <c:dPt>
            <c:idx val="4"/>
            <c:marker>
              <c:spPr>
                <a:solidFill>
                  <a:srgbClr val="01B8AA"/>
                </a:solidFill>
                <a:ln w="9525">
                  <a:noFill/>
                </a:ln>
                <a:effectLst/>
              </c:spPr>
            </c:marker>
            <c:bubble3D val="0"/>
            <c:spPr>
              <a:ln w="12700" cap="rnd">
                <a:noFill/>
                <a:prstDash val="dash"/>
                <a:round/>
              </a:ln>
              <a:effectLst/>
            </c:spPr>
            <c:extLst>
              <c:ext xmlns:c16="http://schemas.microsoft.com/office/drawing/2014/chart" uri="{C3380CC4-5D6E-409C-BE32-E72D297353CC}">
                <c16:uniqueId val="{00000003-8C32-42DF-B8B4-67B2AE5D433E}"/>
              </c:ext>
            </c:extLst>
          </c:dPt>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32-42DF-B8B4-67B2AE5D433E}"/>
                </c:ext>
              </c:extLst>
            </c:dLbl>
            <c:numFmt formatCode="#,##0" sourceLinked="0"/>
            <c:spPr>
              <a:noFill/>
              <a:ln>
                <a:noFill/>
              </a:ln>
              <a:effectLst/>
            </c:spPr>
            <c:txPr>
              <a:bodyPr rot="0" vert="horz"/>
              <a:lstStyle/>
              <a:p>
                <a:pPr>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'[ДЗЗ Үнэ.xlsx]Dashboard'!$D$5:$K$5</c:f>
              <c:strCache>
                <c:ptCount val="8"/>
                <c:pt idx="0">
                  <c:v>2019</c:v>
                </c:pt>
                <c:pt idx="1">
                  <c:v>2020</c:v>
                </c:pt>
                <c:pt idx="2">
                  <c:v>2021</c:v>
                </c:pt>
                <c:pt idx="3">
                  <c:v>2022</c:v>
                </c:pt>
                <c:pt idx="4">
                  <c:v>2023</c:v>
                </c:pt>
                <c:pt idx="5">
                  <c:v>2024*</c:v>
                </c:pt>
                <c:pt idx="6">
                  <c:v>2025*</c:v>
                </c:pt>
                <c:pt idx="7">
                  <c:v>2026*</c:v>
                </c:pt>
              </c:strCache>
            </c:strRef>
          </c:cat>
          <c:val>
            <c:numRef>
              <c:f>'[ДЗЗ Үнэ.xlsx]Dashboard'!$D$32:$J$32</c:f>
              <c:numCache>
                <c:formatCode>General</c:formatCode>
                <c:ptCount val="7"/>
                <c:pt idx="4" formatCode="0">
                  <c:v>78.720884615384662</c:v>
                </c:pt>
                <c:pt idx="5" formatCode="0">
                  <c:v>85</c:v>
                </c:pt>
                <c:pt idx="6" formatCode="0">
                  <c:v>80</c:v>
                </c:pt>
              </c:numCache>
            </c:numRef>
          </c:val>
          <c:smooth val="1"/>
          <c:extLst>
            <c:ext xmlns:c16="http://schemas.microsoft.com/office/drawing/2014/chart" uri="{C3380CC4-5D6E-409C-BE32-E72D297353CC}">
              <c16:uniqueId val="{00000004-8C32-42DF-B8B4-67B2AE5D433E}"/>
            </c:ext>
          </c:extLst>
        </c:ser>
        <c:ser>
          <c:idx val="3"/>
          <c:order val="2"/>
          <c:tx>
            <c:strRef>
              <c:f>'[ДЗЗ Үнэ.xlsx]Dashboard'!$C$31</c:f>
              <c:strCache>
                <c:ptCount val="1"/>
                <c:pt idx="0">
                  <c:v>I-III сарын дундаж</c:v>
                </c:pt>
              </c:strCache>
            </c:strRef>
          </c:tx>
          <c:spPr>
            <a:ln w="28575" cap="rnd">
              <a:noFill/>
              <a:round/>
            </a:ln>
            <a:effectLst/>
          </c:spPr>
          <c:marker>
            <c:symbol val="circle"/>
            <c:size val="5"/>
            <c:spPr>
              <a:solidFill>
                <a:srgbClr val="0B1E31"/>
              </a:solidFill>
              <a:ln w="9525">
                <a:noFill/>
              </a:ln>
              <a:effectLst/>
            </c:spPr>
          </c:marker>
          <c:cat>
            <c:strRef>
              <c:f>'[ДЗЗ Үнэ.xlsx]Dashboard'!$D$5:$K$5</c:f>
              <c:strCache>
                <c:ptCount val="8"/>
                <c:pt idx="0">
                  <c:v>2019</c:v>
                </c:pt>
                <c:pt idx="1">
                  <c:v>2020</c:v>
                </c:pt>
                <c:pt idx="2">
                  <c:v>2021</c:v>
                </c:pt>
                <c:pt idx="3">
                  <c:v>2022</c:v>
                </c:pt>
                <c:pt idx="4">
                  <c:v>2023</c:v>
                </c:pt>
                <c:pt idx="5">
                  <c:v>2024*</c:v>
                </c:pt>
                <c:pt idx="6">
                  <c:v>2025*</c:v>
                </c:pt>
                <c:pt idx="7">
                  <c:v>2026*</c:v>
                </c:pt>
              </c:strCache>
            </c:strRef>
          </c:cat>
          <c:val>
            <c:numRef>
              <c:f>'[ДЗЗ Үнэ.xlsx]Dashboard'!$D$31:$J$31</c:f>
              <c:numCache>
                <c:formatCode>General</c:formatCode>
                <c:ptCount val="7"/>
                <c:pt idx="5" formatCode="0">
                  <c:v>84.322941176470593</c:v>
                </c:pt>
              </c:numCache>
            </c:numRef>
          </c:val>
          <c:smooth val="0"/>
          <c:extLst>
            <c:ext xmlns:c16="http://schemas.microsoft.com/office/drawing/2014/chart" uri="{C3380CC4-5D6E-409C-BE32-E72D297353CC}">
              <c16:uniqueId val="{00000005-8C32-42DF-B8B4-67B2AE5D433E}"/>
            </c:ext>
          </c:extLst>
        </c:ser>
        <c:dLbls>
          <c:showLegendKey val="0"/>
          <c:showVal val="0"/>
          <c:showCatName val="0"/>
          <c:showSerName val="0"/>
          <c:showPercent val="0"/>
          <c:showBubbleSize val="0"/>
        </c:dLbls>
        <c:marker val="1"/>
        <c:smooth val="0"/>
        <c:axId val="1976636432"/>
        <c:axId val="1345705232"/>
      </c:lineChart>
      <c:catAx>
        <c:axId val="1976636432"/>
        <c:scaling>
          <c:orientation val="minMax"/>
        </c:scaling>
        <c:delete val="0"/>
        <c:axPos val="b"/>
        <c:majorGridlines>
          <c:spPr>
            <a:ln w="3175" cap="flat" cmpd="sng" algn="ctr">
              <a:solidFill>
                <a:schemeClr val="tx1">
                  <a:lumMod val="15000"/>
                  <a:lumOff val="85000"/>
                  <a:alpha val="90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alpha val="90000"/>
              </a:schemeClr>
            </a:solidFill>
            <a:round/>
          </a:ln>
          <a:effectLst/>
        </c:spPr>
        <c:txPr>
          <a:bodyPr rot="-60000000" vert="horz"/>
          <a:lstStyle/>
          <a:p>
            <a:pPr>
              <a:defRPr/>
            </a:pPr>
            <a:endParaRPr lang="en-US"/>
          </a:p>
        </c:txPr>
        <c:crossAx val="1345705232"/>
        <c:crosses val="autoZero"/>
        <c:auto val="1"/>
        <c:lblAlgn val="ctr"/>
        <c:lblOffset val="100"/>
        <c:noMultiLvlLbl val="0"/>
      </c:catAx>
      <c:valAx>
        <c:axId val="1345705232"/>
        <c:scaling>
          <c:orientation val="minMax"/>
          <c:min val="45"/>
        </c:scaling>
        <c:delete val="1"/>
        <c:axPos val="l"/>
        <c:majorGridlines>
          <c:spPr>
            <a:ln w="3175" cap="flat" cmpd="sng" algn="ctr">
              <a:solidFill>
                <a:schemeClr val="tx1">
                  <a:lumMod val="15000"/>
                  <a:lumOff val="85000"/>
                  <a:alpha val="90000"/>
                </a:schemeClr>
              </a:solidFill>
              <a:round/>
            </a:ln>
            <a:effectLst/>
          </c:spPr>
        </c:majorGridlines>
        <c:numFmt formatCode="0" sourceLinked="0"/>
        <c:majorTickMark val="out"/>
        <c:minorTickMark val="none"/>
        <c:tickLblPos val="nextTo"/>
        <c:crossAx val="1976636432"/>
        <c:crosses val="autoZero"/>
        <c:crossBetween val="between"/>
      </c:valAx>
    </c:plotArea>
    <c:legend>
      <c:legendPos val="t"/>
      <c:overlay val="0"/>
      <c:spPr>
        <a:noFill/>
        <a:ln>
          <a:noFill/>
        </a:ln>
        <a:effectLst/>
      </c:spPr>
      <c:txPr>
        <a:bodyPr rot="0" vert="horz"/>
        <a:lstStyle/>
        <a:p>
          <a:pPr>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700">
          <a:solidFill>
            <a:sysClr val="windowText" lastClr="000000"/>
          </a:solidFill>
          <a:latin typeface="Roboto" panose="02000000000000000000" pitchFamily="2" charset="0"/>
          <a:ea typeface="Roboto" panose="02000000000000000000" pitchFamily="2" charset="0"/>
          <a:cs typeface="Roboto" panose="02000000000000000000" pitchFamily="2"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03884611466076E-2"/>
          <c:y val="2.2766227108761489E-2"/>
          <c:w val="0.8838775525055671"/>
          <c:h val="0.68654785641968818"/>
        </c:manualLayout>
      </c:layout>
      <c:barChart>
        <c:barDir val="col"/>
        <c:grouping val="stacked"/>
        <c:varyColors val="0"/>
        <c:ser>
          <c:idx val="1"/>
          <c:order val="1"/>
          <c:tx>
            <c:strRef>
              <c:f>'[0. DiagExcel.xlsx]1.1 Нийт нийлүүлэлт'!$BQ$1</c:f>
              <c:strCache>
                <c:ptCount val="1"/>
                <c:pt idx="0">
                  <c:v>Хөдөө аж ахуй</c:v>
                </c:pt>
              </c:strCache>
            </c:strRef>
          </c:tx>
          <c:spPr>
            <a:solidFill>
              <a:srgbClr val="275060"/>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нийлүүлэлт'!$BQ$2:$BQ$6</c:f>
              <c:numCache>
                <c:formatCode>_(* #,##0.0_);_(* \(#,##0.0\);_(* "-"??_);_(@_)</c:formatCode>
                <c:ptCount val="5"/>
                <c:pt idx="0">
                  <c:v>0.71619939557383916</c:v>
                </c:pt>
                <c:pt idx="1">
                  <c:v>0.79212831106696524</c:v>
                </c:pt>
                <c:pt idx="2">
                  <c:v>-0.83410526327320034</c:v>
                </c:pt>
                <c:pt idx="3">
                  <c:v>1.6834024993585781</c:v>
                </c:pt>
                <c:pt idx="4">
                  <c:v>-1.3302990044094793</c:v>
                </c:pt>
              </c:numCache>
            </c:numRef>
          </c:val>
          <c:extLst>
            <c:ext xmlns:c16="http://schemas.microsoft.com/office/drawing/2014/chart" uri="{C3380CC4-5D6E-409C-BE32-E72D297353CC}">
              <c16:uniqueId val="{00000000-B46A-4FF0-8BF4-AD20340AE88A}"/>
            </c:ext>
          </c:extLst>
        </c:ser>
        <c:ser>
          <c:idx val="2"/>
          <c:order val="2"/>
          <c:tx>
            <c:strRef>
              <c:f>'[0. DiagExcel.xlsx]1.1 Нийт нийлүүлэлт'!$BR$1</c:f>
              <c:strCache>
                <c:ptCount val="1"/>
                <c:pt idx="0">
                  <c:v>Уул уурхай</c:v>
                </c:pt>
              </c:strCache>
            </c:strRef>
          </c:tx>
          <c:spPr>
            <a:solidFill>
              <a:srgbClr val="11A795"/>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нийлүүлэлт'!$BR$2:$BR$6</c:f>
              <c:numCache>
                <c:formatCode>_(* #,##0.0_);_(* \(#,##0.0\);_(* "-"??_);_(@_)</c:formatCode>
                <c:ptCount val="5"/>
                <c:pt idx="0">
                  <c:v>-0.25019746057795827</c:v>
                </c:pt>
                <c:pt idx="1">
                  <c:v>-1.4380073638910735</c:v>
                </c:pt>
                <c:pt idx="2">
                  <c:v>0.11561644896956179</c:v>
                </c:pt>
                <c:pt idx="3">
                  <c:v>-2.0842807334668949</c:v>
                </c:pt>
                <c:pt idx="4">
                  <c:v>2.5788492252167154</c:v>
                </c:pt>
              </c:numCache>
            </c:numRef>
          </c:val>
          <c:extLst>
            <c:ext xmlns:c16="http://schemas.microsoft.com/office/drawing/2014/chart" uri="{C3380CC4-5D6E-409C-BE32-E72D297353CC}">
              <c16:uniqueId val="{00000001-B46A-4FF0-8BF4-AD20340AE88A}"/>
            </c:ext>
          </c:extLst>
        </c:ser>
        <c:ser>
          <c:idx val="8"/>
          <c:order val="3"/>
          <c:tx>
            <c:strRef>
              <c:f>'[0. DiagExcel.xlsx]1.1 Нийт нийлүүлэлт'!$BT$1</c:f>
              <c:strCache>
                <c:ptCount val="1"/>
                <c:pt idx="0">
                  <c:v>Үйлчилгээ </c:v>
                </c:pt>
              </c:strCache>
            </c:strRef>
          </c:tx>
          <c:spPr>
            <a:solidFill>
              <a:srgbClr val="FFC000"/>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нийлүүлэлт'!$BT$2:$BT$6</c:f>
              <c:numCache>
                <c:formatCode>_(* #,##0.0_);_(* \(#,##0.0\);_(* "-"??_);_(@_)</c:formatCode>
                <c:ptCount val="5"/>
                <c:pt idx="0">
                  <c:v>2.9402611435640358</c:v>
                </c:pt>
                <c:pt idx="1">
                  <c:v>-3.035779677704725</c:v>
                </c:pt>
                <c:pt idx="2">
                  <c:v>1.7977903872579555</c:v>
                </c:pt>
                <c:pt idx="3">
                  <c:v>3.2326838376621252</c:v>
                </c:pt>
                <c:pt idx="4">
                  <c:v>4.3495760038219924</c:v>
                </c:pt>
              </c:numCache>
            </c:numRef>
          </c:val>
          <c:extLst>
            <c:ext xmlns:c16="http://schemas.microsoft.com/office/drawing/2014/chart" uri="{C3380CC4-5D6E-409C-BE32-E72D297353CC}">
              <c16:uniqueId val="{00000002-B46A-4FF0-8BF4-AD20340AE88A}"/>
            </c:ext>
          </c:extLst>
        </c:ser>
        <c:ser>
          <c:idx val="9"/>
          <c:order val="4"/>
          <c:tx>
            <c:strRef>
              <c:f>'[0. DiagExcel.xlsx]1.1 Нийт нийлүүлэлт'!$BU$1</c:f>
              <c:strCache>
                <c:ptCount val="1"/>
                <c:pt idx="0">
                  <c:v>Цэвэр татвар</c:v>
                </c:pt>
              </c:strCache>
            </c:strRef>
          </c:tx>
          <c:spPr>
            <a:solidFill>
              <a:srgbClr val="ADB9CA"/>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нийлүүлэлт'!$BU$2:$BU$6</c:f>
              <c:numCache>
                <c:formatCode>_(* #,##0.0_);_(* \(#,##0.0\);_(* "-"??_);_(@_)</c:formatCode>
                <c:ptCount val="5"/>
                <c:pt idx="0">
                  <c:v>1.0422101778835209</c:v>
                </c:pt>
                <c:pt idx="1">
                  <c:v>-1.0569756422937973</c:v>
                </c:pt>
                <c:pt idx="2">
                  <c:v>1.3092146621210479</c:v>
                </c:pt>
                <c:pt idx="3">
                  <c:v>1.3623090952427961</c:v>
                </c:pt>
                <c:pt idx="4">
                  <c:v>0.85463966245870737</c:v>
                </c:pt>
              </c:numCache>
            </c:numRef>
          </c:val>
          <c:extLst>
            <c:ext xmlns:c16="http://schemas.microsoft.com/office/drawing/2014/chart" uri="{C3380CC4-5D6E-409C-BE32-E72D297353CC}">
              <c16:uniqueId val="{00000003-B46A-4FF0-8BF4-AD20340AE88A}"/>
            </c:ext>
          </c:extLst>
        </c:ser>
        <c:ser>
          <c:idx val="3"/>
          <c:order val="5"/>
          <c:tx>
            <c:strRef>
              <c:f>'[0. DiagExcel.xlsx]1.1 Нийт нийлүүлэлт'!$BS$1</c:f>
              <c:strCache>
                <c:ptCount val="1"/>
                <c:pt idx="0">
                  <c:v>Аж үйлдвэр</c:v>
                </c:pt>
              </c:strCache>
            </c:strRef>
          </c:tx>
          <c:spPr>
            <a:solidFill>
              <a:srgbClr val="308884"/>
            </a:solidFill>
            <a:ln>
              <a:noFill/>
            </a:ln>
            <a:effectLst/>
          </c:spPr>
          <c:invertIfNegative val="0"/>
          <c:val>
            <c:numRef>
              <c:f>'[0. DiagExcel.xlsx]1.1 Нийт нийлүүлэлт'!$BS$2:$BS$6</c:f>
              <c:numCache>
                <c:formatCode>_(* #,##0.0_);_(* \(#,##0.0\);_(* "-"??_);_(@_)</c:formatCode>
                <c:ptCount val="5"/>
                <c:pt idx="0">
                  <c:v>1.1537709095359767</c:v>
                </c:pt>
                <c:pt idx="1">
                  <c:v>0.1808822558858478</c:v>
                </c:pt>
                <c:pt idx="2">
                  <c:v>-0.75174664479605036</c:v>
                </c:pt>
                <c:pt idx="3">
                  <c:v>0.83859503090260223</c:v>
                </c:pt>
                <c:pt idx="4">
                  <c:v>0.57022598817238135</c:v>
                </c:pt>
              </c:numCache>
            </c:numRef>
          </c:val>
          <c:extLst>
            <c:ext xmlns:c16="http://schemas.microsoft.com/office/drawing/2014/chart" uri="{C3380CC4-5D6E-409C-BE32-E72D297353CC}">
              <c16:uniqueId val="{00000004-B46A-4FF0-8BF4-AD20340AE88A}"/>
            </c:ext>
          </c:extLst>
        </c:ser>
        <c:dLbls>
          <c:showLegendKey val="0"/>
          <c:showVal val="0"/>
          <c:showCatName val="0"/>
          <c:showSerName val="0"/>
          <c:showPercent val="0"/>
          <c:showBubbleSize val="0"/>
        </c:dLbls>
        <c:gapWidth val="100"/>
        <c:overlap val="100"/>
        <c:axId val="416651119"/>
        <c:axId val="416652199"/>
      </c:barChart>
      <c:lineChart>
        <c:grouping val="standard"/>
        <c:varyColors val="0"/>
        <c:ser>
          <c:idx val="0"/>
          <c:order val="0"/>
          <c:tx>
            <c:strRef>
              <c:f>'[0. DiagExcel.xlsx]1.1 Нийт нийлүүлэлт'!$BP$1</c:f>
              <c:strCache>
                <c:ptCount val="1"/>
                <c:pt idx="0">
                  <c:v>Бодит ДНБ-ий өсөлт</c:v>
                </c:pt>
              </c:strCache>
            </c:strRef>
          </c:tx>
          <c:spPr>
            <a:ln w="22225" cap="rnd">
              <a:solidFill>
                <a:srgbClr val="BC5966"/>
              </a:solidFill>
              <a:round/>
            </a:ln>
            <a:effectLst/>
          </c:spPr>
          <c:marker>
            <c:symbol val="circle"/>
            <c:size val="6"/>
            <c:spPr>
              <a:solidFill>
                <a:schemeClr val="bg1"/>
              </a:solidFill>
              <a:ln w="9525">
                <a:solidFill>
                  <a:srgbClr val="BC5966"/>
                </a:solidFill>
              </a:ln>
              <a:effectLst/>
            </c:spPr>
          </c:marker>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нийлүүлэлт'!$BP$2:$BP$6</c:f>
              <c:numCache>
                <c:formatCode>_(* #,##0.0_);_(* \(#,##0.0\);_(* "-"??_);_(@_)</c:formatCode>
                <c:ptCount val="5"/>
                <c:pt idx="0">
                  <c:v>5.602244165979414</c:v>
                </c:pt>
                <c:pt idx="1">
                  <c:v>-4.5577521169367827</c:v>
                </c:pt>
                <c:pt idx="2">
                  <c:v>1.6367695902793145</c:v>
                </c:pt>
                <c:pt idx="3">
                  <c:v>5.0327097296992065</c:v>
                </c:pt>
                <c:pt idx="4">
                  <c:v>7.0229918752603169</c:v>
                </c:pt>
              </c:numCache>
            </c:numRef>
          </c:val>
          <c:smooth val="1"/>
          <c:extLst>
            <c:ext xmlns:c16="http://schemas.microsoft.com/office/drawing/2014/chart" uri="{C3380CC4-5D6E-409C-BE32-E72D297353CC}">
              <c16:uniqueId val="{00000005-B46A-4FF0-8BF4-AD20340AE88A}"/>
            </c:ext>
          </c:extLst>
        </c:ser>
        <c:dLbls>
          <c:showLegendKey val="0"/>
          <c:showVal val="0"/>
          <c:showCatName val="0"/>
          <c:showSerName val="0"/>
          <c:showPercent val="0"/>
          <c:showBubbleSize val="0"/>
        </c:dLbls>
        <c:marker val="1"/>
        <c:smooth val="0"/>
        <c:axId val="416651119"/>
        <c:axId val="416652199"/>
      </c:lineChart>
      <c:catAx>
        <c:axId val="416651119"/>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low"/>
        <c:spPr>
          <a:noFill/>
          <a:ln w="317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6652199"/>
        <c:crosses val="autoZero"/>
        <c:auto val="1"/>
        <c:lblAlgn val="ctr"/>
        <c:lblOffset val="100"/>
        <c:noMultiLvlLbl val="0"/>
      </c:catAx>
      <c:valAx>
        <c:axId val="416652199"/>
        <c:scaling>
          <c:orientation val="minMax"/>
          <c:max val="10"/>
        </c:scaling>
        <c:delete val="0"/>
        <c:axPos val="l"/>
        <c:numFmt formatCode="#,##0" sourceLinked="0"/>
        <c:majorTickMark val="out"/>
        <c:minorTickMark val="none"/>
        <c:tickLblPos val="nextTo"/>
        <c:spPr>
          <a:noFill/>
          <a:ln w="3175">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6651119"/>
        <c:crosses val="autoZero"/>
        <c:crossBetween val="between"/>
        <c:majorUnit val="5"/>
      </c:valAx>
      <c:spPr>
        <a:blipFill>
          <a:blip xmlns:r="http://schemas.openxmlformats.org/officeDocument/2006/relationships" r:embed="rId3"/>
          <a:stretch>
            <a:fillRect l="80000"/>
          </a:stretch>
        </a:blipFill>
        <a:ln>
          <a:noFill/>
        </a:ln>
        <a:effectLst/>
      </c:spPr>
    </c:plotArea>
    <c:legend>
      <c:legendPos val="b"/>
      <c:layout>
        <c:manualLayout>
          <c:xMode val="edge"/>
          <c:yMode val="edge"/>
          <c:x val="0"/>
          <c:y val="0.81876323572972809"/>
          <c:w val="0.9939943003764774"/>
          <c:h val="0.1812367642702719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52426386010147"/>
          <c:y val="6.4686856806821527E-2"/>
          <c:w val="0.84172320732314954"/>
          <c:h val="0.59341786502039373"/>
        </c:manualLayout>
      </c:layout>
      <c:barChart>
        <c:barDir val="col"/>
        <c:grouping val="stacked"/>
        <c:varyColors val="0"/>
        <c:ser>
          <c:idx val="1"/>
          <c:order val="1"/>
          <c:tx>
            <c:strRef>
              <c:f>'[External 2023Q4.xlsx]ТХМ-Annual'!$A$34</c:f>
              <c:strCache>
                <c:ptCount val="1"/>
                <c:pt idx="0">
                  <c:v>ГЦА</c:v>
                </c:pt>
              </c:strCache>
            </c:strRef>
          </c:tx>
          <c:spPr>
            <a:solidFill>
              <a:srgbClr val="FFC000"/>
            </a:solidFill>
            <a:ln>
              <a:noFill/>
            </a:ln>
            <a:effectLst/>
          </c:spPr>
          <c:invertIfNegative val="0"/>
          <c:cat>
            <c:numRef>
              <c:f>'[External 2023Q4.xlsx]ТХМ-Annual'!$C$2:$G$2</c:f>
              <c:numCache>
                <c:formatCode>General</c:formatCode>
                <c:ptCount val="5"/>
                <c:pt idx="0">
                  <c:v>2019</c:v>
                </c:pt>
                <c:pt idx="1">
                  <c:v>2020</c:v>
                </c:pt>
                <c:pt idx="2">
                  <c:v>2021</c:v>
                </c:pt>
                <c:pt idx="3">
                  <c:v>2022</c:v>
                </c:pt>
                <c:pt idx="4">
                  <c:v>2023</c:v>
                </c:pt>
              </c:numCache>
            </c:numRef>
          </c:cat>
          <c:val>
            <c:numRef>
              <c:f>'[External 2023Q4.xlsx]ТХМ-Annual'!$C$34:$G$34</c:f>
              <c:numCache>
                <c:formatCode>0.0</c:formatCode>
                <c:ptCount val="5"/>
                <c:pt idx="0">
                  <c:v>15.228813663531465</c:v>
                </c:pt>
                <c:pt idx="1">
                  <c:v>12.351783236721507</c:v>
                </c:pt>
                <c:pt idx="2">
                  <c:v>-8.2104955188269493</c:v>
                </c:pt>
                <c:pt idx="3">
                  <c:v>-4.6790890807219743</c:v>
                </c:pt>
                <c:pt idx="4">
                  <c:v>21.714069384430378</c:v>
                </c:pt>
              </c:numCache>
            </c:numRef>
          </c:val>
          <c:extLst>
            <c:ext xmlns:c16="http://schemas.microsoft.com/office/drawing/2014/chart" uri="{C3380CC4-5D6E-409C-BE32-E72D297353CC}">
              <c16:uniqueId val="{00000000-EF53-427D-B618-3FBAD430B283}"/>
            </c:ext>
          </c:extLst>
        </c:ser>
        <c:ser>
          <c:idx val="2"/>
          <c:order val="2"/>
          <c:tx>
            <c:strRef>
              <c:f>'[External 2023Q4.xlsx]ТХМ-Annual'!$A$35</c:f>
              <c:strCache>
                <c:ptCount val="1"/>
                <c:pt idx="0">
                  <c:v>Дотоод зээл</c:v>
                </c:pt>
              </c:strCache>
            </c:strRef>
          </c:tx>
          <c:spPr>
            <a:solidFill>
              <a:schemeClr val="tx2">
                <a:lumMod val="75000"/>
              </a:schemeClr>
            </a:solidFill>
            <a:ln>
              <a:noFill/>
            </a:ln>
            <a:effectLst/>
          </c:spPr>
          <c:invertIfNegative val="0"/>
          <c:cat>
            <c:numRef>
              <c:f>'[External 2023Q4.xlsx]ТХМ-Annual'!$C$2:$G$2</c:f>
              <c:numCache>
                <c:formatCode>General</c:formatCode>
                <c:ptCount val="5"/>
                <c:pt idx="0">
                  <c:v>2019</c:v>
                </c:pt>
                <c:pt idx="1">
                  <c:v>2020</c:v>
                </c:pt>
                <c:pt idx="2">
                  <c:v>2021</c:v>
                </c:pt>
                <c:pt idx="3">
                  <c:v>2022</c:v>
                </c:pt>
                <c:pt idx="4">
                  <c:v>2023</c:v>
                </c:pt>
              </c:numCache>
            </c:numRef>
          </c:cat>
          <c:val>
            <c:numRef>
              <c:f>'[External 2023Q4.xlsx]ТХМ-Annual'!$C$35:$G$35</c:f>
              <c:numCache>
                <c:formatCode>0.0</c:formatCode>
                <c:ptCount val="5"/>
                <c:pt idx="0">
                  <c:v>1.8879165764941592</c:v>
                </c:pt>
                <c:pt idx="1">
                  <c:v>-2.2548241573878225</c:v>
                </c:pt>
                <c:pt idx="2">
                  <c:v>16.668541498501838</c:v>
                </c:pt>
                <c:pt idx="3">
                  <c:v>9.0491707421330911</c:v>
                </c:pt>
                <c:pt idx="4">
                  <c:v>18.584992753289047</c:v>
                </c:pt>
              </c:numCache>
            </c:numRef>
          </c:val>
          <c:extLst>
            <c:ext xmlns:c16="http://schemas.microsoft.com/office/drawing/2014/chart" uri="{C3380CC4-5D6E-409C-BE32-E72D297353CC}">
              <c16:uniqueId val="{00000001-EF53-427D-B618-3FBAD430B283}"/>
            </c:ext>
          </c:extLst>
        </c:ser>
        <c:ser>
          <c:idx val="3"/>
          <c:order val="3"/>
          <c:tx>
            <c:strRef>
              <c:f>'[External 2023Q4.xlsx]ТХМ-Annual'!$A$36</c:f>
              <c:strCache>
                <c:ptCount val="1"/>
                <c:pt idx="0">
                  <c:v>ЗГЦЗ</c:v>
                </c:pt>
              </c:strCache>
            </c:strRef>
          </c:tx>
          <c:spPr>
            <a:solidFill>
              <a:srgbClr val="11A795"/>
            </a:solidFill>
            <a:ln>
              <a:noFill/>
            </a:ln>
            <a:effectLst/>
          </c:spPr>
          <c:invertIfNegative val="0"/>
          <c:cat>
            <c:numRef>
              <c:f>'[External 2023Q4.xlsx]ТХМ-Annual'!$C$2:$G$2</c:f>
              <c:numCache>
                <c:formatCode>General</c:formatCode>
                <c:ptCount val="5"/>
                <c:pt idx="0">
                  <c:v>2019</c:v>
                </c:pt>
                <c:pt idx="1">
                  <c:v>2020</c:v>
                </c:pt>
                <c:pt idx="2">
                  <c:v>2021</c:v>
                </c:pt>
                <c:pt idx="3">
                  <c:v>2022</c:v>
                </c:pt>
                <c:pt idx="4">
                  <c:v>2023</c:v>
                </c:pt>
              </c:numCache>
            </c:numRef>
          </c:cat>
          <c:val>
            <c:numRef>
              <c:f>'[External 2023Q4.xlsx]ТХМ-Annual'!$C$36:$G$36</c:f>
              <c:numCache>
                <c:formatCode>0.0</c:formatCode>
                <c:ptCount val="5"/>
                <c:pt idx="0">
                  <c:v>-8.9056964733205994</c:v>
                </c:pt>
                <c:pt idx="1">
                  <c:v>4.3284424877947529</c:v>
                </c:pt>
                <c:pt idx="2">
                  <c:v>4.4161351095455297</c:v>
                </c:pt>
                <c:pt idx="3">
                  <c:v>-4.2023595456976715</c:v>
                </c:pt>
                <c:pt idx="4">
                  <c:v>-6.9545975047900912</c:v>
                </c:pt>
              </c:numCache>
            </c:numRef>
          </c:val>
          <c:extLst>
            <c:ext xmlns:c16="http://schemas.microsoft.com/office/drawing/2014/chart" uri="{C3380CC4-5D6E-409C-BE32-E72D297353CC}">
              <c16:uniqueId val="{00000002-EF53-427D-B618-3FBAD430B283}"/>
            </c:ext>
          </c:extLst>
        </c:ser>
        <c:ser>
          <c:idx val="4"/>
          <c:order val="4"/>
          <c:tx>
            <c:strRef>
              <c:f>'[External 2023Q4.xlsx]ТХМ-Annual'!$A$37</c:f>
              <c:strCache>
                <c:ptCount val="1"/>
                <c:pt idx="0">
                  <c:v>Бусад</c:v>
                </c:pt>
              </c:strCache>
            </c:strRef>
          </c:tx>
          <c:spPr>
            <a:solidFill>
              <a:schemeClr val="bg2">
                <a:lumMod val="75000"/>
              </a:schemeClr>
            </a:solidFill>
            <a:ln>
              <a:noFill/>
            </a:ln>
            <a:effectLst/>
          </c:spPr>
          <c:invertIfNegative val="0"/>
          <c:cat>
            <c:numRef>
              <c:f>'[External 2023Q4.xlsx]ТХМ-Annual'!$C$2:$G$2</c:f>
              <c:numCache>
                <c:formatCode>General</c:formatCode>
                <c:ptCount val="5"/>
                <c:pt idx="0">
                  <c:v>2019</c:v>
                </c:pt>
                <c:pt idx="1">
                  <c:v>2020</c:v>
                </c:pt>
                <c:pt idx="2">
                  <c:v>2021</c:v>
                </c:pt>
                <c:pt idx="3">
                  <c:v>2022</c:v>
                </c:pt>
                <c:pt idx="4">
                  <c:v>2023</c:v>
                </c:pt>
              </c:numCache>
            </c:numRef>
          </c:cat>
          <c:val>
            <c:numRef>
              <c:f>'[External 2023Q4.xlsx]ТХМ-Annual'!$C$37:$G$37</c:f>
              <c:numCache>
                <c:formatCode>0.0</c:formatCode>
                <c:ptCount val="5"/>
                <c:pt idx="0">
                  <c:v>-5.2272562384031905E-2</c:v>
                </c:pt>
                <c:pt idx="1">
                  <c:v>1.7976438583762022</c:v>
                </c:pt>
                <c:pt idx="2">
                  <c:v>0.94373372374741227</c:v>
                </c:pt>
                <c:pt idx="3">
                  <c:v>6.2971261146000295</c:v>
                </c:pt>
                <c:pt idx="4">
                  <c:v>-6.5137729011071244</c:v>
                </c:pt>
              </c:numCache>
            </c:numRef>
          </c:val>
          <c:extLst>
            <c:ext xmlns:c16="http://schemas.microsoft.com/office/drawing/2014/chart" uri="{C3380CC4-5D6E-409C-BE32-E72D297353CC}">
              <c16:uniqueId val="{00000003-EF53-427D-B618-3FBAD430B283}"/>
            </c:ext>
          </c:extLst>
        </c:ser>
        <c:dLbls>
          <c:showLegendKey val="0"/>
          <c:showVal val="0"/>
          <c:showCatName val="0"/>
          <c:showSerName val="0"/>
          <c:showPercent val="0"/>
          <c:showBubbleSize val="0"/>
        </c:dLbls>
        <c:gapWidth val="50"/>
        <c:overlap val="100"/>
        <c:axId val="777092160"/>
        <c:axId val="777088320"/>
      </c:barChart>
      <c:lineChart>
        <c:grouping val="standard"/>
        <c:varyColors val="0"/>
        <c:ser>
          <c:idx val="0"/>
          <c:order val="0"/>
          <c:tx>
            <c:strRef>
              <c:f>'[External 2023Q4.xlsx]ТХМ-Annual'!$A$33</c:f>
              <c:strCache>
                <c:ptCount val="1"/>
                <c:pt idx="0">
                  <c:v>M2 мөнгө</c:v>
                </c:pt>
              </c:strCache>
            </c:strRef>
          </c:tx>
          <c:spPr>
            <a:ln w="22225" cap="rnd">
              <a:solidFill>
                <a:srgbClr val="BC5966"/>
              </a:solidFill>
              <a:round/>
            </a:ln>
            <a:effectLst/>
          </c:spPr>
          <c:marker>
            <c:symbol val="none"/>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53-427D-B618-3FBAD430B28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'[External 2023Q4.xlsx]ТХМ-Annual'!$C$2:$G$2</c:f>
              <c:numCache>
                <c:formatCode>General</c:formatCode>
                <c:ptCount val="5"/>
                <c:pt idx="0">
                  <c:v>2019</c:v>
                </c:pt>
                <c:pt idx="1">
                  <c:v>2020</c:v>
                </c:pt>
                <c:pt idx="2">
                  <c:v>2021</c:v>
                </c:pt>
                <c:pt idx="3">
                  <c:v>2022</c:v>
                </c:pt>
                <c:pt idx="4">
                  <c:v>2023</c:v>
                </c:pt>
              </c:numCache>
            </c:numRef>
          </c:cat>
          <c:val>
            <c:numRef>
              <c:f>'[External 2023Q4.xlsx]ТХМ-Annual'!$C$33:$G$33</c:f>
              <c:numCache>
                <c:formatCode>0.0</c:formatCode>
                <c:ptCount val="5"/>
                <c:pt idx="0">
                  <c:v>8.1587612043209869</c:v>
                </c:pt>
                <c:pt idx="1">
                  <c:v>16.22304542550464</c:v>
                </c:pt>
                <c:pt idx="2">
                  <c:v>13.817914812967832</c:v>
                </c:pt>
                <c:pt idx="3">
                  <c:v>6.4648482303134776</c:v>
                </c:pt>
                <c:pt idx="4">
                  <c:v>26.830691731822199</c:v>
                </c:pt>
              </c:numCache>
            </c:numRef>
          </c:val>
          <c:smooth val="1"/>
          <c:extLst>
            <c:ext xmlns:c16="http://schemas.microsoft.com/office/drawing/2014/chart" uri="{C3380CC4-5D6E-409C-BE32-E72D297353CC}">
              <c16:uniqueId val="{00000005-EF53-427D-B618-3FBAD430B283}"/>
            </c:ext>
          </c:extLst>
        </c:ser>
        <c:dLbls>
          <c:showLegendKey val="0"/>
          <c:showVal val="0"/>
          <c:showCatName val="0"/>
          <c:showSerName val="0"/>
          <c:showPercent val="0"/>
          <c:showBubbleSize val="0"/>
        </c:dLbls>
        <c:marker val="1"/>
        <c:smooth val="0"/>
        <c:axId val="777092160"/>
        <c:axId val="777088320"/>
      </c:lineChart>
      <c:catAx>
        <c:axId val="7770921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7088320"/>
        <c:crosses val="autoZero"/>
        <c:auto val="1"/>
        <c:lblAlgn val="ctr"/>
        <c:lblOffset val="100"/>
        <c:noMultiLvlLbl val="0"/>
      </c:catAx>
      <c:valAx>
        <c:axId val="777088320"/>
        <c:scaling>
          <c:orientation val="minMax"/>
          <c:min val="-15"/>
        </c:scaling>
        <c:delete val="0"/>
        <c:axPos val="l"/>
        <c:numFmt formatCode="0" sourceLinked="0"/>
        <c:majorTickMark val="out"/>
        <c:minorTickMark val="none"/>
        <c:tickLblPos val="nextTo"/>
        <c:spPr>
          <a:noFill/>
          <a:ln>
            <a:solidFill>
              <a:schemeClr val="bg1">
                <a:lumMod val="95000"/>
              </a:schemeClr>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7092160"/>
        <c:crosses val="autoZero"/>
        <c:crossBetween val="between"/>
        <c:majorUnit val="15"/>
      </c:valAx>
      <c:spPr>
        <a:noFill/>
        <a:ln>
          <a:noFill/>
        </a:ln>
        <a:effectLst/>
      </c:spPr>
    </c:plotArea>
    <c:legend>
      <c:legendPos val="b"/>
      <c:layout>
        <c:manualLayout>
          <c:xMode val="edge"/>
          <c:yMode val="edge"/>
          <c:x val="4.4571819136581113E-2"/>
          <c:y val="0.79294862790038567"/>
          <c:w val="0.94789757667024155"/>
          <c:h val="0.15071334393060024"/>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52426386010147"/>
          <c:y val="7.7206264709869007E-2"/>
          <c:w val="0.84172320732314954"/>
          <c:h val="0.49639163173436973"/>
        </c:manualLayout>
      </c:layout>
      <c:barChart>
        <c:barDir val="col"/>
        <c:grouping val="stacked"/>
        <c:varyColors val="0"/>
        <c:ser>
          <c:idx val="1"/>
          <c:order val="1"/>
          <c:tx>
            <c:strRef>
              <c:f>'[External 2023Q4.xlsx]ТХМ-Annual'!$A$26</c:f>
              <c:strCache>
                <c:ptCount val="1"/>
                <c:pt idx="0">
                  <c:v>Гадаад валютын харилцах, хадгаламж</c:v>
                </c:pt>
              </c:strCache>
            </c:strRef>
          </c:tx>
          <c:spPr>
            <a:solidFill>
              <a:schemeClr val="tx2">
                <a:lumMod val="75000"/>
              </a:schemeClr>
            </a:solidFill>
            <a:ln>
              <a:noFill/>
            </a:ln>
            <a:effectLst/>
          </c:spPr>
          <c:invertIfNegative val="0"/>
          <c:cat>
            <c:numRef>
              <c:f>'[External 2023Q4.xlsx]ТХМ-Annual'!$C$2:$G$2</c:f>
              <c:numCache>
                <c:formatCode>General</c:formatCode>
                <c:ptCount val="5"/>
                <c:pt idx="0">
                  <c:v>2019</c:v>
                </c:pt>
                <c:pt idx="1">
                  <c:v>2020</c:v>
                </c:pt>
                <c:pt idx="2">
                  <c:v>2021</c:v>
                </c:pt>
                <c:pt idx="3">
                  <c:v>2022</c:v>
                </c:pt>
                <c:pt idx="4">
                  <c:v>2023</c:v>
                </c:pt>
              </c:numCache>
            </c:numRef>
          </c:cat>
          <c:val>
            <c:numRef>
              <c:f>'[External 2023Q4.xlsx]ТХМ-Annual'!$C$26:$G$26</c:f>
              <c:numCache>
                <c:formatCode>0.0</c:formatCode>
                <c:ptCount val="5"/>
                <c:pt idx="0">
                  <c:v>3.0975805277744515</c:v>
                </c:pt>
                <c:pt idx="1">
                  <c:v>3.9067988284518562</c:v>
                </c:pt>
                <c:pt idx="2">
                  <c:v>-1.6174481737865813</c:v>
                </c:pt>
                <c:pt idx="3">
                  <c:v>12.701447523268076</c:v>
                </c:pt>
                <c:pt idx="4">
                  <c:v>2.6596561229620974</c:v>
                </c:pt>
              </c:numCache>
            </c:numRef>
          </c:val>
          <c:extLst>
            <c:ext xmlns:c16="http://schemas.microsoft.com/office/drawing/2014/chart" uri="{C3380CC4-5D6E-409C-BE32-E72D297353CC}">
              <c16:uniqueId val="{00000000-C431-4C2B-B6EC-E67F7E66954C}"/>
            </c:ext>
          </c:extLst>
        </c:ser>
        <c:ser>
          <c:idx val="2"/>
          <c:order val="2"/>
          <c:tx>
            <c:strRef>
              <c:f>'[External 2023Q4.xlsx]ТХМ-Annual'!$A$25</c:f>
              <c:strCache>
                <c:ptCount val="1"/>
                <c:pt idx="0">
                  <c:v>Төгрөгийн харилцах, хадгаламж</c:v>
                </c:pt>
              </c:strCache>
            </c:strRef>
          </c:tx>
          <c:spPr>
            <a:solidFill>
              <a:srgbClr val="11A795"/>
            </a:solidFill>
            <a:ln>
              <a:noFill/>
            </a:ln>
            <a:effectLst/>
          </c:spPr>
          <c:invertIfNegative val="0"/>
          <c:cat>
            <c:numRef>
              <c:f>'[External 2023Q4.xlsx]ТХМ-Annual'!$C$2:$G$2</c:f>
              <c:numCache>
                <c:formatCode>General</c:formatCode>
                <c:ptCount val="5"/>
                <c:pt idx="0">
                  <c:v>2019</c:v>
                </c:pt>
                <c:pt idx="1">
                  <c:v>2020</c:v>
                </c:pt>
                <c:pt idx="2">
                  <c:v>2021</c:v>
                </c:pt>
                <c:pt idx="3">
                  <c:v>2022</c:v>
                </c:pt>
                <c:pt idx="4">
                  <c:v>2023</c:v>
                </c:pt>
              </c:numCache>
            </c:numRef>
          </c:cat>
          <c:val>
            <c:numRef>
              <c:f>'[External 2023Q4.xlsx]ТХМ-Annual'!$C$25:$G$25</c:f>
              <c:numCache>
                <c:formatCode>0.0</c:formatCode>
                <c:ptCount val="5"/>
                <c:pt idx="0">
                  <c:v>5.3487424671140573</c:v>
                </c:pt>
                <c:pt idx="1">
                  <c:v>11.65793465735363</c:v>
                </c:pt>
                <c:pt idx="2">
                  <c:v>15.051295969761092</c:v>
                </c:pt>
                <c:pt idx="3">
                  <c:v>-6.1790861950765601</c:v>
                </c:pt>
                <c:pt idx="4">
                  <c:v>23.920324362747969</c:v>
                </c:pt>
              </c:numCache>
            </c:numRef>
          </c:val>
          <c:extLst>
            <c:ext xmlns:c16="http://schemas.microsoft.com/office/drawing/2014/chart" uri="{C3380CC4-5D6E-409C-BE32-E72D297353CC}">
              <c16:uniqueId val="{00000001-C431-4C2B-B6EC-E67F7E66954C}"/>
            </c:ext>
          </c:extLst>
        </c:ser>
        <c:ser>
          <c:idx val="3"/>
          <c:order val="3"/>
          <c:tx>
            <c:strRef>
              <c:f>'[External 2023Q4.xlsx]ТХМ-Annual'!$A$27</c:f>
              <c:strCache>
                <c:ptCount val="1"/>
                <c:pt idx="0">
                  <c:v>Хадгаламжийн байгууллагаас гадуурх мөнгө</c:v>
                </c:pt>
              </c:strCache>
            </c:strRef>
          </c:tx>
          <c:spPr>
            <a:solidFill>
              <a:schemeClr val="bg2">
                <a:lumMod val="75000"/>
              </a:schemeClr>
            </a:solidFill>
            <a:ln>
              <a:noFill/>
            </a:ln>
            <a:effectLst/>
          </c:spPr>
          <c:invertIfNegative val="0"/>
          <c:cat>
            <c:numRef>
              <c:f>'[External 2023Q4.xlsx]ТХМ-Annual'!$C$2:$G$2</c:f>
              <c:numCache>
                <c:formatCode>General</c:formatCode>
                <c:ptCount val="5"/>
                <c:pt idx="0">
                  <c:v>2019</c:v>
                </c:pt>
                <c:pt idx="1">
                  <c:v>2020</c:v>
                </c:pt>
                <c:pt idx="2">
                  <c:v>2021</c:v>
                </c:pt>
                <c:pt idx="3">
                  <c:v>2022</c:v>
                </c:pt>
                <c:pt idx="4">
                  <c:v>2023</c:v>
                </c:pt>
              </c:numCache>
            </c:numRef>
          </c:cat>
          <c:val>
            <c:numRef>
              <c:f>'[External 2023Q4.xlsx]ТХМ-Annual'!$C$27:$G$27</c:f>
              <c:numCache>
                <c:formatCode>0.0</c:formatCode>
                <c:ptCount val="5"/>
                <c:pt idx="0">
                  <c:v>-0.28756180639658946</c:v>
                </c:pt>
                <c:pt idx="1">
                  <c:v>0.65831196737361197</c:v>
                </c:pt>
                <c:pt idx="2">
                  <c:v>0.38406700635884999</c:v>
                </c:pt>
                <c:pt idx="3">
                  <c:v>-5.7513091023980112E-2</c:v>
                </c:pt>
                <c:pt idx="4">
                  <c:v>0.25071138740481891</c:v>
                </c:pt>
              </c:numCache>
            </c:numRef>
          </c:val>
          <c:extLst>
            <c:ext xmlns:c16="http://schemas.microsoft.com/office/drawing/2014/chart" uri="{C3380CC4-5D6E-409C-BE32-E72D297353CC}">
              <c16:uniqueId val="{00000002-C431-4C2B-B6EC-E67F7E66954C}"/>
            </c:ext>
          </c:extLst>
        </c:ser>
        <c:dLbls>
          <c:showLegendKey val="0"/>
          <c:showVal val="0"/>
          <c:showCatName val="0"/>
          <c:showSerName val="0"/>
          <c:showPercent val="0"/>
          <c:showBubbleSize val="0"/>
        </c:dLbls>
        <c:gapWidth val="50"/>
        <c:overlap val="100"/>
        <c:axId val="777092160"/>
        <c:axId val="777088320"/>
      </c:barChart>
      <c:lineChart>
        <c:grouping val="standard"/>
        <c:varyColors val="0"/>
        <c:ser>
          <c:idx val="0"/>
          <c:order val="0"/>
          <c:tx>
            <c:strRef>
              <c:f>'[External 2023Q4.xlsx]ТХМ-Annual'!$A$24</c:f>
              <c:strCache>
                <c:ptCount val="1"/>
                <c:pt idx="0">
                  <c:v>M2 мөнгө</c:v>
                </c:pt>
              </c:strCache>
            </c:strRef>
          </c:tx>
          <c:spPr>
            <a:ln w="22225" cap="rnd">
              <a:solidFill>
                <a:srgbClr val="BC5966"/>
              </a:solidFill>
              <a:round/>
            </a:ln>
            <a:effectLst/>
          </c:spPr>
          <c:marker>
            <c:symbol val="none"/>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31-4C2B-B6EC-E67F7E66954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'[External 2023Q4.xlsx]ТХМ-Annual'!$C$2:$G$2</c:f>
              <c:numCache>
                <c:formatCode>General</c:formatCode>
                <c:ptCount val="5"/>
                <c:pt idx="0">
                  <c:v>2019</c:v>
                </c:pt>
                <c:pt idx="1">
                  <c:v>2020</c:v>
                </c:pt>
                <c:pt idx="2">
                  <c:v>2021</c:v>
                </c:pt>
                <c:pt idx="3">
                  <c:v>2022</c:v>
                </c:pt>
                <c:pt idx="4">
                  <c:v>2023</c:v>
                </c:pt>
              </c:numCache>
            </c:numRef>
          </c:cat>
          <c:val>
            <c:numRef>
              <c:f>'[External 2023Q4.xlsx]ТХМ-Annual'!$C$24:$G$24</c:f>
              <c:numCache>
                <c:formatCode>0.0</c:formatCode>
                <c:ptCount val="5"/>
                <c:pt idx="0">
                  <c:v>8.1587611884919138</c:v>
                </c:pt>
                <c:pt idx="1">
                  <c:v>16.223045453179108</c:v>
                </c:pt>
                <c:pt idx="2">
                  <c:v>13.817914802333359</c:v>
                </c:pt>
                <c:pt idx="3">
                  <c:v>6.4648482371675389</c:v>
                </c:pt>
                <c:pt idx="4">
                  <c:v>26.830691873114894</c:v>
                </c:pt>
              </c:numCache>
            </c:numRef>
          </c:val>
          <c:smooth val="1"/>
          <c:extLst>
            <c:ext xmlns:c16="http://schemas.microsoft.com/office/drawing/2014/chart" uri="{C3380CC4-5D6E-409C-BE32-E72D297353CC}">
              <c16:uniqueId val="{00000004-C431-4C2B-B6EC-E67F7E66954C}"/>
            </c:ext>
          </c:extLst>
        </c:ser>
        <c:dLbls>
          <c:showLegendKey val="0"/>
          <c:showVal val="0"/>
          <c:showCatName val="0"/>
          <c:showSerName val="0"/>
          <c:showPercent val="0"/>
          <c:showBubbleSize val="0"/>
        </c:dLbls>
        <c:marker val="1"/>
        <c:smooth val="0"/>
        <c:axId val="777092160"/>
        <c:axId val="777088320"/>
      </c:lineChart>
      <c:catAx>
        <c:axId val="7770921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7088320"/>
        <c:crosses val="autoZero"/>
        <c:auto val="1"/>
        <c:lblAlgn val="ctr"/>
        <c:lblOffset val="100"/>
        <c:noMultiLvlLbl val="0"/>
      </c:catAx>
      <c:valAx>
        <c:axId val="777088320"/>
        <c:scaling>
          <c:orientation val="minMax"/>
        </c:scaling>
        <c:delete val="0"/>
        <c:axPos val="l"/>
        <c:numFmt formatCode="0" sourceLinked="0"/>
        <c:majorTickMark val="out"/>
        <c:minorTickMark val="none"/>
        <c:tickLblPos val="nextTo"/>
        <c:spPr>
          <a:noFill/>
          <a:ln>
            <a:solidFill>
              <a:schemeClr val="bg1">
                <a:lumMod val="95000"/>
              </a:schemeClr>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7092160"/>
        <c:crosses val="autoZero"/>
        <c:crossBetween val="between"/>
        <c:majorUnit val="15"/>
      </c:valAx>
      <c:spPr>
        <a:noFill/>
        <a:ln>
          <a:noFill/>
        </a:ln>
        <a:effectLst/>
      </c:spPr>
    </c:plotArea>
    <c:legend>
      <c:legendPos val="b"/>
      <c:layout>
        <c:manualLayout>
          <c:xMode val="edge"/>
          <c:yMode val="edge"/>
          <c:x val="0"/>
          <c:y val="0.70937762798770621"/>
          <c:w val="0.9963063224050156"/>
          <c:h val="0.29062237201229385"/>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SharedWithUsers xmlns="a6ac2e82-6d58-4877-80da-2382c159e9d4">
      <UserInfo>
        <DisplayName>Хонгорзул Данзандагва</DisplayName>
        <AccountId>779</AccountId>
        <AccountType/>
      </UserInfo>
      <UserInfo>
        <DisplayName>Дэлгэрмаа Бямбадорж</DisplayName>
        <AccountId>15</AccountId>
        <AccountType/>
      </UserInfo>
      <UserInfo>
        <DisplayName>Энх-Амгалан Лхагвабаяр</DisplayName>
        <AccountId>23</AccountId>
        <AccountType/>
      </UserInfo>
      <UserInfo>
        <DisplayName>Мягмардорж Отгондэмбэрэл</DisplayName>
        <AccountId>14</AccountId>
        <AccountType/>
      </UserInfo>
      <UserInfo>
        <DisplayName>Мөнгөнцацрал Болдбаяр</DisplayName>
        <AccountId>656</AccountId>
        <AccountType/>
      </UserInfo>
      <UserInfo>
        <DisplayName>Маргад Шийрэвдамба</DisplayName>
        <AccountId>694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21" ma:contentTypeDescription="Create a new document." ma:contentTypeScope="" ma:versionID="76fe1b70a0b70ead21c81f87e795cfc9">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19f7f3bafd553a7e0d3db6640d587d99"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29ea0-13c3-469d-8107-fdcbce64d82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530B5-3E50-49B0-81AF-4611E67E1A02}">
  <ds:schemaRefs>
    <ds:schemaRef ds:uri="http://schemas.openxmlformats.org/officeDocument/2006/bibliography"/>
  </ds:schemaRefs>
</ds:datastoreItem>
</file>

<file path=customXml/itemProps2.xml><?xml version="1.0" encoding="utf-8"?>
<ds:datastoreItem xmlns:ds="http://schemas.openxmlformats.org/officeDocument/2006/customXml" ds:itemID="{A6A93FBB-246E-4FCE-8A82-A0BAB2D1EB6E}">
  <ds:schemaRefs>
    <ds:schemaRef ds:uri="http://schemas.openxmlformats.org/package/2006/metadata/core-properties"/>
    <ds:schemaRef ds:uri="http://schemas.microsoft.com/office/2006/documentManagement/types"/>
    <ds:schemaRef ds:uri="http://purl.org/dc/elements/1.1/"/>
    <ds:schemaRef ds:uri="a6ac2e82-6d58-4877-80da-2382c159e9d4"/>
    <ds:schemaRef ds:uri="http://purl.org/dc/dcmitype/"/>
    <ds:schemaRef ds:uri="http://schemas.microsoft.com/office/infopath/2007/PartnerControls"/>
    <ds:schemaRef ds:uri="http://www.w3.org/XML/1998/namespace"/>
    <ds:schemaRef ds:uri="86bdc60b-3bb4-498c-97b6-1370c6bac81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0D3CECE-BA5D-4373-8B5F-51E486972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2E2D0-DE56-44F6-B19F-F014F857F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1</Pages>
  <Words>12225</Words>
  <Characters>69683</Characters>
  <Application>Microsoft Office Word</Application>
  <DocSecurity>4</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81745</CharactersWithSpaces>
  <SharedDoc>false</SharedDoc>
  <HLinks>
    <vt:vector size="186" baseType="variant">
      <vt:variant>
        <vt:i4>1703993</vt:i4>
      </vt:variant>
      <vt:variant>
        <vt:i4>182</vt:i4>
      </vt:variant>
      <vt:variant>
        <vt:i4>0</vt:i4>
      </vt:variant>
      <vt:variant>
        <vt:i4>5</vt:i4>
      </vt:variant>
      <vt:variant>
        <vt:lpwstr/>
      </vt:variant>
      <vt:variant>
        <vt:lpwstr>_Toc165299406</vt:lpwstr>
      </vt:variant>
      <vt:variant>
        <vt:i4>1703993</vt:i4>
      </vt:variant>
      <vt:variant>
        <vt:i4>176</vt:i4>
      </vt:variant>
      <vt:variant>
        <vt:i4>0</vt:i4>
      </vt:variant>
      <vt:variant>
        <vt:i4>5</vt:i4>
      </vt:variant>
      <vt:variant>
        <vt:lpwstr/>
      </vt:variant>
      <vt:variant>
        <vt:lpwstr>_Toc165299405</vt:lpwstr>
      </vt:variant>
      <vt:variant>
        <vt:i4>1703993</vt:i4>
      </vt:variant>
      <vt:variant>
        <vt:i4>170</vt:i4>
      </vt:variant>
      <vt:variant>
        <vt:i4>0</vt:i4>
      </vt:variant>
      <vt:variant>
        <vt:i4>5</vt:i4>
      </vt:variant>
      <vt:variant>
        <vt:lpwstr/>
      </vt:variant>
      <vt:variant>
        <vt:lpwstr>_Toc165299404</vt:lpwstr>
      </vt:variant>
      <vt:variant>
        <vt:i4>1703993</vt:i4>
      </vt:variant>
      <vt:variant>
        <vt:i4>164</vt:i4>
      </vt:variant>
      <vt:variant>
        <vt:i4>0</vt:i4>
      </vt:variant>
      <vt:variant>
        <vt:i4>5</vt:i4>
      </vt:variant>
      <vt:variant>
        <vt:lpwstr/>
      </vt:variant>
      <vt:variant>
        <vt:lpwstr>_Toc165299403</vt:lpwstr>
      </vt:variant>
      <vt:variant>
        <vt:i4>1703993</vt:i4>
      </vt:variant>
      <vt:variant>
        <vt:i4>158</vt:i4>
      </vt:variant>
      <vt:variant>
        <vt:i4>0</vt:i4>
      </vt:variant>
      <vt:variant>
        <vt:i4>5</vt:i4>
      </vt:variant>
      <vt:variant>
        <vt:lpwstr/>
      </vt:variant>
      <vt:variant>
        <vt:lpwstr>_Toc165299402</vt:lpwstr>
      </vt:variant>
      <vt:variant>
        <vt:i4>1703993</vt:i4>
      </vt:variant>
      <vt:variant>
        <vt:i4>152</vt:i4>
      </vt:variant>
      <vt:variant>
        <vt:i4>0</vt:i4>
      </vt:variant>
      <vt:variant>
        <vt:i4>5</vt:i4>
      </vt:variant>
      <vt:variant>
        <vt:lpwstr/>
      </vt:variant>
      <vt:variant>
        <vt:lpwstr>_Toc165299401</vt:lpwstr>
      </vt:variant>
      <vt:variant>
        <vt:i4>1703993</vt:i4>
      </vt:variant>
      <vt:variant>
        <vt:i4>146</vt:i4>
      </vt:variant>
      <vt:variant>
        <vt:i4>0</vt:i4>
      </vt:variant>
      <vt:variant>
        <vt:i4>5</vt:i4>
      </vt:variant>
      <vt:variant>
        <vt:lpwstr/>
      </vt:variant>
      <vt:variant>
        <vt:lpwstr>_Toc165299400</vt:lpwstr>
      </vt:variant>
      <vt:variant>
        <vt:i4>1245246</vt:i4>
      </vt:variant>
      <vt:variant>
        <vt:i4>140</vt:i4>
      </vt:variant>
      <vt:variant>
        <vt:i4>0</vt:i4>
      </vt:variant>
      <vt:variant>
        <vt:i4>5</vt:i4>
      </vt:variant>
      <vt:variant>
        <vt:lpwstr/>
      </vt:variant>
      <vt:variant>
        <vt:lpwstr>_Toc165299399</vt:lpwstr>
      </vt:variant>
      <vt:variant>
        <vt:i4>1245246</vt:i4>
      </vt:variant>
      <vt:variant>
        <vt:i4>134</vt:i4>
      </vt:variant>
      <vt:variant>
        <vt:i4>0</vt:i4>
      </vt:variant>
      <vt:variant>
        <vt:i4>5</vt:i4>
      </vt:variant>
      <vt:variant>
        <vt:lpwstr/>
      </vt:variant>
      <vt:variant>
        <vt:lpwstr>_Toc165299398</vt:lpwstr>
      </vt:variant>
      <vt:variant>
        <vt:i4>1245246</vt:i4>
      </vt:variant>
      <vt:variant>
        <vt:i4>128</vt:i4>
      </vt:variant>
      <vt:variant>
        <vt:i4>0</vt:i4>
      </vt:variant>
      <vt:variant>
        <vt:i4>5</vt:i4>
      </vt:variant>
      <vt:variant>
        <vt:lpwstr/>
      </vt:variant>
      <vt:variant>
        <vt:lpwstr>_Toc165299397</vt:lpwstr>
      </vt:variant>
      <vt:variant>
        <vt:i4>1245246</vt:i4>
      </vt:variant>
      <vt:variant>
        <vt:i4>122</vt:i4>
      </vt:variant>
      <vt:variant>
        <vt:i4>0</vt:i4>
      </vt:variant>
      <vt:variant>
        <vt:i4>5</vt:i4>
      </vt:variant>
      <vt:variant>
        <vt:lpwstr/>
      </vt:variant>
      <vt:variant>
        <vt:lpwstr>_Toc165299396</vt:lpwstr>
      </vt:variant>
      <vt:variant>
        <vt:i4>1245246</vt:i4>
      </vt:variant>
      <vt:variant>
        <vt:i4>116</vt:i4>
      </vt:variant>
      <vt:variant>
        <vt:i4>0</vt:i4>
      </vt:variant>
      <vt:variant>
        <vt:i4>5</vt:i4>
      </vt:variant>
      <vt:variant>
        <vt:lpwstr/>
      </vt:variant>
      <vt:variant>
        <vt:lpwstr>_Toc165299395</vt:lpwstr>
      </vt:variant>
      <vt:variant>
        <vt:i4>1245246</vt:i4>
      </vt:variant>
      <vt:variant>
        <vt:i4>110</vt:i4>
      </vt:variant>
      <vt:variant>
        <vt:i4>0</vt:i4>
      </vt:variant>
      <vt:variant>
        <vt:i4>5</vt:i4>
      </vt:variant>
      <vt:variant>
        <vt:lpwstr/>
      </vt:variant>
      <vt:variant>
        <vt:lpwstr>_Toc165299394</vt:lpwstr>
      </vt:variant>
      <vt:variant>
        <vt:i4>1245246</vt:i4>
      </vt:variant>
      <vt:variant>
        <vt:i4>104</vt:i4>
      </vt:variant>
      <vt:variant>
        <vt:i4>0</vt:i4>
      </vt:variant>
      <vt:variant>
        <vt:i4>5</vt:i4>
      </vt:variant>
      <vt:variant>
        <vt:lpwstr/>
      </vt:variant>
      <vt:variant>
        <vt:lpwstr>_Toc165299393</vt:lpwstr>
      </vt:variant>
      <vt:variant>
        <vt:i4>1245246</vt:i4>
      </vt:variant>
      <vt:variant>
        <vt:i4>98</vt:i4>
      </vt:variant>
      <vt:variant>
        <vt:i4>0</vt:i4>
      </vt:variant>
      <vt:variant>
        <vt:i4>5</vt:i4>
      </vt:variant>
      <vt:variant>
        <vt:lpwstr/>
      </vt:variant>
      <vt:variant>
        <vt:lpwstr>_Toc165299392</vt:lpwstr>
      </vt:variant>
      <vt:variant>
        <vt:i4>1245246</vt:i4>
      </vt:variant>
      <vt:variant>
        <vt:i4>92</vt:i4>
      </vt:variant>
      <vt:variant>
        <vt:i4>0</vt:i4>
      </vt:variant>
      <vt:variant>
        <vt:i4>5</vt:i4>
      </vt:variant>
      <vt:variant>
        <vt:lpwstr/>
      </vt:variant>
      <vt:variant>
        <vt:lpwstr>_Toc165299391</vt:lpwstr>
      </vt:variant>
      <vt:variant>
        <vt:i4>1245246</vt:i4>
      </vt:variant>
      <vt:variant>
        <vt:i4>86</vt:i4>
      </vt:variant>
      <vt:variant>
        <vt:i4>0</vt:i4>
      </vt:variant>
      <vt:variant>
        <vt:i4>5</vt:i4>
      </vt:variant>
      <vt:variant>
        <vt:lpwstr/>
      </vt:variant>
      <vt:variant>
        <vt:lpwstr>_Toc165299390</vt:lpwstr>
      </vt:variant>
      <vt:variant>
        <vt:i4>1179710</vt:i4>
      </vt:variant>
      <vt:variant>
        <vt:i4>80</vt:i4>
      </vt:variant>
      <vt:variant>
        <vt:i4>0</vt:i4>
      </vt:variant>
      <vt:variant>
        <vt:i4>5</vt:i4>
      </vt:variant>
      <vt:variant>
        <vt:lpwstr/>
      </vt:variant>
      <vt:variant>
        <vt:lpwstr>_Toc165299389</vt:lpwstr>
      </vt:variant>
      <vt:variant>
        <vt:i4>1179710</vt:i4>
      </vt:variant>
      <vt:variant>
        <vt:i4>74</vt:i4>
      </vt:variant>
      <vt:variant>
        <vt:i4>0</vt:i4>
      </vt:variant>
      <vt:variant>
        <vt:i4>5</vt:i4>
      </vt:variant>
      <vt:variant>
        <vt:lpwstr/>
      </vt:variant>
      <vt:variant>
        <vt:lpwstr>_Toc165299388</vt:lpwstr>
      </vt:variant>
      <vt:variant>
        <vt:i4>1179710</vt:i4>
      </vt:variant>
      <vt:variant>
        <vt:i4>68</vt:i4>
      </vt:variant>
      <vt:variant>
        <vt:i4>0</vt:i4>
      </vt:variant>
      <vt:variant>
        <vt:i4>5</vt:i4>
      </vt:variant>
      <vt:variant>
        <vt:lpwstr/>
      </vt:variant>
      <vt:variant>
        <vt:lpwstr>_Toc165299387</vt:lpwstr>
      </vt:variant>
      <vt:variant>
        <vt:i4>1179710</vt:i4>
      </vt:variant>
      <vt:variant>
        <vt:i4>62</vt:i4>
      </vt:variant>
      <vt:variant>
        <vt:i4>0</vt:i4>
      </vt:variant>
      <vt:variant>
        <vt:i4>5</vt:i4>
      </vt:variant>
      <vt:variant>
        <vt:lpwstr/>
      </vt:variant>
      <vt:variant>
        <vt:lpwstr>_Toc165299386</vt:lpwstr>
      </vt:variant>
      <vt:variant>
        <vt:i4>1179710</vt:i4>
      </vt:variant>
      <vt:variant>
        <vt:i4>56</vt:i4>
      </vt:variant>
      <vt:variant>
        <vt:i4>0</vt:i4>
      </vt:variant>
      <vt:variant>
        <vt:i4>5</vt:i4>
      </vt:variant>
      <vt:variant>
        <vt:lpwstr/>
      </vt:variant>
      <vt:variant>
        <vt:lpwstr>_Toc165299385</vt:lpwstr>
      </vt:variant>
      <vt:variant>
        <vt:i4>1179710</vt:i4>
      </vt:variant>
      <vt:variant>
        <vt:i4>50</vt:i4>
      </vt:variant>
      <vt:variant>
        <vt:i4>0</vt:i4>
      </vt:variant>
      <vt:variant>
        <vt:i4>5</vt:i4>
      </vt:variant>
      <vt:variant>
        <vt:lpwstr/>
      </vt:variant>
      <vt:variant>
        <vt:lpwstr>_Toc165299384</vt:lpwstr>
      </vt:variant>
      <vt:variant>
        <vt:i4>1179710</vt:i4>
      </vt:variant>
      <vt:variant>
        <vt:i4>44</vt:i4>
      </vt:variant>
      <vt:variant>
        <vt:i4>0</vt:i4>
      </vt:variant>
      <vt:variant>
        <vt:i4>5</vt:i4>
      </vt:variant>
      <vt:variant>
        <vt:lpwstr/>
      </vt:variant>
      <vt:variant>
        <vt:lpwstr>_Toc165299383</vt:lpwstr>
      </vt:variant>
      <vt:variant>
        <vt:i4>1179710</vt:i4>
      </vt:variant>
      <vt:variant>
        <vt:i4>38</vt:i4>
      </vt:variant>
      <vt:variant>
        <vt:i4>0</vt:i4>
      </vt:variant>
      <vt:variant>
        <vt:i4>5</vt:i4>
      </vt:variant>
      <vt:variant>
        <vt:lpwstr/>
      </vt:variant>
      <vt:variant>
        <vt:lpwstr>_Toc165299382</vt:lpwstr>
      </vt:variant>
      <vt:variant>
        <vt:i4>1179710</vt:i4>
      </vt:variant>
      <vt:variant>
        <vt:i4>32</vt:i4>
      </vt:variant>
      <vt:variant>
        <vt:i4>0</vt:i4>
      </vt:variant>
      <vt:variant>
        <vt:i4>5</vt:i4>
      </vt:variant>
      <vt:variant>
        <vt:lpwstr/>
      </vt:variant>
      <vt:variant>
        <vt:lpwstr>_Toc165299381</vt:lpwstr>
      </vt:variant>
      <vt:variant>
        <vt:i4>1179710</vt:i4>
      </vt:variant>
      <vt:variant>
        <vt:i4>26</vt:i4>
      </vt:variant>
      <vt:variant>
        <vt:i4>0</vt:i4>
      </vt:variant>
      <vt:variant>
        <vt:i4>5</vt:i4>
      </vt:variant>
      <vt:variant>
        <vt:lpwstr/>
      </vt:variant>
      <vt:variant>
        <vt:lpwstr>_Toc165299380</vt:lpwstr>
      </vt:variant>
      <vt:variant>
        <vt:i4>1900606</vt:i4>
      </vt:variant>
      <vt:variant>
        <vt:i4>20</vt:i4>
      </vt:variant>
      <vt:variant>
        <vt:i4>0</vt:i4>
      </vt:variant>
      <vt:variant>
        <vt:i4>5</vt:i4>
      </vt:variant>
      <vt:variant>
        <vt:lpwstr/>
      </vt:variant>
      <vt:variant>
        <vt:lpwstr>_Toc165299379</vt:lpwstr>
      </vt:variant>
      <vt:variant>
        <vt:i4>1900606</vt:i4>
      </vt:variant>
      <vt:variant>
        <vt:i4>14</vt:i4>
      </vt:variant>
      <vt:variant>
        <vt:i4>0</vt:i4>
      </vt:variant>
      <vt:variant>
        <vt:i4>5</vt:i4>
      </vt:variant>
      <vt:variant>
        <vt:lpwstr/>
      </vt:variant>
      <vt:variant>
        <vt:lpwstr>_Toc165299378</vt:lpwstr>
      </vt:variant>
      <vt:variant>
        <vt:i4>1900606</vt:i4>
      </vt:variant>
      <vt:variant>
        <vt:i4>8</vt:i4>
      </vt:variant>
      <vt:variant>
        <vt:i4>0</vt:i4>
      </vt:variant>
      <vt:variant>
        <vt:i4>5</vt:i4>
      </vt:variant>
      <vt:variant>
        <vt:lpwstr/>
      </vt:variant>
      <vt:variant>
        <vt:lpwstr>_Toc165299377</vt:lpwstr>
      </vt:variant>
      <vt:variant>
        <vt:i4>1900606</vt:i4>
      </vt:variant>
      <vt:variant>
        <vt:i4>2</vt:i4>
      </vt:variant>
      <vt:variant>
        <vt:i4>0</vt:i4>
      </vt:variant>
      <vt:variant>
        <vt:i4>5</vt:i4>
      </vt:variant>
      <vt:variant>
        <vt:lpwstr/>
      </vt:variant>
      <vt:variant>
        <vt:lpwstr>_Toc165299376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Мөнгөнцацрал Болдбаяр</cp:lastModifiedBy>
  <cp:revision>614</cp:revision>
  <dcterms:created xsi:type="dcterms:W3CDTF">2024-04-15T06:33:00Z</dcterms:created>
  <dcterms:modified xsi:type="dcterms:W3CDTF">2024-04-30T00:16:00Z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y fmtid="{D5CDD505-2E9C-101B-9397-08002B2CF9AE}" pid="4" name="GrammarlyDocumentId">
    <vt:lpwstr>b441c68a0b1703fbeb512a8721eb5d102326bc26af57c7df6e8a6f795fd74203</vt:lpwstr>
  </property>
</Properties>
</file>